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149860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182245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149860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Rent the Runway,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158750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001-40958</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80-0376379</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1037"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Jay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Brooklyn, New York 11201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524-6860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160020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211"/>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11"/>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11"/>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11"/>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18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shd w:val="clear" w:color="auto" w:fill="FEFEFE"/>
          </w:tcPr>
          <w:p>
            <w:pPr>
              <w:spacing w:after="0"/>
              <w:rPr>
                <w:sz w:val="18"/>
                <w:szCs w:val="18"/>
                <w:color w:val="auto"/>
              </w:rPr>
            </w:pPr>
          </w:p>
        </w:tc>
        <w:tc>
          <w:tcPr>
            <w:tcW w:w="1680" w:type="dxa"/>
            <w:vAlign w:val="bottom"/>
            <w:gridSpan w:val="2"/>
            <w:shd w:val="clear" w:color="auto" w:fill="FEFEFE"/>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shd w:val="clear" w:color="auto" w:fill="FEFEFE"/>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5180" w:type="dxa"/>
            <w:vAlign w:val="bottom"/>
            <w:tcBorders>
              <w:top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120" w:type="dxa"/>
            <w:vAlign w:val="bottom"/>
            <w:tcBorders>
              <w:top w:val="single" w:sz="8" w:color="FEFEFE"/>
            </w:tcBorders>
            <w:shd w:val="clear" w:color="auto" w:fill="FEFEFE"/>
          </w:tcPr>
          <w:p>
            <w:pPr>
              <w:spacing w:after="0"/>
              <w:rPr>
                <w:sz w:val="18"/>
                <w:szCs w:val="18"/>
                <w:color w:val="auto"/>
              </w:rPr>
            </w:pPr>
          </w:p>
        </w:tc>
        <w:tc>
          <w:tcPr>
            <w:tcW w:w="1560" w:type="dxa"/>
            <w:vAlign w:val="bottom"/>
            <w:tcBorders>
              <w:top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8"/>
                <w:szCs w:val="18"/>
                <w:color w:val="auto"/>
              </w:rPr>
              <w:t>RENT</w:t>
            </w:r>
          </w:p>
        </w:tc>
        <w:tc>
          <w:tcPr>
            <w:tcW w:w="120" w:type="dxa"/>
            <w:vAlign w:val="bottom"/>
            <w:tcBorders>
              <w:top w:val="single" w:sz="8" w:color="FEFEFE"/>
            </w:tcBorders>
            <w:shd w:val="clear" w:color="auto" w:fill="FEFEFE"/>
          </w:tcPr>
          <w:p>
            <w:pPr>
              <w:spacing w:after="0"/>
              <w:rPr>
                <w:sz w:val="18"/>
                <w:szCs w:val="18"/>
                <w:color w:val="auto"/>
              </w:rPr>
            </w:pPr>
          </w:p>
        </w:tc>
        <w:tc>
          <w:tcPr>
            <w:tcW w:w="4260" w:type="dxa"/>
            <w:vAlign w:val="bottom"/>
            <w:tcBorders>
              <w:top w:val="single" w:sz="8" w:color="auto"/>
            </w:tcBorders>
            <w:shd w:val="clear" w:color="auto" w:fill="FEFEFE"/>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98"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694055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On October 28, 2025, Rent the Runway, Inc. (the “Company”) completed the previously announced recapitalization transactions to enhance the Company’s financial position and financial flexibility by significantly reducing its existing indebtedness, improving its borrowing rate and extending the maturity of its remaining indebtedness (the “Recapitalization Transactions”).</w:t>
      </w:r>
    </w:p>
    <w:p>
      <w:pPr>
        <w:spacing w:after="0" w:line="176"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Upon the closing of the Recapitalization Transactions, the Company entered into an amended and restated credit agreement, dated as of October 28, 2025 (the “New Credit Agreement”), by and among the Company, as borrower, CHS (US) Management LLC, as administrative agent (the “Agent”), and CHS US Investments LLC (“Lender”), Gateway Runway, LLC (“Nexus”) and S3 RR Aggregator, LLC, as lenders (“STORY3” and, collectively with Lender and Nexus, the “Investor Group”).</w:t>
      </w:r>
    </w:p>
    <w:p>
      <w:pPr>
        <w:spacing w:after="0" w:line="18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October 28, 2025, Lender exchanged $100 million of existing outstanding indebtedness owing to Lender under the Company’s credit agreement, dated as of July 23, 2018 (the “Existing Credit Agreement”), by and among the Company, as borrower, the lenders from time to time party thereto and the Agent (as successor-in-interest to Double Helix Pte Ltd.), on a dollar-for-dollar cashless basis for new term loans under the New Credit Agreement. Lender contributed the remaining indebtedness owing to Lender under the Existing Credit Agreement to the Company in exchange for 26,175,193 newly issued shares of the Company’s Class A Common Stock, par value $0.001 per share (the “Class A Common Stock”), and the Existing Credit Agreement was amended and restated. The Investor Group also provided an additional $20 million of term loans under the New Credit Agreement, resulting in a total aggregate principal amount of $120 million as of the closing of the Recapitalization Transactions.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New Credit Agreement requires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Term loans under the New Credit Agreement will mature on October 28, 2029, and will bear interest, at the Company’s option, at either (i) a bank reference rate, plus 4.00% or (ii) term SOFR plus 5.00%, in each case per annum. The New Credit Agreement contains various events of default, the occurrence of which could result in the acceleration of obligations under the facility. The New Credit Agreement also modifies the Existing Credit Agreement in certain respects, including by temporarily reducing the minimum liquidity maintenance covenant from $30 million to $15 million during the period from October 28, 2025 until February 20, 2027, which reverts thereafter to $30 million.</w:t>
      </w:r>
    </w:p>
    <w:p>
      <w:pPr>
        <w:spacing w:after="0" w:line="18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description of the terms of the New Credit Agreement does not purport to be complete and is qualified in its entirety by the full text of the New Credit Agreement, a copy of which is attached hereto as Exhibit 10.1 and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29"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as it relates to the Existing Credit Agreement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as it relates to the New Credit Agreement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5.02 of this Current Report on Form 8-K as it relates to the Company’s non-compliance with Rule 5605(c)(2)(A) of The Nasdaq Stock Market LLC (the “Nasdaq”)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Rights Offering Backstop Commitment</w:t>
      </w:r>
    </w:p>
    <w:p>
      <w:pPr>
        <w:spacing w:after="0" w:line="22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On October 21, 2025, the subscription period for the Company’s previously announced $12,500,000 rights offering (the “Rights Offering”) expired. Subscribers in the Rights Offering exercised rights to purchase an aggregate of 742,956 shares of Class A Common Stock, and the gross proceeds received from subscribers in the Rights Offering was approximately $3.0 million.</w:t>
      </w:r>
    </w:p>
    <w:p>
      <w:pPr>
        <w:spacing w:after="0" w:line="17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Pursuant to the Rights Offering Backstop Agreement, dated as of August 20, 2025, by and among the Company and the Investor Group, the Investor Group agreed to purchase all unsubscribed shares of Class A Common Stock to be issued in connection with the Rights Offering at a price of $4.08 per share (the “Backstop Commitment”). In satisfaction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 w:name="page3"/>
    <w:bookmarkEnd w:id="2"/>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Backstop Commitment, the Company issued an aggregate of 2,320,769 shares of Class A Common Stock to the Investor Group, of which 1,624,539 shares were purchased by Lender, 348,115 shares were purchased by Nexus and 348,115 shares were purchased by STORY3. The gross proceeds received by the Company from the Backstop Commitment were approximately $9.5 million. All shares issued in satisfaction of the Backstop Commitment were issued in a transaction pursuant to Section 4(a)(2) of the Securities Act of 1933, as amended (the “Securities Act”).</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Term Loan Equitization</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October 28, 2025, in connection with the closing of the Recapitalization Transactions, pursuant to the terms of the Exchange Agreement, dated as of August 20, 2025 (the “Exchange Agreement”), by and between the Company and Lender, Lender contributed all amounts owing to Lender under the Existing Credit Agreement in excess of $100 million in exchange for 26,175,193 shares of Class A Common Stock (the “Term Loan Equitization”), of which 7,852,558 shares were subsequently sold by Lender to Nexus and STORY3 for gross proceeds of $30.0 million. All shares issued in connection with the Term Loan Equitization were issued in a transaction pursuant to Section 4(a)(2) of the Securities Act.</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8"/>
          <w:szCs w:val="18"/>
          <w:b w:val="1"/>
          <w:bCs w:val="1"/>
          <w:color w:val="auto"/>
        </w:rPr>
        <w:t>Changes in Control of Registrant.</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consummation of the Recapitalization Transactions and the other transactions described herein, a change of control of the Company occurred on October 28, 2025. As of such date, Lender held 19,983,656 shares of Class A Common Stock, representing approximately 59.9% of the voting power of the Company’s outstanding Class A Common Stock. On October 28, 2025, in connection with the closing of the Recapitalization Transactions, all outstanding shares of the Company’s Class B Common Stock, par value $0.001 per share (the “Class B Common Stock”), were converted into shares of Class A Common Stock on a one-for-one basis, such that no shares of Class B Common Stock remain outstanding.</w:t>
      </w:r>
    </w:p>
    <w:p>
      <w:pPr>
        <w:spacing w:after="0" w:line="18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Lender, Nexus, STORY3, Jennifer Y. Hyman, the Chief Executive Officer of the Company, and certain other parties are party to an investor rights agreement, dated August 20, 2025 (the “Investor Rights Agreement”). A summary of the material terms of the Investor Rights Agreement is contained in our Current Report on Form 8-K filed with the SEC on August 20, 2025 (the “Signing 8-K”). That summary is qualified in its entirety by reference to the full text of the Investor Rights Agreement, which was filed as Exhibit 10.2 to the Signing 8-K.</w:t>
      </w:r>
    </w:p>
    <w:p>
      <w:pPr>
        <w:spacing w:after="0" w:line="176" w:lineRule="exact"/>
        <w:rPr>
          <w:sz w:val="20"/>
          <w:szCs w:val="20"/>
          <w:color w:val="auto"/>
        </w:rPr>
      </w:pPr>
    </w:p>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Pursuant to the Investor Rights Agreement and the Exchange Agreement, the Company and Lender agreed to take all commercially reasonable actions as may be necessary to cause, as of the closing of the Recapitalization Transactions, the board of directors of the Company (the “Board”) to consist of seven members, including Jennifer Hyman, a director selected by Ms. Hyman and approved by the Investor Group, a director designated by Nexus, a director designated by STORY3 and three directors designated by the Board (such three directors, the “Investor Directors”).</w:t>
      </w:r>
    </w:p>
    <w:p>
      <w:pPr>
        <w:spacing w:after="0" w:line="18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On August 20, 2025, Timothy Bixby, Jennifer Fleiss, Scott Friend, Beth Kaplan, Daniel Rosensweig and Michael Roth tendered their resignation from the Board and all committees on which they serve, contingent upon the consummation of the Recapitalization Transactions and the Board accepting such resignations, to be effective upon acceptance (the “Resignations”). On October 28, 2025, the Board accepted the Resignations, effective immediately. The Resignations were not a result of any disagreement with the Company on any matter relating to the Company’s operations, policies or practices, and were tendered solely to facilitate the Recapitalization Transactions and reconstitute the Board pursuant to the terms of the Exchange Agreement and Investor Rights Agreement, as described above.</w:t>
      </w:r>
    </w:p>
    <w:p>
      <w:pPr>
        <w:spacing w:after="0" w:line="1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On October 28, 2025, the Board appointed Teri Bariquit, Peter Comisar, Dhiren Fonseca, Damian Giangiacomo and Daniel Rosensweig to serve as directors pursuant to the Exchange Agreement, effective immediately. Mr. Comisar and Mr. Giangiacomo were appointed to serve as Class I directors, Ms. Bariquit and Mr. Rosensweig were appointed to serve as Class II directors and Mr. Fonseca was appointed to serve as a Class III director, with Ms. Hyman remaining on the Board as a Class III director. While as of the closing of the Recapitalization Transactions the Board consists of six directors, the Investor Group has advised the Company that it is continuing to use commercially reasonable efforts to identify and designate a third Investor Director to the Board and intends to do so as promptly as practicable. Concurrently with their appointments to the Board, Mr. Giangiacomo and Mr. Rosensweig were appointed to the Audit Committee, and Mr. Fonseca was appointed to serve as Executive Chair of the Board.</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Resignations, the Audit Committee will consist of two members. On October 28, 2025, the Company notified the Nasdaq of its non-compliance with Nasdaq Rule 5605(c)(2)(A), which requires that the Audit Committee be comprised of three independent directors, and its intent to rely on the cure period provided by Nasdaq Rule 5605(c)(4)(B). The Company intends to appoint an independent director to the Audit Committee no later than the Company’s 2026 annual meeting of stockholders, as provided by Nasdaq Rule 5605(c)(4)(B).</w:t>
      </w:r>
    </w:p>
    <w:p>
      <w:pPr>
        <w:spacing w:after="0" w:line="180"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Board determined that each of Ms. Bariquit, Mr. Giangiacomo and Mr. Rosensweig meets all of the applicable standards of independence for members of the Board established by (i) the laws, rules and regulations of the Securities and Exchange Commission and (ii) the listing standards of the Nasdaq. There are no arrangements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 w:name="page4"/>
    <w:bookmarkEnd w:id="3"/>
    <w:p>
      <w:pPr>
        <w:ind w:right="100"/>
        <w:spacing w:after="0" w:line="282" w:lineRule="auto"/>
        <w:rPr>
          <w:sz w:val="20"/>
          <w:szCs w:val="20"/>
          <w:color w:val="auto"/>
        </w:rPr>
      </w:pPr>
      <w:r>
        <w:rPr>
          <w:rFonts w:ascii="Times New Roman" w:cs="Times New Roman" w:eastAsia="Times New Roman" w:hAnsi="Times New Roman"/>
          <w:sz w:val="18"/>
          <w:szCs w:val="18"/>
          <w:color w:val="auto"/>
        </w:rPr>
        <w:t>understandings between Ms. Bariquit, Mr. Comisar, Mr. Fonseca, Mr. Giangiacomo or Mr. Rosensweig and any other persons pursuant to which they were selected as directors, except as described herein with respect to the Exchange Agreement and the Investor Rights Agreement.</w:t>
      </w:r>
    </w:p>
    <w:p>
      <w:pPr>
        <w:spacing w:after="0" w:line="162" w:lineRule="exact"/>
        <w:rPr>
          <w:sz w:val="20"/>
          <w:szCs w:val="20"/>
          <w:color w:val="auto"/>
        </w:rPr>
      </w:pPr>
    </w:p>
    <w:p>
      <w:pPr>
        <w:ind w:right="118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their appointments, each of Ms. Bariquit, Mr. Comisar, Mr. Fonseca and Mr. Giangiacomo will enter into a standard indemnification agreement with the Company in the form previously approved by the Board.</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On October 28, 2025, the Board amended and restated the Company’s bylaws (the “Second Amended &amp; Restated Bylaws”), effective as of the Closing Date. The Second Amended &amp; Restated Bylaws were amended to (i) remove provisions related to the appointment of a lead independent director, (ii) add provisions to clarify that Lender will not be subject to certain notice procedures so long as the Investor Rights Agreement remains in effect and (iii) include certain technical amendments with respect to the adjournment of stockholder meetings and the availability of stockholder lists, among other matters. The foregoing description of the amendments to the Second Amended &amp; Restated Bylaws does not purport to be complete and is qualified in its entirety by reference to the full text of the Second Amended &amp; Restated Bylaws, which are attached hereto as Exhibit 3.1 and incorporated herein by reference.</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On October 28, 2025, the Company issued a press release announcing the closing of the Recapitalization Transactions. A copy of the press release is attached hereto as Exhibit 99.1 and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580" w:hanging="248"/>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7620" w:type="dxa"/>
            <w:vAlign w:val="bottom"/>
            <w:tcBorders>
              <w:bottom w:val="single" w:sz="8" w:color="auto"/>
            </w:tcBorders>
            <w:gridSpan w:val="4"/>
          </w:tcPr>
          <w:p>
            <w:pPr>
              <w:ind w:left="20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520" w:type="dxa"/>
            <w:vAlign w:val="bottom"/>
            <w:gridSpan w:val="2"/>
          </w:tcPr>
          <w:p>
            <w:pPr>
              <w:jc w:val="center"/>
              <w:ind w:left="210"/>
              <w:spacing w:after="0" w:line="169"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gridSpan w:val="5"/>
          </w:tcPr>
          <w:p>
            <w:pPr>
              <w:spacing w:after="0" w:line="169" w:lineRule="exact"/>
              <w:rPr>
                <w:sz w:val="20"/>
                <w:szCs w:val="20"/>
                <w:color w:val="auto"/>
              </w:rPr>
            </w:pPr>
            <w:r>
              <w:rPr>
                <w:rFonts w:ascii="Times New Roman" w:cs="Times New Roman" w:eastAsia="Times New Roman" w:hAnsi="Times New Roman"/>
                <w:sz w:val="18"/>
                <w:szCs w:val="18"/>
                <w:color w:val="0000EE"/>
              </w:rPr>
              <w:t>Second Amended &amp; Restated Bylaws</w:t>
            </w:r>
          </w:p>
        </w:tc>
      </w:tr>
      <w:tr>
        <w:trPr>
          <w:trHeight w:val="20"/>
        </w:trPr>
        <w:tc>
          <w:tcPr>
            <w:tcW w:w="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0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0000EE"/>
                <w:w w:val="82"/>
              </w:rPr>
              <w:t>10.</w:t>
            </w:r>
            <w:r>
              <w:rPr>
                <w:rFonts w:ascii="Times New Roman" w:cs="Times New Roman" w:eastAsia="Times New Roman" w:hAnsi="Times New Roman"/>
                <w:sz w:val="18"/>
                <w:szCs w:val="18"/>
                <w:u w:val="single" w:color="auto"/>
                <w:color w:val="0000EE"/>
                <w:w w:val="82"/>
              </w:rPr>
              <w:t>1</w:t>
            </w:r>
          </w:p>
        </w:tc>
        <w:tc>
          <w:tcPr>
            <w:tcW w:w="120" w:type="dxa"/>
            <w:vAlign w:val="bottom"/>
          </w:tcPr>
          <w:p>
            <w:pPr>
              <w:spacing w:after="0"/>
              <w:rPr>
                <w:sz w:val="17"/>
                <w:szCs w:val="17"/>
                <w:color w:val="auto"/>
              </w:rPr>
            </w:pPr>
          </w:p>
        </w:tc>
        <w:tc>
          <w:tcPr>
            <w:tcW w:w="10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Amended and Restated Credit Agreement, dated October 28, 2025, by and among Rent the Runway, Inc., as borrower, CHS (US) Management</w:t>
            </w: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LLC, as administrative agent, and CHS US Investments LLC, Gateway Runway, LLC and S3 RR Aggregator, LLC, as lenders</w:t>
            </w:r>
          </w:p>
        </w:tc>
      </w:tr>
      <w:tr>
        <w:trPr>
          <w:trHeight w:val="196"/>
        </w:trPr>
        <w:tc>
          <w:tcPr>
            <w:tcW w:w="300" w:type="dxa"/>
            <w:vAlign w:val="bottom"/>
          </w:tcPr>
          <w:p>
            <w:pPr>
              <w:spacing w:after="0"/>
              <w:rPr>
                <w:sz w:val="17"/>
                <w:szCs w:val="17"/>
                <w:color w:val="auto"/>
              </w:rPr>
            </w:pPr>
          </w:p>
        </w:tc>
        <w:tc>
          <w:tcPr>
            <w:tcW w:w="50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0000EE"/>
                <w:w w:val="82"/>
              </w:rPr>
              <w:t>99.</w:t>
            </w:r>
            <w:r>
              <w:rPr>
                <w:rFonts w:ascii="Times New Roman" w:cs="Times New Roman" w:eastAsia="Times New Roman" w:hAnsi="Times New Roman"/>
                <w:sz w:val="18"/>
                <w:szCs w:val="18"/>
                <w:u w:val="single" w:color="auto"/>
                <w:color w:val="0000EE"/>
                <w:w w:val="82"/>
              </w:rPr>
              <w:t>1</w:t>
            </w:r>
          </w:p>
        </w:tc>
        <w:tc>
          <w:tcPr>
            <w:tcW w:w="120" w:type="dxa"/>
            <w:vAlign w:val="bottom"/>
          </w:tcPr>
          <w:p>
            <w:pPr>
              <w:spacing w:after="0"/>
              <w:rPr>
                <w:sz w:val="17"/>
                <w:szCs w:val="17"/>
                <w:color w:val="auto"/>
              </w:rPr>
            </w:pPr>
          </w:p>
        </w:tc>
        <w:tc>
          <w:tcPr>
            <w:tcW w:w="91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October 28, 2025, announcing the closing of the Recapitalization Transactions</w:t>
            </w:r>
          </w:p>
        </w:tc>
        <w:tc>
          <w:tcPr>
            <w:tcW w:w="1220" w:type="dxa"/>
            <w:vAlign w:val="bottom"/>
            <w:gridSpan w:val="2"/>
          </w:tcPr>
          <w:p>
            <w:pPr>
              <w:spacing w:after="0"/>
              <w:rPr>
                <w:sz w:val="17"/>
                <w:szCs w:val="17"/>
                <w:color w:val="auto"/>
              </w:rPr>
            </w:pP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60" w:type="dxa"/>
            <w:vAlign w:val="bottom"/>
            <w:gridSpan w:val="2"/>
            <w:shd w:val="clear" w:color="auto" w:fill="0000EE"/>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r>
      <w:tr>
        <w:trPr>
          <w:trHeight w:val="237"/>
        </w:trPr>
        <w:tc>
          <w:tcPr>
            <w:tcW w:w="300" w:type="dxa"/>
            <w:vAlign w:val="bottom"/>
          </w:tcPr>
          <w:p>
            <w:pPr>
              <w:spacing w:after="0"/>
              <w:rPr>
                <w:sz w:val="20"/>
                <w:szCs w:val="20"/>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104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10"/>
        </w:trPr>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0" w:right="339" w:bottom="1440" w:gutter="0" w:footer="0" w:header="0"/>
        </w:sectPr>
      </w:pPr>
    </w:p>
    <w:bookmarkStart w:id="4" w:name="page5"/>
    <w:bookmarkEnd w:id="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Siddharth Thacker</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536" w:right="5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SECOND AMENDED AND RESTATED BYLAWS</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Dated as of October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354330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420" w:type="dxa"/>
            <w:vAlign w:val="bottom"/>
            <w:gridSpan w:val="2"/>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c>
          <w:tcPr>
            <w:tcW w:w="2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age</w:t>
            </w:r>
          </w:p>
        </w:tc>
        <w:tc>
          <w:tcPr>
            <w:tcW w:w="0" w:type="dxa"/>
            <w:vAlign w:val="bottom"/>
          </w:tcPr>
          <w:p>
            <w:pPr>
              <w:spacing w:after="0"/>
              <w:rPr>
                <w:sz w:val="1"/>
                <w:szCs w:val="1"/>
                <w:color w:val="auto"/>
              </w:rPr>
            </w:pPr>
          </w:p>
        </w:tc>
      </w:tr>
      <w:tr>
        <w:trPr>
          <w:trHeight w:val="453"/>
        </w:trPr>
        <w:tc>
          <w:tcPr>
            <w:tcW w:w="13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3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420" w:type="dxa"/>
            <w:vAlign w:val="bottom"/>
            <w:gridSpan w:val="2"/>
          </w:tcPr>
          <w:p>
            <w:pPr>
              <w:jc w:val="center"/>
              <w:ind w:right="2180"/>
              <w:spacing w:after="0"/>
              <w:rPr>
                <w:sz w:val="20"/>
                <w:szCs w:val="20"/>
                <w:color w:val="auto"/>
              </w:rPr>
            </w:pPr>
            <w:r>
              <w:rPr>
                <w:rFonts w:ascii="Times New Roman" w:cs="Times New Roman" w:eastAsia="Times New Roman" w:hAnsi="Times New Roman"/>
                <w:sz w:val="18"/>
                <w:szCs w:val="18"/>
                <w:color w:val="auto"/>
                <w:w w:val="98"/>
              </w:rPr>
              <w:t>ARTICLE 1</w:t>
            </w:r>
          </w:p>
        </w:tc>
        <w:tc>
          <w:tcPr>
            <w:tcW w:w="19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420" w:type="dxa"/>
            <w:vAlign w:val="bottom"/>
            <w:gridSpan w:val="2"/>
          </w:tcPr>
          <w:p>
            <w:pPr>
              <w:jc w:val="center"/>
              <w:ind w:right="2160"/>
              <w:spacing w:after="0"/>
              <w:rPr>
                <w:sz w:val="20"/>
                <w:szCs w:val="20"/>
                <w:color w:val="auto"/>
              </w:rPr>
            </w:pPr>
            <w:r>
              <w:rPr>
                <w:rFonts w:ascii="Times New Roman" w:cs="Times New Roman" w:eastAsia="Times New Roman" w:hAnsi="Times New Roman"/>
                <w:sz w:val="18"/>
                <w:szCs w:val="18"/>
                <w:color w:val="auto"/>
                <w:w w:val="99"/>
              </w:rPr>
              <w:t>CORPORATE OFFICES</w:t>
            </w: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Registered Office</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Other Offices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14"/>
        </w:trPr>
        <w:tc>
          <w:tcPr>
            <w:tcW w:w="13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420" w:type="dxa"/>
            <w:vAlign w:val="bottom"/>
            <w:gridSpan w:val="2"/>
          </w:tcPr>
          <w:p>
            <w:pPr>
              <w:jc w:val="center"/>
              <w:ind w:right="2180"/>
              <w:spacing w:after="0"/>
              <w:rPr>
                <w:sz w:val="20"/>
                <w:szCs w:val="20"/>
                <w:color w:val="auto"/>
              </w:rPr>
            </w:pPr>
            <w:r>
              <w:rPr>
                <w:rFonts w:ascii="Times New Roman" w:cs="Times New Roman" w:eastAsia="Times New Roman" w:hAnsi="Times New Roman"/>
                <w:sz w:val="18"/>
                <w:szCs w:val="18"/>
                <w:color w:val="auto"/>
                <w:w w:val="98"/>
              </w:rPr>
              <w:t>ARTICLE 2</w:t>
            </w: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760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MEETINGS OF STOCKHOLDERS</w:t>
            </w: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Place of Meetings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Annual Meetings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Special Meetings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Notice of Meetings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Adjournments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Quorum</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Organization</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Voting; Proxies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Fixing Date for Determination of Stockholders of Record</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List of Stockholders Entitled to Vote</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Inspectors of Election</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Conduct of Meetings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Advance Notice Procedures for Business Brought before a Meeting</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Advance Notice Procedures for Nominations of Directors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Delivery to the Corporation</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414"/>
        </w:trPr>
        <w:tc>
          <w:tcPr>
            <w:tcW w:w="13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420" w:type="dxa"/>
            <w:vAlign w:val="bottom"/>
            <w:gridSpan w:val="2"/>
          </w:tcPr>
          <w:p>
            <w:pPr>
              <w:jc w:val="center"/>
              <w:ind w:right="2180"/>
              <w:spacing w:after="0"/>
              <w:rPr>
                <w:sz w:val="20"/>
                <w:szCs w:val="20"/>
                <w:color w:val="auto"/>
              </w:rPr>
            </w:pPr>
            <w:r>
              <w:rPr>
                <w:rFonts w:ascii="Times New Roman" w:cs="Times New Roman" w:eastAsia="Times New Roman" w:hAnsi="Times New Roman"/>
                <w:sz w:val="18"/>
                <w:szCs w:val="18"/>
                <w:color w:val="auto"/>
                <w:w w:val="98"/>
              </w:rPr>
              <w:t>ARTICLE 3</w:t>
            </w: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420" w:type="dxa"/>
            <w:vAlign w:val="bottom"/>
            <w:gridSpan w:val="2"/>
          </w:tcPr>
          <w:p>
            <w:pPr>
              <w:jc w:val="center"/>
              <w:ind w:right="2160"/>
              <w:spacing w:after="0"/>
              <w:rPr>
                <w:sz w:val="20"/>
                <w:szCs w:val="20"/>
                <w:color w:val="auto"/>
              </w:rPr>
            </w:pPr>
            <w:r>
              <w:rPr>
                <w:rFonts w:ascii="Times New Roman" w:cs="Times New Roman" w:eastAsia="Times New Roman" w:hAnsi="Times New Roman"/>
                <w:sz w:val="18"/>
                <w:szCs w:val="18"/>
                <w:color w:val="auto"/>
                <w:w w:val="99"/>
              </w:rPr>
              <w:t>BOARD OF DIRECTORS</w:t>
            </w: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Number; Tenure; Qualifications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Election; Resignation; Removal; Vacancies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Regular Meetings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Special Meetings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Telephonic Meetings Permitted</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Quorum; Vote Required for Action</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Organization</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Action by Unanimous Consent of Directors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Compensation of Directors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414"/>
        </w:trPr>
        <w:tc>
          <w:tcPr>
            <w:tcW w:w="13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420" w:type="dxa"/>
            <w:vAlign w:val="bottom"/>
            <w:gridSpan w:val="2"/>
          </w:tcPr>
          <w:p>
            <w:pPr>
              <w:jc w:val="center"/>
              <w:ind w:right="2180"/>
              <w:spacing w:after="0"/>
              <w:rPr>
                <w:sz w:val="20"/>
                <w:szCs w:val="20"/>
                <w:color w:val="auto"/>
              </w:rPr>
            </w:pPr>
            <w:r>
              <w:rPr>
                <w:rFonts w:ascii="Times New Roman" w:cs="Times New Roman" w:eastAsia="Times New Roman" w:hAnsi="Times New Roman"/>
                <w:sz w:val="18"/>
                <w:szCs w:val="18"/>
                <w:color w:val="auto"/>
                <w:w w:val="98"/>
              </w:rPr>
              <w:t>ARTICLE 4</w:t>
            </w: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420" w:type="dxa"/>
            <w:vAlign w:val="bottom"/>
            <w:gridSpan w:val="2"/>
          </w:tcPr>
          <w:p>
            <w:pPr>
              <w:jc w:val="center"/>
              <w:ind w:right="2180"/>
              <w:spacing w:after="0"/>
              <w:rPr>
                <w:sz w:val="20"/>
                <w:szCs w:val="20"/>
                <w:color w:val="auto"/>
              </w:rPr>
            </w:pPr>
            <w:r>
              <w:rPr>
                <w:rFonts w:ascii="Times New Roman" w:cs="Times New Roman" w:eastAsia="Times New Roman" w:hAnsi="Times New Roman"/>
                <w:sz w:val="18"/>
                <w:szCs w:val="18"/>
                <w:color w:val="auto"/>
                <w:w w:val="99"/>
              </w:rPr>
              <w:t>COMMITTEES</w:t>
            </w:r>
          </w:p>
        </w:tc>
        <w:tc>
          <w:tcPr>
            <w:tcW w:w="1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Committees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Committee Minutes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7600" w:type="dxa"/>
            <w:vAlign w:val="bottom"/>
            <w:gridSpan w:val="3"/>
          </w:tcPr>
          <w:p>
            <w:pPr>
              <w:ind w:left="380"/>
              <w:spacing w:after="0"/>
              <w:rPr>
                <w:sz w:val="20"/>
                <w:szCs w:val="20"/>
                <w:color w:val="auto"/>
              </w:rPr>
            </w:pPr>
            <w:r>
              <w:rPr>
                <w:rFonts w:ascii="Times New Roman" w:cs="Times New Roman" w:eastAsia="Times New Roman" w:hAnsi="Times New Roman"/>
                <w:sz w:val="18"/>
                <w:szCs w:val="18"/>
                <w:i w:val="1"/>
                <w:iCs w:val="1"/>
                <w:color w:val="auto"/>
              </w:rPr>
              <w:t>Committee Rules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24"/>
        </w:trPr>
        <w:tc>
          <w:tcPr>
            <w:tcW w:w="1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36"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81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ARTICLE 5</w:t>
            </w:r>
          </w:p>
        </w:tc>
        <w:tc>
          <w:tcPr>
            <w:tcW w:w="174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81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OFFICERS</w:t>
            </w:r>
          </w:p>
        </w:tc>
        <w:tc>
          <w:tcPr>
            <w:tcW w:w="1740" w:type="dxa"/>
            <w:vAlign w:val="bottom"/>
          </w:tcPr>
          <w:p>
            <w:pPr>
              <w:spacing w:after="0"/>
              <w:rPr>
                <w:sz w:val="20"/>
                <w:szCs w:val="20"/>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Officers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Appointment of Officers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Subordinate Officer</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Removal and Resignation of Officers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Vacancies in Offices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Chief Executive Officer(s)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Representation of Equity Interests of Other Entities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Authority and Duties of Officers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Compensation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14"/>
        </w:trPr>
        <w:tc>
          <w:tcPr>
            <w:tcW w:w="1320" w:type="dxa"/>
            <w:vAlign w:val="bottom"/>
          </w:tcPr>
          <w:p>
            <w:pPr>
              <w:spacing w:after="0"/>
              <w:rPr>
                <w:sz w:val="24"/>
                <w:szCs w:val="24"/>
                <w:color w:val="auto"/>
              </w:rPr>
            </w:pPr>
          </w:p>
        </w:tc>
        <w:tc>
          <w:tcPr>
            <w:tcW w:w="81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ARTICLE 6</w:t>
            </w:r>
          </w:p>
        </w:tc>
        <w:tc>
          <w:tcPr>
            <w:tcW w:w="1740" w:type="dxa"/>
            <w:vAlign w:val="bottom"/>
          </w:tcPr>
          <w:p>
            <w:pPr>
              <w:spacing w:after="0"/>
              <w:rPr>
                <w:sz w:val="24"/>
                <w:szCs w:val="24"/>
                <w:color w:val="auto"/>
              </w:rPr>
            </w:pPr>
          </w:p>
        </w:tc>
      </w:tr>
      <w:tr>
        <w:trPr>
          <w:trHeight w:val="234"/>
        </w:trPr>
        <w:tc>
          <w:tcPr>
            <w:tcW w:w="1320" w:type="dxa"/>
            <w:vAlign w:val="bottom"/>
          </w:tcPr>
          <w:p>
            <w:pPr>
              <w:spacing w:after="0"/>
              <w:rPr>
                <w:sz w:val="20"/>
                <w:szCs w:val="20"/>
                <w:color w:val="auto"/>
              </w:rPr>
            </w:pPr>
          </w:p>
        </w:tc>
        <w:tc>
          <w:tcPr>
            <w:tcW w:w="81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STOCK</w:t>
            </w:r>
          </w:p>
        </w:tc>
        <w:tc>
          <w:tcPr>
            <w:tcW w:w="1740" w:type="dxa"/>
            <w:vAlign w:val="bottom"/>
          </w:tcPr>
          <w:p>
            <w:pPr>
              <w:spacing w:after="0"/>
              <w:rPr>
                <w:sz w:val="20"/>
                <w:szCs w:val="20"/>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Certificates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Lost, Stolen or Destroyed Stock Certificates; Issuance of New Certificates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Shares Without Certificates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14"/>
        </w:trPr>
        <w:tc>
          <w:tcPr>
            <w:tcW w:w="1320" w:type="dxa"/>
            <w:vAlign w:val="bottom"/>
          </w:tcPr>
          <w:p>
            <w:pPr>
              <w:spacing w:after="0"/>
              <w:rPr>
                <w:sz w:val="24"/>
                <w:szCs w:val="24"/>
                <w:color w:val="auto"/>
              </w:rPr>
            </w:pPr>
          </w:p>
        </w:tc>
        <w:tc>
          <w:tcPr>
            <w:tcW w:w="81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ARTICLE 7</w:t>
            </w:r>
          </w:p>
        </w:tc>
        <w:tc>
          <w:tcPr>
            <w:tcW w:w="1740" w:type="dxa"/>
            <w:vAlign w:val="bottom"/>
          </w:tcPr>
          <w:p>
            <w:pPr>
              <w:spacing w:after="0"/>
              <w:rPr>
                <w:sz w:val="24"/>
                <w:szCs w:val="24"/>
                <w:color w:val="auto"/>
              </w:rPr>
            </w:pPr>
          </w:p>
        </w:tc>
      </w:tr>
      <w:tr>
        <w:trPr>
          <w:trHeight w:val="234"/>
        </w:trPr>
        <w:tc>
          <w:tcPr>
            <w:tcW w:w="1320" w:type="dxa"/>
            <w:vAlign w:val="bottom"/>
          </w:tcPr>
          <w:p>
            <w:pPr>
              <w:spacing w:after="0"/>
              <w:rPr>
                <w:sz w:val="20"/>
                <w:szCs w:val="20"/>
                <w:color w:val="auto"/>
              </w:rPr>
            </w:pPr>
          </w:p>
        </w:tc>
        <w:tc>
          <w:tcPr>
            <w:tcW w:w="81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INDEMNIFICATION AND ADVANCEMENT OF EXPENSES</w:t>
            </w:r>
          </w:p>
        </w:tc>
        <w:tc>
          <w:tcPr>
            <w:tcW w:w="1740" w:type="dxa"/>
            <w:vAlign w:val="bottom"/>
          </w:tcPr>
          <w:p>
            <w:pPr>
              <w:spacing w:after="0"/>
              <w:rPr>
                <w:sz w:val="20"/>
                <w:szCs w:val="20"/>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Right to Indemnification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Indemnification of Others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Advancement of Expenses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Claims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Non-exclusivity of Rights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Insurance</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Other Sources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Continuation of Indemnification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Amendment or Repeal</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Other Indemnification and Advancement of Expenses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14"/>
        </w:trPr>
        <w:tc>
          <w:tcPr>
            <w:tcW w:w="1320" w:type="dxa"/>
            <w:vAlign w:val="bottom"/>
          </w:tcPr>
          <w:p>
            <w:pPr>
              <w:spacing w:after="0"/>
              <w:rPr>
                <w:sz w:val="24"/>
                <w:szCs w:val="24"/>
                <w:color w:val="auto"/>
              </w:rPr>
            </w:pPr>
          </w:p>
        </w:tc>
        <w:tc>
          <w:tcPr>
            <w:tcW w:w="81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ARTICLE 8</w:t>
            </w:r>
          </w:p>
        </w:tc>
        <w:tc>
          <w:tcPr>
            <w:tcW w:w="1740" w:type="dxa"/>
            <w:vAlign w:val="bottom"/>
          </w:tcPr>
          <w:p>
            <w:pPr>
              <w:spacing w:after="0"/>
              <w:rPr>
                <w:sz w:val="24"/>
                <w:szCs w:val="24"/>
                <w:color w:val="auto"/>
              </w:rPr>
            </w:pPr>
          </w:p>
        </w:tc>
      </w:tr>
      <w:tr>
        <w:trPr>
          <w:trHeight w:val="234"/>
        </w:trPr>
        <w:tc>
          <w:tcPr>
            <w:tcW w:w="1320" w:type="dxa"/>
            <w:vAlign w:val="bottom"/>
          </w:tcPr>
          <w:p>
            <w:pPr>
              <w:spacing w:after="0"/>
              <w:rPr>
                <w:sz w:val="20"/>
                <w:szCs w:val="20"/>
                <w:color w:val="auto"/>
              </w:rPr>
            </w:pPr>
          </w:p>
        </w:tc>
        <w:tc>
          <w:tcPr>
            <w:tcW w:w="81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MISCELLANEOUS</w:t>
            </w:r>
          </w:p>
        </w:tc>
        <w:tc>
          <w:tcPr>
            <w:tcW w:w="1740" w:type="dxa"/>
            <w:vAlign w:val="bottom"/>
          </w:tcPr>
          <w:p>
            <w:pPr>
              <w:spacing w:after="0"/>
              <w:rPr>
                <w:sz w:val="20"/>
                <w:szCs w:val="20"/>
                <w:color w:val="auto"/>
              </w:rPr>
            </w:pPr>
          </w:p>
        </w:tc>
      </w:tr>
      <w:tr>
        <w:trPr>
          <w:trHeight w:val="412"/>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Fiscal Year</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Execution of Corporate Contracts and Instruments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Dividends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Registered Stockholders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Corporate Seal</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Construction; Definitions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Manner of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Waiver of Notice of Meetings of Stockholders, Directors and Committees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Form of Records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76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Amendment of Bylaws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CORPORATE OFFICES</w:t>
      </w:r>
    </w:p>
    <w:p>
      <w:pPr>
        <w:spacing w:after="0" w:line="203"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Registered Office</w:t>
      </w:r>
      <w:r>
        <w:rPr>
          <w:rFonts w:ascii="Times New Roman" w:cs="Times New Roman" w:eastAsia="Times New Roman" w:hAnsi="Times New Roman"/>
          <w:sz w:val="18"/>
          <w:szCs w:val="18"/>
          <w:color w:val="auto"/>
        </w:rPr>
        <w:t>. The address of the registered office of Rent the Runway, Inc., a Delaware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in the State of Delaware, and the name of its registered agent at such address, shall be as set forth in the Amended and Restated Certificate of Incorporation of the Corporation (as the same may be further amended, restated, amended and restated or otherwise modified from time to time, the “</w:t>
      </w:r>
      <w:r>
        <w:rPr>
          <w:rFonts w:ascii="Times New Roman" w:cs="Times New Roman" w:eastAsia="Times New Roman" w:hAnsi="Times New Roman"/>
          <w:sz w:val="18"/>
          <w:szCs w:val="18"/>
          <w:b w:val="1"/>
          <w:b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Incorporation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Offices</w:t>
      </w:r>
      <w:r>
        <w:rPr>
          <w:rFonts w:ascii="Times New Roman" w:cs="Times New Roman" w:eastAsia="Times New Roman" w:hAnsi="Times New Roman"/>
          <w:sz w:val="18"/>
          <w:szCs w:val="18"/>
          <w:color w:val="auto"/>
        </w:rPr>
        <w:t>. The Corporation may have additional offices at any place or places, within or without the State of Delaware, as the Corporation’s Board of Directors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may from time to time establish or as the business of the Corporation may require.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MEETINGS OF STOCKHOLDERS</w:t>
      </w:r>
    </w:p>
    <w:p>
      <w:pPr>
        <w:spacing w:after="0" w:line="203" w:lineRule="exact"/>
        <w:rPr>
          <w:sz w:val="20"/>
          <w:szCs w:val="20"/>
          <w:color w:val="auto"/>
        </w:rPr>
      </w:pPr>
    </w:p>
    <w:p>
      <w:pPr>
        <w:ind w:right="30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Place of Meetings</w:t>
      </w:r>
      <w:r>
        <w:rPr>
          <w:rFonts w:ascii="Times New Roman" w:cs="Times New Roman" w:eastAsia="Times New Roman" w:hAnsi="Times New Roman"/>
          <w:sz w:val="18"/>
          <w:szCs w:val="18"/>
          <w:color w:val="auto"/>
        </w:rPr>
        <w:t>. Meetings of stockholders of the Corporation (the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 may be held at any place, within or without the State of Delaware, as may be designated by or in the manner determined by the Board of Directors. In the absence of such designation, meetings of Stockholders shall be held at the principal executive office of the Corporation. The Board of Directors may, in its sole discretion, determine that a meeting of Stockholders shall not be held at any place, but may instead be held solely by means of remote communication authorized by, and in accordance with, Section 211(a)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Annual Meetings</w:t>
      </w:r>
      <w:r>
        <w:rPr>
          <w:rFonts w:ascii="Times New Roman" w:cs="Times New Roman" w:eastAsia="Times New Roman" w:hAnsi="Times New Roman"/>
          <w:sz w:val="18"/>
          <w:szCs w:val="18"/>
          <w:color w:val="auto"/>
        </w:rPr>
        <w:t>. The annual meeting of Stockholders shall be held for the election of directors at such date and time as may be designated by or in the manner determined by resolution of the Board of Directors from time to time. Any other business as may be properly brought before the annual meeting may be transacted at the annual meeting. The Board of Directors may postpone, recess, reschedule or cancel any annual meeting of Stockholders previously scheduled by the Board of Directors.</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color w:val="auto"/>
        </w:rPr>
        <w:t>. Special meetings of Stockholders for any purpose or purposes may be called only by a chairperson or co-chairperson of the Board of Directors (a “</w:t>
      </w:r>
      <w:r>
        <w:rPr>
          <w:rFonts w:ascii="Times New Roman" w:cs="Times New Roman" w:eastAsia="Times New Roman" w:hAnsi="Times New Roman"/>
          <w:sz w:val="18"/>
          <w:szCs w:val="18"/>
          <w:b w:val="1"/>
          <w:bCs w:val="1"/>
          <w:color w:val="auto"/>
        </w:rPr>
        <w:t>Chairperson</w:t>
      </w:r>
      <w:r>
        <w:rPr>
          <w:rFonts w:ascii="Times New Roman" w:cs="Times New Roman" w:eastAsia="Times New Roman" w:hAnsi="Times New Roman"/>
          <w:sz w:val="18"/>
          <w:szCs w:val="18"/>
          <w:color w:val="auto"/>
        </w:rPr>
        <w:t>”) or pursuant to a resolution adopted by a majority of the Whole Board of Directors. For purposes of these Bylaws, the term “</w:t>
      </w:r>
      <w:r>
        <w:rPr>
          <w:rFonts w:ascii="Times New Roman" w:cs="Times New Roman" w:eastAsia="Times New Roman" w:hAnsi="Times New Roman"/>
          <w:sz w:val="18"/>
          <w:szCs w:val="18"/>
          <w:b w:val="1"/>
          <w:bCs w:val="1"/>
          <w:color w:val="auto"/>
        </w:rPr>
        <w:t>Whole Board of Directors</w:t>
      </w:r>
      <w:r>
        <w:rPr>
          <w:rFonts w:ascii="Times New Roman" w:cs="Times New Roman" w:eastAsia="Times New Roman" w:hAnsi="Times New Roman"/>
          <w:sz w:val="18"/>
          <w:szCs w:val="18"/>
          <w:color w:val="auto"/>
        </w:rPr>
        <w:t>” shall mean the total number of authorized directors whether or not there exist any vacancies in previously authorized directorships. Special meetings validly called in accordance with this Section 2.03 of these amended and restated bylaws (as the same may be further amended, restated, amended and restated or otherwise modified from time to time, these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may be held at such date and time as specified in the applicable notice. Notice of every special meeting shall state the purpose or purposes of the meeting, and the business transacted at any special meeting of Stockholders shall be limited to the purpose or purposes stated in the notice. The Board of Directors may postpone, recess, reschedule or cancel any special meeting of Stockholders previously scheduled by a Chairperson or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 w:name="page11"/>
    <w:bookmarkEnd w:id="10"/>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Notice of Meetings</w:t>
      </w:r>
      <w:r>
        <w:rPr>
          <w:rFonts w:ascii="Times New Roman" w:cs="Times New Roman" w:eastAsia="Times New Roman" w:hAnsi="Times New Roman"/>
          <w:sz w:val="18"/>
          <w:szCs w:val="18"/>
          <w:color w:val="auto"/>
        </w:rPr>
        <w:t>.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required by law, the Certificate of Incorporation or these Bylaws, the notice of any meeting shall be given not less than ten (10) nor more than sixty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Adjournments</w:t>
      </w:r>
      <w:r>
        <w:rPr>
          <w:rFonts w:ascii="Times New Roman" w:cs="Times New Roman" w:eastAsia="Times New Roman" w:hAnsi="Times New Roman"/>
          <w:sz w:val="18"/>
          <w:szCs w:val="18"/>
          <w:color w:val="auto"/>
        </w:rPr>
        <w:t xml:space="preserve">. Any meeting of Stockholders, annual or special, may be adjourned from time to time by the chairperson of the meeting, whether or not there is a quorum (or, in the absence of a quorum, by the Stockholders in accordance with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to reconvene at the same or some other place, if any, and the same or some other time, and notice need not be given of any such adjourned meeting if the time and place, if any, thereof, and the means of remote communications, if any, by which Stockholders and proxy holders may be deemed to be present in person and vote at such adjourned meeting are, in accordance with Section 222(c) of the DGCL,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of these Bylaws.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 new record date for determining Stockholders entitled to notice of such adjourned meeting in accordance with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of these Bylaws, and shall give notice of the adjourned meeting to each Stockholder of record entitled to vote at such adjourned meeting as of the record date fixed for notice of such adjourned meeting. If mailed, such notice shall be deemed to be given when deposited in the United States mail, postage prepaid, directed to the Stockholder at such Stockholder’s address as it appears on the records of the Corporation.</w:t>
      </w:r>
    </w:p>
    <w:p>
      <w:pPr>
        <w:spacing w:after="0" w:line="18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Quorum.</w:t>
      </w:r>
      <w:r>
        <w:rPr>
          <w:rFonts w:ascii="Times New Roman" w:cs="Times New Roman" w:eastAsia="Times New Roman" w:hAnsi="Times New Roman"/>
          <w:sz w:val="18"/>
          <w:szCs w:val="18"/>
          <w:color w:val="auto"/>
        </w:rPr>
        <w:t xml:space="preserve"> At any meeting of the Stockholders, the holders of a majority of the voting power of the outstanding shares of capital stock of the Corporation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xml:space="preserve">”) entitled to vote at the meeting, present in person or represented by proxy, shall constitute a quorum for all purposes, unless or except to the extent that the presence of a larger number may be required by law, the rules of any stock exchange upon which the Corporation’s securities are listed, the Certificate of Incorporation or these Bylaws. In the absence of a quorum, then either (i) the chairperson of the meeting or (ii) if the Board of Directors so determines, the Stockholders by the affirmative vote of a majority of the voting power of the outstanding shares of Stock entitled to vote thereon, present in person or represented by proxy, shall have the power to adjourn the meeting from time to time in the manner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of these Bylaws until a</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1" w:name="page12"/>
    <w:bookmarkEnd w:id="11"/>
    <w:p>
      <w:pPr>
        <w:ind w:right="260"/>
        <w:spacing w:after="0" w:line="261" w:lineRule="auto"/>
        <w:rPr>
          <w:sz w:val="20"/>
          <w:szCs w:val="20"/>
          <w:color w:val="auto"/>
        </w:rPr>
      </w:pPr>
      <w:r>
        <w:rPr>
          <w:rFonts w:ascii="Times New Roman" w:cs="Times New Roman" w:eastAsia="Times New Roman" w:hAnsi="Times New Roman"/>
          <w:sz w:val="18"/>
          <w:szCs w:val="18"/>
          <w:color w:val="auto"/>
        </w:rPr>
        <w:t>quorum is present or represented. Where a separate vote by a class or classes or series of Stock is required by law or the Certificate of Incorporation, the holders of a majority of voting power of the shares of such class or classes or series of Stock issued and outstanding and entitled to vote on such matter, present in person or represented by proxy, shall constitute a quorum entitled to take action with respect to the vote on such matter. A quorum, once established at a meeting, shall not be broken by the withdrawal of enough votes to leave less than a quorum.</w:t>
      </w:r>
    </w:p>
    <w:p>
      <w:pPr>
        <w:spacing w:after="0" w:line="17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Meetings of Stockholders shall be presided over by a Chairperson or by such other officer or director of the Corporation as designated by the Board of Directors or a Chairperson, or in the absence of such person or designation, by a chairperson chosen at the meeting by the affirmative vote of a majority of the voting power of Stock present or represented at the meeting and entitled to vote at the meeting (provided there is a quorum). The Secretary shall act as secretary of the meeting, but in his or her absence the chairperson of the meeting may appoint any person to act as secretary of the meeting.</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Voting; Proxies</w:t>
      </w:r>
      <w:r>
        <w:rPr>
          <w:rFonts w:ascii="Times New Roman" w:cs="Times New Roman" w:eastAsia="Times New Roman" w:hAnsi="Times New Roman"/>
          <w:sz w:val="18"/>
          <w:szCs w:val="18"/>
          <w:color w:val="auto"/>
        </w:rPr>
        <w:t>. Each Stockholder entitled to vote at any meeting of Stockholders shall be entitled to the number of votes, if any, for each share of Stock held of record by such Stockholder which has voting power upon the matter in question that is set forth in the Certificate of Incorporation or, if such voting power is not set forth in the Certificate of Incorporation, one vote per share. Each Stockholder entitled to vote at a meeting of Stockholders or express consent to corporate action without a meeting (if permitted by the Certificate of Incorporation) may authorize another person or persons to act for such Stockholder by proxy, but no such proxy shall be voted or acted upon after three years from its date, unless the proxy provides for a longer period. A proxy may be authorized by an instrument in writing or by a transmission permitted by law and shall be filed in accordance with the procedure established for the meeting.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(including by means of remote communication, if applicable) or by delivering to the Secretary a revocation of the proxy or a new proxy bearing a later date. Voting at meetings of Stockholders need not be by written ballot. Unless otherwise provided in the Certificate of Incorporation, at all meetings of Stockholders for the election of directors at which a quorum is present a plurality of the votes cast shall be sufficient to elect directors. No holder of shares of Stock shall have the right to cumulate votes. All other elections and questions presented to the Stockholders at a meeting at which a quorum is present shall be decided by the affirmative vote of the holders of a majority of votes cast (excluding abstentions and broker non-votes) on such matter, unless a different or minimum vote is required by the Certificate of Incorporation, these Bylaws, the rules or regulations of any stock exchange applicable to the Corporation, or applicable law or pursuant to any regulation applicable to the Corporation or its securities in which case such different or minimum vote shall be the applicable vote required on the matter.</w:t>
      </w:r>
    </w:p>
    <w:p>
      <w:pPr>
        <w:spacing w:after="0" w:line="19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7"/>
          <w:szCs w:val="17"/>
          <w:i w:val="1"/>
          <w:iCs w:val="1"/>
          <w:color w:val="auto"/>
        </w:rPr>
        <w:t>Fixing Date for Determination of Stockholders of Record</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right="500" w:firstLine="850"/>
        <w:spacing w:after="0" w:line="266" w:lineRule="auto"/>
        <w:tabs>
          <w:tab w:leader="none" w:pos="12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2" w:name="page13"/>
    <w:bookmarkEnd w:id="12"/>
    <w:p>
      <w:pPr>
        <w:spacing w:after="0" w:line="254" w:lineRule="auto"/>
        <w:rPr>
          <w:sz w:val="20"/>
          <w:szCs w:val="20"/>
          <w:color w:val="auto"/>
        </w:rPr>
      </w:pPr>
      <w:r>
        <w:rPr>
          <w:rFonts w:ascii="Times New Roman" w:cs="Times New Roman" w:eastAsia="Times New Roman" w:hAnsi="Times New Roman"/>
          <w:sz w:val="18"/>
          <w:szCs w:val="18"/>
          <w:color w:val="auto"/>
        </w:rPr>
        <w:t xml:space="preserve">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at the adjourned meeting.</w:t>
      </w:r>
    </w:p>
    <w:p>
      <w:pPr>
        <w:spacing w:after="0" w:line="188" w:lineRule="exact"/>
        <w:rPr>
          <w:sz w:val="20"/>
          <w:szCs w:val="20"/>
          <w:color w:val="auto"/>
        </w:rPr>
      </w:pPr>
    </w:p>
    <w:p>
      <w:pPr>
        <w:ind w:right="180" w:firstLine="850"/>
        <w:spacing w:after="0" w:line="258" w:lineRule="auto"/>
        <w:tabs>
          <w:tab w:leader="none" w:pos="132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183" w:lineRule="exact"/>
        <w:rPr>
          <w:rFonts w:ascii="Times New Roman" w:cs="Times New Roman" w:eastAsia="Times New Roman" w:hAnsi="Times New Roman"/>
          <w:sz w:val="18"/>
          <w:szCs w:val="18"/>
          <w:color w:val="auto"/>
        </w:rPr>
      </w:pPr>
    </w:p>
    <w:p>
      <w:pPr>
        <w:ind w:right="60" w:firstLine="850"/>
        <w:spacing w:after="0" w:line="254" w:lineRule="auto"/>
        <w:tabs>
          <w:tab w:leader="none" w:pos="13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restricted by the Certificate of Incorporation, in order that the Corporation may determine the Stockholders entitled to consent to corporate action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consent to corporate action without a meeting is fixed by the Board of Directors, (i) when no prior action of the Board of Directors is required by law or the Certificate of Incorporation, the record date for such purpose shall be the first date on which a signed consent setting forth the action taken or proposed to be taken is delivered to the Corporation in accordance with applicable law and (ii) if prior action by the Board of Directors is required by law or the Certificate of Incorporation, the record date for such purpose shall be at the close of business on the day on which the Board of Directors adopts the resolution taking such prior action.</w:t>
      </w:r>
    </w:p>
    <w:p>
      <w:pPr>
        <w:spacing w:after="0" w:line="18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List of Stockholders Entitled to Vote</w:t>
      </w:r>
      <w:r>
        <w:rPr>
          <w:rFonts w:ascii="Times New Roman" w:cs="Times New Roman" w:eastAsia="Times New Roman" w:hAnsi="Times New Roman"/>
          <w:sz w:val="18"/>
          <w:szCs w:val="18"/>
          <w:color w:val="auto"/>
        </w:rPr>
        <w:t>. The Corporation shall prepare, at least ten (10) days before every meeting of Stockholders, a complete list of the Stockholders entitled to vote at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Such list shall be open to the examination of</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3" w:name="page14"/>
    <w:bookmarkEnd w:id="13"/>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any Stockholder, for any purpose germane to the meeting at least ten (10) days prior to the meeting (i) on a reasonably accessible electronic network,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information required to gain access to such list is provided with the notice of the meeting or (ii) during ordinary business hours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principal place of business of the Corporation. In the event that the Corporation determines to make the list available on an electronic network, the Corporation may take reasonable steps to ensure that such information is available only to Stockholders. Except as otherwise provided by law, the “stock ledger” shall be the only evidence as to who are the Stockholders entitled to examine the list of Stockholders required by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to vote in person or by proxy at any meeting of Stockholders. For purposes of these Bylaws, the term “stock ledger” means one or more records administered by or on behalf of the Corporation in which the names of all of the Corporation’s Stockholders of record, the address and number of shares registered in the name of each such Stockholder, and all issuances and transfers of stock of the Corporation are recorded.</w:t>
      </w:r>
    </w:p>
    <w:p>
      <w:pPr>
        <w:spacing w:after="0" w:line="19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Inspectors of Election</w:t>
      </w:r>
      <w:r>
        <w:rPr>
          <w:rFonts w:ascii="Times New Roman" w:cs="Times New Roman" w:eastAsia="Times New Roman" w:hAnsi="Times New Roman"/>
          <w:sz w:val="18"/>
          <w:szCs w:val="18"/>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may, and to the extent required by law, shall appoint one or more inspectors to act at the meeting. Each inspector, before entering upon the discharge of his or her duties, shall take and sign an oath to execute faithfully the duties of inspector with strict impartiality and according to the best of his or her ability. Any report or certificate made by the inspectors of election is prima facie evidence of the facts stated therein. The inspector or inspectors so appointed or designated shall (i) ascertain the number of shares of Stock outstanding and the voting power of each such share, (ii) determine the shares of Stock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Stock represented at the meeting and such inspectors’ count of all votes and ballots. Such certification and report shall specify such other information as may be required by law. In determining the validity and counting of proxies and ballots cast at any meeting of Stockholders, the inspectors may consider such information as is permitted by applicable law. No person who is a candidate for an office at an election may serve as an inspector at such election.</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Conduct of Meetings</w:t>
      </w:r>
      <w:r>
        <w:rPr>
          <w:rFonts w:ascii="Times New Roman" w:cs="Times New Roman" w:eastAsia="Times New Roman" w:hAnsi="Times New Roman"/>
          <w:sz w:val="18"/>
          <w:szCs w:val="18"/>
          <w:color w:val="auto"/>
        </w:rPr>
        <w:t xml:space="preserve">. The date and time of the opening and the closing of the polls for each matter upon which the Stockholders will vote at a meeting shall be announced at the meeting by the person presiding over the meeting designated in accordance with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of these Bylaws. After the polls close, no ballots, proxies or votes or any revocations or changes thereto may be accepted.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 w:name="page15"/>
    <w:bookmarkEnd w:id="14"/>
    <w:p>
      <w:pPr>
        <w:spacing w:after="0" w:line="253" w:lineRule="auto"/>
        <w:rPr>
          <w:sz w:val="20"/>
          <w:szCs w:val="20"/>
          <w:color w:val="auto"/>
        </w:rPr>
      </w:pPr>
      <w:r>
        <w:rPr>
          <w:rFonts w:ascii="Times New Roman" w:cs="Times New Roman" w:eastAsia="Times New Roman" w:hAnsi="Times New Roman"/>
          <w:sz w:val="18"/>
          <w:szCs w:val="18"/>
          <w:color w:val="auto"/>
        </w:rPr>
        <w:t>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9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i w:val="1"/>
          <w:iCs w:val="1"/>
          <w:color w:val="auto"/>
        </w:rPr>
        <w:t>Advance Notice Procedures for Business Brought before a Meeting</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apply to any business that may be brought before an annual meeting of Stockholders other than nominations for election to the Board of Directors at such a meeting, which shall be governed by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these Bylaws. Stockholders seeking to nominate Persons for election to the Board of Directors must comply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these Bylaws, and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not be applicable to nominations for election to the Board of Directors except as expressly provided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these Bylaws.</w:t>
      </w:r>
    </w:p>
    <w:p>
      <w:pPr>
        <w:spacing w:after="0" w:line="185" w:lineRule="exact"/>
        <w:rPr>
          <w:sz w:val="20"/>
          <w:szCs w:val="20"/>
          <w:color w:val="auto"/>
        </w:rPr>
      </w:pPr>
    </w:p>
    <w:p>
      <w:pPr>
        <w:ind w:right="60" w:firstLine="850"/>
        <w:spacing w:after="0" w:line="254" w:lineRule="auto"/>
        <w:tabs>
          <w:tab w:leader="none" w:pos="131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 annual meeting of the Stockholders, only such business shall be conducted as shall have been properly brought before the meeting. To be properly brought before an annual meeting, business must be (a) specified in a notice of meeting (or any supplement thereto) given by or at the direction of the Board of Directors or a duly authorized committee thereof, (b) if not specified in a notice of meeting, otherwise brought before the meeting by the Board of Directors or the chairperson of the meeting, or (c) otherwise properly brought before the meeting by a Stockholder present in person who (A)(1) was a Stockholder of record of the Corporation both at the time of giving the notice provided for in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at the time of the meeting,</w:t>
      </w:r>
    </w:p>
    <w:p>
      <w:pPr>
        <w:spacing w:after="0" w:line="3" w:lineRule="exact"/>
        <w:rPr>
          <w:rFonts w:ascii="Times New Roman" w:cs="Times New Roman" w:eastAsia="Times New Roman" w:hAnsi="Times New Roman"/>
          <w:sz w:val="18"/>
          <w:szCs w:val="18"/>
          <w:color w:val="auto"/>
        </w:rPr>
      </w:pPr>
    </w:p>
    <w:p>
      <w:pPr>
        <w:ind w:right="120" w:firstLine="8"/>
        <w:spacing w:after="0" w:line="251"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entitled to vote at the meeting and (3) has complied with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(B) properly made such proposal in accordance with Rule 14a-8 under the Securities Exchange Act of 1934, as amended, and the rules and regulations thereunder (as so amended and inclusive of such rules and regulations,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which proposal has been included in the proxy statement for the annual meeting. The foregoing clause (c) shall be the exclusive means for a Stockholder to propose business to be brought before an annual meeting of the Stockholders. The only matters that may be brought before a special meeting are the matters specified in the Corporation’s notice of meeting given by or at the direction of the Person calling the meeting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2.03</w:t>
      </w:r>
      <w:r>
        <w:rPr>
          <w:rFonts w:ascii="Times New Roman" w:cs="Times New Roman" w:eastAsia="Times New Roman" w:hAnsi="Times New Roman"/>
          <w:sz w:val="18"/>
          <w:szCs w:val="18"/>
          <w:color w:val="auto"/>
        </w:rPr>
        <w:t xml:space="preserve"> of these Bylaws. For purposes of these Bylaws,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xml:space="preserve">” shall mean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For purposes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of these Bylaws, “present in person” shall mean that the Stockholder proposing that the</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5" w:name="page16"/>
    <w:bookmarkEnd w:id="15"/>
    <w:p>
      <w:pPr>
        <w:ind w:right="100"/>
        <w:spacing w:after="0" w:line="258" w:lineRule="auto"/>
        <w:rPr>
          <w:sz w:val="20"/>
          <w:szCs w:val="20"/>
          <w:color w:val="auto"/>
        </w:rPr>
      </w:pPr>
      <w:r>
        <w:rPr>
          <w:rFonts w:ascii="Times New Roman" w:cs="Times New Roman" w:eastAsia="Times New Roman" w:hAnsi="Times New Roman"/>
          <w:sz w:val="18"/>
          <w:szCs w:val="18"/>
          <w:color w:val="auto"/>
        </w:rPr>
        <w:t>business be brought before the meeting or a qualified representative of such proposing Stockholder, appear at such annual meeting, and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83" w:lineRule="exact"/>
        <w:rPr>
          <w:sz w:val="20"/>
          <w:szCs w:val="20"/>
          <w:color w:val="auto"/>
        </w:rPr>
      </w:pPr>
    </w:p>
    <w:p>
      <w:pPr>
        <w:ind w:right="80" w:firstLine="850"/>
        <w:spacing w:after="0" w:line="269" w:lineRule="auto"/>
        <w:tabs>
          <w:tab w:leader="none" w:pos="1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qualification, for business to be properly brought before an annual meeting by a Stockholder, the business must constitute a proper matter for stockholder action and the Stockholder must (a) provide Timely Notice (as defined below) thereof in writing and in proper form to the Secretary of the Corporation and (b) provide any updates or supplements to such notice at the times and in the forms required by this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xml:space="preserve">. To be timely, a Stockholder’s notice must be delivered to, or mailed and received at, the principal executive offices of the Corporation not less than ninety (90) days nor more than one hundred twenty (120) days prior to the one-year anniversary of the preceding year’s annual meeting (in the case of the first annual meeting of Stockholders following the listing of the Corporation’s Class A Common Stock, the date of the preceding year’s annual meeting shall be deemed to be July 6, 2021);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the date of the annual meeting is more than thirty (30) days before or more than sixty (60) days after such anniversary date, notice by the Stockholder to be timely must be so delivered, or mailed and received, not later than the ninetieth (90th) day prior to such annual meeting or, if later, the tenth (10th) day following the day on which public disclosure (as defined in </w:t>
      </w:r>
      <w:r>
        <w:rPr>
          <w:rFonts w:ascii="Times New Roman" w:cs="Times New Roman" w:eastAsia="Times New Roman" w:hAnsi="Times New Roman"/>
          <w:sz w:val="17"/>
          <w:szCs w:val="17"/>
          <w:u w:val="single" w:color="auto"/>
          <w:color w:val="auto"/>
        </w:rPr>
        <w:t>Section 2.13(h)</w:t>
      </w:r>
      <w:r>
        <w:rPr>
          <w:rFonts w:ascii="Times New Roman" w:cs="Times New Roman" w:eastAsia="Times New Roman" w:hAnsi="Times New Roman"/>
          <w:sz w:val="17"/>
          <w:szCs w:val="17"/>
          <w:color w:val="auto"/>
        </w:rPr>
        <w:t>) of the date of such annual meeting was first made (such notice within such time periods, “</w:t>
      </w:r>
      <w:r>
        <w:rPr>
          <w:rFonts w:ascii="Times New Roman" w:cs="Times New Roman" w:eastAsia="Times New Roman" w:hAnsi="Times New Roman"/>
          <w:sz w:val="17"/>
          <w:szCs w:val="17"/>
          <w:b w:val="1"/>
          <w:bCs w:val="1"/>
          <w:color w:val="auto"/>
        </w:rPr>
        <w:t>Timely Notice</w:t>
      </w:r>
      <w:r>
        <w:rPr>
          <w:rFonts w:ascii="Times New Roman" w:cs="Times New Roman" w:eastAsia="Times New Roman" w:hAnsi="Times New Roman"/>
          <w:sz w:val="17"/>
          <w:szCs w:val="17"/>
          <w:color w:val="auto"/>
        </w:rPr>
        <w:t>”). In no event shall any adjournment, recess or postponement of an annual meeting or the announcement thereof commence a new time period (or extend any time period) for the giving of Timely Notice as described above.</w:t>
      </w:r>
    </w:p>
    <w:p>
      <w:pPr>
        <w:spacing w:after="0" w:line="181" w:lineRule="exact"/>
        <w:rPr>
          <w:rFonts w:ascii="Times New Roman" w:cs="Times New Roman" w:eastAsia="Times New Roman" w:hAnsi="Times New Roman"/>
          <w:sz w:val="17"/>
          <w:szCs w:val="17"/>
          <w:color w:val="auto"/>
        </w:rPr>
      </w:pPr>
    </w:p>
    <w:p>
      <w:pPr>
        <w:ind w:left="1320" w:hanging="470"/>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in proper form for purposes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 Stockholder’s notice to the Secretary shall set forth:</w:t>
      </w:r>
    </w:p>
    <w:p>
      <w:pPr>
        <w:spacing w:after="0" w:line="225" w:lineRule="exact"/>
        <w:rPr>
          <w:rFonts w:ascii="Times New Roman" w:cs="Times New Roman" w:eastAsia="Times New Roman" w:hAnsi="Times New Roman"/>
          <w:sz w:val="18"/>
          <w:szCs w:val="18"/>
          <w:color w:val="auto"/>
        </w:rPr>
      </w:pPr>
    </w:p>
    <w:p>
      <w:pPr>
        <w:ind w:left="660" w:right="100" w:firstLine="968"/>
        <w:spacing w:after="0" w:line="256" w:lineRule="auto"/>
        <w:tabs>
          <w:tab w:leader="none" w:pos="207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(as defined below), (A) the name and address of such Proposing Person (including, if applicable, the name and address that appear on the Corporation’s books and records); and (B) the number of shares of each class or series of Stock that are, directly or indirectly, owned of record or beneficially owned (within the meaning of Rule 13d-3 under the Exchange Act) by such Proposing Person, except that such Proposing Person shall in all events be deemed to beneficially own any shares of any class or series of Stock as to which such Proposing Person has a right to acquire beneficial ownership at any time in the future (the disclosures to be made pursuant to the foregoing clauses (A) and (B) are referred to as “</w:t>
      </w:r>
      <w:r>
        <w:rPr>
          <w:rFonts w:ascii="Times New Roman" w:cs="Times New Roman" w:eastAsia="Times New Roman" w:hAnsi="Times New Roman"/>
          <w:sz w:val="18"/>
          <w:szCs w:val="18"/>
          <w:b w:val="1"/>
          <w:bCs w:val="1"/>
          <w:color w:val="auto"/>
        </w:rPr>
        <w:t>Stockholder Information</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660" w:firstLine="968"/>
        <w:spacing w:after="0" w:line="261" w:lineRule="auto"/>
        <w:tabs>
          <w:tab w:leader="none" w:pos="212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(“Synthetic Equity Position”) and that is, directly or indirectly, held or maintained by such Proposing Person with respect to any shares of any class or series of Stock; provided that, for the</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 w:name="page17"/>
    <w:bookmarkEnd w:id="16"/>
    <w:p>
      <w:pPr>
        <w:ind w:right="20"/>
        <w:spacing w:after="0" w:line="251" w:lineRule="auto"/>
        <w:rPr>
          <w:sz w:val="20"/>
          <w:szCs w:val="20"/>
          <w:color w:val="auto"/>
        </w:rPr>
      </w:pPr>
      <w:r>
        <w:rPr>
          <w:rFonts w:ascii="Times New Roman" w:cs="Times New Roman" w:eastAsia="Times New Roman" w:hAnsi="Times New Roman"/>
          <w:sz w:val="18"/>
          <w:szCs w:val="18"/>
          <w:color w:val="auto"/>
        </w:rPr>
        <w:t>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Stock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(F)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or votes from Stockholders in support of such proposal and (G)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as “Disclosable Interests”); provided, however,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205" w:lineRule="exact"/>
        <w:rPr>
          <w:sz w:val="20"/>
          <w:szCs w:val="20"/>
          <w:color w:val="auto"/>
        </w:rPr>
      </w:pPr>
    </w:p>
    <w:p>
      <w:pPr>
        <w:ind w:firstLine="968"/>
        <w:spacing w:after="0" w:line="258" w:lineRule="auto"/>
        <w:tabs>
          <w:tab w:leader="none" w:pos="15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the text of any proposed amendment to these Bylaws), (C) a reasonably detailed description of all agreements, arrangements and understandings (x) between or among</w:t>
      </w:r>
    </w:p>
    <w:p>
      <w:pPr>
        <w:spacing w:after="0" w:line="29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540" w:right="359" w:bottom="1440" w:gutter="0" w:footer="0" w:header="0"/>
        </w:sectPr>
      </w:pPr>
    </w:p>
    <w:bookmarkStart w:id="17" w:name="page18"/>
    <w:bookmarkEnd w:id="17"/>
    <w:p>
      <w:pPr>
        <w:ind w:left="660"/>
        <w:spacing w:after="0" w:line="270" w:lineRule="auto"/>
        <w:rPr>
          <w:sz w:val="20"/>
          <w:szCs w:val="20"/>
          <w:color w:val="auto"/>
        </w:rPr>
      </w:pPr>
      <w:r>
        <w:rPr>
          <w:rFonts w:ascii="Times New Roman" w:cs="Times New Roman" w:eastAsia="Times New Roman" w:hAnsi="Times New Roman"/>
          <w:sz w:val="17"/>
          <w:szCs w:val="17"/>
          <w:color w:val="auto"/>
        </w:rPr>
        <w:t xml:space="preserve">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provided, however, that the disclosures required by this </w:t>
      </w:r>
      <w:r>
        <w:rPr>
          <w:rFonts w:ascii="Times New Roman" w:cs="Times New Roman" w:eastAsia="Times New Roman" w:hAnsi="Times New Roman"/>
          <w:sz w:val="17"/>
          <w:szCs w:val="17"/>
          <w:u w:val="single" w:color="auto"/>
          <w:color w:val="auto"/>
        </w:rPr>
        <w:t>Section</w:t>
      </w:r>
    </w:p>
    <w:p>
      <w:pPr>
        <w:spacing w:after="0" w:line="3" w:lineRule="exact"/>
        <w:rPr>
          <w:sz w:val="20"/>
          <w:szCs w:val="20"/>
          <w:color w:val="auto"/>
        </w:rPr>
      </w:pPr>
    </w:p>
    <w:p>
      <w:pPr>
        <w:ind w:left="660" w:right="80"/>
        <w:spacing w:after="0" w:line="255" w:lineRule="auto"/>
        <w:rPr>
          <w:sz w:val="20"/>
          <w:szCs w:val="20"/>
          <w:color w:val="auto"/>
        </w:rPr>
      </w:pPr>
      <w:r>
        <w:rPr>
          <w:rFonts w:ascii="Times New Roman" w:cs="Times New Roman" w:eastAsia="Times New Roman" w:hAnsi="Times New Roman"/>
          <w:sz w:val="18"/>
          <w:szCs w:val="18"/>
          <w:u w:val="single" w:color="auto"/>
          <w:color w:val="auto"/>
        </w:rPr>
        <w:t>2.13(c)</w:t>
      </w:r>
      <w:r>
        <w:rPr>
          <w:rFonts w:ascii="Times New Roman" w:cs="Times New Roman" w:eastAsia="Times New Roman" w:hAnsi="Times New Roman"/>
          <w:sz w:val="18"/>
          <w:szCs w:val="18"/>
          <w:color w:val="auto"/>
        </w:rPr>
        <w:t xml:space="preserve">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82" w:lineRule="exact"/>
        <w:rPr>
          <w:sz w:val="20"/>
          <w:szCs w:val="20"/>
          <w:color w:val="auto"/>
        </w:rPr>
      </w:pPr>
    </w:p>
    <w:p>
      <w:pPr>
        <w:ind w:right="360" w:firstLine="850"/>
        <w:spacing w:after="0" w:line="262" w:lineRule="auto"/>
        <w:tabs>
          <w:tab w:leader="none" w:pos="13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Proposing Person</w:t>
      </w:r>
      <w:r>
        <w:rPr>
          <w:rFonts w:ascii="Times New Roman" w:cs="Times New Roman" w:eastAsia="Times New Roman" w:hAnsi="Times New Roman"/>
          <w:sz w:val="18"/>
          <w:szCs w:val="18"/>
          <w:color w:val="auto"/>
        </w:rPr>
        <w:t>” shall mean (a) the Stockholder providing the notice of business proposed to be brought before an annual meeting, (b) the beneficial owner or beneficial owners, if different, on whose behalf the notice of the business proposed to be brought before the annual meeting is made, and (c) any participant (as defined in paragraphs (a)(ii)-(vi) of Instruction 3 to Item 4 of Schedule 14A) with such Stockholder in such solicitation.</w:t>
      </w:r>
    </w:p>
    <w:p>
      <w:pPr>
        <w:spacing w:after="0" w:line="180" w:lineRule="exact"/>
        <w:rPr>
          <w:rFonts w:ascii="Times New Roman" w:cs="Times New Roman" w:eastAsia="Times New Roman" w:hAnsi="Times New Roman"/>
          <w:sz w:val="18"/>
          <w:szCs w:val="18"/>
          <w:color w:val="auto"/>
        </w:rPr>
      </w:pPr>
    </w:p>
    <w:p>
      <w:pPr>
        <w:ind w:right="120" w:firstLine="850"/>
        <w:spacing w:after="0" w:line="253" w:lineRule="auto"/>
        <w:tabs>
          <w:tab w:leader="none" w:pos="13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Proposing Person shall update and supplement its notice to the Corporation of its intent to propose business at an annual meeting, if necessary, so that the information provided or required to be provided in such notice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89" w:lineRule="exact"/>
        <w:rPr>
          <w:rFonts w:ascii="Times New Roman" w:cs="Times New Roman" w:eastAsia="Times New Roman" w:hAnsi="Times New Roman"/>
          <w:sz w:val="18"/>
          <w:szCs w:val="18"/>
          <w:color w:val="auto"/>
        </w:rPr>
      </w:pPr>
    </w:p>
    <w:p>
      <w:pPr>
        <w:ind w:right="40" w:firstLine="850"/>
        <w:spacing w:after="0" w:line="261" w:lineRule="auto"/>
        <w:tabs>
          <w:tab w:leader="none" w:pos="13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these Bylaws to the contrary, no business shall be conducted at an annual meeting that is not properly brought before the meeting in accordance with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The presiding officer of the meeting shall, if the facts warrant, determine that the business was not properly brought before the meeting in accordance with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and if he or she should so determine, he or she shall so declare to the meeting and any such business not properly brought before the meeting shall not be transacted.</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8" w:name="page19"/>
    <w:bookmarkEnd w:id="18"/>
    <w:p>
      <w:pPr>
        <w:jc w:val="both"/>
        <w:ind w:right="140" w:firstLine="850"/>
        <w:spacing w:after="0" w:line="261" w:lineRule="auto"/>
        <w:tabs>
          <w:tab w:leader="none" w:pos="132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requirements of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with respect to any business proposed to be brought before an annual meeting, each Proposing Person shall comply with all applicable requirements of the Exchange Act with respect to any such business. Nothing in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be deemed to affect the rights of Stockholders to request inclusion of proposals in the Corporation’s proxy statement pursuant to Rule 14a-8 under the Exchange Act.</w:t>
      </w:r>
    </w:p>
    <w:p>
      <w:pPr>
        <w:spacing w:after="0" w:line="179" w:lineRule="exact"/>
        <w:rPr>
          <w:rFonts w:ascii="Times New Roman" w:cs="Times New Roman" w:eastAsia="Times New Roman" w:hAnsi="Times New Roman"/>
          <w:sz w:val="18"/>
          <w:szCs w:val="18"/>
          <w:color w:val="auto"/>
        </w:rPr>
      </w:pPr>
    </w:p>
    <w:p>
      <w:pPr>
        <w:ind w:right="320" w:firstLine="850"/>
        <w:spacing w:after="0" w:line="282" w:lineRule="auto"/>
        <w:tabs>
          <w:tab w:leader="none" w:pos="132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161" w:lineRule="exact"/>
        <w:rPr>
          <w:rFonts w:ascii="Times New Roman" w:cs="Times New Roman" w:eastAsia="Times New Roman" w:hAnsi="Times New Roman"/>
          <w:sz w:val="18"/>
          <w:szCs w:val="18"/>
          <w:color w:val="auto"/>
        </w:rPr>
      </w:pPr>
    </w:p>
    <w:p>
      <w:pPr>
        <w:ind w:right="80" w:firstLine="850"/>
        <w:spacing w:after="0" w:line="258" w:lineRule="auto"/>
        <w:tabs>
          <w:tab w:leader="none" w:pos="132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these Bylaws to the contrary, for so long as the Investor Rights Agreement remains in effect, CHS (to the extent then subject to the Investors Rights Agreement) shall not be subject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For purposes of these Bylaws, “</w:t>
      </w:r>
      <w:r>
        <w:rPr>
          <w:rFonts w:ascii="Times New Roman" w:cs="Times New Roman" w:eastAsia="Times New Roman" w:hAnsi="Times New Roman"/>
          <w:sz w:val="18"/>
          <w:szCs w:val="18"/>
          <w:b w:val="1"/>
          <w:bCs w:val="1"/>
          <w:color w:val="auto"/>
        </w:rPr>
        <w:t>CHS</w:t>
      </w:r>
      <w:r>
        <w:rPr>
          <w:rFonts w:ascii="Times New Roman" w:cs="Times New Roman" w:eastAsia="Times New Roman" w:hAnsi="Times New Roman"/>
          <w:sz w:val="18"/>
          <w:szCs w:val="18"/>
          <w:color w:val="auto"/>
        </w:rPr>
        <w:t>” shall mean CHS US Investments LLC, a Cayman limited liability company, together with its affiliates, and the “</w:t>
      </w:r>
      <w:r>
        <w:rPr>
          <w:rFonts w:ascii="Times New Roman" w:cs="Times New Roman" w:eastAsia="Times New Roman" w:hAnsi="Times New Roman"/>
          <w:sz w:val="18"/>
          <w:szCs w:val="18"/>
          <w:b w:val="1"/>
          <w:bCs w:val="1"/>
          <w:color w:val="auto"/>
        </w:rPr>
        <w:t>Investor Rights Agreement</w:t>
      </w:r>
      <w:r>
        <w:rPr>
          <w:rFonts w:ascii="Times New Roman" w:cs="Times New Roman" w:eastAsia="Times New Roman" w:hAnsi="Times New Roman"/>
          <w:sz w:val="18"/>
          <w:szCs w:val="18"/>
          <w:color w:val="auto"/>
        </w:rPr>
        <w:t>” shall mean that certain Investor Rights Agreement, dated as of August 20, 2025 (as it may be amended from time to time in accordance with its terms), by and among the Corporation, CHS and the other parties thereto.</w:t>
      </w:r>
    </w:p>
    <w:p>
      <w:pPr>
        <w:spacing w:after="0" w:line="181"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2.14.</w:t>
      </w:r>
      <w:r>
        <w:rPr>
          <w:sz w:val="20"/>
          <w:szCs w:val="20"/>
          <w:color w:val="auto"/>
        </w:rPr>
        <w:tab/>
      </w:r>
      <w:r>
        <w:rPr>
          <w:rFonts w:ascii="Times New Roman" w:cs="Times New Roman" w:eastAsia="Times New Roman" w:hAnsi="Times New Roman"/>
          <w:sz w:val="17"/>
          <w:szCs w:val="17"/>
          <w:i w:val="1"/>
          <w:iCs w:val="1"/>
          <w:color w:val="auto"/>
        </w:rPr>
        <w:t>Advance Notice Procedures for Nominations of Directors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850"/>
        <w:spacing w:after="0" w:line="255" w:lineRule="auto"/>
        <w:tabs>
          <w:tab w:leader="none" w:pos="13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(a) by or at the direction of the Board of Directors, including by any committee authorized to do so by the Board of Directors or these Bylaws, or (b) by a Stockholder present in person (as defined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(1) who was a Stockholder of record of the Corporation both at the time of giving the notice provided for in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at the time of the meeting, (2) is entitled to vote at the meeting and (3) has complied with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as to such notice and nomination. The foregoing clause (b) shall be the exclusive means for a Stockholder to make any nomination of a person or persons for election to the Board of Directors at any annual meeting or special meeting of Stockholders.</w:t>
      </w:r>
    </w:p>
    <w:p>
      <w:pPr>
        <w:spacing w:after="0" w:line="18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left="660" w:right="20" w:firstLine="968"/>
        <w:spacing w:after="0" w:line="258" w:lineRule="auto"/>
        <w:tabs>
          <w:tab w:leader="none" w:pos="20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qualification, for a Stockholder to make any nomination of a person or persons for election to the Board of Directors at an annual meeting, the Stockholder must (a) provide Timely Notice (as defined in </w:t>
      </w:r>
      <w:r>
        <w:rPr>
          <w:rFonts w:ascii="Times New Roman" w:cs="Times New Roman" w:eastAsia="Times New Roman" w:hAnsi="Times New Roman"/>
          <w:sz w:val="18"/>
          <w:szCs w:val="18"/>
          <w:u w:val="single" w:color="auto"/>
          <w:color w:val="auto"/>
        </w:rPr>
        <w:t>Section 2.13(b)</w:t>
      </w:r>
      <w:r>
        <w:rPr>
          <w:rFonts w:ascii="Times New Roman" w:cs="Times New Roman" w:eastAsia="Times New Roman" w:hAnsi="Times New Roman"/>
          <w:sz w:val="18"/>
          <w:szCs w:val="18"/>
          <w:color w:val="auto"/>
        </w:rPr>
        <w:t xml:space="preserve"> of these Bylaws) thereof in writing and in proper form to the Secretary at the principal executive offices of the Corporation, (b) provide the information, agreements and questionnaires with respect to such Stockholder and its candidate for nomination as required by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(c) provide any updates or supplements to such notice at the times and in the forms required by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60" w:right="180" w:firstLine="968"/>
        <w:spacing w:after="0" w:line="282" w:lineRule="auto"/>
        <w:tabs>
          <w:tab w:leader="none" w:pos="212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qualification, if the election of directors is a matter specified in the notice of meeting given by or at the direction of the person calling a special meeting, then for a Stockholder to make any nomination of a person or persons for election to the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9" w:name="page20"/>
    <w:bookmarkEnd w:id="19"/>
    <w:p>
      <w:pPr>
        <w:spacing w:after="0" w:line="254" w:lineRule="auto"/>
        <w:rPr>
          <w:sz w:val="20"/>
          <w:szCs w:val="20"/>
          <w:color w:val="auto"/>
        </w:rPr>
      </w:pPr>
      <w:r>
        <w:rPr>
          <w:rFonts w:ascii="Times New Roman" w:cs="Times New Roman" w:eastAsia="Times New Roman" w:hAnsi="Times New Roman"/>
          <w:sz w:val="18"/>
          <w:szCs w:val="18"/>
          <w:color w:val="auto"/>
        </w:rPr>
        <w:t xml:space="preserve">Board of Directors at a special meeting, the Stockholder must (a) provide timely notice thereof in writing and in proper form to the Secretary at the principal executive offices of the Corporation, (b) provide the information, agreements and questionnaires with respect to such Stockholder and its candidate for nomination required by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(c) provide any updates or supplements to such notice at the times and in the forms required by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To be timely for purposes of this </w:t>
      </w:r>
      <w:r>
        <w:rPr>
          <w:rFonts w:ascii="Times New Roman" w:cs="Times New Roman" w:eastAsia="Times New Roman" w:hAnsi="Times New Roman"/>
          <w:sz w:val="18"/>
          <w:szCs w:val="18"/>
          <w:u w:val="single" w:color="auto"/>
          <w:color w:val="auto"/>
        </w:rPr>
        <w:t>Section 2.14(b)(ii)</w:t>
      </w:r>
      <w:r>
        <w:rPr>
          <w:rFonts w:ascii="Times New Roman" w:cs="Times New Roman" w:eastAsia="Times New Roman" w:hAnsi="Times New Roman"/>
          <w:sz w:val="18"/>
          <w:szCs w:val="18"/>
          <w:color w:val="auto"/>
        </w:rPr>
        <w:t xml:space="preserve">, a Stockholder’s notice for nominations to be made at a special meeting must be delivered to, or mailed to and received by the Secretary of the Corporation not earlier than the one hundred twentieth (120th) day prior to such special meeting and not later than the ninetieth (90th) day prior to such special meeting or, if later, the tenth (10th) day following the day on which public disclosure (as defined in </w:t>
      </w:r>
      <w:r>
        <w:rPr>
          <w:rFonts w:ascii="Times New Roman" w:cs="Times New Roman" w:eastAsia="Times New Roman" w:hAnsi="Times New Roman"/>
          <w:sz w:val="18"/>
          <w:szCs w:val="18"/>
          <w:u w:val="single" w:color="auto"/>
          <w:color w:val="auto"/>
        </w:rPr>
        <w:t>Section 2.13(h)</w:t>
      </w:r>
      <w:r>
        <w:rPr>
          <w:rFonts w:ascii="Times New Roman" w:cs="Times New Roman" w:eastAsia="Times New Roman" w:hAnsi="Times New Roman"/>
          <w:sz w:val="18"/>
          <w:szCs w:val="18"/>
          <w:color w:val="auto"/>
        </w:rPr>
        <w:t>) of the date of such special meeting at which directors are to be elected was first made.</w:t>
      </w:r>
    </w:p>
    <w:p>
      <w:pPr>
        <w:spacing w:after="0" w:line="192" w:lineRule="exact"/>
        <w:rPr>
          <w:sz w:val="20"/>
          <w:szCs w:val="20"/>
          <w:color w:val="auto"/>
        </w:rPr>
      </w:pPr>
    </w:p>
    <w:p>
      <w:pPr>
        <w:ind w:right="360" w:firstLine="968"/>
        <w:spacing w:after="0" w:line="282" w:lineRule="auto"/>
        <w:tabs>
          <w:tab w:leader="none" w:pos="15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adjournment, recess or postponement of an annual meeting or special meeting or the announcement thereof commence a new time period (or extent any time period) for the giving of a Stockholder’s notice as described above.</w:t>
      </w:r>
    </w:p>
    <w:p>
      <w:pPr>
        <w:spacing w:after="0" w:line="161" w:lineRule="exact"/>
        <w:rPr>
          <w:rFonts w:ascii="Times New Roman" w:cs="Times New Roman" w:eastAsia="Times New Roman" w:hAnsi="Times New Roman"/>
          <w:sz w:val="18"/>
          <w:szCs w:val="18"/>
          <w:color w:val="auto"/>
        </w:rPr>
      </w:pPr>
    </w:p>
    <w:p>
      <w:pPr>
        <w:ind w:right="20" w:firstLine="968"/>
        <w:spacing w:after="0" w:line="254" w:lineRule="auto"/>
        <w:tabs>
          <w:tab w:leader="none" w:pos="150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 event may a Nominating Person (as defined below) provide notice under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otherwise with respect to a greater number of director candidates than are subject to election by Stockholders at the applicable meeting. Notwithstanding anything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2.14(b)(i)(a)</w:t>
      </w:r>
      <w:r>
        <w:rPr>
          <w:rFonts w:ascii="Times New Roman" w:cs="Times New Roman" w:eastAsia="Times New Roman" w:hAnsi="Times New Roman"/>
          <w:sz w:val="18"/>
          <w:szCs w:val="18"/>
          <w:color w:val="auto"/>
        </w:rPr>
        <w:t xml:space="preserve"> to the contrary, if the number of directors subject to election at an annual meeting is increased effective after the time period for which nominations would otherwise be due under </w:t>
      </w:r>
      <w:r>
        <w:rPr>
          <w:rFonts w:ascii="Times New Roman" w:cs="Times New Roman" w:eastAsia="Times New Roman" w:hAnsi="Times New Roman"/>
          <w:sz w:val="18"/>
          <w:szCs w:val="18"/>
          <w:u w:val="single" w:color="auto"/>
          <w:color w:val="auto"/>
        </w:rPr>
        <w:t>Section 2.14(b)(i)(a)</w:t>
      </w:r>
      <w:r>
        <w:rPr>
          <w:rFonts w:ascii="Times New Roman" w:cs="Times New Roman" w:eastAsia="Times New Roman" w:hAnsi="Times New Roman"/>
          <w:sz w:val="18"/>
          <w:szCs w:val="18"/>
          <w:color w:val="auto"/>
        </w:rPr>
        <w:t xml:space="preserve"> and there is no public announcement by the Corporation naming the nominees for the additional directorships at least one hundred (100) days prior to the one-year anniversary of the preceding year’s annual meeting, a Stockholder’s notice required by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also be considered timely, but only with respect to nominees for the additional directorships, if it shall be delivered to the Secretary of the Corporation not later than the tenth (10th) day following the date on which public disclosure (as defined in </w:t>
      </w:r>
      <w:r>
        <w:rPr>
          <w:rFonts w:ascii="Times New Roman" w:cs="Times New Roman" w:eastAsia="Times New Roman" w:hAnsi="Times New Roman"/>
          <w:sz w:val="18"/>
          <w:szCs w:val="18"/>
          <w:u w:val="single" w:color="auto"/>
          <w:color w:val="auto"/>
        </w:rPr>
        <w:t>Section 2.13(h)</w:t>
      </w:r>
      <w:r>
        <w:rPr>
          <w:rFonts w:ascii="Times New Roman" w:cs="Times New Roman" w:eastAsia="Times New Roman" w:hAnsi="Times New Roman"/>
          <w:sz w:val="18"/>
          <w:szCs w:val="18"/>
          <w:color w:val="auto"/>
        </w:rPr>
        <w:t>) is first made by the Corporation.</w:t>
      </w:r>
    </w:p>
    <w:p>
      <w:pPr>
        <w:spacing w:after="0" w:line="191" w:lineRule="exact"/>
        <w:rPr>
          <w:rFonts w:ascii="Times New Roman" w:cs="Times New Roman" w:eastAsia="Times New Roman" w:hAnsi="Times New Roman"/>
          <w:sz w:val="18"/>
          <w:szCs w:val="18"/>
          <w:color w:val="auto"/>
        </w:rPr>
      </w:pPr>
    </w:p>
    <w:p>
      <w:pPr>
        <w:ind w:left="660" w:hanging="470"/>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in proper form for purposes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a Stockholder’s notice to the Secretary shall set forth:</w:t>
      </w:r>
    </w:p>
    <w:p>
      <w:pPr>
        <w:spacing w:after="0" w:line="225" w:lineRule="exact"/>
        <w:rPr>
          <w:rFonts w:ascii="Times New Roman" w:cs="Times New Roman" w:eastAsia="Times New Roman" w:hAnsi="Times New Roman"/>
          <w:sz w:val="18"/>
          <w:szCs w:val="18"/>
          <w:color w:val="auto"/>
        </w:rPr>
      </w:pPr>
    </w:p>
    <w:p>
      <w:pPr>
        <w:ind w:right="20" w:firstLine="968"/>
        <w:spacing w:after="0" w:line="266" w:lineRule="auto"/>
        <w:tabs>
          <w:tab w:leader="none" w:pos="14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Nominating Person, the Stockholder Information (as defined in </w:t>
      </w:r>
      <w:r>
        <w:rPr>
          <w:rFonts w:ascii="Times New Roman" w:cs="Times New Roman" w:eastAsia="Times New Roman" w:hAnsi="Times New Roman"/>
          <w:sz w:val="18"/>
          <w:szCs w:val="18"/>
          <w:u w:val="single" w:color="auto"/>
          <w:color w:val="auto"/>
        </w:rPr>
        <w:t>Section 2.13(c)(i)</w:t>
      </w:r>
      <w:r>
        <w:rPr>
          <w:rFonts w:ascii="Times New Roman" w:cs="Times New Roman" w:eastAsia="Times New Roman" w:hAnsi="Times New Roman"/>
          <w:sz w:val="18"/>
          <w:szCs w:val="18"/>
          <w:color w:val="auto"/>
        </w:rPr>
        <w:t xml:space="preserve"> of these Bylaws) except that for purposes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the term “Nominating Person” shall be substituted for the term “Proposing Person” in all places it appears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2.13(c)(i)</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160" w:firstLine="968"/>
        <w:spacing w:after="0" w:line="261" w:lineRule="auto"/>
        <w:tabs>
          <w:tab w:leader="none" w:pos="146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each Nominating Person, any Disclosable Interests (as defined in </w:t>
      </w:r>
      <w:r>
        <w:rPr>
          <w:rFonts w:ascii="Times New Roman" w:cs="Times New Roman" w:eastAsia="Times New Roman" w:hAnsi="Times New Roman"/>
          <w:sz w:val="18"/>
          <w:szCs w:val="18"/>
          <w:u w:val="single" w:color="auto"/>
          <w:color w:val="auto"/>
        </w:rPr>
        <w:t>Section 2.13(c)(ii)</w:t>
      </w:r>
      <w:r>
        <w:rPr>
          <w:rFonts w:ascii="Times New Roman" w:cs="Times New Roman" w:eastAsia="Times New Roman" w:hAnsi="Times New Roman"/>
          <w:sz w:val="18"/>
          <w:szCs w:val="18"/>
          <w:color w:val="auto"/>
        </w:rPr>
        <w:t xml:space="preserve">, except that for purposes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the term “Nominating Person” shall be substituted for the term “Proposing Person” in all places it appears in </w:t>
      </w:r>
      <w:r>
        <w:rPr>
          <w:rFonts w:ascii="Times New Roman" w:cs="Times New Roman" w:eastAsia="Times New Roman" w:hAnsi="Times New Roman"/>
          <w:sz w:val="18"/>
          <w:szCs w:val="18"/>
          <w:u w:val="single" w:color="auto"/>
          <w:color w:val="auto"/>
        </w:rPr>
        <w:t>Section 2.13(c)(ii)</w:t>
      </w:r>
      <w:r>
        <w:rPr>
          <w:rFonts w:ascii="Times New Roman" w:cs="Times New Roman" w:eastAsia="Times New Roman" w:hAnsi="Times New Roman"/>
          <w:sz w:val="18"/>
          <w:szCs w:val="18"/>
          <w:color w:val="auto"/>
        </w:rPr>
        <w:t xml:space="preserve"> and the disclosure with respect to the business to be brought before the meeting in </w:t>
      </w:r>
      <w:r>
        <w:rPr>
          <w:rFonts w:ascii="Times New Roman" w:cs="Times New Roman" w:eastAsia="Times New Roman" w:hAnsi="Times New Roman"/>
          <w:sz w:val="18"/>
          <w:szCs w:val="18"/>
          <w:u w:val="single" w:color="auto"/>
          <w:color w:val="auto"/>
        </w:rPr>
        <w:t>Section 2.13(c)(iii)</w:t>
      </w:r>
      <w:r>
        <w:rPr>
          <w:rFonts w:ascii="Times New Roman" w:cs="Times New Roman" w:eastAsia="Times New Roman" w:hAnsi="Times New Roman"/>
          <w:sz w:val="18"/>
          <w:szCs w:val="18"/>
          <w:color w:val="auto"/>
        </w:rPr>
        <w:t xml:space="preserve"> shall be made with respect to nomination of each Person for election as a director at the meeting); and</w:t>
      </w:r>
    </w:p>
    <w:p>
      <w:pPr>
        <w:spacing w:after="0" w:line="28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540" w:right="339" w:bottom="1440" w:gutter="0" w:footer="0" w:header="0"/>
        </w:sectPr>
      </w:pPr>
    </w:p>
    <w:bookmarkStart w:id="20" w:name="page21"/>
    <w:bookmarkEnd w:id="20"/>
    <w:p>
      <w:pPr>
        <w:ind w:left="660" w:firstLine="968"/>
        <w:spacing w:after="0" w:line="269" w:lineRule="auto"/>
        <w:tabs>
          <w:tab w:leader="none" w:pos="2172"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to each candidate whom a Nominating Person proposes to nominate for election as a director, (A) all information with respect to such candidate for nomination that would be required to be set forth in a Stockholder’s notice pursuant to this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xml:space="preserve">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Corporation’s proxy statement as a nominee of the Nominating Person and to serving as a director if elected), (C) a description of any direct or indirect material interest in any material contract or agreement between or among any Nominating Person, on the one hand, and each candidate for nomination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Times New Roman" w:cs="Times New Roman" w:eastAsia="Times New Roman" w:hAnsi="Times New Roman"/>
          <w:sz w:val="17"/>
          <w:szCs w:val="17"/>
          <w:b w:val="1"/>
          <w:bCs w:val="1"/>
          <w:color w:val="auto"/>
        </w:rPr>
        <w:t>Nominee Information</w:t>
      </w:r>
      <w:r>
        <w:rPr>
          <w:rFonts w:ascii="Times New Roman" w:cs="Times New Roman" w:eastAsia="Times New Roman" w:hAnsi="Times New Roman"/>
          <w:sz w:val="17"/>
          <w:szCs w:val="17"/>
          <w:color w:val="auto"/>
        </w:rPr>
        <w:t xml:space="preserve">”), and (D) a completed and signed questionnaire, representation and agreement as provided in </w:t>
      </w:r>
      <w:r>
        <w:rPr>
          <w:rFonts w:ascii="Times New Roman" w:cs="Times New Roman" w:eastAsia="Times New Roman" w:hAnsi="Times New Roman"/>
          <w:sz w:val="17"/>
          <w:szCs w:val="17"/>
          <w:u w:val="single" w:color="auto"/>
          <w:color w:val="auto"/>
        </w:rPr>
        <w:t>Section 2.14(f)</w:t>
      </w:r>
      <w:r>
        <w:rPr>
          <w:rFonts w:ascii="Times New Roman" w:cs="Times New Roman" w:eastAsia="Times New Roman" w:hAnsi="Times New Roman"/>
          <w:sz w:val="17"/>
          <w:szCs w:val="17"/>
          <w:color w:val="auto"/>
        </w:rPr>
        <w:t>.</w:t>
      </w:r>
    </w:p>
    <w:p>
      <w:pPr>
        <w:spacing w:after="0" w:line="177" w:lineRule="exact"/>
        <w:rPr>
          <w:rFonts w:ascii="Times New Roman" w:cs="Times New Roman" w:eastAsia="Times New Roman" w:hAnsi="Times New Roman"/>
          <w:sz w:val="17"/>
          <w:szCs w:val="17"/>
          <w:color w:val="auto"/>
        </w:rPr>
      </w:pPr>
    </w:p>
    <w:p>
      <w:pPr>
        <w:jc w:val="both"/>
        <w:ind w:right="40" w:firstLine="850"/>
        <w:spacing w:after="0" w:line="262" w:lineRule="auto"/>
        <w:tabs>
          <w:tab w:leader="none" w:pos="132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Nominating Person</w:t>
      </w:r>
      <w:r>
        <w:rPr>
          <w:rFonts w:ascii="Times New Roman" w:cs="Times New Roman" w:eastAsia="Times New Roman" w:hAnsi="Times New Roman"/>
          <w:sz w:val="18"/>
          <w:szCs w:val="18"/>
          <w:color w:val="auto"/>
        </w:rPr>
        <w:t>” shall mean (a) the Stockholder providing the notice of the nomination proposed to be made at the meeting, (b) the beneficial owner or beneficial owners, if different, on whose behalf the notice of the nomination proposed to be made at the meeting is made and (c) any participant (as defined in paragraphs (a)(ii)-(vi) of Instruction 3 to Item 4 of Schedule 14A) with such Stockholder in such solicitation.</w:t>
      </w:r>
    </w:p>
    <w:p>
      <w:pPr>
        <w:spacing w:after="0" w:line="180" w:lineRule="exact"/>
        <w:rPr>
          <w:rFonts w:ascii="Times New Roman" w:cs="Times New Roman" w:eastAsia="Times New Roman" w:hAnsi="Times New Roman"/>
          <w:sz w:val="18"/>
          <w:szCs w:val="18"/>
          <w:color w:val="auto"/>
        </w:rPr>
      </w:pPr>
    </w:p>
    <w:p>
      <w:pPr>
        <w:ind w:right="80" w:firstLine="850"/>
        <w:spacing w:after="0" w:line="253" w:lineRule="auto"/>
        <w:tabs>
          <w:tab w:leader="none" w:pos="13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Stockholder providing notice of any nomination proposed to be made at a meeting shall further update and supplement such notice, if necessary, so that the information provided or required to be provided in such notice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189" w:lineRule="exact"/>
        <w:rPr>
          <w:rFonts w:ascii="Times New Roman" w:cs="Times New Roman" w:eastAsia="Times New Roman" w:hAnsi="Times New Roman"/>
          <w:sz w:val="18"/>
          <w:szCs w:val="18"/>
          <w:color w:val="auto"/>
        </w:rPr>
      </w:pPr>
    </w:p>
    <w:p>
      <w:pPr>
        <w:ind w:right="680" w:firstLine="850"/>
        <w:spacing w:after="0" w:line="282" w:lineRule="auto"/>
        <w:tabs>
          <w:tab w:leader="none" w:pos="133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candidate for election as a director of the Corporation at an annual or special meeting, a candidate must be nominated in the manner prescribed in this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1" w:name="page22"/>
    <w:bookmarkEnd w:id="21"/>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the candidate for nomination, whether nominated by the Board of Directors or by a Stockholder of record, must have previously delivered (with respect to candidates nominated by a Stockholder, in accordance with the time period prescribed for delivery in a notice to such candidate given by or on behalf of the Board of Directors), to the Secretary at the principal executive offices of the Corporation, (i) a completed written questionnaire (in the form provided by the Corporation) with respect to the background, qualifications, stock ownership and independence of such candidate for nomination and (ii) a written representation and agreement (in the form provided by the Corporation upon written request therefor) that such candidate for nomination (A) is not, and will not become a party to, any agreement, arrangement or understanding with any Person or entity other than the Corporation with respect to any direct or indirect compensation or reimbursement for service as a director of the Corporation that has not been disclosed in such written questionnaire, (B) has not given and will not (1) give any commitment or assurance to, any person or entity as to how such proposed nominee, if elected as a director of the Corporation, will act or vote on any issue or question that has not been disclosed to the Corporation (a “</w:t>
      </w:r>
      <w:r>
        <w:rPr>
          <w:rFonts w:ascii="Times New Roman" w:cs="Times New Roman" w:eastAsia="Times New Roman" w:hAnsi="Times New Roman"/>
          <w:sz w:val="18"/>
          <w:szCs w:val="18"/>
          <w:b w:val="1"/>
          <w:bCs w:val="1"/>
          <w:color w:val="auto"/>
        </w:rPr>
        <w:t>Voting Commitment</w:t>
      </w:r>
      <w:r>
        <w:rPr>
          <w:rFonts w:ascii="Times New Roman" w:cs="Times New Roman" w:eastAsia="Times New Roman" w:hAnsi="Times New Roman"/>
          <w:sz w:val="18"/>
          <w:szCs w:val="18"/>
          <w:color w:val="auto"/>
        </w:rPr>
        <w:t>”) or (2) enter into any Voting Commitment that could limit or interfere with such proposed nominee’s ability to comply, if elected as a director of the Corporation, with such proposed nominee’s fiduciary duties under applicable law and (C) if elected as a director of the Corporation, will comply with all applicable corporate governance, conflict of interest, confidentiality, stock ownership and trading and other policies and guidelines of the Corporation applicable to all directors and in effect during such Person’s term in office as a director (and, if requested by any candidate for nomination, the Secretary of the Corporation shall provide to such candidate for nomination all such policies and guidelines then in effect).</w:t>
      </w:r>
    </w:p>
    <w:p>
      <w:pPr>
        <w:spacing w:after="0" w:line="197" w:lineRule="exact"/>
        <w:rPr>
          <w:sz w:val="20"/>
          <w:szCs w:val="20"/>
          <w:color w:val="auto"/>
        </w:rPr>
      </w:pPr>
    </w:p>
    <w:p>
      <w:pPr>
        <w:ind w:right="80" w:firstLine="850"/>
        <w:spacing w:after="0" w:line="266" w:lineRule="auto"/>
        <w:tabs>
          <w:tab w:leader="none" w:pos="13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in order for the Board of Directors to determine the eligibility of such candidate for nomination to be an independent director of the Corporation.</w:t>
      </w:r>
    </w:p>
    <w:p>
      <w:pPr>
        <w:spacing w:after="0" w:line="175" w:lineRule="exact"/>
        <w:rPr>
          <w:rFonts w:ascii="Times New Roman" w:cs="Times New Roman" w:eastAsia="Times New Roman" w:hAnsi="Times New Roman"/>
          <w:sz w:val="18"/>
          <w:szCs w:val="18"/>
          <w:color w:val="auto"/>
        </w:rPr>
      </w:pPr>
    </w:p>
    <w:p>
      <w:pPr>
        <w:ind w:right="20" w:firstLine="850"/>
        <w:spacing w:after="0" w:line="253" w:lineRule="auto"/>
        <w:tabs>
          <w:tab w:leader="none" w:pos="132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candidate for nomination as a director shall further update and supplement the materials delivered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if necessary, so that the information provided or required to be provided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(A) not later than five (5) business days after the record date for Stockholders entitled to vote at the meeting (in the case of the update and supplement required to be made as of such record date), and (B)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 w:name="page23"/>
    <w:bookmarkEnd w:id="22"/>
    <w:p>
      <w:pPr>
        <w:ind w:right="200"/>
        <w:spacing w:after="0" w:line="282" w:lineRule="auto"/>
        <w:rPr>
          <w:sz w:val="20"/>
          <w:szCs w:val="20"/>
          <w:color w:val="auto"/>
        </w:rPr>
      </w:pPr>
      <w:r>
        <w:rPr>
          <w:rFonts w:ascii="Times New Roman" w:cs="Times New Roman" w:eastAsia="Times New Roman" w:hAnsi="Times New Roman"/>
          <w:sz w:val="18"/>
          <w:szCs w:val="18"/>
          <w:color w:val="auto"/>
        </w:rPr>
        <w:t>or enable or be deemed to permit a stockholder who has previously submitted notice hereunder to amend or update any nomination or to submit any new nomination.</w:t>
      </w:r>
    </w:p>
    <w:p>
      <w:pPr>
        <w:spacing w:after="0" w:line="162" w:lineRule="exact"/>
        <w:rPr>
          <w:sz w:val="20"/>
          <w:szCs w:val="20"/>
          <w:color w:val="auto"/>
        </w:rPr>
      </w:pPr>
    </w:p>
    <w:p>
      <w:pPr>
        <w:ind w:right="280" w:firstLine="850"/>
        <w:spacing w:after="0" w:line="282" w:lineRule="auto"/>
        <w:tabs>
          <w:tab w:leader="none" w:pos="132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requirements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with respect to any nomination proposed to be made at a meeting, each Proposing Person shall comply with all applicable requirements of the Exchange Act with respect to any such nominations.</w:t>
      </w:r>
    </w:p>
    <w:p>
      <w:pPr>
        <w:spacing w:after="0" w:line="161" w:lineRule="exact"/>
        <w:rPr>
          <w:rFonts w:ascii="Times New Roman" w:cs="Times New Roman" w:eastAsia="Times New Roman" w:hAnsi="Times New Roman"/>
          <w:sz w:val="18"/>
          <w:szCs w:val="18"/>
          <w:color w:val="auto"/>
        </w:rPr>
      </w:pPr>
    </w:p>
    <w:p>
      <w:pPr>
        <w:jc w:val="both"/>
        <w:ind w:right="140" w:firstLine="850"/>
        <w:spacing w:after="0" w:line="256" w:lineRule="auto"/>
        <w:tabs>
          <w:tab w:leader="none" w:pos="132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candidate proposed by a Nominating Person shall be eligible for nomination as a director of the Corporation unless such candidate for nomination and the Nominating Person seeking to place such candidate’s name in nomination has complied with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as applicable. The presiding officer at the meeting shall, if the facts warrant, determine that a nomination was not properly made in accordance with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case for the nominee in question) shall be void and of no force or effect.</w:t>
      </w:r>
    </w:p>
    <w:p>
      <w:pPr>
        <w:spacing w:after="0" w:line="187" w:lineRule="exact"/>
        <w:rPr>
          <w:rFonts w:ascii="Times New Roman" w:cs="Times New Roman" w:eastAsia="Times New Roman" w:hAnsi="Times New Roman"/>
          <w:sz w:val="18"/>
          <w:szCs w:val="18"/>
          <w:color w:val="auto"/>
        </w:rPr>
      </w:pPr>
    </w:p>
    <w:p>
      <w:pPr>
        <w:ind w:firstLine="850"/>
        <w:spacing w:after="0" w:line="282" w:lineRule="auto"/>
        <w:tabs>
          <w:tab w:leader="none" w:pos="13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these Bylaws to the contrary, no candidate proposed by a Nominating Person for nomination at an annual or special meeting shall be eligible to be seated as a director of the Corporation unless nominated and elected in accordance with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0" w:firstLine="850"/>
        <w:spacing w:after="0" w:line="282" w:lineRule="auto"/>
        <w:tabs>
          <w:tab w:leader="none" w:pos="132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these Bylaws to the contrary, for so long as the Investor Rights Agreement remains in effect, CHS (to the extent then subject to the Investors Rights Agreement) shall not be subject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i w:val="1"/>
          <w:iCs w:val="1"/>
          <w:color w:val="auto"/>
        </w:rPr>
        <w:t>Delivery to the Corporation</w:t>
      </w:r>
      <w:r>
        <w:rPr>
          <w:rFonts w:ascii="Times New Roman" w:cs="Times New Roman" w:eastAsia="Times New Roman" w:hAnsi="Times New Roman"/>
          <w:sz w:val="18"/>
          <w:szCs w:val="18"/>
          <w:color w:val="auto"/>
        </w:rPr>
        <w:t xml:space="preserve">. Whenever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of this Article II requires one or more persons (including a record or beneficial owner of stock of the Corporation)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with respect to any notice from any stockholder of record or beneficial owner of the Corporation’s capital stock pursuant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of this Article II, to the fullest extent permitted by law, the Corporation expressly opts out of Section 116 of the DGCL.</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0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Number; Tenure; Qualifications</w:t>
      </w:r>
      <w:r>
        <w:rPr>
          <w:rFonts w:ascii="Times New Roman" w:cs="Times New Roman" w:eastAsia="Times New Roman" w:hAnsi="Times New Roman"/>
          <w:sz w:val="18"/>
          <w:szCs w:val="18"/>
          <w:color w:val="auto"/>
        </w:rPr>
        <w:t>. Subject to the Certificate of Incorporation and the rights of holders of any series of Preferred Stock to elect directors, the total number of directors constituting the entire Board of Directors shall be fixed from time to time exclusively by resolution adopted by a majority of the Whole Board of Directors. Each director shall hold office until his or her death, resignation, disqualification or removal, or as otherwise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3" w:name="page24"/>
    <w:bookmarkEnd w:id="23"/>
    <w:p>
      <w:pPr>
        <w:ind w:right="160"/>
        <w:spacing w:after="0" w:line="266" w:lineRule="auto"/>
        <w:rPr>
          <w:sz w:val="20"/>
          <w:szCs w:val="20"/>
          <w:color w:val="auto"/>
        </w:rPr>
      </w:pPr>
      <w:r>
        <w:rPr>
          <w:rFonts w:ascii="Times New Roman" w:cs="Times New Roman" w:eastAsia="Times New Roman" w:hAnsi="Times New Roman"/>
          <w:sz w:val="18"/>
          <w:szCs w:val="18"/>
          <w:color w:val="auto"/>
        </w:rPr>
        <w:t>set forth in the Certificate of Incorporation. No reduction of the authorized number of directors shall have the effect of removing any director before that director’s term of office expires. Directors need not be Stockholders to be qualified for election or service as a director of the Corporation. The Certificate of Incorporation or these Bylaws may prescribe qualifications for directors.</w:t>
      </w:r>
    </w:p>
    <w:p>
      <w:pPr>
        <w:spacing w:after="0" w:line="17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Election; Resignation; Removal; Vacancies</w:t>
      </w:r>
      <w:r>
        <w:rPr>
          <w:rFonts w:ascii="Times New Roman" w:cs="Times New Roman" w:eastAsia="Times New Roman" w:hAnsi="Times New Roman"/>
          <w:sz w:val="18"/>
          <w:szCs w:val="18"/>
          <w:color w:val="auto"/>
        </w:rPr>
        <w:t>. Except as otherwise provided in the Certificate of Incorporation or these Bylaws, directors shall be elected at the annual meeting of Stockholders by such Stockholders that have the right to vote on such election. Any director may resign at any time upon written or electronic notice to the Corporation. Such resignation shall be effective upon delivery unless otherwise specified. Directors of the Corporation may be removed only as expressly provided in the Certificate of Incorporation. Newly created directorships resulting from any increase in the authorized number of directors or any vacancies on the Board of Directors resulting from the death, resignation, disqualification, removal from office or other cause shall be filled as set forth in the Certificate of Incorporation. Any director so chosen shall hold office until his or her successor shall be elected and qualified.</w:t>
      </w:r>
    </w:p>
    <w:p>
      <w:pPr>
        <w:spacing w:after="0" w:line="183"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Regular Meetings</w:t>
      </w:r>
      <w:r>
        <w:rPr>
          <w:rFonts w:ascii="Times New Roman" w:cs="Times New Roman" w:eastAsia="Times New Roman" w:hAnsi="Times New Roman"/>
          <w:sz w:val="18"/>
          <w:szCs w:val="18"/>
          <w:color w:val="auto"/>
        </w:rPr>
        <w:t>. Regular meetings of the Board of Directors may be held at such places, if any, within or without the State of Delaware, and at such times as the Board of Directors may from time to time determine. A notice of regular meetings shall not be required.</w:t>
      </w:r>
    </w:p>
    <w:p>
      <w:pPr>
        <w:spacing w:after="0" w:line="1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color w:val="auto"/>
        </w:rPr>
        <w:t>. Special meetings of the Board of Directors may be called by a Chairperson or a majority of the directors then in office and shall be held at such time, date and place, if any, within or without the State of Delaware as he or she or they shall fix. Notice to directors of the date, place and time of any special meeting of the Board of Directors shall be given to each director by the Secretary or by the officer or one of the directors calling the meeting. Notice may be given in person, by United States first-class mail, or by e-mail, telephone, telecopier, facsimile or other means of electronic transmission. If the notice is delivered in person, by e-mail, telephone, telecopier, facsimile or other means of electronic transmission, it shall be delivered or sent at least twenty-four (24) hours before the time of holding of the meeting. If the notice is sent by mail, it shall be deposited in the United States mail at least four (4) days before the time of the holding of the meeting.</w:t>
      </w:r>
    </w:p>
    <w:p>
      <w:pPr>
        <w:spacing w:after="0" w:line="183" w:lineRule="exact"/>
        <w:rPr>
          <w:sz w:val="20"/>
          <w:szCs w:val="20"/>
          <w:color w:val="auto"/>
        </w:rPr>
      </w:pPr>
    </w:p>
    <w:p>
      <w:pPr>
        <w:jc w:val="both"/>
        <w:ind w:right="3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Telephonic Meetings Permitted</w:t>
      </w:r>
      <w:r>
        <w:rPr>
          <w:rFonts w:ascii="Times New Roman" w:cs="Times New Roman" w:eastAsia="Times New Roman" w:hAnsi="Times New Roman"/>
          <w:sz w:val="18"/>
          <w:szCs w:val="18"/>
          <w:color w:val="auto"/>
        </w:rPr>
        <w:t xml:space="preserve">. Members of the Board of Directors may participate in any meetings of the Board of Directors thereof by means of conference telephone or other communications equipment by means of which all persons participating in the meeting can hear each other, and participation in a meeting pursuant to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shall constitute presence in person at such meeting.</w:t>
      </w:r>
    </w:p>
    <w:p>
      <w:pPr>
        <w:spacing w:after="0" w:line="17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Quorum; Vote Required for Action</w:t>
      </w:r>
      <w:r>
        <w:rPr>
          <w:rFonts w:ascii="Times New Roman" w:cs="Times New Roman" w:eastAsia="Times New Roman" w:hAnsi="Times New Roman"/>
          <w:sz w:val="18"/>
          <w:szCs w:val="18"/>
          <w:color w:val="auto"/>
        </w:rPr>
        <w:t xml:space="preserve">. At all meetings of the Board of Directors a majority of the Whole Board of Directors shall constitute a quorum for the transaction of business; provided that, solely for the purposes of filling vacancies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of these Bylaws, a meeting of the Board of Directors may be held if a majority of the directors then in office participate in such meeting. The affirmative vote of a majority of the directors present at any meeting of the Board of Directors at which a quorum is present shall be the act of the Board of Directors, except as may be otherwise specifically required by applicable</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4" w:name="page25"/>
    <w:bookmarkEnd w:id="24"/>
    <w:p>
      <w:pPr>
        <w:ind w:right="80"/>
        <w:spacing w:after="0" w:line="282" w:lineRule="auto"/>
        <w:rPr>
          <w:sz w:val="20"/>
          <w:szCs w:val="20"/>
          <w:color w:val="auto"/>
        </w:rPr>
      </w:pPr>
      <w:r>
        <w:rPr>
          <w:rFonts w:ascii="Times New Roman" w:cs="Times New Roman" w:eastAsia="Times New Roman" w:hAnsi="Times New Roman"/>
          <w:sz w:val="18"/>
          <w:szCs w:val="18"/>
          <w:color w:val="auto"/>
        </w:rPr>
        <w:t>law,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60" w:lineRule="exact"/>
        <w:rPr>
          <w:sz w:val="20"/>
          <w:szCs w:val="20"/>
          <w:color w:val="auto"/>
        </w:rPr>
      </w:pPr>
    </w:p>
    <w:p>
      <w:pPr>
        <w:ind w:right="5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Meetings of the Board of Directors shall be presided over by at least one Chairperson, or in his, her or their absence by the person whom a Chairperson shall designate, or in the absence of the foregoing persons by a Chairperson chosen at the meeting by the affirmative vote of a majority of the directors present at the meeting. The Secretary shall act as secretary of the meeting, but in his or her absence the Chairperson of the meeting may appoint any person to act as secretary of the meeting.</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Action by Unanimous Consent of Directors</w:t>
      </w:r>
      <w:r>
        <w:rPr>
          <w:rFonts w:ascii="Times New Roman" w:cs="Times New Roman" w:eastAsia="Times New Roman" w:hAnsi="Times New Roman"/>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Thereafter, the writing or writings or electronic transmissions shall be filed with the minutes of proceedings of the Board of Directors or such committee in accordance with applicable law.</w:t>
      </w:r>
    </w:p>
    <w:p>
      <w:pPr>
        <w:spacing w:after="0" w:line="18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Compensation of Directors</w:t>
      </w:r>
      <w:r>
        <w:rPr>
          <w:rFonts w:ascii="Times New Roman" w:cs="Times New Roman" w:eastAsia="Times New Roman" w:hAnsi="Times New Roman"/>
          <w:sz w:val="18"/>
          <w:szCs w:val="18"/>
          <w:color w:val="auto"/>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or other compensation as a director. No such payment shall preclude any director from serving the Corporation in any other capacity and receiving compensation therefor. Members of special or standing committees may be allowed compensation for attending committee meetings. Any director of the Corporation may decline any or all such compensation payable to such director in his or her discretion.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COMMITTEES</w:t>
      </w:r>
    </w:p>
    <w:p>
      <w:pPr>
        <w:spacing w:after="0" w:line="205"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Committees</w:t>
      </w:r>
      <w:r>
        <w:rPr>
          <w:rFonts w:ascii="Times New Roman" w:cs="Times New Roman" w:eastAsia="Times New Roman" w:hAnsi="Times New Roman"/>
          <w:sz w:val="18"/>
          <w:szCs w:val="18"/>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such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 w:name="page26"/>
    <w:bookmarkEnd w:id="25"/>
    <w:p>
      <w:pPr>
        <w:ind w:right="160"/>
        <w:spacing w:after="0" w:line="256" w:lineRule="auto"/>
        <w:rPr>
          <w:sz w:val="20"/>
          <w:szCs w:val="20"/>
          <w:color w:val="auto"/>
        </w:rPr>
      </w:pPr>
      <w:r>
        <w:rPr>
          <w:rFonts w:ascii="Times New Roman" w:cs="Times New Roman" w:eastAsia="Times New Roman" w:hAnsi="Times New Roman"/>
          <w:sz w:val="18"/>
          <w:szCs w:val="18"/>
          <w:color w:val="auto"/>
        </w:rPr>
        <w:t>and authority of the committee. Except as otherwise provided in the Certificate of Incorporation, these Bylaws, or the resolution of the Board of Directors designating the committee (or resolution of the committee designating the subcommittee, if applicable), a majority of the directors then serving on a committee or subcommittee shall constitute a quorum for the transaction of business, and the vote of a majority of the members of the committee or subcommittee present at a meeting at which a quorum is present shall be the act of the committee or subcommittee. Special meetings of any committee of the Board of Directors may be held at any time or place, if any, within or without the State of Delaware whenever called by the Chairperson of such committee or a majority of the members of such committee.</w:t>
      </w:r>
    </w:p>
    <w:p>
      <w:pPr>
        <w:spacing w:after="0" w:line="185"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Committee Minutes</w:t>
      </w:r>
      <w:r>
        <w:rPr>
          <w:rFonts w:ascii="Times New Roman" w:cs="Times New Roman" w:eastAsia="Times New Roman" w:hAnsi="Times New Roman"/>
          <w:sz w:val="18"/>
          <w:szCs w:val="18"/>
          <w:color w:val="auto"/>
        </w:rPr>
        <w:t>. Each committee shall keep regular minutes of its meetings and report the same to the Board of Directors when required.</w:t>
      </w:r>
    </w:p>
    <w:p>
      <w:pPr>
        <w:spacing w:after="0" w:line="158"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Committee Rules</w:t>
      </w:r>
      <w:r>
        <w:rPr>
          <w:rFonts w:ascii="Times New Roman" w:cs="Times New Roman" w:eastAsia="Times New Roman" w:hAnsi="Times New Roman"/>
          <w:sz w:val="18"/>
          <w:szCs w:val="18"/>
          <w:color w:val="auto"/>
        </w:rPr>
        <w:t>.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Article III of these Bylaws.</w:t>
      </w:r>
    </w:p>
    <w:p>
      <w:pPr>
        <w:spacing w:after="0" w:line="17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OFFICERS</w:t>
      </w:r>
    </w:p>
    <w:p>
      <w:pPr>
        <w:spacing w:after="0" w:line="20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Officers</w:t>
      </w:r>
      <w:r>
        <w:rPr>
          <w:rFonts w:ascii="Times New Roman" w:cs="Times New Roman" w:eastAsia="Times New Roman" w:hAnsi="Times New Roman"/>
          <w:sz w:val="18"/>
          <w:szCs w:val="18"/>
          <w:color w:val="auto"/>
        </w:rPr>
        <w:t>. The officers of the Corporation shall be one (1) or more Chief Executive Officers, a President and a Secretary. The Corporation may also have, at the discretion of the Board of Directors, a Chairperson or Chairpersons of the Board of Directors a President, a Chief Financial Officer, a Treasurer, a General Counsel, one (1) or more Assistant Secretaries, one (1) or more Assistant Treasurers, and any such other officers as may be appointed in accordance with the provisions of these Bylaws. Each officer of the Corporation shall hold office for such term as may be prescribed by the Board of Directors and until his or her successor is duly elected and qualified or until his or her earlier death, resignation or removal. No officer need be a stockholder or director of the Corporation.</w:t>
      </w:r>
    </w:p>
    <w:p>
      <w:pPr>
        <w:spacing w:after="0" w:line="182"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Appointment of Officers</w:t>
      </w:r>
      <w:r>
        <w:rPr>
          <w:rFonts w:ascii="Times New Roman" w:cs="Times New Roman" w:eastAsia="Times New Roman" w:hAnsi="Times New Roman"/>
          <w:sz w:val="18"/>
          <w:szCs w:val="18"/>
          <w:color w:val="auto"/>
        </w:rPr>
        <w:t xml:space="preserve">. The Board of Directors shall appoint the officers of the Corporation, except such officers as may be appointed in accordance with the provisions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of these Bylaws.</w:t>
      </w:r>
    </w:p>
    <w:p>
      <w:pPr>
        <w:spacing w:after="0" w:line="15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Subordinate Officer</w:t>
      </w:r>
      <w:r>
        <w:rPr>
          <w:rFonts w:ascii="Times New Roman" w:cs="Times New Roman" w:eastAsia="Times New Roman" w:hAnsi="Times New Roman"/>
          <w:sz w:val="18"/>
          <w:szCs w:val="18"/>
          <w:color w:val="auto"/>
        </w:rPr>
        <w:t>. The Board of Directors may appoint, or empower a Chief Executive Officer or, in the absence of a Chief Executive Officer, a President, to appoint, such other officers and agents as the business of the Corporation may require. Each of such officers and agents shall hold office for such period, have such authority, and perform such duties as are provided in these Bylaws or as the Board of Directors may from time to time determine, subject in each case to the control of the Board of Directors.</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Removal and Resignation of Officers</w:t>
      </w:r>
      <w:r>
        <w:rPr>
          <w:rFonts w:ascii="Times New Roman" w:cs="Times New Roman" w:eastAsia="Times New Roman" w:hAnsi="Times New Roman"/>
          <w:sz w:val="18"/>
          <w:szCs w:val="18"/>
          <w:color w:val="auto"/>
        </w:rPr>
        <w:t>. Any officer may be removed, either with or without cause, by an affirmative vote of the Board of Directors or, except in the case of an officer chosen by the Board of Directors, by any officer upon whom such power of removal may be conferred by the Board of Directors. Any officer may resign at any time by giving notice in writing or by electronic transmission to the Corporation. Any resignation shall take effect at</w:t>
      </w:r>
    </w:p>
    <w:p>
      <w:pPr>
        <w:spacing w:after="0" w:line="2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the date of the receipt of that notice or at any later time specified in that notice. Unless otherwise specified in the notice of resignation, the acceptance of the resignation shall not be necessary to make it effective. If a resignation is made effective at a later date and the Corporation accepts the future effective date, the Board of Directors may fill the pending vacancy before the effective date if the Board of Directors provides that the successor shall not take office until the effective date. Any resignation is without prejudice to the rights, if any, of the Corporation under any contract to which the officer is a party.</w:t>
      </w:r>
    </w:p>
    <w:p>
      <w:pPr>
        <w:spacing w:after="0" w:line="178" w:lineRule="exact"/>
        <w:rPr>
          <w:sz w:val="20"/>
          <w:szCs w:val="20"/>
          <w:color w:val="auto"/>
        </w:rPr>
      </w:pPr>
    </w:p>
    <w:p>
      <w:pPr>
        <w:ind w:right="5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Vacancies in Offices</w:t>
      </w:r>
      <w:r>
        <w:rPr>
          <w:rFonts w:ascii="Times New Roman" w:cs="Times New Roman" w:eastAsia="Times New Roman" w:hAnsi="Times New Roman"/>
          <w:sz w:val="18"/>
          <w:szCs w:val="18"/>
          <w:color w:val="auto"/>
        </w:rPr>
        <w:t xml:space="preserve">. Any vacancy occurring in any office of the Corporation shall be filled by the Board of Directors or as provided in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Chief Executive Officer(s)</w:t>
      </w:r>
      <w:r>
        <w:rPr>
          <w:rFonts w:ascii="Times New Roman" w:cs="Times New Roman" w:eastAsia="Times New Roman" w:hAnsi="Times New Roman"/>
          <w:sz w:val="18"/>
          <w:szCs w:val="18"/>
          <w:color w:val="auto"/>
        </w:rPr>
        <w:t>. Subject to such supervisory powers, if any, as may be given by the Board of Directors to a Chairperson, if any, the Chief Executive Officer (if such officer or officers are appointed) shall, subject to the control of the Board of Directors, have general supervision, direction, and control of the business and the officers of the Corporation. In the absence or nonexistence of a Chairperson or the Chief Executive Officer (if he, she or they are also directors) shall preside at all meetings of the Board of Directors at which he, she or they, as applicable, are present and shall have the general powers and duties of management usually vested in the office of chief executive officer of a corporation and shall have such other powers and duties as may be prescribed by the Board of Directors or these Bylaws.</w:t>
      </w:r>
    </w:p>
    <w:p>
      <w:pPr>
        <w:spacing w:after="0" w:line="18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i w:val="1"/>
          <w:iCs w:val="1"/>
          <w:color w:val="auto"/>
        </w:rPr>
        <w:t>President</w:t>
      </w:r>
      <w:r>
        <w:rPr>
          <w:rFonts w:ascii="Times New Roman" w:cs="Times New Roman" w:eastAsia="Times New Roman" w:hAnsi="Times New Roman"/>
          <w:sz w:val="18"/>
          <w:szCs w:val="18"/>
          <w:color w:val="auto"/>
        </w:rPr>
        <w:t>. The Board of Directors may appoint a President. Subject to such supervisory powers, if any, as may be given by the Board of Directors to a Chairperson (if any), the Chief Executive Officer, the President, if appointed,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of Directors or these Bylaws.</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Secretary</w:t>
      </w:r>
      <w:r>
        <w:rPr>
          <w:rFonts w:ascii="Times New Roman" w:cs="Times New Roman" w:eastAsia="Times New Roman" w:hAnsi="Times New Roman"/>
          <w:sz w:val="18"/>
          <w:szCs w:val="18"/>
          <w:color w:val="auto"/>
        </w:rPr>
        <w:t>. 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 The Secretary shall keep, or cause to be kept, at the principal executive office of the Corporation or at the office of the Corporation’s transfer agent or registrar, as determined by resolution of the Board of Directors, a stock ledger, or a duplicate stock ledger, showing the names of all Stockholders and their addresses, the number and classes of shares held by each, the number and date of certificates evidencing such shares (if such shares are to be certificated), and the number and date of cancellation of every certificate surrendered for cancellation. The Secretary shall give, or cause to be given, notice of all meetings of the Stockholders and of the Board of Directors required to be given by law or by these Bylaws. He or she shall keep the seal of the Corporation, if one be adopted, in safe custody and shall have such other powers and perform such other duties as may be prescribed by the Board of Directors or by these Bylaws.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7" w:name="page28"/>
    <w:bookmarkEnd w:id="27"/>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i w:val="1"/>
          <w:iCs w:val="1"/>
          <w:color w:val="auto"/>
        </w:rPr>
        <w:t>Chief Financial Officer</w:t>
      </w:r>
      <w:r>
        <w:rPr>
          <w:rFonts w:ascii="Times New Roman" w:cs="Times New Roman" w:eastAsia="Times New Roman" w:hAnsi="Times New Roman"/>
          <w:sz w:val="18"/>
          <w:szCs w:val="18"/>
          <w:color w:val="auto"/>
        </w:rPr>
        <w:t>. The Chief Financial Officer (the “</w:t>
      </w:r>
      <w:r>
        <w:rPr>
          <w:rFonts w:ascii="Times New Roman" w:cs="Times New Roman" w:eastAsia="Times New Roman" w:hAnsi="Times New Roman"/>
          <w:sz w:val="18"/>
          <w:szCs w:val="18"/>
          <w:b w:val="1"/>
          <w:bCs w:val="1"/>
          <w:color w:val="auto"/>
        </w:rPr>
        <w:t>CFO</w:t>
      </w:r>
      <w:r>
        <w:rPr>
          <w:rFonts w:ascii="Times New Roman" w:cs="Times New Roman" w:eastAsia="Times New Roman" w:hAnsi="Times New Roman"/>
          <w:sz w:val="18"/>
          <w:szCs w:val="18"/>
          <w:color w:val="auto"/>
        </w:rPr>
        <w:t>”) shall be the treasurer and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 The CFO shall deposit all moneys and other valuables in the name and to the credit of the Corporation with such depositories as may be designated by the Board of Directors. He or she shall disburse the funds of the Corporation as may be ordered by the Board of Directors, shall render to the President, if any is appointed, the Chief Executive Officer, or the directors, upon request, an account of all his or her transactions as CFO and of the financial condition of the Corporation, and shall have other powers and perform such other duties as may be prescribed by the Board of Directors or these Bylaws.</w:t>
      </w:r>
    </w:p>
    <w:p>
      <w:pPr>
        <w:spacing w:after="0" w:line="18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i w:val="1"/>
          <w:iCs w:val="1"/>
          <w:color w:val="auto"/>
        </w:rPr>
        <w:t>Representation of Equity Interests of Other Entities</w:t>
      </w:r>
      <w:r>
        <w:rPr>
          <w:rFonts w:ascii="Times New Roman" w:cs="Times New Roman" w:eastAsia="Times New Roman" w:hAnsi="Times New Roman"/>
          <w:sz w:val="18"/>
          <w:szCs w:val="18"/>
          <w:color w:val="auto"/>
        </w:rPr>
        <w:t>. Unless otherwise directed by the Board of Directors, the Chief Executive Officer, as applicable, or the President or any other person authorized by the Board of Directors, the Chief Executive Officer, or the President is authorized to vote, represent and exercise on behalf of the Corporation all rights incident to any and all shares, securities or interests of any other corporation or entity standing in the name of the Corporation. The authority granted herein may be exercised either by such person directly or by any other person authorized to do so by proxy or power of attorney duly executed by such person having the authority.</w:t>
      </w:r>
    </w:p>
    <w:p>
      <w:pPr>
        <w:spacing w:after="0" w:line="183" w:lineRule="exact"/>
        <w:rPr>
          <w:sz w:val="20"/>
          <w:szCs w:val="20"/>
          <w:color w:val="auto"/>
        </w:rPr>
      </w:pPr>
    </w:p>
    <w:p>
      <w:pPr>
        <w:jc w:val="both"/>
        <w:ind w:right="4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i w:val="1"/>
          <w:iCs w:val="1"/>
          <w:color w:val="auto"/>
        </w:rPr>
        <w:t>Authority and Duties of Officers</w:t>
      </w:r>
      <w:r>
        <w:rPr>
          <w:rFonts w:ascii="Times New Roman" w:cs="Times New Roman" w:eastAsia="Times New Roman" w:hAnsi="Times New Roman"/>
          <w:sz w:val="18"/>
          <w:szCs w:val="18"/>
          <w:color w:val="auto"/>
        </w:rPr>
        <w:t>. All officers of the Corporation shall respectively have such powers and authority and shall perform such duties in the management of the business of the Corporation as may be provided herein or designated from time to time by the Board of Directors and, to the extent not so provided, as generally pertain to their respective offices, subject to the control of the Board of Directors.</w:t>
      </w:r>
    </w:p>
    <w:p>
      <w:pPr>
        <w:spacing w:after="0" w:line="173"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The compensation of the officers of the Corporation for their services as such shall be fixed from time to time by or at the direction of the Board of Directors. An officer of the Corporation shall not be prevented from receiving compensation by reason of the fact that he or she is also a director of the Corporation.</w:t>
      </w:r>
    </w:p>
    <w:p>
      <w:pPr>
        <w:spacing w:after="0" w:line="1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STOCK</w:t>
      </w:r>
    </w:p>
    <w:p>
      <w:pPr>
        <w:spacing w:after="0" w:line="20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Certificates</w:t>
      </w:r>
      <w:r>
        <w:rPr>
          <w:rFonts w:ascii="Times New Roman" w:cs="Times New Roman" w:eastAsia="Times New Roman" w:hAnsi="Times New Roman"/>
          <w:sz w:val="18"/>
          <w:szCs w:val="18"/>
          <w:color w:val="auto"/>
        </w:rPr>
        <w:t>. The shares of the Corporation shall be represented by certificates, provided that the Board of Directors by resolution may provide that some or all of the shares of any class or series of stock of the Corporation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Chairperson of the Board, the Chief Executive Officer, a President, Vice President, Chief Financial Officer, the Treasurer, any Assistant Treasurer, the General Counsel, the Secretary or any Assistant Secretary of the Corporation shall be specifically authorized to sign stock certificates. Any or all of the signatures on the certificate may be a facsimile. In case any</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28" w:name="page29"/>
    <w:bookmarkEnd w:id="28"/>
    <w:p>
      <w:pPr>
        <w:ind w:right="120"/>
        <w:spacing w:after="0" w:line="255" w:lineRule="auto"/>
        <w:rPr>
          <w:sz w:val="20"/>
          <w:szCs w:val="20"/>
          <w:color w:val="auto"/>
        </w:rPr>
      </w:pPr>
      <w:r>
        <w:rPr>
          <w:rFonts w:ascii="Times New Roman" w:cs="Times New Roman" w:eastAsia="Times New Roman" w:hAnsi="Times New Roman"/>
          <w:sz w:val="18"/>
          <w:szCs w:val="18"/>
          <w:color w:val="auto"/>
        </w:rPr>
        <w:t>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 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Lost, Stolen or Destroyed Stock Certificates; Issuance of New Certificates</w:t>
      </w:r>
      <w:r>
        <w:rPr>
          <w:rFonts w:ascii="Times New Roman" w:cs="Times New Roman" w:eastAsia="Times New Roman" w:hAnsi="Times New Roman"/>
          <w:sz w:val="18"/>
          <w:szCs w:val="18"/>
          <w:color w:val="auto"/>
        </w:rPr>
        <w:t>. The Corporation may issue a new certificate for shares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 The Board of Directors may establish regulations, rules or procedures concerning the proof required for adequately alleging the loss, theft or destruction of any Stock certificate and concerning the giving of a satisfactory bond or bonds of indemnity.</w:t>
      </w:r>
    </w:p>
    <w:p>
      <w:pPr>
        <w:spacing w:after="0" w:line="182"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Shares Without Certificates</w:t>
      </w:r>
      <w:r>
        <w:rPr>
          <w:rFonts w:ascii="Times New Roman" w:cs="Times New Roman" w:eastAsia="Times New Roman" w:hAnsi="Times New Roman"/>
          <w:sz w:val="18"/>
          <w:szCs w:val="18"/>
          <w:color w:val="auto"/>
        </w:rPr>
        <w:t>. 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INDEMNIFICATION AND ADVANCEMENT OF EXPENSES</w:t>
      </w:r>
    </w:p>
    <w:p>
      <w:pPr>
        <w:spacing w:after="0" w:line="20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Right to Indemnification</w:t>
      </w:r>
      <w:r>
        <w:rPr>
          <w:rFonts w:ascii="Times New Roman" w:cs="Times New Roman" w:eastAsia="Times New Roman" w:hAnsi="Times New Roman"/>
          <w:sz w:val="18"/>
          <w:szCs w:val="18"/>
          <w:color w:val="auto"/>
        </w:rPr>
        <w:t>. The Corporation shall indemnify and hold harmless, to the fullest extent permitted by applicable law (including as it presently exists or may hereafter be amended, but, in the case of any such amendment, only to the extent that such amendment permits the Corporation to provide broader indemnification rights than such law permitted the Corporation to provide prior to such amendment), any person (a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who was or is made or is threatened to be made a party or is otherwise involved in any action, suit or proceeding, whether civil, criminal, administrative or investigative (any such action, suit or proceeding,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xml:space="preserve">”),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limited liability company,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Covered Person. Notwithstanding the preceding sentence, except as otherwise provided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of these Bylaws, the Corporation shall be</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9" w:name="page30"/>
    <w:bookmarkEnd w:id="29"/>
    <w:p>
      <w:pPr>
        <w:ind w:right="100"/>
        <w:spacing w:after="0" w:line="282" w:lineRule="auto"/>
        <w:rPr>
          <w:sz w:val="20"/>
          <w:szCs w:val="20"/>
          <w:color w:val="auto"/>
        </w:rPr>
      </w:pPr>
      <w:r>
        <w:rPr>
          <w:rFonts w:ascii="Times New Roman" w:cs="Times New Roman" w:eastAsia="Times New Roman" w:hAnsi="Times New Roman"/>
          <w:sz w:val="18"/>
          <w:szCs w:val="18"/>
          <w:color w:val="auto"/>
        </w:rPr>
        <w:t>required to indemnify a Covered Person in connection with a proceeding (or part thereof) commenced by such Covered Person only if the commencement of such proceeding (or part thereof) by the Covered Person was authorized in the specific case by the Board of Directors.</w:t>
      </w:r>
    </w:p>
    <w:p>
      <w:pPr>
        <w:spacing w:after="0" w:line="16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Indemnification of Others</w:t>
      </w:r>
      <w:r>
        <w:rPr>
          <w:rFonts w:ascii="Times New Roman" w:cs="Times New Roman" w:eastAsia="Times New Roman" w:hAnsi="Times New Roman"/>
          <w:sz w:val="18"/>
          <w:szCs w:val="18"/>
          <w:color w:val="auto"/>
        </w:rPr>
        <w:t>. The Corporation shall have the power (but not the obligation)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 The ultimate determination of entitlement to indemnification of persons who are employees or agents of the Corporation shall be made in such manner as is determined by the Board of Directors in its sole discretion.</w:t>
      </w:r>
    </w:p>
    <w:p>
      <w:pPr>
        <w:spacing w:after="0" w:line="18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Advancement of Expenses</w:t>
      </w:r>
      <w:r>
        <w:rPr>
          <w:rFonts w:ascii="Times New Roman" w:cs="Times New Roman" w:eastAsia="Times New Roman" w:hAnsi="Times New Roman"/>
          <w:sz w:val="18"/>
          <w:szCs w:val="18"/>
          <w:color w:val="auto"/>
        </w:rPr>
        <w:t xml:space="preserve">. The Corporation shall to the fullest extent not prohibited by applicable law pay the expenses (including attorneys’ fees) incurred by a Covered Person in defending any proceeding in advance of its final disposition,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VII or otherwise.</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Claims</w:t>
      </w:r>
      <w:r>
        <w:rPr>
          <w:rFonts w:ascii="Times New Roman" w:cs="Times New Roman" w:eastAsia="Times New Roman" w:hAnsi="Times New Roman"/>
          <w:sz w:val="18"/>
          <w:szCs w:val="18"/>
          <w:color w:val="auto"/>
        </w:rPr>
        <w:t>. If a claim for indemnification under this Article VII (following the final disposition of such proceeding) is not paid in full within sixty (60) days after the Corporation has received a written claim therefor by the Covered Person, or if a claim for any advancement of expenses under this Article VII is not paid in full within thirty (30) days after the Corporation has received a written statement or statements requesting such amounts to be advanced, the Covered Person shall thereupon (but not before) be entitled to file suit to recover the unpaid amount of such claim. If successful in whole or in part, the Covered Person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Non-exclusivity of Rights</w:t>
      </w:r>
      <w:r>
        <w:rPr>
          <w:rFonts w:ascii="Times New Roman" w:cs="Times New Roman" w:eastAsia="Times New Roman" w:hAnsi="Times New Roman"/>
          <w:sz w:val="18"/>
          <w:szCs w:val="18"/>
          <w:color w:val="auto"/>
        </w:rPr>
        <w:t>. The rights conferred on any Covered Person by this Article VII shall not be exclusive of any other rights which such Covered Person may have or hereafter acquires under any statute, provision of the Certificate of Incorporation, these Bylaws, agreement, vote of Stockholders or disinterested directors or otherwise.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183"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w:t>
      </w: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0" w:name="page31"/>
    <w:bookmarkEnd w:id="30"/>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7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Other Sources</w:t>
      </w:r>
      <w:r>
        <w:rPr>
          <w:rFonts w:ascii="Times New Roman" w:cs="Times New Roman" w:eastAsia="Times New Roman" w:hAnsi="Times New Roman"/>
          <w:sz w:val="18"/>
          <w:szCs w:val="18"/>
          <w:color w:val="auto"/>
        </w:rPr>
        <w:t>. The Corporation’s obligation, if any, to indemnify or to advance expenses to any Covered Person who was or is serving at its request as a director, officer, employee or agent of another corporation, partnership, limited liability company, joint venture, trust, enterprise or nonprofit entity shall be reduced by any amount such Covered Person may collect as indemnification or advancement of expenses from such other corporation, partnership, limited liability company, joint venture, trust, enterprise or non-profit enterprise.</w:t>
      </w:r>
    </w:p>
    <w:p>
      <w:pPr>
        <w:spacing w:after="0" w:line="180"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Continuation of Indemnification</w:t>
      </w:r>
      <w:r>
        <w:rPr>
          <w:rFonts w:ascii="Times New Roman" w:cs="Times New Roman" w:eastAsia="Times New Roman" w:hAnsi="Times New Roman"/>
          <w:sz w:val="18"/>
          <w:szCs w:val="18"/>
          <w:color w:val="auto"/>
        </w:rPr>
        <w:t>. The rights to indemnification and to advancement of expenses provided by, or granted pursuant to, this Article VII shall continue as to a Person who has ceased to be a director or officer of the Corporation and shall inure to the benefit of the estate, heirs, executors, administrators, legatees and distributees of such Person.</w:t>
      </w:r>
    </w:p>
    <w:p>
      <w:pPr>
        <w:spacing w:after="0" w:line="173"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Amendment or Repeal</w:t>
      </w:r>
      <w:r>
        <w:rPr>
          <w:rFonts w:ascii="Times New Roman" w:cs="Times New Roman" w:eastAsia="Times New Roman" w:hAnsi="Times New Roman"/>
          <w:sz w:val="18"/>
          <w:szCs w:val="18"/>
          <w:color w:val="auto"/>
        </w:rPr>
        <w:t>. Any right to indemnification or to advancement of expenses of any Covered Person arising hereunder shall not be eliminated or impaired by an amendment to or repeal of these Bylaws or an amendment to the Certificate of Incorporation after the occurrence of the act or omission that is the subject of the proceeding for which indemnification or advancement of expenses is sought. If this Bylaw or any portion hereof shall be invalidated on any ground by any court of competent jurisdiction, then the Corporation shall nevertheless indemnify each director and executive officer to the full extent not prohibited by any applicable portion of this section that shall not have been invalidated, or by any other applicable law.</w:t>
      </w:r>
    </w:p>
    <w:p>
      <w:pPr>
        <w:spacing w:after="0" w:line="182" w:lineRule="exact"/>
        <w:rPr>
          <w:sz w:val="20"/>
          <w:szCs w:val="20"/>
          <w:color w:val="auto"/>
        </w:rPr>
      </w:pPr>
    </w:p>
    <w:p>
      <w:pPr>
        <w:jc w:val="both"/>
        <w:ind w:right="1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Other Indemnification and Advancement of Expenses</w:t>
      </w:r>
      <w:r>
        <w:rPr>
          <w:rFonts w:ascii="Times New Roman" w:cs="Times New Roman" w:eastAsia="Times New Roman" w:hAnsi="Times New Roman"/>
          <w:sz w:val="18"/>
          <w:szCs w:val="18"/>
          <w:color w:val="auto"/>
        </w:rPr>
        <w:t>. This Article VII shall not limit the right of the Corporation, to the extent and in the manner permitted by law, to indemnify and to advance expenses to persons other than Covered Persons when and as authorized by appropriate corporate action.</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MISCELLANEOUS</w:t>
      </w:r>
    </w:p>
    <w:p>
      <w:pPr>
        <w:spacing w:after="0" w:line="20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7"/>
          <w:szCs w:val="17"/>
          <w:i w:val="1"/>
          <w:iCs w:val="1"/>
          <w:color w:val="auto"/>
        </w:rPr>
        <w:t>Fiscal Year</w:t>
      </w:r>
      <w:r>
        <w:rPr>
          <w:rFonts w:ascii="Times New Roman" w:cs="Times New Roman" w:eastAsia="Times New Roman" w:hAnsi="Times New Roman"/>
          <w:sz w:val="17"/>
          <w:szCs w:val="17"/>
          <w:color w:val="auto"/>
        </w:rPr>
        <w:t>. The fiscal year of the Corporation shall be determined by resolution of the Board of Directors.</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Execution of Corporate Contracts and Instruments</w:t>
      </w:r>
      <w:r>
        <w:rPr>
          <w:rFonts w:ascii="Times New Roman" w:cs="Times New Roman" w:eastAsia="Times New Roman" w:hAnsi="Times New Roman"/>
          <w:sz w:val="18"/>
          <w:szCs w:val="18"/>
          <w:color w:val="auto"/>
        </w:rPr>
        <w:t>. 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 Any document, including without limitation, any consent, agreement, certificate or instrument, required by the DGCL, the Certificate of Incorporation or these Bylaws to be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31" w:name="page32"/>
    <w:bookmarkEnd w:id="31"/>
    <w:p>
      <w:pPr>
        <w:spacing w:after="0" w:line="266" w:lineRule="auto"/>
        <w:rPr>
          <w:sz w:val="20"/>
          <w:szCs w:val="20"/>
          <w:color w:val="auto"/>
        </w:rPr>
      </w:pPr>
      <w:r>
        <w:rPr>
          <w:rFonts w:ascii="Times New Roman" w:cs="Times New Roman" w:eastAsia="Times New Roman" w:hAnsi="Times New Roman"/>
          <w:sz w:val="18"/>
          <w:szCs w:val="18"/>
          <w:color w:val="auto"/>
        </w:rPr>
        <w:t>executed by any officer, director, stockholder, employee or agent of the Corporation may be executed using a facsimile or other form of electronic signature to the fullest extent permitted by applicable law. All other contracts, agreements, certificates or instruments to be executed on behalf of the Corporation may be executed using a facsimile or other form of electronic signature to the fullest extent permitted by applicable law.</w:t>
      </w:r>
    </w:p>
    <w:p>
      <w:pPr>
        <w:spacing w:after="0" w:line="17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Board of Directors, subject to any restrictions contained in either (i) the DGCL or (ii) the Certificate of Incorporation, may declare and pay dividends out of funds legally available therefor upon the shares of its Stock. Dividends may be paid in cash, in property or in shares of the Corporation’s Stock. 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83"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Registered Stockholders</w:t>
      </w:r>
      <w:r>
        <w:rPr>
          <w:rFonts w:ascii="Times New Roman" w:cs="Times New Roman" w:eastAsia="Times New Roman" w:hAnsi="Times New Roman"/>
          <w:sz w:val="18"/>
          <w:szCs w:val="18"/>
          <w:color w:val="auto"/>
        </w:rPr>
        <w:t>. The Corporation: (i) shall be entitled to recognize the exclusive right of a Person registered on its books as the owner of shares to receive dividends and to vote as such owner; and (ii) 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80"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Corporate Seal</w:t>
      </w:r>
      <w:r>
        <w:rPr>
          <w:rFonts w:ascii="Times New Roman" w:cs="Times New Roman" w:eastAsia="Times New Roman" w:hAnsi="Times New Roman"/>
          <w:sz w:val="18"/>
          <w:szCs w:val="18"/>
          <w:color w:val="auto"/>
        </w:rPr>
        <w:t>. The Corporation may adopt a corporate seal, which shall be adopted and which may be altered by the Board of Directors. The Corporation may use the corporate seal by causing it or a facsimile thereof to be impressed or affixed or in any other manner reproduced.</w:t>
      </w:r>
    </w:p>
    <w:p>
      <w:pPr>
        <w:spacing w:after="0" w:line="158" w:lineRule="exact"/>
        <w:rPr>
          <w:sz w:val="20"/>
          <w:szCs w:val="20"/>
          <w:color w:val="auto"/>
        </w:rPr>
      </w:pPr>
    </w:p>
    <w:p>
      <w:pPr>
        <w:jc w:val="both"/>
        <w:ind w:right="1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Construction; Definitions</w:t>
      </w:r>
      <w:r>
        <w:rPr>
          <w:rFonts w:ascii="Times New Roman" w:cs="Times New Roman" w:eastAsia="Times New Roman" w:hAnsi="Times New Roman"/>
          <w:sz w:val="18"/>
          <w:szCs w:val="18"/>
          <w:color w:val="auto"/>
        </w:rPr>
        <w:t>. 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73"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18"/>
          <w:szCs w:val="18"/>
          <w:color w:val="auto"/>
        </w:rPr>
        <w:t>Section 8.07.</w:t>
      </w:r>
      <w:r>
        <w:rPr>
          <w:sz w:val="20"/>
          <w:szCs w:val="20"/>
          <w:color w:val="auto"/>
        </w:rPr>
        <w:tab/>
      </w:r>
      <w:r>
        <w:rPr>
          <w:rFonts w:ascii="Times New Roman" w:cs="Times New Roman" w:eastAsia="Times New Roman" w:hAnsi="Times New Roman"/>
          <w:sz w:val="17"/>
          <w:szCs w:val="17"/>
          <w:i w:val="1"/>
          <w:iCs w:val="1"/>
          <w:color w:val="auto"/>
        </w:rPr>
        <w:t>Manner of Notice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right="280" w:firstLine="850"/>
        <w:spacing w:after="0" w:line="266" w:lineRule="auto"/>
        <w:tabs>
          <w:tab w:leader="none" w:pos="131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by Electronic Transmission</w:t>
      </w:r>
      <w:r>
        <w:rPr>
          <w:rFonts w:ascii="Times New Roman" w:cs="Times New Roman" w:eastAsia="Times New Roman" w:hAnsi="Times New Roman"/>
          <w:sz w:val="18"/>
          <w:szCs w:val="18"/>
          <w:color w:val="auto"/>
        </w:rPr>
        <w:t>. 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to the extent permitted by law.</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 (i) if by facsimile telecommunication, when directed to a number at which the Stockholder has consented to receive notice; (ii) if by electronic mail, when directed to such Stockholder’s electronic mail address unless the Stockholder has notified the Corporation in writing or by electronic transmission of an objection to receiving notice by electronic mail; (iii) if by a posting on an electronic network together with separate notice to the Stockholder of such specific posting, upon the later of (A) such posting and (B) the giving of such separate notice; and (iv) if by any</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2" w:name="page33"/>
    <w:bookmarkEnd w:id="32"/>
    <w:p>
      <w:pPr>
        <w:ind w:right="1060"/>
        <w:spacing w:after="0" w:line="282" w:lineRule="auto"/>
        <w:rPr>
          <w:sz w:val="20"/>
          <w:szCs w:val="20"/>
          <w:color w:val="auto"/>
        </w:rPr>
      </w:pPr>
      <w:r>
        <w:rPr>
          <w:rFonts w:ascii="Times New Roman" w:cs="Times New Roman" w:eastAsia="Times New Roman" w:hAnsi="Times New Roman"/>
          <w:sz w:val="18"/>
          <w:szCs w:val="18"/>
          <w:color w:val="auto"/>
        </w:rPr>
        <w:t>other form of electronic transmission, when directed to the Stockholder. A notice by electronic mail must include a prominent legend that the communication is an important notice regarding the Corporation.</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 affidavit of the Secretary or an Assistant Secretary of the Corporation or of the transfer agent or other agent of the Corporation that the notice has been given shall, in the absence of fraud, be prima facie evidence of the facts stated therein. For the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ind w:firstLine="850"/>
        <w:spacing w:after="0" w:line="274" w:lineRule="auto"/>
        <w:tabs>
          <w:tab w:leader="none" w:pos="132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to Stockholders Sharing an Address</w:t>
      </w:r>
      <w:r>
        <w:rPr>
          <w:rFonts w:ascii="Times New Roman" w:cs="Times New Roman" w:eastAsia="Times New Roman" w:hAnsi="Times New Roman"/>
          <w:sz w:val="17"/>
          <w:szCs w:val="17"/>
          <w:color w:val="auto"/>
        </w:rPr>
        <w:t xml:space="preserve">. Without limiting the manner by which notice otherwise may be given effectively to Stockholders, and except as prohibited by applicable law, any notice to Stockholders given by the Corporation under any provision of applicable law,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sixty (60) days of having been given written notice by the Corporation of its intention to send the single notice permitted under this </w:t>
      </w:r>
      <w:r>
        <w:rPr>
          <w:rFonts w:ascii="Times New Roman" w:cs="Times New Roman" w:eastAsia="Times New Roman" w:hAnsi="Times New Roman"/>
          <w:sz w:val="17"/>
          <w:szCs w:val="17"/>
          <w:u w:val="single" w:color="auto"/>
          <w:color w:val="auto"/>
        </w:rPr>
        <w:t>Section 8.07</w:t>
      </w:r>
      <w:r>
        <w:rPr>
          <w:rFonts w:ascii="Times New Roman" w:cs="Times New Roman" w:eastAsia="Times New Roman" w:hAnsi="Times New Roman"/>
          <w:sz w:val="17"/>
          <w:szCs w:val="17"/>
          <w:color w:val="auto"/>
        </w:rPr>
        <w:t>, shall be deemed to have consented to receiving such single written notice.</w:t>
      </w:r>
    </w:p>
    <w:p>
      <w:pPr>
        <w:spacing w:after="0" w:line="170" w:lineRule="exact"/>
        <w:rPr>
          <w:rFonts w:ascii="Times New Roman" w:cs="Times New Roman" w:eastAsia="Times New Roman" w:hAnsi="Times New Roman"/>
          <w:sz w:val="17"/>
          <w:szCs w:val="17"/>
          <w:color w:val="auto"/>
        </w:rPr>
      </w:pPr>
    </w:p>
    <w:p>
      <w:pPr>
        <w:jc w:val="both"/>
        <w:ind w:right="260" w:firstLine="850"/>
        <w:spacing w:after="0" w:line="261" w:lineRule="auto"/>
        <w:tabs>
          <w:tab w:leader="none" w:pos="13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Directors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otherwise provided herein or permitted by applicable law, notices to any director may be in writing and delivered personally or mailed to such director at such director’s address appearing on the books of the Corporation, or may be given by telephone or by any means of electronic transmission (including, without limitation, electronic mail) directed to an address for receipt by such director of electronic transmissions appearing on the books of the Corporation.</w:t>
      </w:r>
    </w:p>
    <w:p>
      <w:pPr>
        <w:spacing w:after="0" w:line="18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i w:val="1"/>
          <w:iCs w:val="1"/>
          <w:color w:val="auto"/>
        </w:rPr>
        <w:t>Waiver of Notice of Meetings of Stockholders, Directors and Committees</w:t>
      </w:r>
      <w:r>
        <w:rPr>
          <w:rFonts w:ascii="Times New Roman" w:cs="Times New Roman" w:eastAsia="Times New Roman" w:hAnsi="Times New Roman"/>
          <w:sz w:val="18"/>
          <w:szCs w:val="18"/>
          <w:color w:val="auto"/>
        </w:rPr>
        <w:t>. A written waiver of any notice, signed by the person entitled to notice, or waiver by electronic transmission by such person, whether given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Board of Directors, or committee or subcommittee of the Board of Directors need be specified in a waiver of notice.</w:t>
      </w:r>
    </w:p>
    <w:p>
      <w:pPr>
        <w:spacing w:after="0" w:line="182"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8.09. </w:t>
      </w:r>
      <w:r>
        <w:rPr>
          <w:rFonts w:ascii="Times New Roman" w:cs="Times New Roman" w:eastAsia="Times New Roman" w:hAnsi="Times New Roman"/>
          <w:sz w:val="18"/>
          <w:szCs w:val="18"/>
          <w:i w:val="1"/>
          <w:iCs w:val="1"/>
          <w:color w:val="auto"/>
        </w:rPr>
        <w:t>Form of Records</w:t>
      </w:r>
      <w:r>
        <w:rPr>
          <w:rFonts w:ascii="Times New Roman" w:cs="Times New Roman" w:eastAsia="Times New Roman" w:hAnsi="Times New Roman"/>
          <w:sz w:val="18"/>
          <w:szCs w:val="18"/>
          <w:color w:val="auto"/>
        </w:rPr>
        <w:t>. Any records maintained by or on behalf of the Corporation in the regular course of its business, including its stock ledger, books of account, and minute books, may be kept on, or by means of, or be in the form of, any information storage device, method or one or more electronic networks or databases, provided that the records so kept can be converted into clearly legible paper form within a reasonable time, and the stock ledger is maintained in accordance with applicable law.</w:t>
      </w: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3" w:name="page34"/>
    <w:bookmarkEnd w:id="33"/>
    <w:p>
      <w:pPr>
        <w:ind w:firstLine="648"/>
        <w:spacing w:after="0" w:line="255" w:lineRule="auto"/>
        <w:rPr>
          <w:sz w:val="20"/>
          <w:szCs w:val="20"/>
          <w:color w:val="auto"/>
        </w:rPr>
      </w:pPr>
      <w:r>
        <w:rPr>
          <w:rFonts w:ascii="Times New Roman" w:cs="Times New Roman" w:eastAsia="Times New Roman" w:hAnsi="Times New Roman"/>
          <w:sz w:val="18"/>
          <w:szCs w:val="18"/>
          <w:color w:val="auto"/>
        </w:rPr>
        <w:t>Section 8.10. Amendment of Bylaws. Subject to any additional vote required by the Certificate of Incorporation, in furtherance and not in limitation of the powers conferred by statute, the Board of Directors is expressly authorized to adopt, repeal, alter, amend or rescind these Bylaws. The affirmative vote of at least a majority of the Whole Board of Directors shall be required in order for the Board of Directors to adopt, repeal, alter, amend or rescind these Bylaws. The Stockholders shall also have power to adopt, repeal, alter, amend or rescind these Bylaws. In addition to any vote of the holders of any class or series of stock of the Corporation required by applicable law or by the Certificate of Incorporation, such adoption, repeal, alteration, amendment or rescission of these Bylaws by the Stockholders shall require the affirmative vote of the holders of at least two-thirds of the voting power of the then outstanding shares of capital stock of the Corporation entitled to vote thereon, voting together as a single class.</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34" w:name="page35"/>
    <w:bookmarkEnd w:id="34"/>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THIS CREDIT AGREEMENT AND THE RIGHTS AND OBLIGATIONS EVIDENCED HEREBY MAY BECOME SUBORDINATE IN THE MANNER AND TO THE EXTENT SET FORTH IN THE SPECIFIED SUBORDINATION AGREEMENT (AS HEREINAFTER DEFINED) TO THE OBLIGATIONS OWED BY BORROWER UNDER ANY SENIOR CREDIT AGREEMENT (AS HEREINAFTER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October 28,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BORROWER,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LENDERS FROM TIME TO TIME PARTY HERETO,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LENDERS,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CHS (US) MANAGEMENT LLC,</w:t>
      </w:r>
    </w:p>
    <w:p>
      <w:pPr>
        <w:spacing w:after="0" w:line="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56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6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1.</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Defined Terms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 Terms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1.4</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Rounding</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1.5</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Times of Day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1.6</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Divisions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1.7</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Loan Documents and Specified Subordination Agreement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1.8</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Rates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41"/>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TERM LOANS.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Restatement Date Transactions; Loans and Commitments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Accrual of Interest and Maturity; Evidence of Indebtedness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Requests for Loans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2.4</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Disbursement of Loans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2.5</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2.6</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Payments; Default Interest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2.7</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Optional Prepayments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2.8</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Mandatory Repayment of Loans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2.9</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Application of Payments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2.10</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Proceeds of Loans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2.11</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Incremental Facilities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2.12</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SOFR Option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2.13</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Funding Losses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2.14</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Impracticability or Illegality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459"/>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3.</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[INTENTIONALLY OMITTED].</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41"/>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4.</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CONDITIONS.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to Effectiveness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4.2</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to all Loans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4.3</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Subsequent to Effectiveness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441"/>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5.</w:t>
            </w:r>
          </w:p>
        </w:tc>
        <w:tc>
          <w:tcPr>
            <w:tcW w:w="8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Authority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Authorization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 Title; Leases; Assets; No Liens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5.4</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5.5</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Defaults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5.6</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Enforceability of Agreement and Loan Documents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5.7</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Laws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5.8</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Non-contravention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5.9</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5.10</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Consents, Approvals and Filings, Etc</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5.11</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Agreements Affecting Financial Condition</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5.12</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Investment Company or Margin Stock</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5.13</w:t>
            </w:r>
          </w:p>
        </w:tc>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ERISA</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5.14</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Conditions Affecting Business or Properties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5.15</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and Safety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5.16</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5.17</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Adverse Agreements, Etc</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5.18</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Material Contracts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5.19</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5.20</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Structure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5.21</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Accuracy of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5.22</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Solvency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5.23</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5.24</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Disclosure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5.25</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Documents and Corporate Existence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5.26</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Anti-Money Laundering/Anti-Terrorism</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5.27</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EEA Financial Institution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5.28</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Intellectual Property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5.29</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Inbound Licenses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5.30</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Proceeds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5.31</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 Documents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5.32</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Customers and Suppliers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5.33</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Security Systems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441"/>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6.</w:t>
            </w:r>
          </w:p>
        </w:tc>
        <w:tc>
          <w:tcPr>
            <w:tcW w:w="8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AFFIRMATIVE COVENANTS.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Statements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6.2</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6.3</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Taxes and Other Obligations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6.4</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Conduct of Business and Maintenance of Existence; Compliance with Laws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6.5</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Maintenance of Property; Insurance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6.6</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Inspection of Property; Books and Records, Discussions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6.7</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6.8</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Hazardous Material Laws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6.9</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Board Observation Rights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6.10</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Governmental and Other Approvals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6.11</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Compliance with ERISA; ERISA Notices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6.12</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Defense of Collateral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6.13</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Future Subsidiaries; Additional Collateral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6.14</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6.15</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Proceeds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6.16</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Intellectual Property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6.17</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of Inbound Licensors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6.18</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Anti-Terrorism</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6.19</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Assurances and Information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441"/>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7.</w:t>
            </w:r>
          </w:p>
        </w:tc>
        <w:tc>
          <w:tcPr>
            <w:tcW w:w="8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NEGATIVE COVENANTS.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Debt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7.2</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Liens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7.3</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Transfers of Assets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7.4</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Mergers, Dissolution or Sale of Assets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7.5</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Payments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7.6</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 on Investments, Loans and Advances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60" w:type="dxa"/>
            <w:vAlign w:val="bottom"/>
          </w:tcPr>
          <w:p>
            <w:pPr>
              <w:spacing w:after="0"/>
              <w:rPr>
                <w:sz w:val="18"/>
                <w:szCs w:val="18"/>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7.7</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360" w:type="dxa"/>
            <w:vAlign w:val="bottom"/>
          </w:tcPr>
          <w:p>
            <w:pPr>
              <w:spacing w:after="0"/>
              <w:rPr>
                <w:sz w:val="20"/>
                <w:szCs w:val="20"/>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7.8</w:t>
            </w:r>
          </w:p>
        </w:tc>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Sale-Leaseback Transactions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7.9</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Limitations on Other Restrictions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7.10</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Prepayment of Subordinated Debt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7.11</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 of Senior Loan Documents and Subordinated Debt Documents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7.12</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Modification of Certain Agreements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7.13</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Fiscal Year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7.14</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Liquidity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7.15</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Divisions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7.16</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7.17</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ERISA</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7.18</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Environmental</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7.19</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Accounting Methods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7.20</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Sanctioned Persons; Anti-Corruption Laws; Anti-Money Laundering Laws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40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7.21</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 Reserve Regulations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441"/>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DEFAULTS.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8.1</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Events of Default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8.2</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Exercise of Remedies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8.3</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 Cumulative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8.4</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by the Borrower of Certain Laws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8.5</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of Defaults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40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8.6</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Set Off</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441"/>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PAYMENTS, RECOVERIES AND COLLECTIONS.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9.1</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 Procedure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9.2</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Application of Payments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9.3</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Ratable Sharing</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40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9.4</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Treatment of a Defaulting Lender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441"/>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YIELD PROTECTION; INCREASED COSTS; MARGIN ADJUSTMENTS; TAXES.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Adequacy and Other Increased Costs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 of Lenders to Fund through Branches and Affiliates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10.3</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Delay in Requests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4"/>
        </w:trPr>
        <w:tc>
          <w:tcPr>
            <w:tcW w:w="40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Taxes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441"/>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 of the Agent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11.2</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Agency for Perfection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11.3</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Scope of the Agent’s Duties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11.4</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 Agent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11.5</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Credit Decisions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11.6</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Authority of the Agent to Enforce This Agreement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11.7</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 of the Agent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11.8</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Knowledge of Default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11.9</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Agent’s Authorization; Action by Lenders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11.10</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Enforcement Actions by the Agent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11.11</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Collateral Matters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11.12</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Agent in its Individual Capacity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11.13</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Specified Subordination Agreement and Subordination Agreements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40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11.14</w:t>
            </w:r>
          </w:p>
        </w:tc>
        <w:tc>
          <w:tcPr>
            <w:tcW w:w="7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Reliance on the Agent’s Customer Identification Program</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12.</w:t>
            </w:r>
          </w:p>
        </w:tc>
        <w:tc>
          <w:tcPr>
            <w:tcW w:w="8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MISCELLANEOUS.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12.1</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12.2</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Consent to Jurisdiction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12.3</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12.4</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Closing Costs and Other Costs; Indemnification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12.5</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12.6</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Further Action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12.7</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 and Assigns; Participations; Assignments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12.8</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12.9</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 and Waiver</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12.10</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12.11</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Substitution or Removal of Lenders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12.12</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Withholding Taxes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12.13</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OF JURY TRIAL</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12.14</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USA Patriot Act Notice; Beneficial Ownership Certification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12.15</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Complete Agreement; Conflicts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12.16</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12.17</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Table of Contents and Headings; Section References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12.18</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 of Certain Provisions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12.19</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Independence of Covenants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12.20</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Electronic Transmissions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12.21</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Advertisements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12.22</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Reliance on and Survival of Provisions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12.23</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12.24</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Acknowledgment and Consent to Bail-In of EEA Financial Institutions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400" w:type="dxa"/>
            <w:vAlign w:val="bottom"/>
          </w:tcPr>
          <w:p>
            <w:pPr>
              <w:spacing w:after="0"/>
              <w:rPr>
                <w:sz w:val="18"/>
                <w:szCs w:val="18"/>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12.25</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Specified Subordination Agreement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4"/>
        </w:trPr>
        <w:tc>
          <w:tcPr>
            <w:tcW w:w="400" w:type="dxa"/>
            <w:vAlign w:val="bottom"/>
          </w:tcPr>
          <w:p>
            <w:pPr>
              <w:spacing w:after="0"/>
              <w:rPr>
                <w:sz w:val="20"/>
                <w:szCs w:val="20"/>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12.26</w:t>
            </w: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Restatement of Original Credit Agreement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bl>
    <w:p>
      <w:pPr>
        <w:spacing w:after="0" w:line="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440" w:hanging="432"/>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SECURITY AGREEMENT</w:t>
      </w:r>
    </w:p>
    <w:p>
      <w:pPr>
        <w:spacing w:after="0" w:line="27" w:lineRule="exact"/>
        <w:rPr>
          <w:sz w:val="20"/>
          <w:szCs w:val="20"/>
          <w:color w:val="auto"/>
        </w:rPr>
      </w:pPr>
    </w:p>
    <w:p>
      <w:pPr>
        <w:ind w:right="6559" w:firstLine="8"/>
        <w:spacing w:after="0" w:line="250" w:lineRule="auto"/>
        <w:tabs>
          <w:tab w:leader="none" w:pos="4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ASSIGNMENT AGREEMENT C FORM OF GUARANTY</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FORM OF REQUEST FOR LOAN</w:t>
      </w:r>
    </w:p>
    <w:p>
      <w:pPr>
        <w:spacing w:after="0" w:line="9" w:lineRule="exact"/>
        <w:rPr>
          <w:rFonts w:ascii="Times New Roman" w:cs="Times New Roman" w:eastAsia="Times New Roman" w:hAnsi="Times New Roman"/>
          <w:sz w:val="18"/>
          <w:szCs w:val="18"/>
          <w:color w:val="auto"/>
        </w:rPr>
      </w:pPr>
    </w:p>
    <w:p>
      <w:pPr>
        <w:ind w:right="67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FORMS OF U.S. TAX CERTIFICATES F FORM OF NOTE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    FORM OF SOFR NOTICE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ANNEXES</w:t>
      </w:r>
    </w:p>
    <w:p>
      <w:pPr>
        <w:spacing w:after="0" w:line="225" w:lineRule="exact"/>
        <w:rPr>
          <w:sz w:val="20"/>
          <w:szCs w:val="20"/>
          <w:color w:val="auto"/>
        </w:rPr>
      </w:pPr>
    </w:p>
    <w:p>
      <w:pPr>
        <w:ind w:right="7839" w:firstLine="8"/>
        <w:spacing w:after="0" w:line="261" w:lineRule="auto"/>
        <w:tabs>
          <w:tab w:leader="none" w:pos="4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Loans and Commitments II Notices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Principal Office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Information</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4.1(b)</w:t>
            </w: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Qualified Jurisdictions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4.1(c)(iii)</w:t>
            </w: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UCC Filing Jurisdictions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5.3(b)</w:t>
            </w: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Property</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5.7</w:t>
            </w:r>
          </w:p>
        </w:tc>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Laws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5.9</w:t>
            </w:r>
          </w:p>
        </w:tc>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5.10</w:t>
            </w:r>
          </w:p>
        </w:tc>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Required Consents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5.15</w:t>
            </w:r>
          </w:p>
        </w:tc>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Environmental and Safety Matters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5.16</w:t>
            </w:r>
          </w:p>
        </w:tc>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5.17</w:t>
            </w:r>
          </w:p>
        </w:tc>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Employment Agreements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5.18</w:t>
            </w:r>
          </w:p>
        </w:tc>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Material Contracts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5.20</w:t>
            </w:r>
          </w:p>
        </w:tc>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Structure</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5.23</w:t>
            </w:r>
          </w:p>
        </w:tc>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Employment Matters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5.29</w:t>
            </w:r>
          </w:p>
        </w:tc>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5.33(b)</w:t>
            </w: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 Party Data</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Existing Debt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7.6</w:t>
            </w:r>
          </w:p>
        </w:tc>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7.7</w:t>
            </w:r>
          </w:p>
        </w:tc>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Affiliate Transactions</w:t>
            </w:r>
          </w:p>
        </w:tc>
      </w:tr>
    </w:tbl>
    <w:p>
      <w:pPr>
        <w:spacing w:after="0" w:line="306" w:lineRule="exact"/>
        <w:rPr>
          <w:sz w:val="20"/>
          <w:szCs w:val="20"/>
          <w:color w:val="auto"/>
        </w:rPr>
      </w:pPr>
    </w:p>
    <w:p>
      <w:pPr>
        <w:jc w:val="right"/>
        <w:ind w:right="449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CREDIT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Amended and Restated Credit Agreement is made as of October 28, 2025, by and among the lenders from time to time party hereto (individually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any and all such lenders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CHS (US) Management LLC (“</w:t>
      </w:r>
      <w:r>
        <w:rPr>
          <w:rFonts w:ascii="Times New Roman" w:cs="Times New Roman" w:eastAsia="Times New Roman" w:hAnsi="Times New Roman"/>
          <w:sz w:val="18"/>
          <w:szCs w:val="18"/>
          <w:b w:val="1"/>
          <w:bCs w:val="1"/>
          <w:color w:val="auto"/>
        </w:rPr>
        <w:t>CHS</w:t>
      </w:r>
      <w:r>
        <w:rPr>
          <w:rFonts w:ascii="Times New Roman" w:cs="Times New Roman" w:eastAsia="Times New Roman" w:hAnsi="Times New Roman"/>
          <w:sz w:val="18"/>
          <w:szCs w:val="18"/>
          <w:color w:val="auto"/>
        </w:rPr>
        <w:t>”), as the administrative agent for the Lenders (in such capacity, together with its successors and assigns in such capacity,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and Rent the Runway, Inc.,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WHEREAS, reference is made to that certain Credit Agreement, dated as of July 23, 2018, by and among the lenders from time to time party thereto (individually, an “</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and any and all such lenders collectively, the “</w:t>
      </w:r>
      <w:r>
        <w:rPr>
          <w:rFonts w:ascii="Times New Roman" w:cs="Times New Roman" w:eastAsia="Times New Roman" w:hAnsi="Times New Roman"/>
          <w:sz w:val="18"/>
          <w:szCs w:val="18"/>
          <w:b w:val="1"/>
          <w:bCs w:val="1"/>
          <w:color w:val="auto"/>
        </w:rPr>
        <w:t>Existing Lenders</w:t>
      </w:r>
      <w:r>
        <w:rPr>
          <w:rFonts w:ascii="Times New Roman" w:cs="Times New Roman" w:eastAsia="Times New Roman" w:hAnsi="Times New Roman"/>
          <w:sz w:val="18"/>
          <w:szCs w:val="18"/>
          <w:color w:val="auto"/>
        </w:rPr>
        <w:t>”; it being understood that each Existing Lender is a Lender hereunder), the Agent and the Borrower (as amended by the First Amendment to Credit Agreement, dated as of December 21, 2018, the Second Amendment to Credit Agreement, dated as of April 24, 2019, the Third Amendment to Credit Agreement and First Amendment to the Security Agreement, dated as of November 26, 2019, the Fourth Amendment to Credit Agreement, dated as of June 2, 2020, the Fifth Amendment to Credit Agreement, dated as of August 18, 2020, the Sixth Amendment to Credit Agreement and Second Amendment to the Security Agreement, dated as of October 26, 2020, the Seventh Amendment to Credit Agreement and Third Amendment to the Security Agreement, dated as of October 18, 2021, the Eighth Amendment to Credit Agreement, dated as of August 15, 2022, the Ninth Amendment to Credit Agreement, dated as of January 31, 2023, the Tenth Amendment to Credit Agreement, dated as of December 1, 2023, the Eleventh Amendment to Credit Agreement, dated as of March 31, 2025, the Twelfth Amendment to Credit Agreement, dated as of May 29, 2025, and as further amended, amended and restated, supplemented or otherwise modified prior to the date hereof, the “</w:t>
      </w:r>
      <w:r>
        <w:rPr>
          <w:rFonts w:ascii="Times New Roman" w:cs="Times New Roman" w:eastAsia="Times New Roman" w:hAnsi="Times New Roman"/>
          <w:sz w:val="18"/>
          <w:szCs w:val="18"/>
          <w:b w:val="1"/>
          <w:bCs w:val="1"/>
          <w:color w:val="auto"/>
        </w:rPr>
        <w:t>Original Credit Agreement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the Original Credit Agreement, the Existing Lenders extended a credit facility to the Borrower consisting of term loans (the “</w:t>
      </w:r>
      <w:r>
        <w:rPr>
          <w:rFonts w:ascii="Times New Roman" w:cs="Times New Roman" w:eastAsia="Times New Roman" w:hAnsi="Times New Roman"/>
          <w:sz w:val="18"/>
          <w:szCs w:val="18"/>
          <w:b w:val="1"/>
          <w:bCs w:val="1"/>
          <w:color w:val="auto"/>
        </w:rPr>
        <w:t>Existing Term Loans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Borrower and the Existing Lenders hereby agree that notwithstanding the terms of the Original Credit Agreement, pursuant to Section 2.1(a), all accrued but unpaid interest on the Existing Term Loans under the Original Credit Agreement shall be deemed to have been paid by capitalizing such interest and adding such capitalized interest to the outstanding principal amount of the Existing Term Loans (the “</w:t>
      </w:r>
      <w:r>
        <w:rPr>
          <w:rFonts w:ascii="Times New Roman" w:cs="Times New Roman" w:eastAsia="Times New Roman" w:hAnsi="Times New Roman"/>
          <w:sz w:val="18"/>
          <w:szCs w:val="18"/>
          <w:b w:val="1"/>
          <w:bCs w:val="1"/>
          <w:color w:val="auto"/>
        </w:rPr>
        <w:t>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Capitalization</w:t>
      </w:r>
      <w:r>
        <w:rPr>
          <w:rFonts w:ascii="Times New Roman" w:cs="Times New Roman" w:eastAsia="Times New Roman" w:hAnsi="Times New Roman"/>
          <w:sz w:val="18"/>
          <w:szCs w:val="18"/>
          <w:color w:val="auto"/>
        </w:rPr>
        <w:t>”), and after giving effect to such capitalization, the aggregate principal amount of Existing Term Loans is set forth opposite each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Lender’s name in Section 1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immediately after the Interest Capitalization on the Restatement Date (as hereinafter defined), the Existing Lenders exchanged a portion of their Existing Term Loans in an aggregate principal amount equal to $234,165,275.12 for 26,175,193 shares of Class A Common Stock of the Borrower representing approximately 86% of the issued and outstanding Equity Interests of the Borrower on a fully diluted basis as of the Restatement Date (such exchange, the “</w:t>
      </w:r>
      <w:r>
        <w:rPr>
          <w:rFonts w:ascii="Times New Roman" w:cs="Times New Roman" w:eastAsia="Times New Roman" w:hAnsi="Times New Roman"/>
          <w:sz w:val="18"/>
          <w:szCs w:val="18"/>
          <w:b w:val="1"/>
          <w:bCs w:val="1"/>
          <w:color w:val="auto"/>
        </w:rPr>
        <w:t>Debt for Equity Exchange</w:t>
      </w:r>
      <w:r>
        <w:rPr>
          <w:rFonts w:ascii="Times New Roman" w:cs="Times New Roman" w:eastAsia="Times New Roman" w:hAnsi="Times New Roman"/>
          <w:sz w:val="18"/>
          <w:szCs w:val="18"/>
          <w:color w:val="auto"/>
        </w:rPr>
        <w:t>”) in accordance with the terms and subject to the conditions in the Exchange Agreement (as hereinafter defined). After giving effect to the Debt for Equity Exchange, the aggregate outstanding principal amount of Existing Term Loans is $100,000,000;</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immediately after giving effect to the Debt for Equity Exchange, each Existing Lender is deemed, pursuant to Section 2.1(b) of this Agreement, to have exchanged all of its Existing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Term Loans on a dollar-for-dollar cashless basis for Term Loans under this Agreement (such exchange, the “</w:t>
      </w:r>
      <w:r>
        <w:rPr>
          <w:rFonts w:ascii="Times New Roman" w:cs="Times New Roman" w:eastAsia="Times New Roman" w:hAnsi="Times New Roman"/>
          <w:sz w:val="18"/>
          <w:szCs w:val="18"/>
          <w:b w:val="1"/>
          <w:bCs w:val="1"/>
          <w:color w:val="auto"/>
        </w:rPr>
        <w:t>Initial Loan Exchange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immediately following the Initial Loan Exchange on the Restatement Date, the Existing Lenders shall (a) assign a portion of their Term Loans in an aggregate principal amount equal to $30,000,000 to the Restatement Date Assignees (as hereinafter defined) and (b) sell 7,852,558 shares of Class A Common Stock of the Borrower to the Restatement Date Assignees, in each case, in accordance with the terms and subject to the conditions in the Purchase and Sale Agreement (as hereinafter defined) (the “</w:t>
      </w:r>
      <w:r>
        <w:rPr>
          <w:rFonts w:ascii="Times New Roman" w:cs="Times New Roman" w:eastAsia="Times New Roman" w:hAnsi="Times New Roman"/>
          <w:sz w:val="18"/>
          <w:szCs w:val="18"/>
          <w:b w:val="1"/>
          <w:bCs w:val="1"/>
          <w:color w:val="auto"/>
        </w:rPr>
        <w:t>Restatement Date Assignment</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Borrower has requested that, immediately following the Restatement Date Assignment, the Lenders with Restatement Date Term Loan Commitments (as hereinafter defined) extend credit to the Borrower consisting of Term Loans in the original principal amount of $20,000,000 on the Restatement Date in accordance with the terms and subject to the conditions set forth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Lenders are prepared to extend such credit as aforesaid, but only on the terms and conditions set forth in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covenants contained herein, the Borrower, the Lenders, and the Agent agree as follows:</w:t>
      </w:r>
    </w:p>
    <w:p>
      <w:pPr>
        <w:spacing w:after="0" w:line="221"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the purposes of this Agreement the following terms will have the following meanings: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shall mean “accounts” as defined in the UCC, and also means a right to payment of a monetary obligation, whether or not earned by performance, (a) for property that has been or is to be sold, leased, licensed, assigned, or otherwise disposed of or (b) for services rendered or to be rendered.</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Control Agreement(s)</w:t>
      </w:r>
      <w:r>
        <w:rPr>
          <w:rFonts w:ascii="Times New Roman" w:cs="Times New Roman" w:eastAsia="Times New Roman" w:hAnsi="Times New Roman"/>
          <w:sz w:val="18"/>
          <w:szCs w:val="18"/>
          <w:color w:val="auto"/>
        </w:rPr>
        <w:t>” shall mean, with respect to any deposit account, any securities account, commodity account, securities entitlement or commodity contract, an agreement, in form and substance reasonably satisfactory to the Agent, among the Agent, the Senior Agent, the financial institution or other Person at which such account is maintained or with which such entitlement or contract is carried and the Borrower or Guarantor maintaining such account, effective to grant “control” (as defined under the applicable UCC) over such account to the Agent.</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Term SOFR</w:t>
      </w:r>
      <w:r>
        <w:rPr>
          <w:rFonts w:ascii="Times New Roman" w:cs="Times New Roman" w:eastAsia="Times New Roman" w:hAnsi="Times New Roman"/>
          <w:sz w:val="18"/>
          <w:szCs w:val="18"/>
          <w:color w:val="auto"/>
        </w:rPr>
        <w:t>” means, for purposes of any calculation, the rate per annum equal to Term SOFR for such calculation; provided that if Adjusted Term SOFR as so determined shall ever be less than the Floor, then Adjusted Term SOFR shall be deemed to be the Floor.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Lender</w:t>
      </w:r>
      <w:r>
        <w:rPr>
          <w:rFonts w:ascii="Times New Roman" w:cs="Times New Roman" w:eastAsia="Times New Roman" w:hAnsi="Times New Roman"/>
          <w:sz w:val="18"/>
          <w:szCs w:val="18"/>
          <w:color w:val="auto"/>
        </w:rPr>
        <w:t>” shall have the meaning set forth in Section 12.11 hereof.</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with respect to any Person, (i) another Person that directly, or indirectly through one or more intermediaries, Controls or is Controlled by or is under common Control with the Person specified, (ii) any director, officer, managing member, partner, trustee, or beneficiary of that Person, (iii) any other Person directly or indirectly holding 25% or more of any class of the Equity Interests of that Person, and (iv) any other Person 25% or more of any class of whose Equity Interests is held directly or indirectly by that Person. Notwithstanding anything herein to the contrary, in no event shall any Agent or any Lender or their respective Affiliates or Related Funds be considered an "Affiliate" of any Credit Party.</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 Account</w:t>
      </w:r>
      <w:r>
        <w:rPr>
          <w:rFonts w:ascii="Times New Roman" w:cs="Times New Roman" w:eastAsia="Times New Roman" w:hAnsi="Times New Roman"/>
          <w:sz w:val="18"/>
          <w:szCs w:val="18"/>
          <w:color w:val="auto"/>
        </w:rPr>
        <w:t>” shall mean an account at a bank designated by the Agent from time to time as the account into which the Credit Parties shall make all payments to the Agent for the benefit of the Agent and the Lenders under this Agreement and the other Loan Documents.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Amounts Due</w:t>
      </w:r>
      <w:r>
        <w:rPr>
          <w:rFonts w:ascii="Times New Roman" w:cs="Times New Roman" w:eastAsia="Times New Roman" w:hAnsi="Times New Roman"/>
          <w:sz w:val="18"/>
          <w:szCs w:val="18"/>
          <w:color w:val="auto"/>
        </w:rPr>
        <w:t>” shall have the meaning set forth in Section 9.3 hereof.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shall mean this Credit Agreement and any annexes, exhibits and schedules attached hereto, as it may be amended, supplemented or otherwise modified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 in Yield</w:t>
      </w:r>
      <w:r>
        <w:rPr>
          <w:rFonts w:ascii="Times New Roman" w:cs="Times New Roman" w:eastAsia="Times New Roman" w:hAnsi="Times New Roman"/>
          <w:sz w:val="18"/>
          <w:szCs w:val="18"/>
          <w:color w:val="auto"/>
        </w:rPr>
        <w:t>” shall have the meaning set forth in Section 2.11(b)(v) 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shall mean any laws relating to terrorism, trade sanctions programs and embargoes, import/export licensing, money laundering, corruption or bribery, and any regulation, order, or directive promulgated, issued or enforced pursuant to such laws, all as amended, supplemented or replaced from time to time.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Margin</w:t>
      </w:r>
      <w:r>
        <w:rPr>
          <w:rFonts w:ascii="Times New Roman" w:cs="Times New Roman" w:eastAsia="Times New Roman" w:hAnsi="Times New Roman"/>
          <w:sz w:val="18"/>
          <w:szCs w:val="18"/>
          <w:color w:val="auto"/>
        </w:rPr>
        <w:t>” shall mean, as of any date of determination, with respect to the interest rate of (a) any Reference Rate Loan or any portion thereof, 4.00% per annum and (b) any SOFR Loan or any portion thereof, 5.00% per annum.</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Application Event</w:t>
      </w:r>
      <w:r>
        <w:rPr>
          <w:rFonts w:ascii="Times New Roman" w:cs="Times New Roman" w:eastAsia="Times New Roman" w:hAnsi="Times New Roman"/>
          <w:sz w:val="18"/>
          <w:szCs w:val="18"/>
          <w:color w:val="auto"/>
        </w:rPr>
        <w:t>” shall mean the (a) occurrence of an Event of Default and (b) the election by the Agent or the Majority Lenders during the continuance of such Event of Default to require that payments and proceeds of Collateral be applied pursuant to Section 9.2(a).</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 shall mean the sale, transfer, license, lease or other disposition (including any sale and leaseback transaction), whether in one transaction or in a series of transactions, of any property (including, without limitation, any Equity Interests, contracts, merchant accounts (or any rights thereto)) by any Person (or the granting of any option or other right to do any of the foregoing), including any sale, assignment, transfer or other disposal, with or without recourse, of any notes or accounts receivable or any rights and claims associated therewith. For purposes of clarification, "Asset Sale" shall include any disposition of property through a "plan of division" under the Delaware Limited Liability Company Act or any comparable transaction under any similar law.</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shall mean an Assignment Agreement substantially in the form of Exhibit B hereto.</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of Business Interruption Insurance Policy</w:t>
      </w:r>
      <w:r>
        <w:rPr>
          <w:rFonts w:ascii="Times New Roman" w:cs="Times New Roman" w:eastAsia="Times New Roman" w:hAnsi="Times New Roman"/>
          <w:sz w:val="18"/>
          <w:szCs w:val="18"/>
          <w:color w:val="auto"/>
        </w:rPr>
        <w:t>” means that certain Assignment of Business Interruption Insurance Policy as Collateral Security, dated as of the Restatement Date, made by the Borrower in favor of the Agent, in form and substance reasonably satisfactory to the Agent.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Signer</w:t>
      </w:r>
      <w:r>
        <w:rPr>
          <w:rFonts w:ascii="Times New Roman" w:cs="Times New Roman" w:eastAsia="Times New Roman" w:hAnsi="Times New Roman"/>
          <w:sz w:val="18"/>
          <w:szCs w:val="18"/>
          <w:color w:val="auto"/>
        </w:rPr>
        <w:t>” shall mean each person who has been authorized by the Borrower to execute and deliver any Requests for Loans hereunder pursuant to a written authorization delivered to the Agent and whose signature card or incumbency certificate has been received by the Agent.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shall mean,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color w:val="auto"/>
        </w:rPr>
        <w:t>interest calculated with reference to such Benchmark pursuant to this Agreement, in each case, as of such date and not including, for the avoidance of doubt, any tenor for such Benchmark that is then-removed from the definition of “Interest Period” pursuant to Section 2.12(g)(iv).</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shall mean the exercise of any Write-Down and Conversion Powers by the applicable EEA Resolution Authority in respect of any liability of an EEA Financial Institution.</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shall mean Title 11 of the United States Code and the rules promulgated thereunder.</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2.12(g)(i).</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xml:space="preserve">” means, with respect to any Benchmark Transition Event, the sum of: (a) the alternate benchmark rate that has been selected by the Agent in consultation with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Agent in consultation with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shall mean the earliest to occur of the following events with respect to the then-current Benchmark:</w:t>
      </w:r>
    </w:p>
    <w:p>
      <w:pPr>
        <w:spacing w:after="0" w:line="229" w:lineRule="exact"/>
        <w:rPr>
          <w:sz w:val="20"/>
          <w:szCs w:val="20"/>
          <w:color w:val="auto"/>
        </w:rPr>
      </w:pPr>
    </w:p>
    <w:p>
      <w:pPr>
        <w:jc w:val="both"/>
        <w:ind w:firstLine="656"/>
        <w:spacing w:after="0" w:line="266" w:lineRule="auto"/>
        <w:tabs>
          <w:tab w:leader="none" w:pos="130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thereof) permanently or indefinitely ceases to provide all Available Tenors of such Benchmark (or such component thereof); or</w:t>
      </w:r>
    </w:p>
    <w:p>
      <w:pPr>
        <w:spacing w:after="0" w:line="225" w:lineRule="exact"/>
        <w:rPr>
          <w:sz w:val="20"/>
          <w:szCs w:val="20"/>
          <w:color w:val="auto"/>
        </w:rPr>
      </w:pPr>
    </w:p>
    <w:p>
      <w:pPr>
        <w:jc w:val="both"/>
        <w:ind w:firstLine="656"/>
        <w:spacing w:after="0" w:line="258" w:lineRule="auto"/>
        <w:tabs>
          <w:tab w:leader="none" w:pos="128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shall mean the occurrence of one or more of the following events with respect to the then-current Benchmark:</w:t>
      </w:r>
    </w:p>
    <w:p>
      <w:pPr>
        <w:spacing w:after="0" w:line="229" w:lineRule="exact"/>
        <w:rPr>
          <w:sz w:val="20"/>
          <w:szCs w:val="20"/>
          <w:color w:val="auto"/>
        </w:rPr>
      </w:pPr>
    </w:p>
    <w:p>
      <w:pPr>
        <w:jc w:val="both"/>
        <w:ind w:firstLine="656"/>
        <w:spacing w:after="0" w:line="261" w:lineRule="auto"/>
        <w:tabs>
          <w:tab w:leader="none" w:pos="118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2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88"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Start Date</w:t>
      </w:r>
      <w:r>
        <w:rPr>
          <w:rFonts w:ascii="Times New Roman" w:cs="Times New Roman" w:eastAsia="Times New Roman" w:hAnsi="Times New Roman"/>
          <w:sz w:val="18"/>
          <w:szCs w:val="18"/>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such prospective event is fewer than 90 days after such statement or publication, the date of such statement or publication).</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means, the period (if any) (a) beginning at the time that a Benchmark Replacement Date has occurred if, at such time, no Benchmark Replacement has replaced the then-current Benchmark for all purposes hereunder and under any Loan Document in accordance with Section 2.12(g) and (b) ending at the time that a Benchmark Replacement has replaced the then-current Benchmark for all purposes hereunder and under any Loan Document in accordance with Section 2.12(g).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Observer</w:t>
      </w:r>
      <w:r>
        <w:rPr>
          <w:rFonts w:ascii="Times New Roman" w:cs="Times New Roman" w:eastAsia="Times New Roman" w:hAnsi="Times New Roman"/>
          <w:sz w:val="18"/>
          <w:szCs w:val="18"/>
          <w:color w:val="auto"/>
        </w:rPr>
        <w:t>” shall have the meaning specified therefor in Section 6.9.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BOD Meeting</w:t>
      </w:r>
      <w:r>
        <w:rPr>
          <w:rFonts w:ascii="Times New Roman" w:cs="Times New Roman" w:eastAsia="Times New Roman" w:hAnsi="Times New Roman"/>
          <w:sz w:val="18"/>
          <w:szCs w:val="18"/>
          <w:color w:val="auto"/>
        </w:rPr>
        <w:t>” shall have the meaning specified therefor in Section 6.9.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or a Sunday on which commercial banks are open for domestic and international business (including dealings in foreign exchange) in New York, New York.</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Capitalized Lease</w:t>
      </w:r>
      <w:r>
        <w:rPr>
          <w:rFonts w:ascii="Times New Roman" w:cs="Times New Roman" w:eastAsia="Times New Roman" w:hAnsi="Times New Roman"/>
          <w:sz w:val="18"/>
          <w:szCs w:val="18"/>
          <w:color w:val="auto"/>
        </w:rPr>
        <w:t>” shall mean, as applied to any Person, any lease of any property (whether real, personal or mixed) with respect to which the discounted present value of the rental obligations of such Person as lessee thereunder, in conformity with GAAP, is required to be capitalized on the balance sheet of that Person and to be treated as a finance lease in accordance with GAAP.</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Secured L/C</w:t>
      </w:r>
      <w:r>
        <w:rPr>
          <w:rFonts w:ascii="Times New Roman" w:cs="Times New Roman" w:eastAsia="Times New Roman" w:hAnsi="Times New Roman"/>
          <w:sz w:val="18"/>
          <w:szCs w:val="18"/>
          <w:color w:val="auto"/>
        </w:rPr>
        <w:t>” shall mean, a letter of credit issued for the account of the Borrower or a Guarantor and for which the Borrower or Guarantor, as applicable, has provided cash collateral to the financial institution that is the issuer of such letter of credit.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shall mean a Person that is a controlled foreign corporation under Section 957 of the Internal Revenue Code.</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 Holding Company</w:t>
      </w:r>
      <w:r>
        <w:rPr>
          <w:rFonts w:ascii="Times New Roman" w:cs="Times New Roman" w:eastAsia="Times New Roman" w:hAnsi="Times New Roman"/>
          <w:sz w:val="18"/>
          <w:szCs w:val="18"/>
          <w:color w:val="auto"/>
        </w:rPr>
        <w:t>” shall mean any Domestic Subsidiary substantially all the assets of which consist (directly or indirectly) of equity interests (including, for this purpose, any debt or other instrument treated as equity for U.S. federal income tax purposes) and/or, if applicable, debt and equity interests in one or more (a) Foreign Subsidiaries that are CFCs and/or (b) other Subsidiaries substantially all the assets of which consist (directly or indirectly) of equity interests (including, for this purpose, any debt or other instrument treated as equity for U.S. federal income tax purposes) and/or, if applicable, debt and equity interests in one or more Foreign Subsidiaries that are CFCs.</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xml:space="preserve">” shall mean the occurrence, after the Restatement Date, of any of the following: (i) the adoption or introduction of, or any change in any applicable law, treaty, rule or regulation (whether domestic or foreign) now or hereafter in effect and whether or not applicable to any Lender or Agent on such date, or (ii) any change in interpretation, administration or implementation of any such law, treaty, rule or regulation by any Governmental Authority, or (iii) the issuance, making or implementation by any Governmental Authority of any interpretation, administration, request, regulation, guideline, or directive (whether or not having the force of law), including any risk-based capital guidelines. For purposes of this definition, (x) a change in law, treaty, rule, regulation, interpretation, administration or implementation shall include, without limitation, any change made or which becomes effective on the basis of a law, treaty, rule, regulation, interpretation administration or implementation then in force, the effective date of which change is delayed by the terms of such law, treaty, rule, regulation, interpretation, administration or implementation, (y) the </w:t>
      </w:r>
      <w:r>
        <w:rPr>
          <w:rFonts w:ascii="Times New Roman" w:cs="Times New Roman" w:eastAsia="Times New Roman" w:hAnsi="Times New Roman"/>
          <w:sz w:val="18"/>
          <w:szCs w:val="18"/>
          <w:u w:val="single" w:color="auto"/>
          <w:color w:val="auto"/>
        </w:rPr>
        <w:t>Dodd-Frank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Reform and Consumer Protection Act</w:t>
      </w:r>
      <w:r>
        <w:rPr>
          <w:rFonts w:ascii="Times New Roman" w:cs="Times New Roman" w:eastAsia="Times New Roman" w:hAnsi="Times New Roman"/>
          <w:sz w:val="18"/>
          <w:szCs w:val="18"/>
          <w:color w:val="auto"/>
        </w:rPr>
        <w:t xml:space="preserve"> (Pub. L. 111-203,</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6" w:name="page47"/>
    <w:bookmarkEnd w:id="46"/>
    <w:p>
      <w:pPr>
        <w:jc w:val="both"/>
        <w:spacing w:after="0" w:line="258" w:lineRule="auto"/>
        <w:rPr>
          <w:sz w:val="20"/>
          <w:szCs w:val="20"/>
          <w:color w:val="auto"/>
        </w:rPr>
      </w:pPr>
      <w:r>
        <w:rPr>
          <w:rFonts w:ascii="Times New Roman" w:cs="Times New Roman" w:eastAsia="Times New Roman" w:hAnsi="Times New Roman"/>
          <w:sz w:val="18"/>
          <w:szCs w:val="18"/>
          <w:color w:val="auto"/>
        </w:rPr>
        <w:t>H.R. 4173) and all requests, rules, regulations, guidelines, interpretations or directives promulgated thereunder or issued in connection therewith shall be deemed to be a “Change in “Law”, regardless of the date enacted, adopted, issued or promulgated, and (z) all requests, rules, guidelines or directives promulgated by the Bank for International Settlements, the Basel Committee on Banking Supervision (or any successor or similar authority) or the United States regulatory authorities, in each case pursuant to Basel III, shall each be deemed to be a “Change in Law”, regardless of the date enacted, adopted, issued or implemented.</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mean an event or series of events by which (a) a transaction in which any “person” or “group” (within the meaning of Section 13(d) or 14(d) of the Securities Exchange Act of 1934, as amended) (other than one or more Permitted Holders) becomes the “beneficial owner” (as defined in Rule 13d-3 of the Securities Exchange Act of 1934, as amended), directly or indirectly, of a sufficient number of shares of all classes of stock then outstanding of the Borrower ordinarily entitled to vote in the election of directors of the Borrower, empowering such “person” or “group” to elect a majority of the board of directors of the Borrower, who did not have such power before such transaction, (b) any “person” or “group” (within the meaning of Section 13(d) or 14(d) of the Securities Exchange Act of 1934, as amended) (other than one or more Permitted Holders) shall obtain “beneficial ownership” (as defined in Rule 13d-3 of the Securities Exchange Act of 1934, as amended), either directly or indirectly, of more than 34% of all classes of stock then outstanding of the Borrower ordinarily entitled to vote in the election of directors of the Borrower, (c) the occurrence of an event or series of events that would trigger a violation of any change of control or change in control provision in any of the Subordinated Debt Documents or the Senior Loan Documents, (d) [reserved], (e) either of the individuals holding the offices of chief executive officer or chief financial officer as of the Restatement Date shall for any reason cease to hold such office or be actively engaged in day-to-day management of the Borrower, unless a successor or an interim officer is appointed by the board of directors of the Borrower within 90 days of such cessation (and in the case of a chief executive officer, such successor or interim officer shall be reasonably acceptable to the Agent and the Majority Lenders), or (f) other than pursuant to a transaction expressly permitted under Section 7.4, the Borrower fails at any time to own, directly or indirectly, 100% of the Equity Interests of the other Credit Parties. For the avoidance of doubt, it shall be deemed a Change of Control if an entity is interposed directly above Borrower following the Restatement Date without the Agent’s consent or such direct parent entity does not become a Guarantor at the time of such formation, in accordance with Section 6.19(d). For the avoidance of doubt, no Change of Control will be deemed to have occurred by virtue of the Restatement Date Transactions.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CHS</w:t>
      </w:r>
      <w:r>
        <w:rPr>
          <w:rFonts w:ascii="Times New Roman" w:cs="Times New Roman" w:eastAsia="Times New Roman" w:hAnsi="Times New Roman"/>
          <w:sz w:val="18"/>
          <w:szCs w:val="18"/>
          <w:color w:val="auto"/>
        </w:rPr>
        <w:t>” has the meaning specified therefor in the preamble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CHS Investments</w:t>
      </w:r>
      <w:r>
        <w:rPr>
          <w:rFonts w:ascii="Times New Roman" w:cs="Times New Roman" w:eastAsia="Times New Roman" w:hAnsi="Times New Roman"/>
          <w:sz w:val="18"/>
          <w:szCs w:val="18"/>
          <w:color w:val="auto"/>
        </w:rPr>
        <w:t>” means CHS US Investments LLC and its Controlled Investment Affiliates.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shall mean (a) with respect to Lenders, each of the following classes of Lenders: (i) Lenders having Term Loan Exposure and (ii) Lenders having Incremental Term Loan Exposure of each applicable tranche, and (b) with respect to Loans, each of the following classes of Loans: (i) Term Loan and (ii) each tranche of Incremental Term Loans.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shall mean all property or rights in which a security interest, mortgage, lien or other encumbrance in favor of the Agent for the benefit of the Agent and the Lenders is or has been granted or arises or has arisen, under or in connection with this Agreement, the other Loan Documents, or otherwise to secure the Indebtedness.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Access Agreement</w:t>
      </w:r>
      <w:r>
        <w:rPr>
          <w:rFonts w:ascii="Times New Roman" w:cs="Times New Roman" w:eastAsia="Times New Roman" w:hAnsi="Times New Roman"/>
          <w:sz w:val="18"/>
          <w:szCs w:val="18"/>
          <w:color w:val="auto"/>
        </w:rPr>
        <w:t>” shall mean an agreement in form and substance satisfactory to the Agent in its reasonable discretion, pursuant to which a mortgagee or lessor of real property on which Collateral is stored or otherwise located, or a warehouseman, processor or other bailee of inventory or</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18"/>
          <w:szCs w:val="18"/>
          <w:color w:val="auto"/>
        </w:rPr>
        <w:t>other property owned by the Borrower or any Guarantor, that acknowledges the Liens under the Collateral Documents and subordinates or waives any Liens held by such Person on such property and, includes such other agreements with respect to the Collateral as the Agent may require in its reasonable discretion, as the same may be amended, restated or otherwise modified from time to time.</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shall mean the Security Agreement, the Pledge Agreements, the Mortgages, the Account Control Agreements, the Collateral Access Agreements, the Assignment of Business Interruption Insurance Policy, the Reaffirmation Agreement, and all other security documents (and any joinders thereto) executed by any Credit Party in favor of the Agent on or after the Original Effective Date, in connection with any of the foregoing collateral documents, in each case, as such collateral documents may be amended or otherwise modified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 shall mean Term Loan Commitments.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Conforming Changes</w:t>
      </w:r>
      <w:r>
        <w:rPr>
          <w:rFonts w:ascii="Times New Roman" w:cs="Times New Roman" w:eastAsia="Times New Roman" w:hAnsi="Times New Roman"/>
          <w:sz w:val="18"/>
          <w:szCs w:val="18"/>
          <w:color w:val="auto"/>
        </w:rPr>
        <w:t>” shall mean, with respect to either the use or administration of Term SOFR or the use, administration, adoption or implementation of any Benchmark Replacement, any technical, administrative or operational changes (including changes to the definition of “Reference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2.13 and other technical, administrative or operational matters) that the Agent decides may be necessary or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any such rate exists, in such other manner of administration as the Agent decides is reasonably necessary in connection with the administration of this Agreement and the other Loan Documents).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consolidated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Consolidating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consolidating</w:t>
      </w:r>
      <w:r>
        <w:rPr>
          <w:rFonts w:ascii="Times New Roman" w:cs="Times New Roman" w:eastAsia="Times New Roman" w:hAnsi="Times New Roman"/>
          <w:sz w:val="18"/>
          <w:szCs w:val="18"/>
          <w:color w:val="auto"/>
        </w:rPr>
        <w:t>”) shall mean, when used with reference to any financial term in this Agreement, the aggregate for two or more Persons of the amounts signified by such term for all such Persons determined on a consolidated (or consolidating) basis in accordance with GAAP, applied on a consistent basis. Unless otherwise specified herein, “Consolidated” and “Consolidating” shall refer to the Borrower and its Subsidiaries, determined on a Consolidated or Consolidating basis.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Contractual Obligation</w:t>
      </w:r>
      <w:r>
        <w:rPr>
          <w:rFonts w:ascii="Times New Roman" w:cs="Times New Roman" w:eastAsia="Times New Roman" w:hAnsi="Times New Roman"/>
          <w:sz w:val="18"/>
          <w:szCs w:val="18"/>
          <w:color w:val="auto"/>
        </w:rPr>
        <w:t>” shall mean, as to any Person, any provision of any security issued by such Person or of any material agreement, instrument or other undertaking to which such Person is a party or by which it or any of its property is bound.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shall mean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 Investment Affiliate</w:t>
      </w:r>
      <w:r>
        <w:rPr>
          <w:rFonts w:ascii="Times New Roman" w:cs="Times New Roman" w:eastAsia="Times New Roman" w:hAnsi="Times New Roman"/>
          <w:sz w:val="18"/>
          <w:szCs w:val="18"/>
          <w:color w:val="auto"/>
        </w:rPr>
        <w:t>” means, as to any Person, any other Person that (a) directly or indirectly, is in Control of, is Controlled by, or is under common Control with, such Person and (b) is organized by such Person primarily for the purpose of making equity or debt investments in one or more companies.</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8" w:name="page49"/>
    <w:bookmarkEnd w:id="48"/>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shall mean (a) each Credit Party, any other Persons that guaranty the Indebtedness and/or pledge collateral to secure the Indebtedness, (b) each Person that, directly or indirectly, is in control of a Person described in clause (a) above, and (c) all brokers or other agents of any Credit Party acting in any capacity in connection with this Agreement. For purposes of this definition, control of a Person shall mean the direct or indirect</w:t>
      </w:r>
    </w:p>
    <w:p>
      <w:pPr>
        <w:jc w:val="both"/>
        <w:ind w:firstLine="8"/>
        <w:spacing w:after="0" w:line="255" w:lineRule="auto"/>
        <w:tabs>
          <w:tab w:leader="none" w:pos="25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Dat</w:t>
      </w:r>
      <w:r>
        <w:rPr>
          <w:rFonts w:ascii="Times New Roman" w:cs="Times New Roman" w:eastAsia="Times New Roman" w:hAnsi="Times New Roman"/>
          <w:sz w:val="18"/>
          <w:szCs w:val="18"/>
          <w:color w:val="auto"/>
        </w:rPr>
        <w:t>e” shall mean, with respect to each Term Loan, the date such Term Loan is made by the Lenders.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Parties</w:t>
      </w:r>
      <w:r>
        <w:rPr>
          <w:rFonts w:ascii="Times New Roman" w:cs="Times New Roman" w:eastAsia="Times New Roman" w:hAnsi="Times New Roman"/>
          <w:sz w:val="18"/>
          <w:szCs w:val="18"/>
          <w:color w:val="auto"/>
        </w:rPr>
        <w:t>” shall mean the Borrower and its Subsidiaries, if any, and “</w:t>
      </w:r>
      <w:r>
        <w:rPr>
          <w:rFonts w:ascii="Times New Roman" w:cs="Times New Roman" w:eastAsia="Times New Roman" w:hAnsi="Times New Roman"/>
          <w:sz w:val="18"/>
          <w:szCs w:val="18"/>
          <w:b w:val="1"/>
          <w:bCs w:val="1"/>
          <w:color w:val="auto"/>
        </w:rPr>
        <w:t>Credit Party</w:t>
      </w:r>
      <w:r>
        <w:rPr>
          <w:rFonts w:ascii="Times New Roman" w:cs="Times New Roman" w:eastAsia="Times New Roman" w:hAnsi="Times New Roman"/>
          <w:sz w:val="18"/>
          <w:szCs w:val="18"/>
          <w:color w:val="auto"/>
        </w:rPr>
        <w:t>” shall mean any one of them, as the context indicates or otherwise requires.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Security Requirements</w:t>
      </w:r>
      <w:r>
        <w:rPr>
          <w:rFonts w:ascii="Times New Roman" w:cs="Times New Roman" w:eastAsia="Times New Roman" w:hAnsi="Times New Roman"/>
          <w:sz w:val="18"/>
          <w:szCs w:val="18"/>
          <w:color w:val="auto"/>
        </w:rPr>
        <w:t>” means, collectively, all of the following to the extent relating to confidential or sensitive information, payment card data, Personal Data, or other protected information relating to individuals or otherwise relating to privacy, security, Processing, marketing, or security breach notification requirements and applicable to the Credit Parties: (i) each Credit Party’s own rules, policies, and procedures (whether physical or technical in nature, or otherwise), (ii) all applicable laws and all industry standards applicable to the Credit Parties’ industry (including the Payment Card Industry Data Security Standard), and (iii) agreements the Credit Parties have entered into or by which any of them is bound.</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shall mean as to any Person, without duplication, (a) all Funded Debt of such Person, (b) all obligations of such Person under conditional sale or other title retention agreements relating to property or assets purchased by such Person, (c) all indebtedness of such Person arising in connection with any Hedging Transaction entered into by such Person, (d) all recourse Debt of any partnership or joint venture (other than a joint venture that is itself a corporation or limited liability company) of which such Person is the general partner, (e) all Off Balance Sheet Liabilities of such Person, (f) all Guarantee Obligations of such Person in respect of any of the types of obligations described in the preceding clauses (a) through (e), and (g) all liabilities of the type described in the preceding clauses (a) through (f) that are secured by any Liens on any property owned by such Person as of such date even though such Person has not assumed or otherwise become liable for the payment thereof, the amount of which is determined in accordance with GAAP; provided however that so long as such Person is not personally liable for any such liability, the amount of such liability shall be deemed to be the lesser of the fair market value at such date of the property subject to the Lien securing such liability and the amount of the liability secured.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for Equity Exchange</w:t>
      </w:r>
      <w:r>
        <w:rPr>
          <w:rFonts w:ascii="Times New Roman" w:cs="Times New Roman" w:eastAsia="Times New Roman" w:hAnsi="Times New Roman"/>
          <w:sz w:val="18"/>
          <w:szCs w:val="18"/>
          <w:color w:val="auto"/>
        </w:rPr>
        <w:t>” has the meaning specified therefor in the recitals to this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shall mean any event that with the giving of notice or the passage of time, or both, would constitute an Event of Default under this Agreement.</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9" w:name="page50"/>
    <w:bookmarkEnd w:id="4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shall mean any Lender that (a) has failed to (i) fund all or any portion of its Loans within two (2) Business Days of the date such Loans were required to be funded hereunder unless such Lender notifies the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Agent or any other Lender any other amount required to be paid by it hereunder within two (2) Business Days of the date when due, (b) has notified the Borrower or the Agent in writing that it does not intend to comply with its funding obligations hereunder, or has made a public statement to that effect (unless such writing or public statement is based on such Lender’s good faith determination that a condition precedent to funding (which condition precedent, together with any applicable default, shall be specifically identified in such writing or public statement) has not been satisfied), (c) has failed, within three Business Days after written request by the Agent or the Borrower, to confirm in writing to the Agent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Agent that a Lender is a Defaulting Lender under any one or more of clauses (a) through (d) above shall be conclusive and binding absent manifest error, and such Lender shall be deemed to be a Defaulting Lender upon delivery of written notice of such determination to the Borrower and each Lender; provided, that notwithstanding anything to the contrary contained in this Agreement, (x) the Agent shall not be responsible or have any liability for, or have any duty to ascertain, inquire into, monitor or enforce, compliance with the provisions hereof relating to a Defaulting Lender and (y) the Borrower and the Lenders acknowledge and agree that the Agent shall have no responsibility or obligation to determine whether any Lender is a Defaulting Lender.</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Disbursement Letter</w:t>
      </w:r>
      <w:r>
        <w:rPr>
          <w:rFonts w:ascii="Times New Roman" w:cs="Times New Roman" w:eastAsia="Times New Roman" w:hAnsi="Times New Roman"/>
          <w:sz w:val="18"/>
          <w:szCs w:val="18"/>
          <w:color w:val="auto"/>
        </w:rPr>
        <w:t>” shall mean a flow of funds agreement, in form and substance satisfactory to the Agent, by and among the Borrower, the Agent and the Lenders, and the related funds flow memorandum describing the sources and uses of all cash payments in connection with the transactions contemplated to occur on the Restatement Date.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is defined in Section 7.5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and the sign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mean lawful money of the United States of America.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shall mean any Subsidiary that is organized under the laws of the United States of America, any State thereof or the District of Columbia (excluding, for the avoidance of doubt, any Subsidiary organized under the laws of Puerto Rico or any other territory), and “</w:t>
      </w:r>
      <w:r>
        <w:rPr>
          <w:rFonts w:ascii="Times New Roman" w:cs="Times New Roman" w:eastAsia="Times New Roman" w:hAnsi="Times New Roman"/>
          <w:sz w:val="18"/>
          <w:szCs w:val="18"/>
          <w:b w:val="1"/>
          <w:bCs w:val="1"/>
          <w:color w:val="auto"/>
        </w:rPr>
        <w:t>Domestic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shall mean any or all of them.</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8"/>
          <w:szCs w:val="18"/>
          <w:color w:val="auto"/>
        </w:rPr>
        <w:t>this definition, or (c) any financial institution established in an EEA Member Country which is a subsidiary of an institution described in clauses (a) or (b) of this definition and is subject to consolidated supervision with its parent.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shall mean any of the member states of the European Union, Iceland, Liechtenstein, and Norway.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 Transmission</w:t>
      </w:r>
      <w:r>
        <w:rPr>
          <w:rFonts w:ascii="Times New Roman" w:cs="Times New Roman" w:eastAsia="Times New Roman" w:hAnsi="Times New Roman"/>
          <w:sz w:val="18"/>
          <w:szCs w:val="18"/>
          <w:color w:val="auto"/>
        </w:rPr>
        <w:t>” shall mean each document, instruction, authorization, file, information and any other communication transmitted, posted or otherwise made or communicated by e-mail or E-Fax, or otherwise to or from an E-System or other equivalent service.</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xml:space="preserve">” shall mean (a) a Lender; (b) any Affiliate of the Agent or any Lender or any Related Fund of the Agent or any Lender; or (c) any other Person (other than a natural person) approved by (i) the Agent and (ii) the Borrower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Borrower’s consent shall not be required (1) after the occurrence and during the continuance of an Event of Default under Section 8.1(a), 8.1(b), 8.1(c) (solely as a result of a breach of Section 6.1, 6.2 or 7.14) or or 8.1(i), (2) if such assignment is in connection with any sale, transfer, or other disposition of all or any substantial portion of the loan portfolio of such Lender or (3) if the Majority Lenders hold more than 50% of the outstanding voting stock of the Borrower and (B) the Borrower shall be deemed to have consented to any such assignment unless it shall object thereto by written notice to the Agent within five (5) Business Days after having received notice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notwithstanding the foregoing, (i) “Eligible Assignee” shall not include the Borrower or any of the Borrower’s Affiliates or Subsidiaries and (ii) no assignment shall be made to a Defaulting Lender (or any Person who would be a Defaulting Lender if such Person was a Lender hereunder) without the consent of the Agent.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Incremental Lenders</w:t>
      </w:r>
      <w:r>
        <w:rPr>
          <w:rFonts w:ascii="Times New Roman" w:cs="Times New Roman" w:eastAsia="Times New Roman" w:hAnsi="Times New Roman"/>
          <w:sz w:val="18"/>
          <w:szCs w:val="18"/>
          <w:color w:val="auto"/>
        </w:rPr>
        <w:t>” shall mean any bank, trust company, savings and loan association, savings bank or other financial institution that</w:t>
      </w:r>
    </w:p>
    <w:p>
      <w:pPr>
        <w:spacing w:after="0" w:line="31" w:lineRule="exact"/>
        <w:rPr>
          <w:sz w:val="20"/>
          <w:szCs w:val="20"/>
          <w:color w:val="auto"/>
        </w:rPr>
      </w:pPr>
    </w:p>
    <w:p>
      <w:pPr>
        <w:ind w:firstLine="8"/>
        <w:spacing w:after="0" w:line="260" w:lineRule="auto"/>
        <w:tabs>
          <w:tab w:leader="none" w:pos="2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engages in the business of extending loans or credit, and whose reported capital and surplus equal at least $250,000,000 and (b) is approved by the Agent and the Majority Lenders.</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“Equity Interest</w:t>
      </w:r>
      <w:r>
        <w:rPr>
          <w:rFonts w:ascii="Times New Roman" w:cs="Times New Roman" w:eastAsia="Times New Roman" w:hAnsi="Times New Roman"/>
          <w:sz w:val="18"/>
          <w:szCs w:val="18"/>
          <w:color w:val="auto"/>
        </w:rPr>
        <w:t>” shall mean (i) in the case of any corporation, all capital stock and any securities exchangeable for or convertible into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(ii) in the case of an association or business entity, any and all shares, interests, participations, rights or other equivalents of corporate stock (however designated) in or to such association or entity, (iii) in the case of a partnership or limited liability company, partnership or membership interests (whether general or limited) and (iv) any other interest or participation that confers on a Person the right to receive a share of the profits and losses of, or distribution of assets of, the issuing Person, and including, in all of the foregoing cases described in clauses (i), (ii), (iii) or (iv), any warrants, rights or other options to purchase or otherwise acquire any of the interests described in any of the foregoing cases, but excluding, in all of the foregoing cases described in clauses (i), (ii), (iii) and (iv), any Debt that is convertible into or exchangeable for Equity Interests but only prior to any such conversion.</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shall mean the Employee Retirement Income Security Act of 1974, as amended, or any successor act or code and the regulations in effect from time to time thereunder.</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1" w:name="page52"/>
    <w:bookmarkEnd w:id="51"/>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shall mean, with respect to any Person, any trade or business (whether or not incorporated) which is a member of a group of which such Person is a member and which would be deemed to be a “controlled group” or under “common control” within the meaning of Sections 414(b), (c), (m) or (o) of the Internal Revenue Code or Sections 4001(a)(14) or 4001(b)(1) of ERISA.</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shall mean (a) the occurrence of a Reportable Event with respect to any Pension Plan; (b) the failure to meet the minimum funding standards of Section 412 or 430 of the Internal Revenue Code or Section 302 or 303 of ERISA with respect to any Pension Plan (whether or not waived in accordance with Section 412(c) of the Internal Revenue Code or Section 302(c) of ERISA) or the failure to make a contribution or installment required under Section 412 or Section 430(j) of the Internal Revenue Code with respect to any Pension Plan or the failure to make any required contribution to a Multiemployer Plan; (c) a determination that any Pension Plan is, or is expected to be, in “at risk” status (as defined in Section 430 of the Internal Revenue Code or Section 303 of ERISA); (d) a determination that any Multiemployer Plan is, or is expected to be, in “critical” or “endangered” status under Section 432 of the Internal Revenue Code or Section 305 of ERISA; (e) the filing of a notice of intent to terminate a Pension Plan or the treatment of an amendment to a Pension Plan as a termination under Section 4041 of ERISA; (f) the withdrawal by any Credit Party or any of its ERISA Affiliates from any Pension Plan with two or more contributing sponsors or the termination of any such Pension Plan resulting in liability to any Credit Party or any of its ERISA Affiliates pursuant to Section 4063 or 4064 of ERISA; (g) the institution by the PBGC of proceedings to terminate any Pension Plan, or the occurrence of any event or condition that might constitute grounds under ERISA for the termination of, or the appointment of a trustee to administer, any Pension Plan; (h) the imposition of liability on any Credit Party or any of its ERISA Affiliates pursuant to Section 4062(e) or 4069(a) of ERISA or by reason of the application of Section 4212(c) of ERISA; (i) the withdrawal of any Credit Party or any of its ERISA Affiliates in a complete or partial withdrawal (within the meaning of Sections 4203 and 4205 of ERISA) from any Multiemployer Plan or the receipt by any Credit Party or any of its ERISA Affiliates of notice from any Multiemployer Plan that it is insolvent pursuant to Section 4245 of ERISA, or that it intends to terminate or has terminated under Section 4041A or 4042 of ERISA; (j) the occurrence of an act or omission which could give rise to the imposition on any Credit Party or any of its ERISA Affiliates of fines, penalties, taxes or related charges under Sections 4975 or 4971 of the Internal Revenue Code or under Section 409, Section 502(c), (i) or (l), or Section 4071 of ERISA in respect of any Employee Plan; (k) the imposition of any liability under Title IV of ERISA, other than for PBGC premiums due but not delinquent, upon any Credit Party or any of its ERISA Affiliates; or (l) the imposition of a Lien pursuant to Section 430(k) of the Internal Revenue Code or pursuant to ERISA with respect to any Pension Plan.</w:t>
      </w:r>
    </w:p>
    <w:p>
      <w:pPr>
        <w:spacing w:after="0" w:line="18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E-System</w:t>
      </w:r>
      <w:r>
        <w:rPr>
          <w:rFonts w:ascii="Times New Roman" w:cs="Times New Roman" w:eastAsia="Times New Roman" w:hAnsi="Times New Roman"/>
          <w:sz w:val="18"/>
          <w:szCs w:val="18"/>
          <w:color w:val="auto"/>
        </w:rPr>
        <w:t>” shall mean any electronic system and any other Internet or extranet-based site, whether such electronic system is owned, operated, hosted or utilized by the Agent, any of its Affiliates or any other Person, providing for access to data protected by passcodes or other security system.</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shall mean the EU Bail-In Legislation Schedule published by the Loan Market Association (or any successor person), as in effect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mean each of the conditions or events set forth in Section 8.1 hereof.</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Agreement”</w:t>
      </w:r>
      <w:r>
        <w:rPr>
          <w:rFonts w:ascii="Times New Roman" w:cs="Times New Roman" w:eastAsia="Times New Roman" w:hAnsi="Times New Roman"/>
          <w:sz w:val="18"/>
          <w:szCs w:val="18"/>
          <w:color w:val="auto"/>
        </w:rPr>
        <w:t xml:space="preserve"> shall mean that certain Exchange Agreement, dated as of August 20, 2025, by and between CHS Investments and Borrower, as amended, restated or otherwise modified from time to time.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Exchanged Term Loans</w:t>
      </w:r>
      <w:r>
        <w:rPr>
          <w:rFonts w:ascii="Times New Roman" w:cs="Times New Roman" w:eastAsia="Times New Roman" w:hAnsi="Times New Roman"/>
          <w:sz w:val="18"/>
          <w:szCs w:val="18"/>
          <w:color w:val="auto"/>
        </w:rPr>
        <w:t>” shall mean term loans received by an Existing Lender in exchange for such Lender’s Existing Term Loans as described in the recitals hereto or all of the term loans received</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by the Existing Lenders in exchange for the Existing Lenders’ Existing Term Loans as described in the recitals hereto, as the context requires.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Account</w:t>
      </w:r>
      <w:r>
        <w:rPr>
          <w:rFonts w:ascii="Times New Roman" w:cs="Times New Roman" w:eastAsia="Times New Roman" w:hAnsi="Times New Roman"/>
          <w:sz w:val="18"/>
          <w:szCs w:val="18"/>
          <w:color w:val="auto"/>
        </w:rPr>
        <w:t>” shall mean (a) any account which is a payroll, withholding, disbursement, zero balance (in which all funds in such zero balance account are transferred on a daily basis to an account subject to an Account Control Agreement) or trust account, (b) any Excluded L/C Account and (c) the Permitted Account.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L/C Account</w:t>
      </w:r>
      <w:r>
        <w:rPr>
          <w:rFonts w:ascii="Times New Roman" w:cs="Times New Roman" w:eastAsia="Times New Roman" w:hAnsi="Times New Roman"/>
          <w:sz w:val="18"/>
          <w:szCs w:val="18"/>
          <w:color w:val="auto"/>
        </w:rPr>
        <w:t>” shall have the meaning specified therefore in Section 7.2(f).</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shall mean any of the following Taxes imposed on or with respect to a Recipient or required to be withheld or deducted from a payment to a Recipient, (a) Taxes imposed on or measured by net income (however denominated), franchise Taxes, and branch profits Taxes, in each case,</w:t>
      </w:r>
    </w:p>
    <w:p>
      <w:pPr>
        <w:spacing w:after="0" w:line="1" w:lineRule="exact"/>
        <w:rPr>
          <w:sz w:val="20"/>
          <w:szCs w:val="20"/>
          <w:color w:val="auto"/>
        </w:rPr>
      </w:pPr>
    </w:p>
    <w:p>
      <w:pPr>
        <w:jc w:val="both"/>
        <w:ind w:firstLine="8"/>
        <w:spacing w:after="0" w:line="251" w:lineRule="auto"/>
        <w:tabs>
          <w:tab w:leader="none" w:pos="2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12.11) or (ii) such Lender changes its lending office, except in each case to the extent that pursuant to Section 10.4, amounts with respect to such Taxes were payable either to such Lender’s assignor immediately before such Lender became a party hereto or to such Lender immediately before it changed its lending office, (c) Taxes attributable to such Recipient’s failure to comply with Section 12.12 and (d) any U.S. federal withholding Taxes imposed under FATCA.</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Lender</w:t>
      </w:r>
      <w:r>
        <w:rPr>
          <w:rFonts w:ascii="Times New Roman" w:cs="Times New Roman" w:eastAsia="Times New Roman" w:hAnsi="Times New Roman"/>
          <w:sz w:val="18"/>
          <w:szCs w:val="18"/>
          <w:color w:val="auto"/>
        </w:rPr>
        <w:t>” has the meaning specified therefor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Term Loans</w:t>
      </w:r>
      <w:r>
        <w:rPr>
          <w:rFonts w:ascii="Times New Roman" w:cs="Times New Roman" w:eastAsia="Times New Roman" w:hAnsi="Times New Roman"/>
          <w:sz w:val="18"/>
          <w:szCs w:val="18"/>
          <w:color w:val="auto"/>
        </w:rPr>
        <w:t>” has the meaning specified therefor in the recitals to this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shall mean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any agreement entered into pursuant to Section 1471(b)(1) of the Internal Revenue Code, any intergovernmental agreement entered into in connection with the implementation of such Sections of the Internal Revenue Code and any fiscal or regulatory legislation, rules or practices adopted pursuant to such intergovernmental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Rate</w:t>
      </w:r>
      <w:r>
        <w:rPr>
          <w:rFonts w:ascii="Times New Roman" w:cs="Times New Roman" w:eastAsia="Times New Roman" w:hAnsi="Times New Roman"/>
          <w:sz w:val="18"/>
          <w:szCs w:val="18"/>
          <w:color w:val="auto"/>
        </w:rPr>
        <w:t>”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shall mean the third amended and restated fee letter by and between Borrower and Agent, dated as of the Restatement Date, as amended, restated, replaced or otherwise modified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shall mean the fees and charges payable by the Borrower to the Lenders or the Agent hereunder or under the Fee Letter.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shall have the meaning specified therefor in Section 4.1(h).</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3" w:name="page54"/>
    <w:bookmarkEnd w:id="53"/>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shall mean the fiscal quarter of the Borrower and its Subsidiaries ending on January 31, April 30, July 31 and October 31 of each year.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shall mean the fiscal year of the Borrower and its Subsidiaries ending on January 31 of each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shall mean a rate of interest equal to 1.00% per annum.</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Benefit Event</w:t>
      </w:r>
      <w:r>
        <w:rPr>
          <w:rFonts w:ascii="Times New Roman" w:cs="Times New Roman" w:eastAsia="Times New Roman" w:hAnsi="Times New Roman"/>
          <w:sz w:val="18"/>
          <w:szCs w:val="18"/>
          <w:color w:val="auto"/>
        </w:rPr>
        <w:t>” shall mean, with respect to any Foreign Plan, (a) the existence of unfunded liabilities in excess of the amount permitted under any Requirement of Law, or in excess of the amount that would be permitted absent a waiver from a Governmental Authority, (b) the failure to make the required contributions or payments, under any Requirement of Law, on or before the due date for such contributions or payments, (c) the receipt of a notice from a Governmental Authority relating to the intention to terminate any such Foreign Plan or to appoint a trustee or similar official to administer any such Foreign Plan, or alleging the insolvency of any such Foreign Plan, or (d) the occurrence of any transaction that is prohibited under any Requirement of Law and that could reasonably be expected to result in the incurrence of any liability by a Credit Party, or the imposition on a Credit Party of, any fine, excise tax or penalty resulting from any noncompliance with any Requirement of Law.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shall mean a Lender that is not a “United States person,” within the meaning of Section 7701(a)(30) of the Internal 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Plan</w:t>
      </w:r>
      <w:r>
        <w:rPr>
          <w:rFonts w:ascii="Times New Roman" w:cs="Times New Roman" w:eastAsia="Times New Roman" w:hAnsi="Times New Roman"/>
          <w:sz w:val="18"/>
          <w:szCs w:val="18"/>
          <w:color w:val="auto"/>
        </w:rPr>
        <w:t>” shall mean any employee pension benefit plan (within the meaning of Section 3(2) of ERISA, whether or not subject to ERISA) that is maintained or contributed to by a Credit Party with respect to workers employed outside the United States.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shall mean any Subsidiary of the Borrower that is not a Domestic Subsidiary, and “Foreign Subsidiaries” shall mean any or all of them.</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Funded Debt</w:t>
      </w:r>
      <w:r>
        <w:rPr>
          <w:rFonts w:ascii="Times New Roman" w:cs="Times New Roman" w:eastAsia="Times New Roman" w:hAnsi="Times New Roman"/>
          <w:sz w:val="18"/>
          <w:szCs w:val="18"/>
          <w:color w:val="auto"/>
        </w:rPr>
        <w:t>” of any Person shall mean, without duplication, (a) all indebtedness of such Person for borrowed money or for the deferred purchase price of property or services as of such date (other than (i) operating leases and (ii) trade payables not outstanding for more than 90 days after the date such payable was due, in each case, incurred in the ordinary course of business and payable in accordance with customary practices) or which is evidenced by a note, bond, debenture or similar instrument, (b) the principal component of all obligations of such Person under Capitalized Leases, (c) all reimbursement obligations (actual, contingent or otherwise) of such Person in respect of letters of credit, bankers acceptances or similar obligations issued or created for the account of such Person, and (d) all Guarantee Obligations in respect of any liability which constitutes Funded Debt under the preceding clauses (a) through (c); provided, however that Funded Debt shall not include any indebtedness under any Hedging Transaction prior to the occurrence of a termination event with respect thereto.</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shall mean, as in effect from time to time, generally accepted accounting principles in the United States of America that are applicable to the circumstances as of the date of determination.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 and any group or body charged with setting financial accounting or regulatory capital rules or standards (including, without limitation, the Financial Accounting Standards Board, the Bank for</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International Settlements or the Basel Committee on Banking Supervision or any successor or similar authority to any of the foregoing).</w:t>
      </w:r>
    </w:p>
    <w:p>
      <w:pPr>
        <w:spacing w:after="0" w:line="22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Obligations</w:t>
      </w:r>
      <w:r>
        <w:rPr>
          <w:rFonts w:ascii="Times New Roman" w:cs="Times New Roman" w:eastAsia="Times New Roman" w:hAnsi="Times New Roman"/>
          <w:sz w:val="18"/>
          <w:szCs w:val="18"/>
          <w:color w:val="auto"/>
        </w:rPr>
        <w:t>” shall mean noncallable direct general obligations of the United States of America or obligations the payment of principal of and interest on which is unconditionally guaranteed by the United States of America.</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 Obligation</w:t>
      </w:r>
      <w:r>
        <w:rPr>
          <w:rFonts w:ascii="Times New Roman" w:cs="Times New Roman" w:eastAsia="Times New Roman" w:hAnsi="Times New Roman"/>
          <w:sz w:val="18"/>
          <w:szCs w:val="18"/>
          <w:color w:val="auto"/>
        </w:rPr>
        <w:t>” shall mean as to any Person (the “guaranteeing person”) any obligation of the guaranteeing Person in respect of any obligation of another Person (the “primary obligor”) (including, without limitation, any bank under any letter of credit), the creation of which was induced by a reimbursement agreement, guaranty agreement, keepwell agreement, purchase agreement, counterindemnity or similar obligation issued by the guaranteeing person, in either case guaranteeing or in effect guaranteeing any Debt, leases, dividends or other obligations (the “primary obligations”) of the primary obligor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provided, however,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applicable Person in good faith.</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shall mean each Subsidiary of the Borrower (and, to the extent the Lenders have agreed to the formation of a direct parent holding entity, such parent entity of the Borrower, in accordance with Section 6.19(d)) which has executed and delivered to the Agent a Guaranty (or a joinder to a Guaranty), and a Security Agreement (or a joinder to the Security Agreement). It is understood and agreed that any Subsidiary or Affiliate of the Borrower that is a guarantor under the Senior Loan Documents (or any Permitted Refinancing Debt in respect of such Debt) shall be required to be a Guarantor hereunder. Notwithstanding anything to the contrary contained herein or in any other Loan Document, a Subsidiary shall not cease to be a Guarantor hereunder solely by virtue of such Subsidiary no longer being a wholly-owned Subsidiary of a Credit Party unless all of the Equity Interests of such Subsidiary held by any Credit Party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shall mean, collectively, those guaranty agreements executed and delivered from time to time after the Restatement Date (whether by execution of joinder agreements or otherwise) pursuant to Section 6.13 hereof or otherwise, in each case in the form attached hereto as Exhibit C, as amended, restated or otherwise modified from time to time.</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5" w:name="page56"/>
    <w:bookmarkEnd w:id="55"/>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w:t>
      </w:r>
      <w:r>
        <w:rPr>
          <w:rFonts w:ascii="Times New Roman" w:cs="Times New Roman" w:eastAsia="Times New Roman" w:hAnsi="Times New Roman"/>
          <w:sz w:val="18"/>
          <w:szCs w:val="18"/>
          <w:color w:val="auto"/>
        </w:rPr>
        <w:t>” shall mean any hazardous or toxic waste, substance or material defined or regulated as such in or for purposes of the Hazardous Material Laws.</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 Law(s)</w:t>
      </w:r>
      <w:r>
        <w:rPr>
          <w:rFonts w:ascii="Times New Roman" w:cs="Times New Roman" w:eastAsia="Times New Roman" w:hAnsi="Times New Roman"/>
          <w:sz w:val="18"/>
          <w:szCs w:val="18"/>
          <w:color w:val="auto"/>
        </w:rPr>
        <w:t>” shall mean all laws, codes, ordinances, rules, regulations and other governmental restrictions and Requirements of Law issued by any federal, state, local or other governmental or quasi-governmental authority or body (or any agency, instrumentality or political subdivision thereof) pertaining to any substance or material which is regulated for reasons of health, safety or the environment and which is present or alleged to be present on or about or used in any facilities owned, leased or operated by any Credit Party, or any portion thereof including, without limitation, those relating to soil, surface, subsurface ground water conditions and the condition of the indoor and outdoor ambient air; any so-called “superfund” or “superlien” law; and any other United States federal, state or local statute, law, ordinance, code, rule, regulation, order or decree regulating, relating to, or imposing liability or standards of conduct concerning, any Hazardous Material, as now or at any time during the term of the Agreement in effect.</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Hedging Transaction</w:t>
      </w:r>
      <w:r>
        <w:rPr>
          <w:rFonts w:ascii="Times New Roman" w:cs="Times New Roman" w:eastAsia="Times New Roman" w:hAnsi="Times New Roman"/>
          <w:sz w:val="18"/>
          <w:szCs w:val="18"/>
          <w:color w:val="auto"/>
        </w:rPr>
        <w:t>” shall mean each interest rate swap transaction, basis swap transaction, forward rate transaction, equity transaction, equity index transaction, foreign exchange transaction, cap transaction, floor transaction (including any option with respect to any of these transactions and any combination of any of the foregoing).</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hereto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hereunder</w:t>
      </w:r>
      <w:r>
        <w:rPr>
          <w:rFonts w:ascii="Times New Roman" w:cs="Times New Roman" w:eastAsia="Times New Roman" w:hAnsi="Times New Roman"/>
          <w:sz w:val="18"/>
          <w:szCs w:val="18"/>
          <w:color w:val="auto"/>
        </w:rPr>
        <w:t>” and similar terms shall refer to this Agreement and not to any particular paragraph or provision of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Highest Lawful Rate</w:t>
      </w:r>
      <w:r>
        <w:rPr>
          <w:rFonts w:ascii="Times New Roman" w:cs="Times New Roman" w:eastAsia="Times New Roman" w:hAnsi="Times New Roman"/>
          <w:sz w:val="18"/>
          <w:szCs w:val="18"/>
          <w:color w:val="auto"/>
        </w:rPr>
        <w:t>” shall mean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Increased Amount Date</w:t>
      </w:r>
      <w:r>
        <w:rPr>
          <w:rFonts w:ascii="Times New Roman" w:cs="Times New Roman" w:eastAsia="Times New Roman" w:hAnsi="Times New Roman"/>
          <w:sz w:val="18"/>
          <w:szCs w:val="18"/>
          <w:color w:val="auto"/>
        </w:rPr>
        <w:t>” has the meaning specified in Section 2.11.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 Commitments</w:t>
      </w:r>
      <w:r>
        <w:rPr>
          <w:rFonts w:ascii="Times New Roman" w:cs="Times New Roman" w:eastAsia="Times New Roman" w:hAnsi="Times New Roman"/>
          <w:sz w:val="18"/>
          <w:szCs w:val="18"/>
          <w:color w:val="auto"/>
        </w:rPr>
        <w:t>” has the meaning specified in Section 2.11.</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 Exposure</w:t>
      </w:r>
      <w:r>
        <w:rPr>
          <w:rFonts w:ascii="Times New Roman" w:cs="Times New Roman" w:eastAsia="Times New Roman" w:hAnsi="Times New Roman"/>
          <w:sz w:val="18"/>
          <w:szCs w:val="18"/>
          <w:color w:val="auto"/>
        </w:rPr>
        <w:t>” shall mean, with respect to any Lender, as of any date of determination, the sum of (a) such Lender’s undrawn Incremental Term Loan Commitment and (b) the aggregate outstanding principal amount of the Incremental Term Loans of such Lender.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 Lender</w:t>
      </w:r>
      <w:r>
        <w:rPr>
          <w:rFonts w:ascii="Times New Roman" w:cs="Times New Roman" w:eastAsia="Times New Roman" w:hAnsi="Times New Roman"/>
          <w:sz w:val="18"/>
          <w:szCs w:val="18"/>
          <w:color w:val="auto"/>
        </w:rPr>
        <w:t>” has the meaning specified in Section 2.11.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Loans</w:t>
      </w:r>
      <w:r>
        <w:rPr>
          <w:rFonts w:ascii="Times New Roman" w:cs="Times New Roman" w:eastAsia="Times New Roman" w:hAnsi="Times New Roman"/>
          <w:sz w:val="18"/>
          <w:szCs w:val="18"/>
          <w:color w:val="auto"/>
        </w:rPr>
        <w:t>” has the meaning specified in Section 2.11.</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shall mean all indebtedness and liabilities (including without limitation principal, interest (including without limitation interest accruing at the then applicable rate provided in this Agreement or any other applicable Loan Document after an applicable maturity date and interest accruing at the then applicable rate provided in this Agreement or any other applicable Loan Document after the filing of any petition in bankruptcy, or the commencement of any insolvency, reorganization or like proceeding, relating to the Credit Parties whether or not a claim for post-filing or post-petition interest is allowed in such proceeding), fees, prepayment premiums (including the Prepayment Premium), expenses, indemnification and other charges) arising under this Agreement or any of the other Loan Documents, whether direct or indirect, absolute or contingent, of any Credit Party to any of the Lenders or Affiliates thereof or to the Agent, in any manner and at any time, whether arising under this Agreement, the</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6" w:name="page57"/>
    <w:bookmarkEnd w:id="56"/>
    <w:p>
      <w:pPr>
        <w:jc w:val="both"/>
        <w:spacing w:after="0" w:line="255" w:lineRule="auto"/>
        <w:rPr>
          <w:sz w:val="20"/>
          <w:szCs w:val="20"/>
          <w:color w:val="auto"/>
        </w:rPr>
      </w:pPr>
      <w:r>
        <w:rPr>
          <w:rFonts w:ascii="Times New Roman" w:cs="Times New Roman" w:eastAsia="Times New Roman" w:hAnsi="Times New Roman"/>
          <w:sz w:val="18"/>
          <w:szCs w:val="18"/>
          <w:color w:val="auto"/>
        </w:rPr>
        <w:t>Guaranty or any of the other Loan Documents due or hereafter to become due, now owing or that may hereafter be incurred by any Credit Party to any of the Lenders or Affiliates thereof or to the Agent, in each case whether or not reduced to judgment, with interest according to the rates and terms specified, and any and all consolidations, amendments, renewals, replacements, substitutions or extensions of any of the foregoing; provided, however that for purposes of calculating the Indebtedness outstanding under this Agreement or any of the other Loan Documents, the direct and indirect and absolute and contingent obligations of the Credit Parties (whether direct or contingent) shall be determined without duplication. Without limiting the generality of the foregoing, the Indebtedness of each Credit Party under the Loan Documents includes the obligation of such Person to reimburse any amount in respect of any of the foregoing that any Agent or any Lender (in its sole discretion) may elect to pay or advance on behalf of such Person.</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shall mean, collectively, any and all liabilities, obligations, losses, damages, penalties, claims, costs, expenses and disbursements of any kind or nature whatsoever (including the reasonable fees and disbursements of (i) one outside counsel for the Agent and (ii) one outside counsel for the Lenders taken as a whole (absent a conflict of interest (in which case, each group of similarly situated and conflicted Lenders may engage and be reimbursed for an additional firm of outside counsel) and if necessary, one local counsel in each relevant jurisdiction and such specialist counsel as the Agent or the Lenders may reasonably determine (and in the case of a conflict of interest, one additional local counsel or specialist counsel for the Agent or each group of similarly situated and conflicted Lenders)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Hazardous Materials on or from any property owned or operated by the Borrower or any of its Subsidiaries, or any environmental liability related in any way to the Borrower or any of its Subsidiaries; (iv) any actual or prospective claim, litigation, investigation or proceeding relating to any of the foregoing, whether based on contract, tort or any other theory, whether brought by a third party or by the Borrower, and regardless of whether any Indemnitee is a party thereto; and (v) any fees or expenses incurred by Indemnitees in enforcing this indemnity), whether direct, indirect or consequential and whether based on any federal, state or foreign laws, statutes, rules or regulations, on common law or equitable cause or on contract or otherwise, that may be imposed on, incurred by, or asserted against any such Indemnitee, in any manner relating to or arising out of this Agreement or the other Loan Documents or the transactions contemplated hereby or thereby (including the Lenders’ agreement to make Loans or the use or intended use of the proceeds thereof, or any enforcement of any of the Loan Documents (including any sale of, collection from, or other realization upon any of the Collateral or the enforcement of the Guaranty)).</w:t>
      </w:r>
    </w:p>
    <w:p>
      <w:pPr>
        <w:spacing w:after="0" w:line="19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shall mean (a) Taxes, other than Excluded Taxes, imposed on or with respect to any payment made by or on account of any obligation of any Credit Party under any Loan Document and (b) to the extent not otherwise described in (a), Other Taxes.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shall have the meaning assigned to such term in Section 12.4(b).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Loan Exchange</w:t>
      </w:r>
      <w:r>
        <w:rPr>
          <w:rFonts w:ascii="Times New Roman" w:cs="Times New Roman" w:eastAsia="Times New Roman" w:hAnsi="Times New Roman"/>
          <w:sz w:val="18"/>
          <w:szCs w:val="18"/>
          <w:color w:val="auto"/>
        </w:rPr>
        <w:t>” has the meaning specified therefor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shall mean any proceeding commenced by or against any Person under any provision of any Debtor Relief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shall have the meaning assigned to such term in the Security Agreement.</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7" w:name="page58"/>
    <w:bookmarkEnd w:id="57"/>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License Agreement</w:t>
      </w:r>
      <w:r>
        <w:rPr>
          <w:rFonts w:ascii="Times New Roman" w:cs="Times New Roman" w:eastAsia="Times New Roman" w:hAnsi="Times New Roman"/>
          <w:sz w:val="18"/>
          <w:szCs w:val="18"/>
          <w:color w:val="auto"/>
        </w:rPr>
        <w:t>” shall mean that certain License Agreement entered into on September 12, 2019, between the Borrower and Rent the Runway Limited.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Note</w:t>
      </w:r>
      <w:r>
        <w:rPr>
          <w:rFonts w:ascii="Times New Roman" w:cs="Times New Roman" w:eastAsia="Times New Roman" w:hAnsi="Times New Roman"/>
          <w:sz w:val="18"/>
          <w:szCs w:val="18"/>
          <w:color w:val="auto"/>
        </w:rPr>
        <w:t>” shall mean any promissory note issued or to be issued by any Credit Party to evidence an intercompany loan in form and substance satisfactory to the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Capitalization</w:t>
      </w:r>
      <w:r>
        <w:rPr>
          <w:rFonts w:ascii="Times New Roman" w:cs="Times New Roman" w:eastAsia="Times New Roman" w:hAnsi="Times New Roman"/>
          <w:sz w:val="18"/>
          <w:szCs w:val="18"/>
          <w:color w:val="auto"/>
        </w:rPr>
        <w:t>” has the meaning specified therefor in the recitals to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shall mean with respect to (a) any Loan that is a Reference Rate Loan, the first Business Day occurring after the end of each Fiscal Quarter and (b) any Loan that is a SOFR Loan, the first Business Day following the last day of each Interest Period applicable to such Loan.</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shall mean, with respect to each SOFR Loan, a period commencing on the date of the making of such SOFR Loan (or the continuation of a SOFR Loan or the conversion of a Reference Rate Loan to a SOFR Loan) and ending three (3) months thereafter (in each case, subject to the availability thereof); provided, however, that (a) if any Interest Period would end on a day that is not a Business Day, such Interest Period shall be extended (subject to clauses (c)-(e) below) to the next succeeding Business Day, (b) interest shall accrue at the applicable rate based upon Adjusted Term SOFR from and including the first day of each Interest Period to, but excluding, the day on which any Interest Period expires, (c) any Interest Period that would end on a day that is not a Business Day shall be extended to the next succeeding Business Day unless such Business Day falls in another calendar month, in which case such Interest Period shall end on the next preceding Business Day, (d) with respect to an Interest Period that begins on the last Business Day of a calendar month (or on a day for which there is no numerically corresponding day in the calendar month at the end of such Interest Period), the Interest Period shall end on the last Business Day of the calendar month that is three (3) months after the date on which the Interest Period began, as applicable, (e) the Borrower may not elect an Interest Period which will end after the Maturity Date and (f) no tenor that has been removed from this definition pursuant to Section 2.12(g)(iv) shall be available for specification in such Request for Loan or SOFR Notice.</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Revenue Code</w:t>
      </w:r>
      <w:r>
        <w:rPr>
          <w:rFonts w:ascii="Times New Roman" w:cs="Times New Roman" w:eastAsia="Times New Roman" w:hAnsi="Times New Roman"/>
          <w:sz w:val="18"/>
          <w:szCs w:val="18"/>
          <w:color w:val="auto"/>
        </w:rPr>
        <w:t>” shall mean the Internal Revenue Code of 1986 of the United States of America, as amended from time to time, and the regulations promulgated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shall mean any inventory as defined under the UCC.</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shall mean, when used with respect to any Person, (a) any loan, investment or advance made by such Person to any other Person (including, without limitation, any Guarantee Obligation) in respect of any Equity Interest, Debt, obligation or liability of such other Person, (b) the purchase or other acquisition by such Person, or other obligation for the purchase of, all or substantially all or any material portion of the assets or business interests or a division or line of business or other business unit of any Person or any business or going concern, and (c) any other investment made by such Person (however acquired) in Equity Interests in any other Person, including, without limitation, any investment made in exchange for the issuance of Equity Interest of such Person and any investment made as a capital contribution to such other Person.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Joinder Agreement</w:t>
      </w:r>
      <w:r>
        <w:rPr>
          <w:rFonts w:ascii="Times New Roman" w:cs="Times New Roman" w:eastAsia="Times New Roman" w:hAnsi="Times New Roman"/>
          <w:sz w:val="18"/>
          <w:szCs w:val="18"/>
          <w:color w:val="auto"/>
        </w:rPr>
        <w:t>” shall have the meaning set forth in Section 2.11.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shall have the meaning set forth in the preamble and any assignee which becomes a Lender pursuant to Section 12.7 hereof.</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shall mean any security interest in or lien on or against any property arising from any pledge, assignment, hypothecation, mortgage, security interest, deposit arrangement, trust receipt,</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conditional sale or title retaining contract, sale and leaseback transaction, Capitalized Lease, consignment or bailment for security, or any other type of lien, charge, encumbrance, title exception, preferential or priority arrangement affecting property (including with respect to stock, any stockholder agreements, voting rights agreements, buy-back agreements and all similar arrangements), whether based on common law or statute.</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w:t>
      </w:r>
      <w:r>
        <w:rPr>
          <w:rFonts w:ascii="Times New Roman" w:cs="Times New Roman" w:eastAsia="Times New Roman" w:hAnsi="Times New Roman"/>
          <w:sz w:val="18"/>
          <w:szCs w:val="18"/>
          <w:color w:val="auto"/>
        </w:rPr>
        <w:t>” shall mean an amount equal to the sum of (a) Qualified Cash plus (b) Qualified Cash Equivalents plus (c) availability under the Senior Credit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shall mean a Term Loan.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Account</w:t>
      </w:r>
      <w:r>
        <w:rPr>
          <w:rFonts w:ascii="Times New Roman" w:cs="Times New Roman" w:eastAsia="Times New Roman" w:hAnsi="Times New Roman"/>
          <w:sz w:val="18"/>
          <w:szCs w:val="18"/>
          <w:color w:val="auto"/>
        </w:rPr>
        <w:t>” shall mean an account maintained hereunder by the Agent on its books of account at the Principal Office and with respect to the Borrower, in which it will be charged with all Loans made to, and all other Indebtedness incurred by the Credit Parties.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shall mean, collectively, this Agreement, the Fee Letter, the Notes (if issued), the Disbursement Letter, the Guaranty, the Specified Subordination Agreement (if any), the Subordination Agreements, the Collateral Documents, the Perfection Certificate and any other documents, certificates or agreements that are executed and required to be delivered pursuant to any of the foregoing documents, as such documents may be amended, restated or otherwise modified from time to time.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Majority Lenders</w:t>
      </w:r>
      <w:r>
        <w:rPr>
          <w:rFonts w:ascii="Times New Roman" w:cs="Times New Roman" w:eastAsia="Times New Roman" w:hAnsi="Times New Roman"/>
          <w:sz w:val="18"/>
          <w:szCs w:val="18"/>
          <w:color w:val="auto"/>
        </w:rPr>
        <w:t>” shall mean, collectively, Lenders whose Pro Rata Share (calculated in accordance with clause (b) of the definition thereof) aggregate at least 50.1%. The Commitments of, and portion of the Indebtedness attributable to, any Defaulting Lender shall be excluded for purposes of making a determination of “Majority Lenders”.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xml:space="preserve">” shall mean a material adverse effect on and/or material adverse developments with respect to (i) business, operations, assets or financial condition of the Credit Parties taken as a whole, (ii) the prospect of repayment of all or any portion of the Indebtedness or in otherwise timely performing any Credit Party’s obligations under the Loan Documents, (iii) the validity, perfection, value or priority of the Agent’s security interests in the Collateral, (iv) the legality, validity or enforceability of this Agreement and any other Loan Document, or (v) the rights and remedies of Agent or any Lender under any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determination of Material Adverse Effect to be made on the Restatement Date in connection with the Restatement Date Transactions, “Material Adverse Effect” shall be limited to (1) a “Company Material Adverse Effect” (as defined in the Exchange Agreement) and (2) a Material Adverse Effect pursuant to clauses (iii), (iv) or (v) of the foregoing definition.</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shall mean any agreement or contract the loss of which would be reasonably likely to result in a Material Adverse Effect; provided that Material Contracts shall not be deemed to include any Pension Plans, collective bargaining agreements, or casualty or liability or other insurance policies maintained in the ordinary course of business.</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shall mean the earlier to occur of (i) October 28, 2029 (or if such date is not a Business Day, the immediately preceding Business Day), and (ii) the date that the Term Loans shall become due and payable in full hereunder, whether by acceleration or otherwise, and all Commitments have been terminated.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Mortgages</w:t>
      </w:r>
      <w:r>
        <w:rPr>
          <w:rFonts w:ascii="Times New Roman" w:cs="Times New Roman" w:eastAsia="Times New Roman" w:hAnsi="Times New Roman"/>
          <w:sz w:val="18"/>
          <w:szCs w:val="18"/>
          <w:color w:val="auto"/>
        </w:rPr>
        <w:t>” shall mean the mortgages, deeds of trust and any other similar documents related thereto or required thereby executed and delivered after the Restatement Date by the Borrower or a Guarantor pursuant to Section 6.13 hereof or otherwise, each in form and substance satisfactory to the</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Agent, and “</w:t>
      </w:r>
      <w:r>
        <w:rPr>
          <w:rFonts w:ascii="Times New Roman" w:cs="Times New Roman" w:eastAsia="Times New Roman" w:hAnsi="Times New Roman"/>
          <w:sz w:val="18"/>
          <w:szCs w:val="18"/>
          <w:b w:val="1"/>
          <w:bCs w:val="1"/>
          <w:color w:val="auto"/>
        </w:rPr>
        <w:t>Mortgage</w:t>
      </w:r>
      <w:r>
        <w:rPr>
          <w:rFonts w:ascii="Times New Roman" w:cs="Times New Roman" w:eastAsia="Times New Roman" w:hAnsi="Times New Roman"/>
          <w:sz w:val="18"/>
          <w:szCs w:val="18"/>
          <w:color w:val="auto"/>
        </w:rPr>
        <w:t>” shall mean any such document, as such documents may be amended, restated or otherwise modified from time to time.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shall mean an employee benefit plan which is a multiemployer plan as defined in Section 4001(a)(3) of ERISA, to which a Credit Party or any of its ERISA Affiliates makes or is obligated to make contributions or with respect to which a Credit Party or any of its ERISA Affiliates has any liability.</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Cash Proceeds</w:t>
      </w:r>
      <w:r>
        <w:rPr>
          <w:rFonts w:ascii="Times New Roman" w:cs="Times New Roman" w:eastAsia="Times New Roman" w:hAnsi="Times New Roman"/>
          <w:sz w:val="18"/>
          <w:szCs w:val="18"/>
          <w:color w:val="auto"/>
        </w:rPr>
        <w:t xml:space="preserve">” shall mean (a) with respect to any Asset Sale, an amount equal to: (i) cash payments received by any Credit Party from such Asset Sale,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any documented direct costs incurred in connection with such Asset Sale to the extent paid or payable to non-Affiliates, including (A) income or gains taxes payable by the seller as a result of any gain recognized in connection with such Asset Sale, (B) payment of the outstanding principal amount of, premium or penalty, if any, and interest on any Debt (other than the Indebtedness) that is secured by a Lien on the stock or assets in question and that is required to be repaid under the terms thereof as a result of such Asset Sale, and (C) a reasonable reserve for any indemnification payments (fixed or contingent) attributable to seller’s indemnities and representations and warranties to purchaser in respect of such Asset Sale undertaken by such Credit Party in connection with such Asset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release of any such reserve, the amount released shall be considered Net Cash Proceeds; and (b) with respect to any insurance, condemnation, taking or other casualty proceeds, an amount equal to: (i) any cash payments or proceeds received by any Credit Party (A) under any casualty or business interruption insurance policies in respect of any covered loss thereunder, or (B) as a result of the condemnation or taking of any assets of such Credit Party by any Person pursuant to the power of eminent domain, condemnation or otherwise, or pursuant to a sale of any such assets to a purchaser with such power under threat of such a taking,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(A) any documented costs incurred by such Credit Party in connection with the adjustment or settlement of any claims of such Credit Party in respect thereof, and</w:t>
      </w:r>
    </w:p>
    <w:p>
      <w:pPr>
        <w:spacing w:after="0" w:line="6" w:lineRule="exact"/>
        <w:rPr>
          <w:sz w:val="20"/>
          <w:szCs w:val="20"/>
          <w:color w:val="auto"/>
        </w:rPr>
      </w:pPr>
    </w:p>
    <w:p>
      <w:pPr>
        <w:ind w:firstLine="8"/>
        <w:spacing w:after="0" w:line="260" w:lineRule="auto"/>
        <w:tabs>
          <w:tab w:leader="none" w:pos="29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documented direct costs incurred in connection with any sale of such assets as referred to in </w:t>
      </w:r>
      <w:r>
        <w:rPr>
          <w:rFonts w:ascii="Times New Roman" w:cs="Times New Roman" w:eastAsia="Times New Roman" w:hAnsi="Times New Roman"/>
          <w:sz w:val="18"/>
          <w:szCs w:val="18"/>
          <w:u w:val="single" w:color="auto"/>
          <w:color w:val="auto"/>
        </w:rPr>
        <w:t>clause (b)(i)(B)</w:t>
      </w:r>
      <w:r>
        <w:rPr>
          <w:rFonts w:ascii="Times New Roman" w:cs="Times New Roman" w:eastAsia="Times New Roman" w:hAnsi="Times New Roman"/>
          <w:sz w:val="18"/>
          <w:szCs w:val="18"/>
          <w:color w:val="auto"/>
        </w:rPr>
        <w:t xml:space="preserve"> of this definition to the extent paid or payable to non-Affiliates, including income taxes payable as a result of any gain recognized in connection therewith.</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Nexus</w:t>
      </w:r>
      <w:r>
        <w:rPr>
          <w:rFonts w:ascii="Times New Roman" w:cs="Times New Roman" w:eastAsia="Times New Roman" w:hAnsi="Times New Roman"/>
          <w:sz w:val="18"/>
          <w:szCs w:val="18"/>
          <w:color w:val="auto"/>
        </w:rPr>
        <w:t>” shall mean Nexus Capital Management, L.P.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shall have the meaning set forth in Section 12.11.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Non-Defaulting Lender</w:t>
      </w:r>
      <w:r>
        <w:rPr>
          <w:rFonts w:ascii="Times New Roman" w:cs="Times New Roman" w:eastAsia="Times New Roman" w:hAnsi="Times New Roman"/>
          <w:sz w:val="18"/>
          <w:szCs w:val="18"/>
          <w:color w:val="auto"/>
        </w:rPr>
        <w:t>” shall mean any Lender that is not, as of the date of relevance, a Defaulting Lender.</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mean the notes described in Section 2.2 hereof, made by the Borrower to each of the Lenders in the form attached hereto as Exhibit F, as such notes may be amended or supplemented from time to time, and any other notes issued in substitution, replacement or renewal thereof from time to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shall mean the U.S. Department of the Treasury’s Office of Foreign Assets Control.</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 Balance Sheet Liability(ies)</w:t>
      </w:r>
      <w:r>
        <w:rPr>
          <w:rFonts w:ascii="Times New Roman" w:cs="Times New Roman" w:eastAsia="Times New Roman" w:hAnsi="Times New Roman"/>
          <w:sz w:val="18"/>
          <w:szCs w:val="18"/>
          <w:color w:val="auto"/>
        </w:rPr>
        <w:t>” of a Person shall mean (i) any repurchase obligation or liability of such Person with respect to accounts or notes receivables sold by such Person, (ii) any liability under any sale and leaseback transaction which is not a Capitalized Lease, (iii) any liability under any so-called “synthetic lease” transaction entered into by such Person, or (iv) any obligation arising with respect to any other transaction which is the functional equivalent of Debt or any of the liabilities set forth in subsections (i)-(iii) of this definition, but which does not constitute a liability on the balance sheets of such Person.</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Credit Agreement</w:t>
      </w:r>
      <w:r>
        <w:rPr>
          <w:rFonts w:ascii="Times New Roman" w:cs="Times New Roman" w:eastAsia="Times New Roman" w:hAnsi="Times New Roman"/>
          <w:sz w:val="18"/>
          <w:szCs w:val="18"/>
          <w:color w:val="auto"/>
        </w:rPr>
        <w:t>” shall have the meaning specified therefor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Original Effective Date</w:t>
      </w:r>
      <w:r>
        <w:rPr>
          <w:rFonts w:ascii="Times New Roman" w:cs="Times New Roman" w:eastAsia="Times New Roman" w:hAnsi="Times New Roman"/>
          <w:sz w:val="18"/>
          <w:szCs w:val="18"/>
          <w:color w:val="auto"/>
        </w:rPr>
        <w:t>” shall mean July 23, 2018, the “Effective Date” under the Original Credit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12.11).</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has the meaning specified in Section 12.7(f).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shall mean the Pension Benefit Guaranty Corporation or any successor thereto.</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Pension Plan</w:t>
      </w:r>
      <w:r>
        <w:rPr>
          <w:rFonts w:ascii="Times New Roman" w:cs="Times New Roman" w:eastAsia="Times New Roman" w:hAnsi="Times New Roman"/>
          <w:sz w:val="18"/>
          <w:szCs w:val="18"/>
          <w:color w:val="auto"/>
        </w:rPr>
        <w:t>” shall mean any “employee benefit plan” (within the meaning of Section 3(3) of ERISA) maintained, sponsored or contributed to by a Credit Party or any of its ERISA Affiliates, or to which there is an obligation to contribute by a Credit Party or any of its ERISA Affiliates, or with respect to which a Credit Party or any of its ERISA Affiliates has any liability, which is subject to the minimum funding standards of Section 412 of the Internal Revenue Code, Section 302 of ERISA or Title IV of ERISA, other than a Multiemployer Plan.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shall mean a certificate in form satisfactory to the Agent that provides information with respect to the assets of the Borrower and the Guarantors.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Periodic Term SOFR Determination Day</w:t>
      </w:r>
      <w:r>
        <w:rPr>
          <w:rFonts w:ascii="Times New Roman" w:cs="Times New Roman" w:eastAsia="Times New Roman" w:hAnsi="Times New Roman"/>
          <w:sz w:val="18"/>
          <w:szCs w:val="18"/>
          <w:color w:val="auto"/>
        </w:rPr>
        <w:t>” has the meaning specified therefor in the definition of “Term SOFR”.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Account</w:t>
      </w:r>
      <w:r>
        <w:rPr>
          <w:rFonts w:ascii="Times New Roman" w:cs="Times New Roman" w:eastAsia="Times New Roman" w:hAnsi="Times New Roman"/>
          <w:sz w:val="18"/>
          <w:szCs w:val="18"/>
          <w:color w:val="auto"/>
        </w:rPr>
        <w:t>” shall mean a deposit account maintained by the Borrower at Comerica Bank, in which such deposits are restricted cash in favor of Comerica Bank.</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shall mean any acquisition by the Borrower or any Guarantor of all or substantially all of the assets of another Person, or of a division or line of business of another Person, or any Equity Interests of another Person which satisfies and/or is conducted in accordance with the following requirements:</w:t>
      </w:r>
    </w:p>
    <w:p>
      <w:pPr>
        <w:spacing w:after="0" w:line="175" w:lineRule="exact"/>
        <w:rPr>
          <w:sz w:val="20"/>
          <w:szCs w:val="20"/>
          <w:color w:val="auto"/>
        </w:rPr>
      </w:pPr>
    </w:p>
    <w:p>
      <w:pPr>
        <w:ind w:left="1960" w:right="20" w:hanging="656"/>
        <w:spacing w:after="0" w:line="282" w:lineRule="auto"/>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acquisition is of a business or Person engaged in a line of business which is compatible with, or complementary to, the business of the Borrower or such Guarantor or a reasonable extension therefrom;</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structured as an acquisition of the Equity Interests of any Person, then the Person so acquired shall (X) become a wholly-owned direct Domestic Subsidiary of the Borrower or of a Guarantor and the Borrower or the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1" w:name="page62"/>
    <w:bookmarkEnd w:id="61"/>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applicable Guarantor shall cause such acquired Person to comply with Section 6.13 hereof or (Y) provided that the Credit Parties continue to comply with Section 6.4(a) hereof, be merged with and into the Borrower or such a Guarantor (and, in the case of the Borrower, with the Borrower being the surviving entity);</w:t>
      </w:r>
    </w:p>
    <w:p>
      <w:pPr>
        <w:spacing w:after="0" w:line="176" w:lineRule="exact"/>
        <w:rPr>
          <w:sz w:val="20"/>
          <w:szCs w:val="20"/>
          <w:color w:val="auto"/>
        </w:rPr>
      </w:pPr>
    </w:p>
    <w:p>
      <w:pPr>
        <w:ind w:left="840" w:hanging="656"/>
        <w:spacing w:after="0" w:line="282" w:lineRule="auto"/>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acquisition is structured as the acquisition of assets, such assets shall be acquired directly by the Borrower or a Guarantor (subject to compliance with Section 6.4(a) hereof);</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55" w:lineRule="auto"/>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to the Agent not less than ten (10) (or such shorter period of time agreed to in writing by the Agent) nor more than ninety (90) days prior to the date of such acquisition, notice of such acquisition together with Pro Forma Projected Financial Information, copies of all material documents relating to such acquisition (including then-current drafts of the acquisition agreement and any related document), and historical financial information (including income statements, balance sheets and cash flows) covering at least three (3) complete fiscal years of the acquisition target, if available, prior to the effective date of the acquisition or the entire operating existence of the acquisition target, whichever period is shorter, in each case in form and substance reasonably satisfactory to the Agent;</w:t>
      </w:r>
    </w:p>
    <w:p>
      <w:pPr>
        <w:spacing w:after="0" w:line="188" w:lineRule="exact"/>
        <w:rPr>
          <w:rFonts w:ascii="Times New Roman" w:cs="Times New Roman" w:eastAsia="Times New Roman" w:hAnsi="Times New Roman"/>
          <w:sz w:val="18"/>
          <w:szCs w:val="18"/>
          <w:color w:val="auto"/>
        </w:rPr>
      </w:pPr>
    </w:p>
    <w:p>
      <w:pPr>
        <w:ind w:left="840" w:right="20" w:hanging="656"/>
        <w:spacing w:after="0" w:line="282" w:lineRule="auto"/>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immediately before and after the consummation of such acquisition and after giving effect to the Pro Forma Projected Financial Information, no Default or Event of Default shall have occurred and be continuing;</w:t>
      </w:r>
    </w:p>
    <w:p>
      <w:pPr>
        <w:spacing w:after="0" w:line="161"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shall be consensual and the board of directors (or other Person(s) exercising similar functions) of the seller of the assets or issuer of the Equity Interests being acquired shall have approved such transaction;</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54" w:lineRule="auto"/>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governmental, quasi-governmental, agency, regulatory or similar licenses, authorizations, exemptions, qualifications, consents and approvals necessary under any laws applicable to the Borrower or Guarantor making the acquisition, or the acquisition target (if applicable) for or in connection with the proposed acquisition and all necessary non-governmental and other third-party approvals which, in each case, are material to such acquisition shall have been obtained, and all necessary or appropriate declarations, registrations or other filings with any court, governmental or regulatory authority, securities exchange or any other Person, which in each case, are material to the consummation of such acquisition or to the acquisition target, if applicable, have been made, and evidence thereof reasonably satisfactory in form and substance to the Agent shall have been delivered, or caused to have been delivered, by the Borrower to the Agent;</w:t>
      </w:r>
    </w:p>
    <w:p>
      <w:pPr>
        <w:spacing w:after="0" w:line="191" w:lineRule="exact"/>
        <w:rPr>
          <w:rFonts w:ascii="Times New Roman" w:cs="Times New Roman" w:eastAsia="Times New Roman" w:hAnsi="Times New Roman"/>
          <w:sz w:val="18"/>
          <w:szCs w:val="18"/>
          <w:color w:val="auto"/>
        </w:rPr>
      </w:pPr>
    </w:p>
    <w:p>
      <w:pPr>
        <w:jc w:val="both"/>
        <w:ind w:left="840" w:hanging="656"/>
        <w:spacing w:after="0" w:line="256" w:lineRule="auto"/>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actions, suits or proceedings pending or, to the knowledge of any Credit Party threatened against or affecting the acquisition target in any court or before or by any governmental department, agency or instrumentality, which could reasonably be expected to be decided adversely to the acquisition target and which, if decided adversely, could reasonably be expected to have a material adverse effect on the business, operations, properties or financial condition of the acquisition target and its subsidiaries (taken as a whole) or would materially adversely affect the ability of the acquisition target to enter into or perform its obligations in connection with the proposed acquisition, nor shall there be any</w:t>
      </w:r>
    </w:p>
    <w:p>
      <w:pPr>
        <w:spacing w:after="0" w:line="29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40" w:right="339" w:bottom="1440" w:gutter="0" w:footer="0" w:header="0"/>
        </w:sectPr>
      </w:pPr>
    </w:p>
    <w:bookmarkStart w:id="62" w:name="page63"/>
    <w:bookmarkEnd w:id="62"/>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actions, suits, or proceedings pending, or to the knowledge of any Credit Party threatened against the Credit Party that is making the acquisition which would materially adversely affect the ability of such Credit Party to enter into or perform its obligations in connection with the proposed acquisition;</w:t>
      </w:r>
    </w:p>
    <w:p>
      <w:pPr>
        <w:spacing w:after="0" w:line="176" w:lineRule="exact"/>
        <w:rPr>
          <w:sz w:val="20"/>
          <w:szCs w:val="20"/>
          <w:color w:val="auto"/>
        </w:rPr>
      </w:pPr>
    </w:p>
    <w:p>
      <w:pPr>
        <w:jc w:val="both"/>
        <w:ind w:left="1960" w:hanging="656"/>
        <w:spacing w:after="0" w:line="255" w:lineRule="auto"/>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(A)The aggregate Purchase Price for acquisitions of assets that are not located within the United States or Equity Interests of Persons that are not organized in a jurisdiction located within the United States shall not exceed $5,000,000 in the aggregate for all such acquisitions during any Fiscal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clause (A) shall not apply to acquisitions of assets and Equity Interests that are located within (or organized in) a jurisdiction in which the Agent reasonably determines a perfected Lien may be granted on such assets and Equity Interests in form and substance reasonably acceptable to the Agent (such determination to be evidenced in writing), and (B) such assets and Equity Interests described in clause (A) above shall be pledged to the Agent for the benefit of the Agent and the Lenders in accordance with Section 6.13(b); and</w:t>
      </w:r>
    </w:p>
    <w:p>
      <w:pPr>
        <w:spacing w:after="0" w:line="188"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proposed new acquisition, computed on the basis of total acquisition consideration paid or incurred, or required to be paid or incurred, with respect thereto, when added to the Purchase Price of each other acquisition consummated hereunder as a Permitted Acquisition during the same Fiscal Year as the applicable acquisition does not exceed Five Million Dollars ($5,000,000); provided, that, with respect to any Fiscal Year ending on or after January 31, 2027, any unused amounts from such Fiscal Year may be carried forward into the immediately succeeding Fiscal Year; provided, further, that the aggregate amount carried forward to the immediately succeeding Fiscal Year shall not exceed Five Million Dollars ($5,000,000).</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Holder</w:t>
      </w:r>
      <w:r>
        <w:rPr>
          <w:rFonts w:ascii="Times New Roman" w:cs="Times New Roman" w:eastAsia="Times New Roman" w:hAnsi="Times New Roman"/>
          <w:sz w:val="18"/>
          <w:szCs w:val="18"/>
          <w:color w:val="auto"/>
        </w:rPr>
        <w:t>” shall mean each of CHS Investments, STORY3, Nexus or any Controlled Investment Affiliate of the foregoing.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shall mean with respect to any Person:</w:t>
      </w:r>
    </w:p>
    <w:p>
      <w:pPr>
        <w:spacing w:after="0" w:line="229" w:lineRule="exact"/>
        <w:rPr>
          <w:sz w:val="20"/>
          <w:szCs w:val="20"/>
          <w:color w:val="auto"/>
        </w:rPr>
      </w:pPr>
    </w:p>
    <w:p>
      <w:pPr>
        <w:ind w:left="1820" w:hanging="516"/>
        <w:spacing w:after="0"/>
        <w:tabs>
          <w:tab w:leader="none" w:pos="1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Obligations;</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2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 state or commonwealth of the United States or the obligations of the District of Columbia or any possession of the United States, or any political subdivision of any of the foregoing, which are described in Section 103(a) of the Internal Revenue Code and are graded in any of the highest three (3) major grades as determined by at least one Rating Agency or secured, as to payments of principal and interest, by a letter of credit provided by a financial institution or insurance provided by a bond insurance company which in each case is itself or its debt is rated in one of the highest three (3) major grades as determined by at least one Rating Agency;</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0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banker’s acceptances, commercial accounts, demand deposit accounts, certificates of deposit, other time deposits or depository receipts issued by or maintained with any Lender or any Affiliate thereof, or any bank, trust company, savings and loan association, savings bank or other financial institution whose deposits are insured by the Federal Deposit Insurance Corporation and whose reported capital and surplus equal at least $250,000,000, provided that such minimum capital and surplus requirement shall not apply to demand deposit accounts maintained by any Credit Party in the ordinary course of business;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3" w:name="page64"/>
    <w:bookmarkEnd w:id="63"/>
    <w:p>
      <w:pPr>
        <w:ind w:firstLine="1304"/>
        <w:spacing w:after="0" w:line="282" w:lineRule="auto"/>
        <w:tabs>
          <w:tab w:leader="none" w:pos="19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rated at the time of purchase within the two highest classifications established by not less than two Rating Agencies, and which matures within 270 days after the date of issue;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6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repurchase agreements against obligations itemized in paragraph (a) above, and executed by a bank or trust company or by members of the association of primary dealers or other recognized dealers in United States government securities, the market value of which must be maintained at levels at least equal to the amounts advanced; and</w:t>
      </w:r>
    </w:p>
    <w:p>
      <w:pPr>
        <w:spacing w:after="0" w:line="175" w:lineRule="exact"/>
        <w:rPr>
          <w:rFonts w:ascii="Times New Roman" w:cs="Times New Roman" w:eastAsia="Times New Roman" w:hAnsi="Times New Roman"/>
          <w:sz w:val="18"/>
          <w:szCs w:val="18"/>
          <w:color w:val="auto"/>
        </w:rPr>
      </w:pPr>
    </w:p>
    <w:p>
      <w:pPr>
        <w:ind w:left="660" w:right="140" w:firstLine="644"/>
        <w:spacing w:after="0" w:line="500" w:lineRule="auto"/>
        <w:tabs>
          <w:tab w:leader="none" w:pos="184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 or other pooling arrangement which exclusively purchases and holds the investments itemized in (a) through (e) above. “</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shall mean with respect to any Person:</w:t>
      </w:r>
    </w:p>
    <w:p>
      <w:pPr>
        <w:spacing w:after="0" w:line="2" w:lineRule="exact"/>
        <w:rPr>
          <w:sz w:val="20"/>
          <w:szCs w:val="20"/>
          <w:color w:val="auto"/>
        </w:rPr>
      </w:pPr>
    </w:p>
    <w:p>
      <w:pPr>
        <w:jc w:val="both"/>
        <w:ind w:firstLine="1304"/>
        <w:spacing w:after="0" w:line="258" w:lineRule="auto"/>
        <w:tabs>
          <w:tab w:leader="none" w:pos="19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(i) taxes or governmental assessments or charges the payment of which is not required under Section 6.3(a) or (ii) customs duties in connection with the importation of goods to the extent such Liens attach to the imported goods that are the subject of the duties (x) to the extent not yet due, (y) as to which the period of grace, if any, related thereto has not expired or (z) which are being contested in good faith by appropriate proceedings, provided that in the case of any such contest, any proceedings for the enforcement of such liens have been suspended and adequate reserves with respect thereto are maintained on the books of such Person in conformity with GAAP;</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processor’s, landlord’s liens or other like liens arising in the ordinary course of business which secure obligations that are not overdue for a period of more than 30 days or which are being contested in good faith by appropriate proceedings, provided that in the case of any such contest, (x) any proceedings commenced for the enforcement of such Liens have been suspended and (y) appropriate reserves with respect thereto are maintained on the books of such Person in conformity with GAAP;</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incurred in the ordinary course of business to secure the performance of statutory obligations arising in connection with progress payments or advance payments due under contracts with the United States government or any agency thereof entered into in the ordinary course of business and (ii) Liens incurred or deposits made in the ordinary course of business to secure the performance of statutory obligations, bids, leases, fee and expense arrangements with trustees and fiscal agents, trade contracts, surety and appeal bonds, performance bonds and other similar obligations (exclusive of obligations incurred in connection with the borrowing of money, any lease-purchase arrangements or the payment of the deferred purchase price of property), whether by means of a letter of credit, guarantee, escrow or otherwise, provided that in each case full provision for the payment of all such obligations has been made on the books of such Person as may be required by GAAP;</w:t>
      </w:r>
    </w:p>
    <w:p>
      <w:pPr>
        <w:spacing w:after="0" w:line="188"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liens securing judgments and other proceedings not constituting an Event of Default under Section 8.1(g);</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 survey exceptions or minor encumbrances, easements or reservations, or rights of others for rights-of-way, utilities and other similar purposes, or zoning or other restrictions as to the use of real properties, or any interest of any lessor or sublessor under any lease permitted hereunder which, in each case, does not materially interfere with the business of such Person;</w:t>
      </w:r>
    </w:p>
    <w:p>
      <w:pPr>
        <w:spacing w:after="0" w:line="17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precautionary Liens arising pursuant to a transaction permitted under Section 7.8 hereof;</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4" w:name="page65"/>
    <w:bookmarkEnd w:id="64"/>
    <w:p>
      <w:pPr>
        <w:jc w:val="both"/>
        <w:ind w:firstLine="1304"/>
        <w:spacing w:after="0" w:line="266" w:lineRule="auto"/>
        <w:tabs>
          <w:tab w:leader="none" w:pos="187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worker’s compensation, unemployment insurance, old age pensions and social security benefits and similar statutory obligations (excluding Liens arising under ERISA), provided that no enforcement proceedings in respect of such Liens are pending and provisions have been made for the payment of such liens on the books of such Person as may be required by GAAP;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continuations of Liens that are permitted under subsections (a)-(f) hereof, provided such continuations do not violate the specific time periods set forth in subsections (b) and (d) and provided further that such Liens do not extend to any additional property or assets of any Credit Party or secure any additional obligations of any Credit Party.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Refinancing Debt</w:t>
      </w:r>
      <w:r>
        <w:rPr>
          <w:rFonts w:ascii="Times New Roman" w:cs="Times New Roman" w:eastAsia="Times New Roman" w:hAnsi="Times New Roman"/>
          <w:sz w:val="18"/>
          <w:szCs w:val="18"/>
          <w:color w:val="auto"/>
        </w:rPr>
        <w:t>” shall mean the extension of maturity, refinancing or modification of the terms of Debt so long as:</w:t>
      </w:r>
    </w:p>
    <w:p>
      <w:pPr>
        <w:spacing w:after="0" w:line="229" w:lineRule="exact"/>
        <w:rPr>
          <w:sz w:val="20"/>
          <w:szCs w:val="20"/>
          <w:color w:val="auto"/>
        </w:rPr>
      </w:pPr>
    </w:p>
    <w:p>
      <w:pPr>
        <w:jc w:val="both"/>
        <w:ind w:firstLine="1304"/>
        <w:spacing w:after="0" w:line="261" w:lineRule="auto"/>
        <w:tabs>
          <w:tab w:leader="none" w:pos="18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extension, refinancing or modification, the amount of such Debt is not greater than the amount of Debt outstanding immediately prior to such extension, refinancing or modification (other than by the amount of premiums paid thereon and the fees and expenses incurred in connection therewith, by the amount of accrued interest capitalized in the course of such refinancing, and by the amount of unfunded commitments with respect thereto);</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8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extension, refinancing or modification does not result in a shortening of the average weighted maturity (measured as of the extension, refinancing or modification) of the Debt so extended, refinanced or modified;</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5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extension, refinancing or modification is pursuant to terms that are not (when taken as a whole) less favorable to the Credit Parties and the Lenders than the terms of the Debt (including, without limitation, terms relating to the collateral (if any) and subordination (if any)) being extended, refinanced or modified;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interest rate, original issue discount and other related economic terms of the Debt being extended, refinanced or modified may be set substantially at the applicable then-prevailing market rate available to the Borrower; and</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8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that is extended, refinanced or modified is not recourse to any Credit Party that is liable on account of the obligations other than those Persons which were obligated with respect to the Debt that was refinanced, renewed, or extended.</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 natural person, corporation, limited liability company, partnership, limited liability partnership, trust, incorporated or unincorporated organization, joint venture, joint stock company, firm or association or a government or any agency or political subdivision thereof or other entity of any kind.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shall mean all information or data relating to one or more individual(s) that is personally identifying (i.e., data that identifies an individual or, in combination with any other information or data, is capable of identifying an individual), including all information or data regulated or protected by one or more federal, state, or foreign data privacy or security laws.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 Agreement(s)</w:t>
      </w:r>
      <w:r>
        <w:rPr>
          <w:rFonts w:ascii="Times New Roman" w:cs="Times New Roman" w:eastAsia="Times New Roman" w:hAnsi="Times New Roman"/>
          <w:sz w:val="18"/>
          <w:szCs w:val="18"/>
          <w:color w:val="auto"/>
        </w:rPr>
        <w:t>” shall mean any pledge agreement executed and delivered from time to time after the Original Effective Date by the Borrower or a Guarantor pursuant to Section 6.13 hereof, Section 6.13 of the Original Credit Agreement or otherwise, and any agreements, instruments or documents related thereto, in each case in form and substance satisfactory to the Agent, as amended, restated or otherwise modified from time to time.</w:t>
      </w:r>
    </w:p>
    <w:p>
      <w:pPr>
        <w:spacing w:after="0" w:line="2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Post-Default Rate</w:t>
      </w:r>
      <w:r>
        <w:rPr>
          <w:rFonts w:ascii="Times New Roman" w:cs="Times New Roman" w:eastAsia="Times New Roman" w:hAnsi="Times New Roman"/>
          <w:sz w:val="18"/>
          <w:szCs w:val="18"/>
          <w:color w:val="auto"/>
        </w:rPr>
        <w:t>” shall have the meaning specified therefor in Section 2.6(d).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Premium</w:t>
      </w:r>
      <w:r>
        <w:rPr>
          <w:rFonts w:ascii="Times New Roman" w:cs="Times New Roman" w:eastAsia="Times New Roman" w:hAnsi="Times New Roman"/>
          <w:sz w:val="18"/>
          <w:szCs w:val="18"/>
          <w:color w:val="auto"/>
        </w:rPr>
        <w:t>” shall have the meaning specified therefor in the Fee Letter.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Office</w:t>
      </w:r>
      <w:r>
        <w:rPr>
          <w:rFonts w:ascii="Times New Roman" w:cs="Times New Roman" w:eastAsia="Times New Roman" w:hAnsi="Times New Roman"/>
          <w:sz w:val="18"/>
          <w:szCs w:val="18"/>
          <w:color w:val="auto"/>
        </w:rPr>
        <w:t xml:space="preserve">” shall mean the Agent’s “Principal Office” as set forth on </w:t>
      </w:r>
      <w:r>
        <w:rPr>
          <w:rFonts w:ascii="Times New Roman" w:cs="Times New Roman" w:eastAsia="Times New Roman" w:hAnsi="Times New Roman"/>
          <w:sz w:val="18"/>
          <w:szCs w:val="18"/>
          <w:u w:val="single" w:color="auto"/>
          <w:color w:val="auto"/>
        </w:rPr>
        <w:t>Annex III</w:t>
      </w:r>
      <w:r>
        <w:rPr>
          <w:rFonts w:ascii="Times New Roman" w:cs="Times New Roman" w:eastAsia="Times New Roman" w:hAnsi="Times New Roman"/>
          <w:sz w:val="18"/>
          <w:szCs w:val="18"/>
          <w:color w:val="auto"/>
        </w:rPr>
        <w:t>, or such other office as the Agent may from time to time designate in writing to the Borrower and each Lender.</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Forma Projected Financial Information</w:t>
      </w:r>
      <w:r>
        <w:rPr>
          <w:rFonts w:ascii="Times New Roman" w:cs="Times New Roman" w:eastAsia="Times New Roman" w:hAnsi="Times New Roman"/>
          <w:sz w:val="18"/>
          <w:szCs w:val="18"/>
          <w:color w:val="auto"/>
        </w:rPr>
        <w:t>” shall mean, as to any proposed acquisition, a statement prepared by the Borrower (supported by reasonable detail) setting forth the total Purchase Price to be paid or incurred in connection with the proposed acquisition, and pro forma combined projected financial information for the Credit Parties and the acquisition target (if applicable), consisting of projected balance sheets as of the proposed effective date of the acquisition and as of the end of at least the next succeeding three (3) Fiscal Years following the acquisition and projected statements of income and cash flows for each of those years, as projected as of the effective date of the acquisition and as of the ends of those Fiscal Years and accompanied by (i) a statement in reasonable detail specifying all material assumptions underlying the projections and (ii) such other information as the Agent or the Lenders shall reasonably request.</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shall mean (a) with respect to all payments, computations, and other matters relating solely to Incremental Term Loan Commitments or Incremental Term Loans, the percentage obtained by dividing (i) the Incremental Term Loan Exposure of that Lender, by (ii) the aggregate Incremental Term Loan Exposure of all Lenders and (b) for all other purposes with respect to each Lender, the percentage obtained by dividing</w:t>
      </w:r>
    </w:p>
    <w:p>
      <w:pPr>
        <w:ind w:firstLine="8"/>
        <w:spacing w:after="0" w:line="260" w:lineRule="auto"/>
        <w:tabs>
          <w:tab w:leader="none" w:pos="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sum of the Term Loan Exposure and the Incremental Term Loan Exposure of that Lender, by (ii) an amount equal to the sum of the aggregate Term Loan Exposure and the aggregate Incremental Term Loan Exposure of all Lenders.</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shall mean any operation or set of operations which is performed on Personal Data or on sets of Personal Data, whether or not by automated means, such as the receipt, access, acquisition, collection, recording, organization, compilation, structuring, storage, adaptation or alteration, retrieval, consultation, use, disclosure by transfer, transmission, dissemination or otherwise making available, alignment or combination, restriction, disposal, erasure or destruction.</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and Sale Agreement</w:t>
      </w:r>
      <w:r>
        <w:rPr>
          <w:rFonts w:ascii="Times New Roman" w:cs="Times New Roman" w:eastAsia="Times New Roman" w:hAnsi="Times New Roman"/>
          <w:sz w:val="18"/>
          <w:szCs w:val="18"/>
          <w:color w:val="auto"/>
        </w:rPr>
        <w:t>” shall mean that certain Debt and Equity Purchase Agreement, dated as of August 20, 2025, by and among CHS Investments, STORY3, Nexus, the Agent and the Borrower, as amended, restated, amended and restated or otherwise modified from time to time.</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mean, with respect to any acquisition, an amount equal to the sum of (a) the aggregate consideration paid in cash or cash equivalents by a Credit Party (whether as initial consideration or through the payment or disposition of deferred consideration, including, without limitation, in the form of seller financing, royalty payments, payments allocated towards non-compete covenants, payments to principals for consulting services or other similar payments) in connection with such acquisition, plus (b) the aggregate amount of liabilities of the acquired business (net of current assets of the acquired business) that would be reflected on a balance sheet (if such were to be prepared) of the Credit Parties after giving effect to such acquisition, plus (c) the aggregate amount of all transaction fees, costs and expenses incurred by the Credit Parties in connection with such acquisition.</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Cash</w:t>
      </w:r>
      <w:r>
        <w:rPr>
          <w:rFonts w:ascii="Times New Roman" w:cs="Times New Roman" w:eastAsia="Times New Roman" w:hAnsi="Times New Roman"/>
          <w:sz w:val="18"/>
          <w:szCs w:val="18"/>
          <w:color w:val="auto"/>
        </w:rPr>
        <w:t>” means, as of any date of determination, the aggregate amount of unrestricted cash on-hand of the Credit Parties maintained in deposit accounts in the name of a Credit Party in the United States as of such date, which deposit accounts are subject to Account Control Agreements.</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6" w:name="page67"/>
    <w:bookmarkEnd w:id="6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Cash Equivalents</w:t>
      </w:r>
      <w:r>
        <w:rPr>
          <w:rFonts w:ascii="Times New Roman" w:cs="Times New Roman" w:eastAsia="Times New Roman" w:hAnsi="Times New Roman"/>
          <w:sz w:val="18"/>
          <w:szCs w:val="18"/>
          <w:color w:val="auto"/>
        </w:rPr>
        <w:t>” means, as of any date of determination, the aggregate amount of Permitted Investments of the Credit Parties that constitute “cash equivalents” (as defined under GAAP) that are maintained in securities accounts in the name of a Credit Party in the United States as of such date, which securities accounts are subject to Account Control Agreements.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Agency</w:t>
      </w:r>
      <w:r>
        <w:rPr>
          <w:rFonts w:ascii="Times New Roman" w:cs="Times New Roman" w:eastAsia="Times New Roman" w:hAnsi="Times New Roman"/>
          <w:sz w:val="18"/>
          <w:szCs w:val="18"/>
          <w:color w:val="auto"/>
        </w:rPr>
        <w:t>” shall mean Moody’s Investor Services, Inc., Standard and Poor’s Ratings Services, their respective successors or any other nationally recognized statistical rating organization which is acceptable to the Agent.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Reaffirmation Agreement</w:t>
      </w:r>
      <w:r>
        <w:rPr>
          <w:rFonts w:ascii="Times New Roman" w:cs="Times New Roman" w:eastAsia="Times New Roman" w:hAnsi="Times New Roman"/>
          <w:sz w:val="18"/>
          <w:szCs w:val="18"/>
          <w:color w:val="auto"/>
        </w:rPr>
        <w:t>” means that certain Reaffirmation Agreement, dated as of the Restatement Date, made by the Credit Parties in favor of the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shall mean (a) the Agent and (b) any Lender.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Rate</w:t>
      </w:r>
      <w:r>
        <w:rPr>
          <w:rFonts w:ascii="Times New Roman" w:cs="Times New Roman" w:eastAsia="Times New Roman" w:hAnsi="Times New Roman"/>
          <w:sz w:val="18"/>
          <w:szCs w:val="18"/>
          <w:color w:val="auto"/>
        </w:rPr>
        <w:t xml:space="preserve">” means, for any period, the greatest of (a) 2.00% per annum, (b) the Federal Funds Rate plus 0.50% per annum, (c) Adjusted Term SOFR (which rate shall be calculated based upon an Interest Period of three (3) months and shall be determined on a daily basis) plus 1.00% per annum, and (d) the rate last quoted by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as the “Prime Rate” in the United States or, if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Agent) or any similar release by the Federal Reserve Board (as determined by the Agent). Each change in the Reference Rate shall be effective from and including the date such change is publicly announced as being effective.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Rate Loan</w:t>
      </w:r>
      <w:r>
        <w:rPr>
          <w:rFonts w:ascii="Times New Roman" w:cs="Times New Roman" w:eastAsia="Times New Roman" w:hAnsi="Times New Roman"/>
          <w:sz w:val="18"/>
          <w:szCs w:val="18"/>
          <w:color w:val="auto"/>
        </w:rPr>
        <w:t>” shall mean each portion of a Loan that bears interest at a rate determined by reference to the Reference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Rate Term SOFR Determination Day</w:t>
      </w:r>
      <w:r>
        <w:rPr>
          <w:rFonts w:ascii="Times New Roman" w:cs="Times New Roman" w:eastAsia="Times New Roman" w:hAnsi="Times New Roman"/>
          <w:sz w:val="18"/>
          <w:szCs w:val="18"/>
          <w:color w:val="auto"/>
        </w:rPr>
        <w:t>” has the meaning specified therefor in the definition of “Term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shall have the meaning specified therefor in Section 12.7(h).</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Regulation U</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Regulation X</w:t>
      </w:r>
      <w:r>
        <w:rPr>
          <w:rFonts w:ascii="Times New Roman" w:cs="Times New Roman" w:eastAsia="Times New Roman" w:hAnsi="Times New Roman"/>
          <w:sz w:val="18"/>
          <w:szCs w:val="18"/>
          <w:color w:val="auto"/>
        </w:rPr>
        <w:t>” mean, respectively, Regulations T, U and X of the Board or any successor, as the same may be amended or supplemented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Reinvestment Amounts</w:t>
      </w:r>
      <w:r>
        <w:rPr>
          <w:rFonts w:ascii="Times New Roman" w:cs="Times New Roman" w:eastAsia="Times New Roman" w:hAnsi="Times New Roman"/>
          <w:sz w:val="18"/>
          <w:szCs w:val="18"/>
          <w:color w:val="auto"/>
        </w:rPr>
        <w:t>” shall have the meaning specified therefor in Section 2.8(a).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Fund</w:t>
      </w:r>
      <w:r>
        <w:rPr>
          <w:rFonts w:ascii="Times New Roman" w:cs="Times New Roman" w:eastAsia="Times New Roman" w:hAnsi="Times New Roman"/>
          <w:sz w:val="18"/>
          <w:szCs w:val="18"/>
          <w:color w:val="auto"/>
        </w:rPr>
        <w:t>” means, with respect to any Person, an Affiliate of such Person, or a fund or account managed by such Person or an Affiliate of such Person.</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spilling, leaking, pumping, pouring, emitting, emptying, discharging, injecting, escaping, leaching, seeping, migrating, dumping or disposing of any Hazardous Material (including the abandonment or discarding of barrels, containers and other closed receptacles containing any Hazardous Material) into the indoor or outdoor environment, including, without limitation, the movement of Hazardous Materials through or in any environmental media, including the indoor or outdoor air, soil, surface or ground water, sediments or property.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shall have the meaning specified therefor in Section 12.11.</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7" w:name="page68"/>
    <w:bookmarkEnd w:id="67"/>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Reportable Compliance Event</w:t>
      </w:r>
      <w:r>
        <w:rPr>
          <w:rFonts w:ascii="Times New Roman" w:cs="Times New Roman" w:eastAsia="Times New Roman" w:hAnsi="Times New Roman"/>
          <w:sz w:val="18"/>
          <w:szCs w:val="18"/>
          <w:color w:val="auto"/>
        </w:rPr>
        <w:t>” shall mean that any Covered Entity becomes a Sanctioned Person, or is indicted, arraigned, investigated or custodially detained, or receives an inquiry from regulatory or law enforcement officials, in connection with any Anti-Terrorism Law or any predicate crime to any Anti-Terrorism Law, or has knowledge of or self-discovers facts or circumstances implicating any aspect of its operations with the actual or possible violation of any Anti-Terrorism Law.</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Reportable Event</w:t>
      </w:r>
      <w:r>
        <w:rPr>
          <w:rFonts w:ascii="Times New Roman" w:cs="Times New Roman" w:eastAsia="Times New Roman" w:hAnsi="Times New Roman"/>
          <w:sz w:val="18"/>
          <w:szCs w:val="18"/>
          <w:color w:val="auto"/>
        </w:rPr>
        <w:t>” shall mean an event described in Section 4043 of ERISA (other than an event not subject to the provision for 30-day notice to the PBGC under the regulations promulgated under such Section).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Request for Loan</w:t>
      </w:r>
      <w:r>
        <w:rPr>
          <w:rFonts w:ascii="Times New Roman" w:cs="Times New Roman" w:eastAsia="Times New Roman" w:hAnsi="Times New Roman"/>
          <w:sz w:val="18"/>
          <w:szCs w:val="18"/>
          <w:color w:val="auto"/>
        </w:rPr>
        <w:t>” shall mean a request for a Loan issued by the Borrower under Section 2.3 in the form attached hereto as Exhibit D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Prepayment Date</w:t>
      </w:r>
      <w:r>
        <w:rPr>
          <w:rFonts w:ascii="Times New Roman" w:cs="Times New Roman" w:eastAsia="Times New Roman" w:hAnsi="Times New Roman"/>
          <w:sz w:val="18"/>
          <w:szCs w:val="18"/>
          <w:color w:val="auto"/>
        </w:rPr>
        <w:t>” shall have the meaning specified therefor in Section 2.9(b).</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 of Law</w:t>
      </w:r>
      <w:r>
        <w:rPr>
          <w:rFonts w:ascii="Times New Roman" w:cs="Times New Roman" w:eastAsia="Times New Roman" w:hAnsi="Times New Roman"/>
          <w:sz w:val="18"/>
          <w:szCs w:val="18"/>
          <w:color w:val="auto"/>
        </w:rPr>
        <w:t>” shall mean as to any Person, the certificate of incorporation and bylaws, the partnership agreement or other organizational or governing documents of such Person and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shall mean, with respect to any Person, the chief executive officer, chief financial officer, treasurer, president, secretary or controller of such Person or any other officer of such Person having substantially the same authority and responsibility.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Restatement Date</w:t>
      </w:r>
      <w:r>
        <w:rPr>
          <w:rFonts w:ascii="Times New Roman" w:cs="Times New Roman" w:eastAsia="Times New Roman" w:hAnsi="Times New Roman"/>
          <w:sz w:val="18"/>
          <w:szCs w:val="18"/>
          <w:color w:val="auto"/>
        </w:rPr>
        <w:t>” shall mean the date on which all the conditions precedent set forth in Sections 4.1 and 4.2 have been satisfied.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Restatement Date Assignees</w:t>
      </w:r>
      <w:r>
        <w:rPr>
          <w:rFonts w:ascii="Times New Roman" w:cs="Times New Roman" w:eastAsia="Times New Roman" w:hAnsi="Times New Roman"/>
          <w:sz w:val="18"/>
          <w:szCs w:val="18"/>
          <w:color w:val="auto"/>
        </w:rPr>
        <w:t>” shall mean each of STORY3, Nexus and any of their respective Affiliates and Related Funds that are assigned Term Loans pursuant to the Restatement Date Assignment.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Restatement Date Assignment</w:t>
      </w:r>
      <w:r>
        <w:rPr>
          <w:rFonts w:ascii="Times New Roman" w:cs="Times New Roman" w:eastAsia="Times New Roman" w:hAnsi="Times New Roman"/>
          <w:sz w:val="18"/>
          <w:szCs w:val="18"/>
          <w:color w:val="auto"/>
        </w:rPr>
        <w:t>” shall have the meaning specified therefor in the recitals to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Restatement Date Term Loan</w:t>
      </w:r>
      <w:r>
        <w:rPr>
          <w:rFonts w:ascii="Times New Roman" w:cs="Times New Roman" w:eastAsia="Times New Roman" w:hAnsi="Times New Roman"/>
          <w:sz w:val="18"/>
          <w:szCs w:val="18"/>
          <w:color w:val="auto"/>
        </w:rPr>
        <w:t>” shall mean a term loan made by a Lender to the Borrower pursuant to Section 2.1(c) or all of the term loans made by the Lenders to the Borrower pursuant to Section 2.1(c), as the context requires.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Restatement Date Term Loan Commitment</w:t>
      </w:r>
      <w:r>
        <w:rPr>
          <w:rFonts w:ascii="Times New Roman" w:cs="Times New Roman" w:eastAsia="Times New Roman" w:hAnsi="Times New Roman"/>
          <w:sz w:val="18"/>
          <w:szCs w:val="18"/>
          <w:color w:val="auto"/>
        </w:rPr>
        <w:t>” shall mean the commitment of a Lender to make or otherwise fund a Restatement Date Term Loan and “</w:t>
      </w:r>
      <w:r>
        <w:rPr>
          <w:rFonts w:ascii="Times New Roman" w:cs="Times New Roman" w:eastAsia="Times New Roman" w:hAnsi="Times New Roman"/>
          <w:sz w:val="18"/>
          <w:szCs w:val="18"/>
          <w:b w:val="1"/>
          <w:bCs w:val="1"/>
          <w:color w:val="auto"/>
        </w:rPr>
        <w:t>Restatement Date Term Loan Commitments</w:t>
      </w:r>
      <w:r>
        <w:rPr>
          <w:rFonts w:ascii="Times New Roman" w:cs="Times New Roman" w:eastAsia="Times New Roman" w:hAnsi="Times New Roman"/>
          <w:sz w:val="18"/>
          <w:szCs w:val="18"/>
          <w:color w:val="auto"/>
        </w:rPr>
        <w:t xml:space="preserve">” shall mean such commitments of all Lenders in the aggregate. The amount of each Lender’s Restatement Term Loan Commitment, if any, is set forth in Section 2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The aggregate amount of Restatement Term Loan Commitments as of the Restatement Date is $20,000,000.</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Restatement Date Transactions</w:t>
      </w:r>
      <w:r>
        <w:rPr>
          <w:rFonts w:ascii="Times New Roman" w:cs="Times New Roman" w:eastAsia="Times New Roman" w:hAnsi="Times New Roman"/>
          <w:sz w:val="18"/>
          <w:szCs w:val="18"/>
          <w:color w:val="auto"/>
        </w:rPr>
        <w:t>” has the meaning specified therefor in Section 2.1(c).</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8" w:name="page69"/>
    <w:bookmarkEnd w:id="68"/>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shall mean any sanction administered or enforced by the United States Government (including, without limitation, OFAC), the United Nations Security Council, the European Union, Her Majesty’s Treasury or other relevant sanctions authority.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shall mean a country subject to a sanctions program maintained under any Anti-Terrorism Law.</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shall mean any individual person, group, regime, entity or thing listed or otherwise recognized as a specially designated, prohibited, sanctioned or debarred person, group, regime, entity or thing, or subject to any limitations or prohibitions (including but not limited to the blocking of property or rejection of transactions), under any Anti-Terrorism Law.</w:t>
      </w:r>
    </w:p>
    <w:p>
      <w:pPr>
        <w:spacing w:after="0" w:line="171"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or any other similar or successor agency of the Federal government administering the Securities Act.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shall mean, collectively, the amended and restated security agreement executed and delivered by the Borrower on the Restatement Date pursuant to Section 4.1, and any such agreements executed and delivered by the Guarantors after the Restatement Date (whether by execution of a joinder agreement to any existing security agreement or otherwise) pursuant to Section 6.13 hereof or otherwise, in the form of the Security Agreement attached hereto as Exhibit A, as amended, restated or otherwise modified from time to time.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Agent</w:t>
      </w:r>
      <w:r>
        <w:rPr>
          <w:rFonts w:ascii="Times New Roman" w:cs="Times New Roman" w:eastAsia="Times New Roman" w:hAnsi="Times New Roman"/>
          <w:sz w:val="18"/>
          <w:szCs w:val="18"/>
          <w:color w:val="auto"/>
        </w:rPr>
        <w:t>” shall mean the administrative agent and/or collateral agent under the Senior Credit Agreement and its successors and permitted assigns in such capacity.</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Credit Agreement</w:t>
      </w:r>
      <w:r>
        <w:rPr>
          <w:rFonts w:ascii="Times New Roman" w:cs="Times New Roman" w:eastAsia="Times New Roman" w:hAnsi="Times New Roman"/>
          <w:sz w:val="18"/>
          <w:szCs w:val="18"/>
          <w:color w:val="auto"/>
        </w:rPr>
        <w:t>” shall mean a revolver credit agreement, in form and substance reasonably satisfactory to the Agent in all respects (such approval to be evidenced in writing by the Agent), if executed, to be executed by and among the Senior Agent, the Senior Lenders and the Borrower, as the same may be amended, restated, supplemented or otherwise modified from time to time in a manner not prohibited by the terms of the Specified Subordination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Debt</w:t>
      </w:r>
      <w:r>
        <w:rPr>
          <w:rFonts w:ascii="Times New Roman" w:cs="Times New Roman" w:eastAsia="Times New Roman" w:hAnsi="Times New Roman"/>
          <w:sz w:val="18"/>
          <w:szCs w:val="18"/>
          <w:color w:val="auto"/>
        </w:rPr>
        <w:t>” shall mean Debt of the Borrower or any Guarantor under the Senior Loan Documents, if 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Lenders</w:t>
      </w:r>
      <w:r>
        <w:rPr>
          <w:rFonts w:ascii="Times New Roman" w:cs="Times New Roman" w:eastAsia="Times New Roman" w:hAnsi="Times New Roman"/>
          <w:sz w:val="18"/>
          <w:szCs w:val="18"/>
          <w:color w:val="auto"/>
        </w:rPr>
        <w:t>” shall mean the lenders party to the Senior Credit Agreement, if any.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Loan Documents</w:t>
      </w:r>
      <w:r>
        <w:rPr>
          <w:rFonts w:ascii="Times New Roman" w:cs="Times New Roman" w:eastAsia="Times New Roman" w:hAnsi="Times New Roman"/>
          <w:sz w:val="18"/>
          <w:szCs w:val="18"/>
          <w:color w:val="auto"/>
        </w:rPr>
        <w:t>” shall mean, collectively, the Senior Credit Agreement and any and all other documents, instruments and certificates executed and delivered pursuant thereto, in each case, as the same may be amended, restated, supplemented or otherwise modified from time to time in a manner not prohibited by the terms of the Specified Subordination Agreement. For the avoidance of doubt, no Senior Loan Document is in effect on the Restatement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shall mean a rate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shall mean the Federal Reserve Bank of New York (or a successor administrator of the secured overnight financing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Borrowing</w:t>
      </w:r>
      <w:r>
        <w:rPr>
          <w:rFonts w:ascii="Times New Roman" w:cs="Times New Roman" w:eastAsia="Times New Roman" w:hAnsi="Times New Roman"/>
          <w:sz w:val="18"/>
          <w:szCs w:val="18"/>
          <w:color w:val="auto"/>
        </w:rPr>
        <w:t>” shall mean, as to any borrowing, the SOFR Loans comprising such Loans.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Deadline</w:t>
      </w:r>
      <w:r>
        <w:rPr>
          <w:rFonts w:ascii="Times New Roman" w:cs="Times New Roman" w:eastAsia="Times New Roman" w:hAnsi="Times New Roman"/>
          <w:sz w:val="18"/>
          <w:szCs w:val="18"/>
          <w:color w:val="auto"/>
        </w:rPr>
        <w:t>” has the meaning specified therefor in Section 2.12(a).</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69" w:name="page70"/>
    <w:bookmarkEnd w:id="69"/>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Loan</w:t>
      </w:r>
      <w:r>
        <w:rPr>
          <w:rFonts w:ascii="Times New Roman" w:cs="Times New Roman" w:eastAsia="Times New Roman" w:hAnsi="Times New Roman"/>
          <w:sz w:val="18"/>
          <w:szCs w:val="18"/>
          <w:color w:val="auto"/>
        </w:rPr>
        <w:t>” shall mean a Loan that bears interest at a rate based on Adjusted Term SOFR, other than pursuant to clause (c) of the definition of “Reference Rate”.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Notice</w:t>
      </w:r>
      <w:r>
        <w:rPr>
          <w:rFonts w:ascii="Times New Roman" w:cs="Times New Roman" w:eastAsia="Times New Roman" w:hAnsi="Times New Roman"/>
          <w:sz w:val="18"/>
          <w:szCs w:val="18"/>
          <w:color w:val="auto"/>
        </w:rPr>
        <w:t xml:space="preserve">” shall mean a written notice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Option</w:t>
      </w:r>
      <w:r>
        <w:rPr>
          <w:rFonts w:ascii="Times New Roman" w:cs="Times New Roman" w:eastAsia="Times New Roman" w:hAnsi="Times New Roman"/>
          <w:sz w:val="18"/>
          <w:szCs w:val="18"/>
          <w:color w:val="auto"/>
        </w:rPr>
        <w:t>” has the meaning specified therefor in Section 2.12(a).</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shall mean, with respect to any Person on a particular date, that on such date (a) such Person is able to realize upon its assets and pay its debts and other liabilities, contingent obligations and other commitments as they mature in the normal course of business, (b) such Person does not intend to, and does not believe that it will, incur debts or liabilities beyond such Person’s ability to pay as such debts and liabilities mature, and (c) such Person is not engaged in business or a transaction, and is not about to engage in business or a transaction, for which such Person’s property would constitute unreasonably small capital.</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Representations</w:t>
      </w:r>
      <w:r>
        <w:rPr>
          <w:rFonts w:ascii="Times New Roman" w:cs="Times New Roman" w:eastAsia="Times New Roman" w:hAnsi="Times New Roman"/>
          <w:sz w:val="18"/>
          <w:szCs w:val="18"/>
          <w:color w:val="auto"/>
        </w:rPr>
        <w:t>” means those representations and warranties made in Section 5.1 (limited to the existence of each Credit Party under the laws of the state of its incorporation or formation), Section 5.2(i), Section 5.2(ii), Section 5.2(iii) (limited to contravention of the Borrower’s or any Guarantor’s organizational documents), Section 5.2(iv), Section 5.4, Section 5.6, Section 5.7(b), Section 5.9(ii), Section 5.10, Section 5.12, Section 5.22, and Section 5.31.</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Subordination Agreement</w:t>
      </w:r>
      <w:r>
        <w:rPr>
          <w:rFonts w:ascii="Times New Roman" w:cs="Times New Roman" w:eastAsia="Times New Roman" w:hAnsi="Times New Roman"/>
          <w:sz w:val="18"/>
          <w:szCs w:val="18"/>
          <w:color w:val="auto"/>
        </w:rPr>
        <w:t>” shall mean a subordination agreement, in form and substance reasonably satisfactory to the Agent and the Lenders in all respects, if executed, to be executed by and between the Senior Agent and the Agent and to be acknowledged and agreed by the Borrower and the Guarantors, as the same may be amended, restated, supplemented or otherwise modified from time to time in accordance with the terms thereof. For the avoidance of doubt, no Specified Subordination Agreement is in effect on the Restatement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STORY3</w:t>
      </w:r>
      <w:r>
        <w:rPr>
          <w:rFonts w:ascii="Times New Roman" w:cs="Times New Roman" w:eastAsia="Times New Roman" w:hAnsi="Times New Roman"/>
          <w:sz w:val="18"/>
          <w:szCs w:val="18"/>
          <w:color w:val="auto"/>
        </w:rPr>
        <w:t>” shall mean STORY3 Capital Partners LLC.</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shall mean any unsecured Funded Debt of any Credit Party and other obligations under the Subordinated Debt Documents and any other Funded Debt of any Credit Party which has been subordinated in right of payment and priority to the Indebtedness, all on terms and conditions satisfactory to the Agent.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 Documents</w:t>
      </w:r>
      <w:r>
        <w:rPr>
          <w:rFonts w:ascii="Times New Roman" w:cs="Times New Roman" w:eastAsia="Times New Roman" w:hAnsi="Times New Roman"/>
          <w:sz w:val="18"/>
          <w:szCs w:val="18"/>
          <w:color w:val="auto"/>
        </w:rPr>
        <w:t>” shall mean and include any documents evidencing any Subordinated Debt, in each case, as the same may be amended, modified, supplemented or otherwise modified from time to time in compliance with the terms of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Subordination Agreements</w:t>
      </w:r>
      <w:r>
        <w:rPr>
          <w:rFonts w:ascii="Times New Roman" w:cs="Times New Roman" w:eastAsia="Times New Roman" w:hAnsi="Times New Roman"/>
          <w:sz w:val="18"/>
          <w:szCs w:val="18"/>
          <w:color w:val="auto"/>
        </w:rPr>
        <w:t>” shall mean, collectively, any subordination agreements entered into by any Person from time to time in favor of the Agent in connection with any Subordinated Debt, the terms of which are acceptable to the Agent, in each case as the same may be amended, restated or otherwise modified from time to time, and “</w:t>
      </w:r>
      <w:r>
        <w:rPr>
          <w:rFonts w:ascii="Times New Roman" w:cs="Times New Roman" w:eastAsia="Times New Roman" w:hAnsi="Times New Roman"/>
          <w:sz w:val="18"/>
          <w:szCs w:val="18"/>
          <w:b w:val="1"/>
          <w:bCs w:val="1"/>
          <w:color w:val="auto"/>
        </w:rPr>
        <w:t>Subordination Agreement</w:t>
      </w:r>
      <w:r>
        <w:rPr>
          <w:rFonts w:ascii="Times New Roman" w:cs="Times New Roman" w:eastAsia="Times New Roman" w:hAnsi="Times New Roman"/>
          <w:sz w:val="18"/>
          <w:szCs w:val="18"/>
          <w:color w:val="auto"/>
        </w:rPr>
        <w:t>” shall mean any one of them.</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Subsidiary(ies)</w:t>
      </w:r>
      <w:r>
        <w:rPr>
          <w:rFonts w:ascii="Times New Roman" w:cs="Times New Roman" w:eastAsia="Times New Roman" w:hAnsi="Times New Roman"/>
          <w:sz w:val="18"/>
          <w:szCs w:val="18"/>
          <w:color w:val="auto"/>
        </w:rPr>
        <w:t>” shall mean any other corporation, association, joint stock company, business trust, limited liability company, partnership or any other business entity of which more than fifty percent (50%) of the outstanding voting stock, share capital, membership, partnership or other interests, as the case may be, is owned either directly or indirectly by any Person or one or more of its Subsidiaries. Unless otherwise specified to the contrary herein or the context otherwise requires, Subsidiary(ies) shall refer to the Subsidiary(ies) of the Borrower.</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Agent</w:t>
      </w:r>
      <w:r>
        <w:rPr>
          <w:rFonts w:ascii="Times New Roman" w:cs="Times New Roman" w:eastAsia="Times New Roman" w:hAnsi="Times New Roman"/>
          <w:sz w:val="18"/>
          <w:szCs w:val="18"/>
          <w:color w:val="auto"/>
        </w:rPr>
        <w:t>” shall have the meaning set forth in Section 11.4(a) hereof.</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shall mean all present or future taxes, levies, imposts, duties, deductions, withholdings (including backup withholding), assessments, fees or other charges in the nature of a tax imposed by any Governmental Authority, including any interest, additions to tax or penalties applicable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shall mean the Exchanged Term Loans, the Restatement Date Term Loans and the Incremental Term Loans, as the context requires.</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Commitment</w:t>
      </w:r>
      <w:r>
        <w:rPr>
          <w:rFonts w:ascii="Times New Roman" w:cs="Times New Roman" w:eastAsia="Times New Roman" w:hAnsi="Times New Roman"/>
          <w:sz w:val="18"/>
          <w:szCs w:val="18"/>
          <w:color w:val="auto"/>
        </w:rPr>
        <w:t>” shall mean the Restatement Date Term Loan Commitment or the Incremental Term Loan Commitment (if any) of a Lender, and “</w:t>
      </w:r>
      <w:r>
        <w:rPr>
          <w:rFonts w:ascii="Times New Roman" w:cs="Times New Roman" w:eastAsia="Times New Roman" w:hAnsi="Times New Roman"/>
          <w:sz w:val="18"/>
          <w:szCs w:val="18"/>
          <w:b w:val="1"/>
          <w:bCs w:val="1"/>
          <w:color w:val="auto"/>
        </w:rPr>
        <w:t>Term Loan Commitments</w:t>
      </w:r>
      <w:r>
        <w:rPr>
          <w:rFonts w:ascii="Times New Roman" w:cs="Times New Roman" w:eastAsia="Times New Roman" w:hAnsi="Times New Roman"/>
          <w:sz w:val="18"/>
          <w:szCs w:val="18"/>
          <w:color w:val="auto"/>
        </w:rPr>
        <w:t>” shall mean such commitments of all Lenders.</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Exposure</w:t>
      </w:r>
      <w:r>
        <w:rPr>
          <w:rFonts w:ascii="Times New Roman" w:cs="Times New Roman" w:eastAsia="Times New Roman" w:hAnsi="Times New Roman"/>
          <w:sz w:val="18"/>
          <w:szCs w:val="18"/>
          <w:color w:val="auto"/>
        </w:rPr>
        <w:t>” shall mean, with respect to any Lender, as of any date of determination, the outstanding principal amount of the Term Loan of such Lender.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jc w:val="both"/>
        <w:ind w:firstLine="1304"/>
        <w:spacing w:after="0" w:line="254" w:lineRule="auto"/>
        <w:tabs>
          <w:tab w:leader="none" w:pos="18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Reference Rate Loan on any day, the Term SOFR Reference Rate for a tenor of three months on the day (such day, the “</w:t>
      </w:r>
      <w:r>
        <w:rPr>
          <w:rFonts w:ascii="Times New Roman" w:cs="Times New Roman" w:eastAsia="Times New Roman" w:hAnsi="Times New Roman"/>
          <w:sz w:val="18"/>
          <w:szCs w:val="18"/>
          <w:u w:val="single" w:color="auto"/>
          <w:color w:val="auto"/>
        </w:rPr>
        <w:t>Reference Rate Term SOFR Determination Day</w:t>
      </w:r>
      <w:r>
        <w:rPr>
          <w:rFonts w:ascii="Times New Roman" w:cs="Times New Roman" w:eastAsia="Times New Roman" w:hAnsi="Times New Roman"/>
          <w:sz w:val="18"/>
          <w:szCs w:val="18"/>
          <w:color w:val="auto"/>
        </w:rPr>
        <w:t>”) that is two (2) U.S. Government Securities Business Days prior to such day, as such rate is published by the Term SOFR Administrator; provided, however, that if as of 5:00 p.m. (New York City time) on any Reference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Reference Rate SOFR Determination Day.</w:t>
      </w:r>
    </w:p>
    <w:p>
      <w:pPr>
        <w:spacing w:after="0" w:line="18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Administrator</w:t>
      </w:r>
      <w:r>
        <w:rPr>
          <w:rFonts w:ascii="Times New Roman" w:cs="Times New Roman" w:eastAsia="Times New Roman" w:hAnsi="Times New Roman"/>
          <w:sz w:val="18"/>
          <w:szCs w:val="18"/>
          <w:color w:val="auto"/>
        </w:rPr>
        <w:t>” shall mean CME Group Benchmark Administration Limited (CBA) (or a successor administrator of the Term SOFR Reference Rate selected by the Agent in its reasonable discretion).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Reference Rate</w:t>
      </w:r>
      <w:r>
        <w:rPr>
          <w:rFonts w:ascii="Times New Roman" w:cs="Times New Roman" w:eastAsia="Times New Roman" w:hAnsi="Times New Roman"/>
          <w:sz w:val="18"/>
          <w:szCs w:val="18"/>
          <w:color w:val="auto"/>
        </w:rPr>
        <w:t>” shall mean the forward-looking term rate based on SOFR.</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1" w:name="page72"/>
    <w:bookmarkEnd w:id="7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shall mean the applicable Benchmark Replacement excluding the related Benchmark Replacement Adjustment.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Uniform Commercial Code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shall mean the Uniform Commercial Code as in effect in any applicable state; provided that, unless specified otherwise or the context otherwise requires, such terms shall refer to the Uniform Commercial Code as in effect in the State of New York.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shall mean an individual unit (i.e., wardrobe and similar merchandise) owned by the Borrower and currently available for rent or held for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shall mean any Person that is a “United States Person” as defined in Section 7701(a)(30) of the Internal Revenue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shall have the meaning specified therefor in Section 12.12.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shall have the meaning specified therefor in Section 5.7.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Waivable Mandatory Prepayment”</w:t>
      </w:r>
      <w:r>
        <w:rPr>
          <w:rFonts w:ascii="Times New Roman" w:cs="Times New Roman" w:eastAsia="Times New Roman" w:hAnsi="Times New Roman"/>
          <w:sz w:val="18"/>
          <w:szCs w:val="18"/>
          <w:color w:val="auto"/>
        </w:rPr>
        <w:t xml:space="preserve"> shall have the meaning specified therefor in Section 2.9(b).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shall mean any Credit Party and the Agent.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 such other Loan Document:</w:t>
      </w:r>
    </w:p>
    <w:p>
      <w:pPr>
        <w:spacing w:after="0" w:line="162" w:lineRule="exact"/>
        <w:rPr>
          <w:sz w:val="20"/>
          <w:szCs w:val="20"/>
          <w:color w:val="auto"/>
        </w:rPr>
      </w:pPr>
    </w:p>
    <w:p>
      <w:pPr>
        <w:jc w:val="both"/>
        <w:ind w:firstLine="1304"/>
        <w:spacing w:after="0" w:line="253" w:lineRule="auto"/>
        <w:tabs>
          <w:tab w:leader="none" w:pos="18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18"/>
          <w:szCs w:val="18"/>
          <w:u w:val="single" w:color="auto"/>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shall be deemed to be followed by the phrase “</w:t>
      </w:r>
      <w:r>
        <w:rPr>
          <w:rFonts w:ascii="Times New Roman" w:cs="Times New Roman" w:eastAsia="Times New Roman" w:hAnsi="Times New Roman"/>
          <w:sz w:val="18"/>
          <w:szCs w:val="18"/>
          <w:u w:val="single" w:color="auto"/>
          <w:color w:val="auto"/>
        </w:rPr>
        <w:t>without limitation</w:t>
      </w:r>
      <w:r>
        <w:rPr>
          <w:rFonts w:ascii="Times New Roman" w:cs="Times New Roman" w:eastAsia="Times New Roman" w:hAnsi="Times New Roman"/>
          <w:sz w:val="18"/>
          <w:szCs w:val="18"/>
          <w:color w:val="auto"/>
        </w:rPr>
        <w:t>.” The word “</w:t>
      </w:r>
      <w:r>
        <w:rPr>
          <w:rFonts w:ascii="Times New Roman" w:cs="Times New Roman" w:eastAsia="Times New Roman" w:hAnsi="Times New Roman"/>
          <w:sz w:val="18"/>
          <w:szCs w:val="18"/>
          <w:u w:val="single" w:color="auto"/>
          <w:color w:val="auto"/>
        </w:rPr>
        <w:t>will</w:t>
      </w:r>
      <w:r>
        <w:rPr>
          <w:rFonts w:ascii="Times New Roman" w:cs="Times New Roman" w:eastAsia="Times New Roman" w:hAnsi="Times New Roman"/>
          <w:sz w:val="18"/>
          <w:szCs w:val="18"/>
          <w:color w:val="auto"/>
        </w:rPr>
        <w:t>” shall be construed to have the same meaning and effect as the word “</w:t>
      </w:r>
      <w:r>
        <w:rPr>
          <w:rFonts w:ascii="Times New Roman" w:cs="Times New Roman" w:eastAsia="Times New Roman" w:hAnsi="Times New Roman"/>
          <w:sz w:val="18"/>
          <w:szCs w:val="18"/>
          <w:u w:val="single" w:color="auto"/>
          <w:color w:val="auto"/>
        </w:rPr>
        <w:t>shall</w:t>
      </w:r>
      <w:r>
        <w:rPr>
          <w:rFonts w:ascii="Times New Roman" w:cs="Times New Roman" w:eastAsia="Times New Roman" w:hAnsi="Times New Roman"/>
          <w:sz w:val="18"/>
          <w:szCs w:val="18"/>
          <w:color w:val="auto"/>
        </w:rPr>
        <w:t>.” Unless the context requires otherwise, (i) any definition of or reference to any agreement, instrument or other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2" w:name="page73"/>
    <w:bookmarkEnd w:id="72"/>
    <w:p>
      <w:pPr>
        <w:jc w:val="both"/>
        <w:spacing w:after="0" w:line="266" w:lineRule="auto"/>
        <w:rPr>
          <w:sz w:val="20"/>
          <w:szCs w:val="20"/>
          <w:color w:val="auto"/>
        </w:rPr>
      </w:pPr>
      <w:r>
        <w:rPr>
          <w:rFonts w:ascii="Times New Roman" w:cs="Times New Roman" w:eastAsia="Times New Roman" w:hAnsi="Times New Roman"/>
          <w:sz w:val="18"/>
          <w:szCs w:val="18"/>
          <w:color w:val="auto"/>
        </w:rPr>
        <w:t>specified, refer to such law or regulation as amended, modified or supplemented from time to time, and (vi) the words “</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shall be construed to have the same meaning and effect and to refer to any and all tangible and intangible assets and properties, including cash, securities, accounts and contract rights.</w:t>
      </w:r>
    </w:p>
    <w:p>
      <w:pPr>
        <w:spacing w:after="0" w:line="176" w:lineRule="exact"/>
        <w:rPr>
          <w:sz w:val="20"/>
          <w:szCs w:val="20"/>
          <w:color w:val="auto"/>
        </w:rPr>
      </w:pPr>
    </w:p>
    <w:p>
      <w:pPr>
        <w:ind w:firstLine="1304"/>
        <w:spacing w:after="0" w:line="282" w:lineRule="auto"/>
        <w:tabs>
          <w:tab w:leader="none" w:pos="182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w:t>
      </w:r>
      <w:r>
        <w:rPr>
          <w:rFonts w:ascii="Times New Roman" w:cs="Times New Roman" w:eastAsia="Times New Roman" w:hAnsi="Times New Roman"/>
          <w:sz w:val="18"/>
          <w:szCs w:val="18"/>
          <w:u w:val="single" w:color="auto"/>
          <w:color w:val="auto"/>
        </w:rPr>
        <w:t>from</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from and including</w:t>
      </w:r>
      <w:r>
        <w:rPr>
          <w:rFonts w:ascii="Times New Roman" w:cs="Times New Roman" w:eastAsia="Times New Roman" w:hAnsi="Times New Roman"/>
          <w:sz w:val="18"/>
          <w:szCs w:val="18"/>
          <w:color w:val="auto"/>
        </w:rPr>
        <w:t>;” the words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until</w:t>
      </w:r>
      <w:r>
        <w:rPr>
          <w:rFonts w:ascii="Times New Roman" w:cs="Times New Roman" w:eastAsia="Times New Roman" w:hAnsi="Times New Roman"/>
          <w:sz w:val="18"/>
          <w:szCs w:val="18"/>
          <w:color w:val="auto"/>
        </w:rPr>
        <w:t>” each mean “</w:t>
      </w:r>
      <w:r>
        <w:rPr>
          <w:rFonts w:ascii="Times New Roman" w:cs="Times New Roman" w:eastAsia="Times New Roman" w:hAnsi="Times New Roman"/>
          <w:sz w:val="18"/>
          <w:szCs w:val="18"/>
          <w:u w:val="single" w:color="auto"/>
          <w:color w:val="auto"/>
        </w:rPr>
        <w:t>to but excluding</w:t>
      </w:r>
      <w:r>
        <w:rPr>
          <w:rFonts w:ascii="Times New Roman" w:cs="Times New Roman" w:eastAsia="Times New Roman" w:hAnsi="Times New Roman"/>
          <w:sz w:val="18"/>
          <w:szCs w:val="18"/>
          <w:color w:val="auto"/>
        </w:rPr>
        <w:t>;” and the word “</w:t>
      </w:r>
      <w:r>
        <w:rPr>
          <w:rFonts w:ascii="Times New Roman" w:cs="Times New Roman" w:eastAsia="Times New Roman" w:hAnsi="Times New Roman"/>
          <w:sz w:val="18"/>
          <w:szCs w:val="18"/>
          <w:u w:val="single" w:color="auto"/>
          <w:color w:val="auto"/>
        </w:rPr>
        <w:t>through</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to and including</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5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Agreement or any other Loan Document.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6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or in any other Loan Document to the satisfaction, repayment, or payment in full of the Indebtedness shall mean the repayment in Dollars in full in cash or immediately available funds of all of the Indebtedness (including the Prepayment Premium) other than unasserted contingent indemnification obligations.</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2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Agreement to “determination” by the Agent include good faith estimates by the Agent (in the case of quantitative determinations) and good faith beliefs by the Agent (in the case of qualitative determinations). A Default or Event of Default shall be deemed to exist at all times during the period commencing on the date that such Default or Event of Default occurs to the date on which such Default or Event of Default is waived in writing in accordance with Section 8.5 of this Agreement or, in the case of a Default, is cured within any period of cure expressly provided for in this Agreement; and an Event of Default shall “continue” or be “continuing” until such Event of Default has been waived in writing in accordance with Section 8.5 of this Agreement. Any Lien referred to in this Agreement or any other Loan Document as having been created in favor of the Agent, any agreement entered into by the Agent pursuant to this Agreement or any other Loan Document, any payment made by or to or funds received by the Agent pursuant to or as contemplated by this Agreement or any other Loan Document, or any act taken or omitted to be taken by the Agent, shall, unless otherwise expressly provided, be created, entered into, made or received, or taken or omitted, for the benefit or account of the Agent and the Lenders. Wherever the phrase “to the knowledge of any Credit Party” or words of similar import relating to the knowledge or the awareness of any Credit Party are used in this Agreement or any other Loan Document, such phrase shall mean and refer to (i) the actual knowledge of a senior officer of any Credit Party or (ii) the knowledge that a senior officer would have obtained if such officer had engaged in good faith and diligent performance of such officer’s duties, including the making of such reasonably specific inquiries as may be necessary of the employees or agents of such Credit Party and a good faith attempt to ascertain the existence or accuracy of the matter to which such phrase relates.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spacing w:after="0" w:line="19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u w:val="single" w:color="auto"/>
          <w:color w:val="auto"/>
        </w:rPr>
        <w:t>Accounting Terms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1304"/>
        <w:spacing w:after="0" w:line="266" w:lineRule="auto"/>
        <w:tabs>
          <w:tab w:leader="none" w:pos="194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3" w:name="page74"/>
    <w:bookmarkEnd w:id="73"/>
    <w:p>
      <w:pPr>
        <w:jc w:val="both"/>
        <w:spacing w:after="0" w:line="256" w:lineRule="auto"/>
        <w:rPr>
          <w:sz w:val="20"/>
          <w:szCs w:val="20"/>
          <w:color w:val="auto"/>
        </w:rPr>
      </w:pPr>
      <w:r>
        <w:rPr>
          <w:rFonts w:ascii="Times New Roman" w:cs="Times New Roman" w:eastAsia="Times New Roman" w:hAnsi="Times New Roman"/>
          <w:sz w:val="18"/>
          <w:szCs w:val="18"/>
          <w:color w:val="auto"/>
        </w:rPr>
        <w:t>GAAP applied on a consistent basis, as in effect from time to time, applied in a manner consistent with that used in preparing the Audited Financial Statements, except as otherwise specifically prescribed herein or as reflected in the management financials provided prior to the Restatement Date to (i) include any proceeds from end-of-life liquidated inventory in revenue and related costs in cost of revenue, which is presented as net gains or losses from sale of end-of-life liquidated inventory on GAAP financials and (ii) not adjust the purchases of property, plant and equipment (“PPE”) and rental product for any unpaid accounts payable balances. Additionally, GAAP financial statements may include more detailed or more summarized line items than what is presented in the management financials.</w:t>
      </w:r>
    </w:p>
    <w:p>
      <w:pPr>
        <w:spacing w:after="0" w:line="187" w:lineRule="exact"/>
        <w:rPr>
          <w:sz w:val="20"/>
          <w:szCs w:val="20"/>
          <w:color w:val="auto"/>
        </w:rPr>
      </w:pPr>
    </w:p>
    <w:p>
      <w:pPr>
        <w:jc w:val="both"/>
        <w:ind w:firstLine="1304"/>
        <w:spacing w:after="0" w:line="255" w:lineRule="auto"/>
        <w:tabs>
          <w:tab w:leader="none" w:pos="190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GAAP</w:t>
      </w:r>
      <w:r>
        <w:rPr>
          <w:rFonts w:ascii="Times New Roman" w:cs="Times New Roman" w:eastAsia="Times New Roman" w:hAnsi="Times New Roman"/>
          <w:sz w:val="18"/>
          <w:szCs w:val="18"/>
          <w:color w:val="auto"/>
        </w:rPr>
        <w:t xml:space="preserve">. If at any time any change in GAAP would affect the computation of any financial ratio or requirement set forth in any Loan Document, and either the Borrower or the Majority Lenders shall so request, the Agent, the Lenders and the Borrower shall negotiate in good faith to amend such ratio or requirement to preserve the original intent thereof in light of such change in GAAP (subject to the approval of the Majority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so amended, (i) such ratio or requirement shall continue to be computed in accordance with GAAP prior to such change therein and (ii) the Borrower shall provide to the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6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used in this Agreement which are defined in Article 8 or Article 9 of the Uniform Commercial Code as in effect from time to time in the State of New York and which are not otherwise defined herein shall have the same meanings herein as set forth therein; provided that terms used herein which are defined in the Uniform Commercial Code as in effect in the State of New York on the date hereof shall continue to have the same meaning notwithstanding any replacement or amendment of such statute, except as the Agent may otherwise determine.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maintained by the Borrower or the Guarantors pursuant to this Agreement shall be calculated by dividing the appropriate component by the other component, carrying the result to two places more than the number of places by which such ratio is expressed herein and rounding the result up or down to the nearest number (with a rounding up if there is no nearest number).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(a) . Unless otherwise specified, all references herein to times of day shall be references to Eastern time (daylight or standard, as applicable), as in effect in New York City on such day. For purposes of the computation of a period of time from a specified date to a later specified date, the word “from” means “from and including” and the words “to” and “until” each means “to but excluding”; provided, however, that with respect to a computation of fees or interest payable to any Secured Party, such period shall in any event consist of at least one full day. Whenever any action or delivery to be taken or made under this Agreement or any other Loan Document shall be stated to be due on a day other than a Business Day, such action or delivery shall be deemed to be due on the next succeeding Business Day.</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4" w:name="page75"/>
    <w:bookmarkEnd w:id="74"/>
    <w:p>
      <w:pPr>
        <w:jc w:val="both"/>
        <w:ind w:firstLine="8"/>
        <w:spacing w:after="0" w:line="266" w:lineRule="auto"/>
        <w:tabs>
          <w:tab w:leader="none" w:pos="2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Senior Loan Documents and Specified Subordination Agreement</w:t>
      </w:r>
      <w:r>
        <w:rPr>
          <w:rFonts w:ascii="Times New Roman" w:cs="Times New Roman" w:eastAsia="Times New Roman" w:hAnsi="Times New Roman"/>
          <w:sz w:val="18"/>
          <w:szCs w:val="18"/>
          <w:color w:val="auto"/>
        </w:rPr>
        <w:t>. The Borrower agrees and acknowledges that each reference to any Senior Loan Document, Senior Debt, Senior Agent, Senior Lenders, or the Specified Subordination Agreement in any Loan Document (including, without limitation this Agreement and the Security Agreement) shall be disregarded until each of the Senior Credit Agreement and the Specified Subordination Agreement shall have been executed and delivered by the requisite parties thereto (including, in the case of the Specified Subordination Agreement, the Agent) and are in full force and effect.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The Agent does not warrant or accept responsibility for, and shall not have any liability with respect to (a) the continuation of, administration of, submission of, calculation of or any other matter related to the Reference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Reference Rate, the Term SOFR Reference Rate, Adjusted Term SOFR, Term SOFR or any other Benchmark prior to its discontinuance or unavailability, or (b) the effect, implementation or composition of any Conforming Changes. The Agent and its Affiliates or other related entities may engage in transactions that affect the calculation of the Reference Rate, the Term SOFR Reference Rate, Term SOFR, Adjusted Term SOFR, any alternative, successor or replacement rate (including any Benchmark Replacement) or any relevant adjustments thereto, in each case, in a manner adverse to the Borrower. The Agent may select information sources or services in its reasonable discretion to ascertain the Reference Rate, the Term SOFR Reference Rate, Term SOFR, Adjusted Term SOFR or any other Benchmark,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3"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LOANS.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Restatement Date Transactions; Loans and Commitments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90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Capitalization; Debt for Equity Exchange</w:t>
      </w:r>
      <w:r>
        <w:rPr>
          <w:rFonts w:ascii="Times New Roman" w:cs="Times New Roman" w:eastAsia="Times New Roman" w:hAnsi="Times New Roman"/>
          <w:sz w:val="18"/>
          <w:szCs w:val="18"/>
          <w:color w:val="auto"/>
        </w:rPr>
        <w:t>. On the Restatement Date, (i) the Interest Capitalization shall be deemed to have occurred and (ii) immediately following the Interest Capitalization, the Debt for Equity Exchange occurred in accordance with the terms and conditions of the Exchange Agreement. Immediately after giving effect to the Debt for Equity Exchange, the aggregate outstanding principal amount of Existing Term Loans was equal to $100,000,000.</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5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Loan Exchange</w:t>
      </w:r>
      <w:r>
        <w:rPr>
          <w:rFonts w:ascii="Times New Roman" w:cs="Times New Roman" w:eastAsia="Times New Roman" w:hAnsi="Times New Roman"/>
          <w:sz w:val="18"/>
          <w:szCs w:val="18"/>
          <w:color w:val="auto"/>
        </w:rPr>
        <w:t>. Immediately after the consummation of the Debt for Equity Exchange, the Initial Loan Exchange is deemed to have occurred. The aggregate outstanding principal amount of the Exchanged Term Loans under this Agreement immediately following the Initial Loan Exchange is equal to $100,000,000. Immediately following the consummation of the Initial Loan Exchange, the Restatement Date Assignment occurred in accordance with the terms of the Purchase and Sale Agreement.</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5" w:name="page76"/>
    <w:bookmarkEnd w:id="75"/>
    <w:p>
      <w:pPr>
        <w:jc w:val="both"/>
        <w:ind w:firstLine="1304"/>
        <w:spacing w:after="0" w:line="256" w:lineRule="auto"/>
        <w:tabs>
          <w:tab w:leader="none" w:pos="19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Restatement Date Term Loans</w:t>
      </w:r>
      <w:r>
        <w:rPr>
          <w:rFonts w:ascii="Times New Roman" w:cs="Times New Roman" w:eastAsia="Times New Roman" w:hAnsi="Times New Roman"/>
          <w:sz w:val="18"/>
          <w:szCs w:val="18"/>
          <w:color w:val="auto"/>
        </w:rPr>
        <w:t>. Subject to the terms and conditions hereof, each Lender with a Restatement Date Term Loan Commitment severally agrees to make, on the Restatement Date, immediately following the consummation of the Restatement Date Assignment, a term loan to the Borrower in an amount equal to such Lender’s Restatement Date Term Loan Commitment. The Borrower may make only one borrowing under the Restatement Date Term Loan Commitments which shall be on the Restatement Date. Each Lender’s Restatement Date Term Loan Commitment shall terminate immediately and without further action on the Restatement Date after giving effect to the funding of such Restatement Date Term Loan Commitment, if any, on such date.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Borrower, the Agent and each Lender hereby acknowledge, confirm and agree that after giving effect to the Debt for Equity Exchange, the Initial Loan Exchange, the Restatement Date Assignment and the funding of the Restatement Date Term Loans (collectively, the “</w:t>
      </w:r>
      <w:r>
        <w:rPr>
          <w:rFonts w:ascii="Times New Roman" w:cs="Times New Roman" w:eastAsia="Times New Roman" w:hAnsi="Times New Roman"/>
          <w:sz w:val="18"/>
          <w:szCs w:val="18"/>
          <w:b w:val="1"/>
          <w:bCs w:val="1"/>
          <w:color w:val="auto"/>
        </w:rPr>
        <w:t>Restatement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as of the Restatement Date, (i) the aggregate outstanding principal amount of the Term Loans is equal to $120,000,000 and (ii)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principal amount of Term Loans held by each Lender is set forth in Section 3 of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Term Loan that has been repaid or prepaid may be reborrowed. All amounts owed hereunder with respect to the Term Loan shall be paid in full no later than the Maturity Date.</w:t>
      </w:r>
    </w:p>
    <w:p>
      <w:pPr>
        <w:spacing w:after="0" w:line="16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Accrual of Interest and Maturity; Evidence of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93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unconditionally promises to pay to the Agent for the account of each Lender the then unpaid principal amount of each Loan (plus all accrued and unpaid interest) of and any other outstanding Indebtedness hereunder (including the Prepayment Premium) owing to such Lender to the Borrower on the Maturity Date and, subject to the terms of the Specified Subordination Agreement, on such other dates and in such other amounts as may be required from time to time pursuant to this Agreement. Subject to the terms and conditions hereof, each Loan shall, from time to time from and after the date of such Loan (until paid), bear interest in accordance with Section 2.6.</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4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indebtedness of the Borrower to the appropriate lending office of such Lender resulting from each Loan made by such lending office of such Lender from time to time, including the amounts of principal and interest payable thereon and paid to such Lender from time to time under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maintain the Register pursuant to Section 12.7(h), and a subaccount therein for each Lender, in which Register and subaccounts (taken together) shall be recorded (i) the amount of each Loan made hereunder, (ii) the amount of any principal or interest due and payable or to become due and payable from the Borrower to each Lender hereunder in respect of the Loans and (iii) both the amount of any sum received by the Agent hereunder from the Borrower in respect of the Loans and each Lender’s share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Register maintained pursuant to paragraph (c) of this Section 2.2 and Section 12.7(h) shall, absent manifest error, to the extent permitted by applicable law, be prima facie evidence of the existence and amounts of the obligations of the Borrower therein recorded;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any Lender or the Agent to maintain the Register or any account, as applicable, or any error therein, shall not in any manner affect the obligation of the Borrower to repay the Loans (and all other amounts owing with respect thereto) made to the Borrower by the Lenders in accordance with the terms of this Agreement. In the event of any conflict between the accounts and records maintained by any Lender and the accounts and records of the Agent in respect of such matters, the accounts and records of the Agent shall control in the absence of manifest error.</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6" w:name="page77"/>
    <w:bookmarkEnd w:id="76"/>
    <w:p>
      <w:pPr>
        <w:ind w:firstLine="1304"/>
        <w:spacing w:after="0" w:line="282" w:lineRule="auto"/>
        <w:tabs>
          <w:tab w:leader="none" w:pos="180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upon written request to the Agent by any Lender, the Borrower will execute and deliver, to such Lender, at the Borrower’s own expense, a Note evidencing the outstanding Loans owing to such Lender.</w:t>
      </w:r>
    </w:p>
    <w:p>
      <w:pPr>
        <w:spacing w:after="0" w:line="16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Requests for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8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Restatement Date Term Loan, the Borrower shall deliver to the Agent a Request for Loan fully executed by an Authorized Signer no later than 2 Business Days prior to the Restatement Date (or such shorter period as the Agent may agree in writing in its sole discretion). Following the Restatement Date, whenever the Borrower desires that Lenders make a Term Loan (other than the Restatement Date Term Loan), the Borrower shall deliver to the Agent a fully executed and delivered Request for Loan (which shall specify the principal amount of the proposed Loan and the proposed date of such Loan, which must be a Business Day) no later than 10:00 a.m. (New York City time) at least 10 days in advance of the proposed Credit Date. Except as otherwise provided herein, a Request for Loan for a Term Loan shall be irrevocable on and after the date of receipt by the Agent, and the Borrower shall be bound to make a borrowing in accordance therewith. Promptly upon receipt by the Agent of any Request for Loan, the Agent shall notify each Lender of the proposed borrowing. The Agent and Lenders (i) may act without liability upon the basis of written or facsimile notice believed by the Agent in good faith to be from the Borrower (or from any Authorized Signer), (ii) shall be entitled to rely conclusively on any Authorized Signer’s authority to request a Term Loan on behalf of the Borrower until the Agent receives written notice to the contrary, and (iii) shall have no duty to verify the authenticity of the signature appearing on any written Request for Loan.</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8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make its Term Loan available to the Agent not later than 12:00 p.m. (New York City time) on the applicable Credit Date, by wire transfer of same day funds in Dollars, at the Agent’s Principal Office. Upon satisfaction or waiver of the conditions precedent specified herein, the Agent shall make the proceeds of the Term Loans available to the Borrower on the applicable Credit Date by causing an amount of same day funds in Dollars equal to the proceeds of all such Loans received by the Agent from Lenders to be credited to the account of the Borrower designated in writing to the Agent by the Borrower.</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81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Request for Loan, once delivered to the Agent, shall not be revocable by the Borrower and shall constitute a certification by the Borrower as of the date thereof that:</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53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to the making of Loans set forth in Sections 4.1 and/or 4.2, as applicable, of this Agreement have been satisfied, and shall remain satisfied to the date of such Loan (both before and immediately after giving effect to such Loan);</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52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after giving effect to the making of such Loan and the application of the proceeds thereof, no Default or Event of Default has occurred and is continuing or would result from the making of the Loan to be made; and</w:t>
      </w:r>
    </w:p>
    <w:p>
      <w:pPr>
        <w:spacing w:after="0" w:line="16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533"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Credit Parties contained in this Agreement and the other Loan Documents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of the making of such Loan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7" w:name="page78"/>
    <w:bookmarkEnd w:id="77"/>
    <w:p>
      <w:pPr>
        <w:jc w:val="both"/>
        <w:spacing w:after="0" w:line="282" w:lineRule="auto"/>
        <w:rPr>
          <w:sz w:val="20"/>
          <w:szCs w:val="20"/>
          <w:color w:val="auto"/>
        </w:rPr>
      </w:pPr>
      <w:r>
        <w:rPr>
          <w:rFonts w:ascii="Times New Roman" w:cs="Times New Roman" w:eastAsia="Times New Roman" w:hAnsi="Times New Roman"/>
          <w:sz w:val="18"/>
          <w:szCs w:val="18"/>
          <w:color w:val="auto"/>
        </w:rPr>
        <w:t>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Disbursement of Loans</w:t>
      </w:r>
      <w:r>
        <w:rPr>
          <w:rFonts w:ascii="Times New Roman" w:cs="Times New Roman" w:eastAsia="Times New Roman" w:hAnsi="Times New Roman"/>
          <w:sz w:val="18"/>
          <w:szCs w:val="18"/>
          <w:color w:val="auto"/>
        </w:rPr>
        <w:t>. Unless the Agent shall have been notified in writing by any Lender prior to the applicable Credit Date that such Lender does not intend to make available to the Agent the amount of such Lender’s Loan requested on such Credit Date, the Agent may assume that such Lender has made such amount available to the Agent on such Credit Date and the Agent may but shall not be obligated to, make available to the Borrower a corresponding amount on such Credit Date. If such corresponding amount is not in fact made available to the Agent by such Lender, the Agent shall be entitled to recover such corresponding amount on demand from such Lender together with interest thereon, for each day from such Credit Date until the date such amount is paid to the Agent, at the customary rate set by the Agent for the correction of errors among banks for three Business Days and thereafter at the rate specified in Section 2.6(a). If such Lender does not pay such corresponding amount forthwith upon the Agent’s demand therefor, the Agent shall promptly notify the Borrower and the Borrower shall immediately pay such corresponding amount to the Agent together with interest thereon, for each day from such Credit Date until the date such amount is paid to the Agent, at the rate specified in Section 2.6(a). Nothing in this Section 2.4 shall be deemed to relieve any Lender from its obligation to fulfill its Term Loan Commitments hereunder or to prejudice any rights that the Borrower may have against any Lender as a result of any default by such Lender hereunder.</w:t>
      </w:r>
    </w:p>
    <w:p>
      <w:pPr>
        <w:spacing w:after="0" w:line="19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Borrower agrees to pay to the Agent all fees payable by it in the Fee Letter in the amounts and at the times specified therein.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u w:val="single" w:color="auto"/>
          <w:color w:val="auto"/>
        </w:rPr>
        <w:t>Interest Payments; Default Interest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3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at the option of the Borrower, the Term Loan or any portion thereof shall be either a Reference Rate Loan or a SOFR Loan. Except as otherwise set forth herein, each Class of Loan shall bear interest on the unpaid principal amount thereof from the date made through repayment (whether by acceleration or otherwise) thereof as follows:</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44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portion of the Term Loan that is a Reference Rate Loan shall bear interest on the principal amount thereof from time to time outstanding, from the date of the Term Loan until repaid, at a rate per annum equal to the Reference Rate plus the Applicable Margin;</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46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portion of the Term Loan that is a SOFR Loan shall bear interest on the principal amount thereof from time to time outstanding, from the date of the Term Loan until repaid, at a rate per annum equal to Adjusted Term SOFR for the Interest Period in effect for the Term Loan (or such portion thereof) plus the Applicable Margin;</w:t>
      </w:r>
    </w:p>
    <w:p>
      <w:pPr>
        <w:spacing w:after="0" w:line="175"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Incremental Term Loans, at the rate set forth in the Joinder Agreement; and</w:t>
      </w:r>
    </w:p>
    <w:p>
      <w:pPr>
        <w:spacing w:after="0" w:line="22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Term Loan shall be due and payable in cash, in arrears, on each Interest Payment Date.</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Loan shall be payable (i) as set forth in clause (a) above; (ii) upon any prepayment of that Loan, whether voluntary or mandatory, to the extent accrued on the amount of principal being prepaid; and (iii) on the Maturity Date. Whenever any payment under this Section 2.6</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8" w:name="page79"/>
    <w:bookmarkEnd w:id="78"/>
    <w:p>
      <w:pPr>
        <w:spacing w:after="0" w:line="282" w:lineRule="auto"/>
        <w:rPr>
          <w:sz w:val="20"/>
          <w:szCs w:val="20"/>
          <w:color w:val="auto"/>
        </w:rPr>
      </w:pPr>
      <w:r>
        <w:rPr>
          <w:rFonts w:ascii="Times New Roman" w:cs="Times New Roman" w:eastAsia="Times New Roman" w:hAnsi="Times New Roman"/>
          <w:sz w:val="18"/>
          <w:szCs w:val="18"/>
          <w:color w:val="auto"/>
        </w:rPr>
        <w:t>shall become due on a day which is not a Business Day, the date for payment thereof shall be extended to the next Business Day. Interest shall be computed on the basis of a 360 day year, in each case for the actual number of days elapsed in the period during which it accrues.</w:t>
      </w:r>
    </w:p>
    <w:p>
      <w:pPr>
        <w:spacing w:after="0" w:line="162" w:lineRule="exact"/>
        <w:rPr>
          <w:sz w:val="20"/>
          <w:szCs w:val="20"/>
          <w:color w:val="auto"/>
        </w:rPr>
      </w:pPr>
    </w:p>
    <w:p>
      <w:pPr>
        <w:jc w:val="both"/>
        <w:ind w:firstLine="1304"/>
        <w:spacing w:after="0" w:line="255" w:lineRule="auto"/>
        <w:tabs>
          <w:tab w:leader="none" w:pos="184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 Event of Default, the principal amount of all Loans outstanding and, to the extent permitted by applicable law, any interest payments on the Loans or any fees or other amounts owed hereunder (including the Prepayment Premium), shall thereafter automatically bear interest (including post-petition interest in any proceeding under the Bankruptcy Code or other applicable bankruptcy laws), from the date such Event of Default occurred until the date such Event of Default is cured or waived in writing in accordance herewith, payable on demand at a rate that is 2% per annum in excess of the interest rate otherwise payable hereunder with respect to the applicable Loans (“</w:t>
      </w:r>
      <w:r>
        <w:rPr>
          <w:rFonts w:ascii="Times New Roman" w:cs="Times New Roman" w:eastAsia="Times New Roman" w:hAnsi="Times New Roman"/>
          <w:sz w:val="18"/>
          <w:szCs w:val="18"/>
          <w:b w:val="1"/>
          <w:bCs w:val="1"/>
          <w:color w:val="auto"/>
        </w:rPr>
        <w:t>Post-Default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18"/>
          <w:szCs w:val="18"/>
          <w:color w:val="auto"/>
        </w:rPr>
        <w:t>”). Payment or acceptance of the increased rates of interest provided for in this Section 2.6(d) is not a permitted alternative to timely payment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constitute a waiver of any Event of Default or otherwise prejudice or limit any rights or remedies of the Agent or any Lender.</w:t>
      </w:r>
    </w:p>
    <w:p>
      <w:pPr>
        <w:spacing w:after="0" w:line="18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u w:val="single" w:color="auto"/>
          <w:color w:val="auto"/>
        </w:rPr>
        <w:t>Optional Prepayments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86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Specified Subordination Agreement, with respect to each Term Loan, the Borrower may prepay such Term Loan on any Business Day, in whole or in part, in an aggregate minimum amount of $5,000,000 and integral multiples of $1,000,000 in excess of that amount, subject to the payment of the Prepayment Premium to the extent payable in accordance with the terms of the Fee Letter.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prepayments shall be made upon not less than 10 Business Days’ (or such shorter period as the Agent may agree in writing in its sole discretion) prior written notice to the Agent by 10:00 a.m. (New York time) on the date required. Upon the giving of any such notice, the principal amount of the Term Loan specified in such notice shall become due and payable on the prepayment date specified therein.</w:t>
      </w:r>
    </w:p>
    <w:p>
      <w:pPr>
        <w:spacing w:after="0" w:line="17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7"/>
          <w:szCs w:val="17"/>
          <w:u w:val="single" w:color="auto"/>
          <w:color w:val="auto"/>
        </w:rPr>
        <w:t>Mandatory Repayment of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952"/>
        <w:spacing w:after="0" w:line="253" w:lineRule="auto"/>
        <w:tabs>
          <w:tab w:leader="none" w:pos="2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Sales</w:t>
      </w:r>
      <w:r>
        <w:rPr>
          <w:rFonts w:ascii="Times New Roman" w:cs="Times New Roman" w:eastAsia="Times New Roman" w:hAnsi="Times New Roman"/>
          <w:sz w:val="18"/>
          <w:szCs w:val="18"/>
          <w:color w:val="auto"/>
        </w:rPr>
        <w:t xml:space="preserve">. Subject to the terms of the Specified Subordination Agreement, no later than the third Business Day following the date of receipt by any Credit Party of any Net Cash Proceeds from Asset Sales (excluding Asset Sales permitted under Section 7.4 other than Section 7.4(n)) in excess of $1,000,000 in the aggregate in any Fiscal Year, the Borrower shall prepay the Loans as set forth in Section 2.9(a) in an aggregate amount equal to such Net Cash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so long as (i) no Event of Default shall have occurred and be continuing, (ii) the Borrower has delivered the Agent prior written notice of the Borrower’s intention to apply such monies (the “</w:t>
      </w:r>
      <w:r>
        <w:rPr>
          <w:rFonts w:ascii="Times New Roman" w:cs="Times New Roman" w:eastAsia="Times New Roman" w:hAnsi="Times New Roman"/>
          <w:sz w:val="18"/>
          <w:szCs w:val="18"/>
          <w:b w:val="1"/>
          <w:bCs w:val="1"/>
          <w:color w:val="auto"/>
        </w:rPr>
        <w:t>Reinvestment Amounts</w:t>
      </w:r>
      <w:r>
        <w:rPr>
          <w:rFonts w:ascii="Times New Roman" w:cs="Times New Roman" w:eastAsia="Times New Roman" w:hAnsi="Times New Roman"/>
          <w:sz w:val="18"/>
          <w:szCs w:val="18"/>
          <w:color w:val="auto"/>
        </w:rPr>
        <w:t>”) to the costs of replacement of the properties or assets that are the subject of such sale or disposition or the cost of purchase or construction of other assets useful in the business of the Borrower, (iii) the monies are held in a deposit account in which the Agent has a perfected security interest, and (iv) the Borrower completes such replacement, purchase, or construction within 180 days after the initial receipt of such monies, the Borrower shall have the option to apply such monies to the costs of replacement of the assets that are the subject of such sale or disposition or the costs of purchase or construction of other assets useful in the business of the Borrower unless and to the extent that such applicable period shall have expired without such replacement, purchase or construction being made or completed, in which case, any amounts remaining in the cash collateral account shall be paid to the Agent and applied in accordance with Section 2.9(a). Nothing contained in this Section 2.8(a) shall permit the Borrower or any of its Subsidiaries to sell or otherwise dispose of any assets other than in accordance with Section 7.4.</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9" w:name="page80"/>
    <w:bookmarkEnd w:id="79"/>
    <w:p>
      <w:pPr>
        <w:jc w:val="both"/>
        <w:ind w:firstLine="1304"/>
        <w:spacing w:after="0" w:line="253" w:lineRule="auto"/>
        <w:tabs>
          <w:tab w:leader="none" w:pos="199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Insurance/Condemnation Proceeds</w:t>
      </w:r>
      <w:r>
        <w:rPr>
          <w:rFonts w:ascii="Times New Roman" w:cs="Times New Roman" w:eastAsia="Times New Roman" w:hAnsi="Times New Roman"/>
          <w:sz w:val="18"/>
          <w:szCs w:val="18"/>
          <w:color w:val="auto"/>
        </w:rPr>
        <w:t xml:space="preserve">. Subject to the terms of the Specified Subordination Agreement, no later than the third Business Day following the date of receipt by any Credit Party, or the Agent as loss payee, of any Net Cash Proceeds from insurance or any condemnation, taking or other casualty in excess of $1,000,000 in the aggregate in any Fiscal Year, the Borrower shall prepay the Loans in an aggregate amount equal to such Net Cash Proceeds;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so long as (i) no Event of Default shall have occurred and be continuing, (ii) the Borrower has delivered the Agent prior written notice of the Borrower’s intention to apply the Reinvestment Amounts to the costs of replacement of the properties or assets that are the subject of such condemnation, taking or other casualty or the cost of purchase or construction of other assets useful in the business of the Borrower, (iii) the monies are held in a deposit account in which the Agent has a perfected security interest, and (iv) the Borrower completes such replacement, purchase, or construction within 180 days after the initial receipt of such monies, the Borrower shall have the option to apply such monies to the costs of replacement of the assets that are the subject of such condemnation, taking or other casualty or the costs of purchase or construction of other assets useful in the business of the Borrower unless and to the extent that such applicable period shall have expired without such replacement, purchase or construction being made or completed, in which case, any amounts remaining in the cash collateral account shall be paid to the Agent and applied in accordance with Section 2.9(a).</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Debt</w:t>
      </w:r>
      <w:r>
        <w:rPr>
          <w:rFonts w:ascii="Times New Roman" w:cs="Times New Roman" w:eastAsia="Times New Roman" w:hAnsi="Times New Roman"/>
          <w:sz w:val="18"/>
          <w:szCs w:val="18"/>
          <w:color w:val="auto"/>
        </w:rPr>
        <w:t>. Subject to the terms of the Specified Subordination Agreement, on the date of receipt by any Credit Party of any cash proceeds from the incurrence of any Debt of any Credit Party (other than with respect to any Debt permitted to be incurred pursuant to Section 7.1), the Borrower shall prepay the Loans in accordance with Section 2.9(a) in an aggregate amount equal to 100% of such proceeds, net of underwriting discounts and commissions and other reasonable costs and expenses associated therewith, in each case, paid to non-Affiliates, including reasonable legal fees and expenses.</w:t>
      </w:r>
    </w:p>
    <w:p>
      <w:pPr>
        <w:spacing w:after="0" w:line="183"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Notice and Certificate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0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provide written notice to the Agent of the anticipated date of any prepayment of the Loans (which notice is not required to include the amount of such prepayment) pursuant to Sections 2.8(a) through 2.8(c) at least 10 Business Days (or such shorter period as the Borrower and Agent may agree) prior to such prepayment.</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0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any prepayment of the Loans pursuant to Sections 2.8(a) through 2.8(c), the Borrower shall deliver to the Agent a certificate of a Responsible Officer demonstrating the calculation of the amount of the applicable cash proceeds and compensation owing to Lenders under the Fee Letter. In the event that the Borrower shall subsequently determine that the actual amount received exceeded the amount set forth in such certificate, the Borrower shall promptly make an additional prepayment of the Loans, and the Borrower shall concurrently therewith deliver to the Agent a certificate of a Responsible Officer demonstrating the derivation of such excess.</w:t>
      </w:r>
    </w:p>
    <w:p>
      <w:pPr>
        <w:spacing w:after="0" w:line="18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7"/>
          <w:szCs w:val="17"/>
          <w:u w:val="single" w:color="auto"/>
          <w:color w:val="auto"/>
        </w:rPr>
        <w:t>Application of 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8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prepayment of any Term Loan pursuant to Section 2.7 and (ii) except in connection with any Waivable Mandatory Prepayment provided for in Section 2.9(b), so long as no Application Event has occurred and is continuing, any mandatory prepayment of any Loan pursuant to Section 2.8, in each case, shall be applied to ratably prepay the principal of the Term Loan until paid in full.</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201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contained herein to the contrary notwithstanding, in the event the Borrower is required to make any mandatory prepayment (a “</w:t>
      </w:r>
      <w:r>
        <w:rPr>
          <w:rFonts w:ascii="Times New Roman" w:cs="Times New Roman" w:eastAsia="Times New Roman" w:hAnsi="Times New Roman"/>
          <w:sz w:val="18"/>
          <w:szCs w:val="18"/>
          <w:b w:val="1"/>
          <w:bCs w:val="1"/>
          <w:color w:val="auto"/>
        </w:rPr>
        <w:t>Waivable Mandatory Prepayment</w:t>
      </w:r>
      <w:r>
        <w:rPr>
          <w:rFonts w:ascii="Times New Roman" w:cs="Times New Roman" w:eastAsia="Times New Roman" w:hAnsi="Times New Roman"/>
          <w:sz w:val="18"/>
          <w:szCs w:val="18"/>
          <w:color w:val="auto"/>
        </w:rPr>
        <w:t>”) of</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0" w:name="page81"/>
    <w:bookmarkEnd w:id="80"/>
    <w:p>
      <w:pPr>
        <w:jc w:val="both"/>
        <w:spacing w:after="0" w:line="254" w:lineRule="auto"/>
        <w:rPr>
          <w:sz w:val="20"/>
          <w:szCs w:val="20"/>
          <w:color w:val="auto"/>
        </w:rPr>
      </w:pPr>
      <w:r>
        <w:rPr>
          <w:rFonts w:ascii="Times New Roman" w:cs="Times New Roman" w:eastAsia="Times New Roman" w:hAnsi="Times New Roman"/>
          <w:sz w:val="18"/>
          <w:szCs w:val="18"/>
          <w:color w:val="auto"/>
        </w:rPr>
        <w:t>the Term Loans, not less than three Business Days prior to the date (the “</w:t>
      </w:r>
      <w:r>
        <w:rPr>
          <w:rFonts w:ascii="Times New Roman" w:cs="Times New Roman" w:eastAsia="Times New Roman" w:hAnsi="Times New Roman"/>
          <w:sz w:val="18"/>
          <w:szCs w:val="18"/>
          <w:b w:val="1"/>
          <w:bCs w:val="1"/>
          <w:color w:val="auto"/>
        </w:rPr>
        <w:t>Required Prepayment Date</w:t>
      </w:r>
      <w:r>
        <w:rPr>
          <w:rFonts w:ascii="Times New Roman" w:cs="Times New Roman" w:eastAsia="Times New Roman" w:hAnsi="Times New Roman"/>
          <w:sz w:val="18"/>
          <w:szCs w:val="18"/>
          <w:color w:val="auto"/>
        </w:rPr>
        <w:t>”) on which the Borrower is required to make such Waivable Mandatory Prepayment, the Borrower shall notify the Agent in writing of the amount of such prepayment by 2:00 p.m. (New York City time) on such date, and the Agent will promptly thereafter notify each Lender holding an outstanding Term Loan of the amount of such Lender’s Pro Rata Share of such Waivable Mandatory Prepayment and such Lender’s option to decline such amount. Each such Lender may exercise such option by giving written notice to the Borrower and the Agent of its election to do so on or before 2:00 p.m. (New York City time) on the first Business Day prior to the Required Prepayment Date (it being understood that any Lender which does not notify the Borrower and the Agent of its election to exercise such option on or before 2:00 p.m. (New York City time) on the first Business Day prior to the Required Prepayment Date shall be deemed to have elected, as of such date, not to exercise such option). On the Required Prepayment Date, the Borrower shall pay to the Agent the amount of the Waivable Mandatory Prepayment, which amount shall be applied (i) in an amount equal to that portion of the Waivable Mandatory Prepayment payable to those Lenders that have elected not to exercise such option, to prepay the Term Loans of such Lenders (which prepayment shall be applied in accordance with Section 2.9(a)), and (ii) to the extent of any excess, to the Borrower for working capital and general corporate purposes.</w:t>
      </w:r>
    </w:p>
    <w:p>
      <w:pPr>
        <w:spacing w:after="0" w:line="186" w:lineRule="exact"/>
        <w:rPr>
          <w:sz w:val="20"/>
          <w:szCs w:val="20"/>
          <w:color w:val="auto"/>
        </w:rPr>
      </w:pPr>
    </w:p>
    <w:p>
      <w:pPr>
        <w:jc w:val="both"/>
        <w:ind w:firstLine="1304"/>
        <w:spacing w:after="0" w:line="261" w:lineRule="auto"/>
        <w:tabs>
          <w:tab w:leader="none" w:pos="183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 Application Event has occurred and is continuing, all payments shall be applied pursuant to Section 9.2. Nothing contained herein shall modify the provisions of the Fee Letter or Section 9.1(c) regarding the requirement that all prepayments be accompanied by accrued interest and fees and premiums (including the Prepayment Premium) on the principal amount being prepaid to the date of such prepayment, or any requirement otherwise contained herein to pay all other amounts as the same become due and payable.</w:t>
      </w:r>
    </w:p>
    <w:p>
      <w:pPr>
        <w:spacing w:after="0" w:line="18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Use of Proceeds of Loans</w:t>
      </w:r>
      <w:r>
        <w:rPr>
          <w:rFonts w:ascii="Times New Roman" w:cs="Times New Roman" w:eastAsia="Times New Roman" w:hAnsi="Times New Roman"/>
          <w:sz w:val="18"/>
          <w:szCs w:val="18"/>
          <w:color w:val="auto"/>
        </w:rPr>
        <w:t>. The proceeds of the Restatement Date Term Loan made on the Restatement Date shall be used by the Borrower for general working capital purposes of the Borrower and to pay fees and expenses related to this Agreement and the Restatement Date Transactions.</w:t>
      </w:r>
    </w:p>
    <w:p>
      <w:pPr>
        <w:spacing w:after="0" w:line="39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auto"/>
        </w:rPr>
        <w:t>Incremental Facilities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98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2.11(b), the Borrower may by written notice to Agent elect to request the establishment of one or more Incremental Term Loan commitments (the “</w:t>
      </w:r>
      <w:r>
        <w:rPr>
          <w:rFonts w:ascii="Times New Roman" w:cs="Times New Roman" w:eastAsia="Times New Roman" w:hAnsi="Times New Roman"/>
          <w:sz w:val="18"/>
          <w:szCs w:val="18"/>
          <w:b w:val="1"/>
          <w:bCs w:val="1"/>
          <w:color w:val="auto"/>
        </w:rPr>
        <w:t>Incremental Term Loan Commitments</w:t>
      </w:r>
      <w:r>
        <w:rPr>
          <w:rFonts w:ascii="Times New Roman" w:cs="Times New Roman" w:eastAsia="Times New Roman" w:hAnsi="Times New Roman"/>
          <w:sz w:val="18"/>
          <w:szCs w:val="18"/>
          <w:color w:val="auto"/>
        </w:rPr>
        <w:t>”), in an aggregate amount of up to $10,000,000. Each such notice shall specify the date (an “</w:t>
      </w:r>
      <w:r>
        <w:rPr>
          <w:rFonts w:ascii="Times New Roman" w:cs="Times New Roman" w:eastAsia="Times New Roman" w:hAnsi="Times New Roman"/>
          <w:sz w:val="18"/>
          <w:szCs w:val="18"/>
          <w:b w:val="1"/>
          <w:bCs w:val="1"/>
          <w:color w:val="auto"/>
        </w:rPr>
        <w:t>Increased Amount Date</w:t>
      </w:r>
      <w:r>
        <w:rPr>
          <w:rFonts w:ascii="Times New Roman" w:cs="Times New Roman" w:eastAsia="Times New Roman" w:hAnsi="Times New Roman"/>
          <w:sz w:val="18"/>
          <w:szCs w:val="18"/>
          <w:color w:val="auto"/>
        </w:rPr>
        <w:t>”) on which the Borrower proposes that the Incremental Term Loan Commitments shall be effective, which shall be a date not less than 30 days after the date on which such notice is delivered to the Agent. The opportunity to commit to provide all or a portion of the Incremental Term Loan Commitment shall be offered by the Borrower to any Eligible Incremental Lenders. To the extent any Eligible Incremental Lenders have provided a commitment to provide such Incremental Term Loan Commitment, the Borrower shall provide a copy of such commitment letter to the Agent for distribution to the existing Lenders and offer the existing Lenders the opportunity to provide such Incremental Term Loan Commitment on the same terms as set forth in such commitment letter (the date the Agent receives such commitment letter, the “</w:t>
      </w:r>
      <w:r>
        <w:rPr>
          <w:rFonts w:ascii="Times New Roman" w:cs="Times New Roman" w:eastAsia="Times New Roman" w:hAnsi="Times New Roman"/>
          <w:sz w:val="18"/>
          <w:szCs w:val="18"/>
          <w:b w:val="1"/>
          <w:bCs w:val="1"/>
          <w:color w:val="auto"/>
        </w:rPr>
        <w:t>Notice Date</w:t>
      </w:r>
      <w:r>
        <w:rPr>
          <w:rFonts w:ascii="Times New Roman" w:cs="Times New Roman" w:eastAsia="Times New Roman" w:hAnsi="Times New Roman"/>
          <w:sz w:val="18"/>
          <w:szCs w:val="18"/>
          <w:color w:val="auto"/>
        </w:rPr>
        <w:t>”). If the existing Lenders have not agreed in writing to provide such Incremental Term Loan Commitment within 15 days of the Notice Date, then the Eligible Incremental Lenders may provide the Incremental Term Loan Commitment on the terms of such commitment letter and subject to this Section 2.11. Any existing Lender approached to provide all or a portion of such Incremental Term Loan Commitments may elect or decline, in its sole discretion, to provide such Incremental Term Loan Commitment.</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18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Incremental Term Loan Commitments shall become effective, as of such Increased Amount Date, subject to the satisfaction of each of the following conditions: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81" w:name="page82"/>
    <w:bookmarkEnd w:id="81"/>
    <w:p>
      <w:pPr>
        <w:ind w:left="2440" w:hanging="488"/>
        <w:spacing w:after="0"/>
        <w:tabs>
          <w:tab w:leader="none" w:pos="24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64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has obtained the commitment of one or more Incremental Term Loan Lenders to provide the applicable Incremental Term Loan and any such Incremental Term Loan Lenders, the Borrower and the Agent have signed an amendment to this Agreement pursuant to which such Incremental Term Loan Lenders agree to make, subject to the terms of this Agreement, a term loan to the Borrower (an “</w:t>
      </w:r>
      <w:r>
        <w:rPr>
          <w:rFonts w:ascii="Times New Roman" w:cs="Times New Roman" w:eastAsia="Times New Roman" w:hAnsi="Times New Roman"/>
          <w:sz w:val="18"/>
          <w:szCs w:val="18"/>
          <w:b w:val="1"/>
          <w:bCs w:val="1"/>
          <w:color w:val="auto"/>
        </w:rPr>
        <w:t>Incremental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in an amount equal to its Incremental Term Loan Commitment and to otherwise evidence such Incremental Term Loan, in form and substance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satisfactory to the Agent (each, a “</w:t>
      </w:r>
      <w:r>
        <w:rPr>
          <w:rFonts w:ascii="Times New Roman" w:cs="Times New Roman" w:eastAsia="Times New Roman" w:hAnsi="Times New Roman"/>
          <w:sz w:val="18"/>
          <w:szCs w:val="18"/>
          <w:b w:val="1"/>
          <w:bCs w:val="1"/>
          <w:color w:val="auto"/>
        </w:rPr>
        <w:t>Joinder Agreement</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exist on such Increased Amount Date;</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53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Credit Parties contained in this Agreement and the other Loan Documents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such Increased Amount Date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w:t>
      </w:r>
    </w:p>
    <w:p>
      <w:pPr>
        <w:spacing w:after="0" w:line="187" w:lineRule="exact"/>
        <w:rPr>
          <w:rFonts w:ascii="Times New Roman" w:cs="Times New Roman" w:eastAsia="Times New Roman" w:hAnsi="Times New Roman"/>
          <w:sz w:val="18"/>
          <w:szCs w:val="18"/>
          <w:color w:val="auto"/>
        </w:rPr>
      </w:pPr>
    </w:p>
    <w:p>
      <w:pPr>
        <w:jc w:val="both"/>
        <w:ind w:firstLine="1952"/>
        <w:spacing w:after="0" w:line="254" w:lineRule="auto"/>
        <w:tabs>
          <w:tab w:leader="none" w:pos="246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reached agreement with the lenders making the Incremental Term Loan (the “</w:t>
      </w:r>
      <w:r>
        <w:rPr>
          <w:rFonts w:ascii="Times New Roman" w:cs="Times New Roman" w:eastAsia="Times New Roman" w:hAnsi="Times New Roman"/>
          <w:sz w:val="18"/>
          <w:szCs w:val="18"/>
          <w:b w:val="1"/>
          <w:bCs w:val="1"/>
          <w:color w:val="auto"/>
        </w:rPr>
        <w:t>Incremental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 Lenders</w:t>
      </w:r>
      <w:r>
        <w:rPr>
          <w:rFonts w:ascii="Times New Roman" w:cs="Times New Roman" w:eastAsia="Times New Roman" w:hAnsi="Times New Roman"/>
          <w:sz w:val="18"/>
          <w:szCs w:val="18"/>
          <w:color w:val="auto"/>
        </w:rPr>
        <w:t>”) with respect to the interest margins applicable to such Incremental Term Loan (which interest margins may be higher than, equal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lower than the interest margins applicable to the Term Loan set forth in this Agreement immediately prior to the date of the making of such Incremental Term Loan, as applicable) and shall have communicated the amount of such interest margins to the Agent. Anything to the contrary contained herein notwithstanding, if the all in yield (including interest margins, interest floors, original issue discount, closing fees or other similar yield related discounts based on an assumed four-year to life maturity, but excluding any arrangement, underwriting or similar fees that are not shared with all of the Lenders or prospective lenders) (the “</w:t>
      </w:r>
      <w:r>
        <w:rPr>
          <w:rFonts w:ascii="Times New Roman" w:cs="Times New Roman" w:eastAsia="Times New Roman" w:hAnsi="Times New Roman"/>
          <w:sz w:val="18"/>
          <w:szCs w:val="18"/>
          <w:b w:val="1"/>
          <w:bCs w:val="1"/>
          <w:color w:val="auto"/>
        </w:rPr>
        <w:t>All In Yield</w:t>
      </w:r>
      <w:r>
        <w:rPr>
          <w:rFonts w:ascii="Times New Roman" w:cs="Times New Roman" w:eastAsia="Times New Roman" w:hAnsi="Times New Roman"/>
          <w:sz w:val="18"/>
          <w:szCs w:val="18"/>
          <w:color w:val="auto"/>
        </w:rPr>
        <w:t>”) that is to be applicable to such Incremental Term Loan is 50 basis points or more higher than the All In Yield applicable to the Term Loans hereunder immediately prior to the applicable Increased Amount Date (the amount by which the interest margins are higher, the “</w:t>
      </w:r>
      <w:r>
        <w:rPr>
          <w:rFonts w:ascii="Times New Roman" w:cs="Times New Roman" w:eastAsia="Times New Roman" w:hAnsi="Times New Roman"/>
          <w:sz w:val="18"/>
          <w:szCs w:val="18"/>
          <w:u w:val="single" w:color="auto"/>
          <w:color w:val="auto"/>
        </w:rPr>
        <w:t>Excess</w:t>
      </w:r>
      <w:r>
        <w:rPr>
          <w:rFonts w:ascii="Times New Roman" w:cs="Times New Roman" w:eastAsia="Times New Roman" w:hAnsi="Times New Roman"/>
          <w:sz w:val="18"/>
          <w:szCs w:val="18"/>
          <w:color w:val="auto"/>
        </w:rPr>
        <w:t>”), then the All In Yield applicable to each applicable Class of Term Loans immediately prior to the Increased Amount Date shall be increased by the amount of the Excess minus 50 basis points, effective on the applicable Increased Amount Date, and without the necessity of any action by any party hereto.</w:t>
      </w:r>
    </w:p>
    <w:p>
      <w:pPr>
        <w:spacing w:after="0" w:line="186"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Incremental Term Loan Lender shall make an Incremental Term Loan subject to the satisfaction of each of the following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w:t>
      </w:r>
    </w:p>
    <w:p>
      <w:pPr>
        <w:spacing w:after="0" w:line="206"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conditions set forth in Section 4.2 shall have been satisfied on the applicable Credit Date; and</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60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Incremental Term Loan shall be in an aggregate amount of at least $5,000,000 and integral multiples of $1,000,000 above such amount (except, in each case, such</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2" w:name="page83"/>
    <w:bookmarkEnd w:id="82"/>
    <w:p>
      <w:pPr>
        <w:spacing w:after="0" w:line="282" w:lineRule="auto"/>
        <w:rPr>
          <w:sz w:val="20"/>
          <w:szCs w:val="20"/>
          <w:color w:val="auto"/>
        </w:rPr>
      </w:pPr>
      <w:r>
        <w:rPr>
          <w:rFonts w:ascii="Times New Roman" w:cs="Times New Roman" w:eastAsia="Times New Roman" w:hAnsi="Times New Roman"/>
          <w:sz w:val="18"/>
          <w:szCs w:val="18"/>
          <w:color w:val="auto"/>
        </w:rPr>
        <w:t>minimum amount and integral multiples amount shall not apply when the Borrower uses all of the Incremental Term Loan Commitments available at such time).</w:t>
      </w:r>
    </w:p>
    <w:p>
      <w:pPr>
        <w:spacing w:after="0" w:line="162" w:lineRule="exact"/>
        <w:rPr>
          <w:sz w:val="20"/>
          <w:szCs w:val="20"/>
          <w:color w:val="auto"/>
        </w:rPr>
      </w:pPr>
    </w:p>
    <w:p>
      <w:pPr>
        <w:jc w:val="both"/>
        <w:ind w:firstLine="1304"/>
        <w:spacing w:after="0" w:line="261" w:lineRule="auto"/>
        <w:tabs>
          <w:tab w:leader="none" w:pos="188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Increased Amount Date on which any Incremental Term Loan Commitments of any tranche are effective, subject to the satisfaction of the foregoing terms and conditions, each Incremental Term Loan Lender shall become a Lender hereunder with respect to the Incremental Term Loan Commitment and the Incremental Term Loans made pursuant thereto. Any Incremental Term Loans made on an Increased Amount Date shall be designated a separate Class for all purposes of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4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terms and provisions of the Incremental Term Loans and Incremental Term Loan Commitments shall be, except as otherwise set forth herein or in a Joinder Agreement, identical to the Term Loan immediately prior to the making of such Incremental Term Loan. Each such Joinder Agreement may, without the consent of any other Lenders, effect such amendments to this Agreement and the other Loan Documents as may be necessary or appropriate, in the reasonable opinion of Agent, to effect the provision of this Section 2.11. All Incremental Term Loans shall be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Term Loans, shall not be secured by a Lien on any assets of the Borrower or any Guarantor not constituting Collateral and shall not be guaranteed by any person other than the Guarantors.</w:t>
      </w:r>
    </w:p>
    <w:p>
      <w:pPr>
        <w:spacing w:after="0" w:line="18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u w:val="single" w:color="auto"/>
          <w:color w:val="auto"/>
        </w:rPr>
        <w:t>SOFR Option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72" w:lineRule="auto"/>
        <w:tabs>
          <w:tab w:leader="none" w:pos="1856"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may, at any time and from time to time, so long as no Default or Event of Default has occurred and is continuing, elect to have interest on all or a portion of the Loans be charged at a rate of interest based upon Adjusted Term SOFR (the “</w:t>
      </w:r>
      <w:r>
        <w:rPr>
          <w:rFonts w:ascii="Times New Roman" w:cs="Times New Roman" w:eastAsia="Times New Roman" w:hAnsi="Times New Roman"/>
          <w:sz w:val="17"/>
          <w:szCs w:val="17"/>
          <w:u w:val="single" w:color="auto"/>
          <w:color w:val="auto"/>
        </w:rPr>
        <w:t>SOFR Option</w:t>
      </w:r>
      <w:r>
        <w:rPr>
          <w:rFonts w:ascii="Times New Roman" w:cs="Times New Roman" w:eastAsia="Times New Roman" w:hAnsi="Times New Roman"/>
          <w:sz w:val="17"/>
          <w:szCs w:val="17"/>
          <w:color w:val="auto"/>
        </w:rPr>
        <w:t>”) by notifying the Agent prior to 11:00 a.m. (New York City time) at least three Business Days prior to (i) the proposed borrowing date of a Loan (as provided in Section 2.3),</w:t>
      </w:r>
    </w:p>
    <w:p>
      <w:pPr>
        <w:spacing w:after="0" w:line="1" w:lineRule="exact"/>
        <w:rPr>
          <w:rFonts w:ascii="Times New Roman" w:cs="Times New Roman" w:eastAsia="Times New Roman" w:hAnsi="Times New Roman"/>
          <w:sz w:val="17"/>
          <w:szCs w:val="17"/>
          <w:color w:val="auto"/>
        </w:rPr>
      </w:pPr>
    </w:p>
    <w:p>
      <w:pPr>
        <w:jc w:val="both"/>
        <w:ind w:firstLine="8"/>
        <w:spacing w:after="0" w:line="251" w:lineRule="auto"/>
        <w:tabs>
          <w:tab w:leader="none" w:pos="27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conversion of a Reference Rate Loan to a SOFR Loan, the commencement of the proposed Interest Period or (iii) in the case of the continuation of a SOFR Loan as a SOFR Loan, the last day of the then current Interest Period (the “</w:t>
      </w:r>
      <w:r>
        <w:rPr>
          <w:rFonts w:ascii="Times New Roman" w:cs="Times New Roman" w:eastAsia="Times New Roman" w:hAnsi="Times New Roman"/>
          <w:sz w:val="18"/>
          <w:szCs w:val="18"/>
          <w:u w:val="single" w:color="auto"/>
          <w:color w:val="auto"/>
        </w:rPr>
        <w:t>SOFR Deadline</w:t>
      </w:r>
      <w:r>
        <w:rPr>
          <w:rFonts w:ascii="Times New Roman" w:cs="Times New Roman" w:eastAsia="Times New Roman" w:hAnsi="Times New Roman"/>
          <w:sz w:val="18"/>
          <w:szCs w:val="18"/>
          <w:color w:val="auto"/>
        </w:rPr>
        <w:t>”). Notice of the Borrower’s election of the SOFR Option for a permitted portion of the Loans and an Interest Period pursuant to this Section 2.12(a) shall be made by delivery to the Agent of (A) a Request for Loan (in the case of the initial making of a Loan) in accordance with Section 2.3 or (B) a SOFR Notice prior to the SOFR Deadline. Promptly upon its receipt of each such SOFR Notice, the Agent shall provide a copy thereof to each of the Lenders. Each SOFR Notice shall be irrevocable and binding on the Borrower. For the avoidance of doubt, (i) the first Interest Period for the Term Loans shall commence on the Restatement Date and end on the last Business Day of the Fiscal Quarter in which the Restatement Date occurs (such Interest Period, the “</w:t>
      </w:r>
      <w:r>
        <w:rPr>
          <w:rFonts w:ascii="Times New Roman" w:cs="Times New Roman" w:eastAsia="Times New Roman" w:hAnsi="Times New Roman"/>
          <w:sz w:val="18"/>
          <w:szCs w:val="18"/>
          <w:u w:val="single" w:color="auto"/>
          <w:color w:val="auto"/>
        </w:rPr>
        <w:t>Stub Period</w:t>
      </w:r>
      <w:r>
        <w:rPr>
          <w:rFonts w:ascii="Times New Roman" w:cs="Times New Roman" w:eastAsia="Times New Roman" w:hAnsi="Times New Roman"/>
          <w:sz w:val="18"/>
          <w:szCs w:val="18"/>
          <w:color w:val="auto"/>
        </w:rPr>
        <w:t>”) and (ii) interest that accrues during the Stub Period shall be due and payable on the Interest Payment Date for the immediately succeeding Interest Period after the Stub Period.</w:t>
      </w:r>
    </w:p>
    <w:p>
      <w:pPr>
        <w:spacing w:after="0" w:line="200" w:lineRule="exact"/>
        <w:rPr>
          <w:rFonts w:ascii="Times New Roman" w:cs="Times New Roman" w:eastAsia="Times New Roman" w:hAnsi="Times New Roman"/>
          <w:sz w:val="18"/>
          <w:szCs w:val="18"/>
          <w:color w:val="auto"/>
        </w:rPr>
      </w:pPr>
    </w:p>
    <w:p>
      <w:pPr>
        <w:spacing w:after="0" w:line="20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9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SOFR Loans shall be payable in accordance with Section 2.6(a). On the last day of each applicable Interest Period, unless the Borrower properly have exercised the SOFR Option with respect thereto, the interest rate applicable to such SOFR Loans automatically shall convert to the rate of interest then applicable to Reference Rate Loans of the same type hereunder. At any time that a Default or an Event of Default has occurred and is continuing, the Borrower no longer shall have the option to request that any portion of the Loans bear interest at Adjusted Term SOFR and the Agent shall have the right to convert the interest rate on all outstanding SOFR Loans to the rate of interest then applicable to Reference Rate Loans of the same type hereunder on the last day of the then current Interest Period.</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186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the Borrower (i) shall have not more than five (5) SOFR Loans in effect at any given time, and (ii) only may</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exercise the SOFR Option for SOFR Loans of at least $500,000 and integral multiples of $100,000 in excess thereof.</w:t>
      </w:r>
    </w:p>
    <w:p>
      <w:pPr>
        <w:spacing w:after="0" w:line="225" w:lineRule="exact"/>
        <w:rPr>
          <w:sz w:val="20"/>
          <w:szCs w:val="20"/>
          <w:color w:val="auto"/>
        </w:rPr>
      </w:pPr>
    </w:p>
    <w:p>
      <w:pPr>
        <w:jc w:val="both"/>
        <w:ind w:firstLine="1304"/>
        <w:spacing w:after="0" w:line="258" w:lineRule="auto"/>
        <w:tabs>
          <w:tab w:leader="none" w:pos="189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prepay SOFR Loans at any time; provided, however, that in the event that SOFR Loans are prepaid on any date that is not the last day of the Interest Period applicable thereto, including as a result of any mandatory prepayment pursuant to Section 2.8 or any application of payments or proceeds of Collateral in accordance with Section 9.2 or for any other reason, including early termination of the term of this Agreement or acceleration of all or any portion of the Indebtedness pursuant to the terms hereof, the Borrower shall indemnify, defend and hold the Agent and the Lenders and their participants harmless against any and all Funding Losses (as defined below) in accordance with Section 2.13.</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1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use or administration of Term SOFR,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Agent will promptly notify the Borrower and the Lenders of the effectiveness of any Conforming Changes in connection with the use or administration of Term SOFR. Anything to the contrary contained herein notwithstanding, neither Agent, nor any Lender, nor any of their participants, is required actually to match fund any Obligation as to which interest accrues at Adjusted Term SOFR or the Term SOFR Reference Rate.</w:t>
      </w:r>
    </w:p>
    <w:p>
      <w:pPr>
        <w:spacing w:after="0" w:line="187"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(g) below, if on or prior to the first day of any Interest Period for any SOFR Loan,</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461"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determines (which determination shall be conclusive and binding absent manifest error) that “Adjusted Term SOFR” cannot be determined pursuant to the definition thereof, or</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3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making and maintaining such Loan, and the Majority Lenders have provided notice of such determination to the Agent,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the Agent shall give written notice to the Borrower and to the Lenders as soon as practicable thereafter.</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notice thereof by the Agent to the Borrower, any obligation of the Lenders to make SOFR Loans, and any right of the Borrower to continue SOFR Loans or to convert Reference Rate Loans to SOFR Loans, shall be suspended (to the extent of the affected SOFR Loans or affected Interest Periods) until the Agent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Reference Rate Loans in the amount specified therein and (ii) any outstanding affected SOFR Loans will be deemed to have been converted into Reference Rate Loans at the end of the applicable Interest Period. Upon any such conversion, the Borrower shall also pay accrued interest on the amount so converted, together with any additional amounts required pursuant to Section 2.13. Subject to Section 2.12(g), if the Agent determines (which determination shall be conclusive and binding absent manifest error) that “Adjusted Term SOFR” cannot be determined pursuant to the definition thereof on any given day, the interest rate on Reference Rate</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Loans shall be determined by the Agent without reference to clause (c) of the definition of “Reference Rate” until the Agent revokes such determination.</w:t>
      </w:r>
    </w:p>
    <w:p>
      <w:pPr>
        <w:spacing w:after="0" w:line="225" w:lineRule="exact"/>
        <w:rPr>
          <w:sz w:val="20"/>
          <w:szCs w:val="20"/>
          <w:color w:val="auto"/>
        </w:rPr>
      </w:pPr>
    </w:p>
    <w:p>
      <w:pPr>
        <w:ind w:left="1820" w:hanging="516"/>
        <w:spacing w:after="0"/>
        <w:tabs>
          <w:tab w:leader="none" w:pos="18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51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upon the occurrence of a Benchmark Transition Event, the Agent and the Borrower may amend this Agreement to replace the then-current Benchmark with a Benchmark Replacement. Any such amendment with respect to a Benchmark Transition Event will become effective at 5:00 p.m. (New York City time) on the fifth (5th) Business Day after the Agent has posted such proposed amendment to all affected Lenders and the Borrower so long as the Agent has not received, by such time, written notice of objection to such amendment from Lenders comprising the Majority Lenders. No replacement of a Benchmark with a Benchmark Replacement pursuant to this Section 2.12(g)(i) will occur prior to the applicable Benchmark Transition Start Date. No swap agreement shall be deemed to be a “Loan Document” for purposes of this Section 2.12(g).</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8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use, administration, adoption or implementation of a Benchmark Replacement,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4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will promptly notify the Borrower and the Lenders of (A) the implementation of any Benchmark Replacement and (B) the effectiveness of any Conforming Changes in connection with the use, administration, adoption or implementation of a Benchmark Replacement. The Agent will notify the Borrower of (1) the removal or reinstatement of any tenor of a Benchmark pursuant to Section 2.12(g)(iv) and (2) the commencement of any Benchmark Unavailability Period. Any determination, decision or election that may be made by the Agent or, if applicable, any Lender (or group of Lenders) pursuant to this Section 2.12(g),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2.12(g).</w:t>
      </w:r>
    </w:p>
    <w:p>
      <w:pPr>
        <w:spacing w:after="0" w:line="19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59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Agent in its reasonable discretion or (2) the regulatory supervisor for the administrator of such Benchmark has provided a public statement or publication of information announcing that any tenor for such Benchmark is not or will not be representative, then the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Agent may modify the definition of “Interest Period” (or any similar or analogous definition) for all Benchmark settings at or after such time to reinstate such previously removed tenor.</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5" w:name="page86"/>
    <w:bookmarkEnd w:id="85"/>
    <w:p>
      <w:pPr>
        <w:jc w:val="both"/>
        <w:ind w:firstLine="1952"/>
        <w:spacing w:after="0" w:line="256" w:lineRule="auto"/>
        <w:tabs>
          <w:tab w:leader="none" w:pos="252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Reference Rate Loans. During a Benchmark Unavailability Period or at any time that a tenor for the then-current Benchmark is not an Available Tenor, the component of Reference Rate based upon the then-current Benchmark or such tenor for such Benchmark, as applicable, will not be used in any determination of Reference Rate.</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Funding Losses</w:t>
      </w:r>
      <w:r>
        <w:rPr>
          <w:rFonts w:ascii="Times New Roman" w:cs="Times New Roman" w:eastAsia="Times New Roman" w:hAnsi="Times New Roman"/>
          <w:sz w:val="18"/>
          <w:szCs w:val="18"/>
          <w:color w:val="auto"/>
        </w:rPr>
        <w:t>. In the event of (a) the payment of any principal of any SOFR Loan other than on the last day of the Interest Period applicable thereto (including as a result of a Default or an Event of Default or any mandatory prepayment required pursuant to Section 2.8), (b) the conversion of any SOFR Loan other than on the last day of the Interest Period applicable thereto (including as a result of a Default or an Event of Default),</w:t>
      </w:r>
    </w:p>
    <w:p>
      <w:pPr>
        <w:spacing w:after="0" w:line="1" w:lineRule="exact"/>
        <w:rPr>
          <w:sz w:val="20"/>
          <w:szCs w:val="20"/>
          <w:color w:val="auto"/>
        </w:rPr>
      </w:pPr>
    </w:p>
    <w:p>
      <w:pPr>
        <w:jc w:val="both"/>
        <w:ind w:firstLine="8"/>
        <w:spacing w:after="0" w:line="252" w:lineRule="auto"/>
        <w:tabs>
          <w:tab w:leader="none" w:pos="2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borrow, convert, continue or prepay any SOFR Loan on the date specified in any notice delivered pursuant hereto, or (d) the assignment of any SOFR Loan other than on the last day of the Interest Period applicable thereto as a result of a request by the Borrower or the Agent pursuant to Section 12.11, then, in any such event, the Borrower shall compensate each Lender for any loss, cost and expense (“</w:t>
      </w:r>
      <w:r>
        <w:rPr>
          <w:rFonts w:ascii="Times New Roman" w:cs="Times New Roman" w:eastAsia="Times New Roman" w:hAnsi="Times New Roman"/>
          <w:sz w:val="18"/>
          <w:szCs w:val="18"/>
          <w:u w:val="single" w:color="auto"/>
          <w:color w:val="auto"/>
        </w:rPr>
        <w:t>Funding Losses</w:t>
      </w:r>
      <w:r>
        <w:rPr>
          <w:rFonts w:ascii="Times New Roman" w:cs="Times New Roman" w:eastAsia="Times New Roman" w:hAnsi="Times New Roman"/>
          <w:sz w:val="18"/>
          <w:szCs w:val="18"/>
          <w:color w:val="auto"/>
        </w:rPr>
        <w:t>”) attributable to such event, including any loss, cost or expense arising from the liquidation or redeployment of funds or from any fees payable. A certificate of any Lender setting forth any amount or amounts that such Lender is entitled to receive pursuant to this Section 2.13 shall be delivered to the Borrower and shall be conclusive absent manifest error. The Borrower shall pay such Lender the amount shown as due on any such certificate upon demand after receipt thereof.</w:t>
      </w:r>
    </w:p>
    <w:p>
      <w:pPr>
        <w:spacing w:after="0" w:line="19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u w:val="single" w:color="auto"/>
          <w:color w:val="auto"/>
        </w:rPr>
        <w:t>Impracticability or Illegality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820" w:hanging="516"/>
        <w:spacing w:after="0"/>
        <w:tabs>
          <w:tab w:leader="none" w:pos="18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0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determines that any Requirement of Law has made it unlawful, or that any Governmental Authority has asserted that it is unlawful, for any Lender or its applicable lending office to make, maintain or fund Loans whose interest is determined by reference to SOFR, the Term SOFR Reference Rate, Adjusted Term SOFR or Term SOFR, or to determine or charge interest based upon SOFR, the Term SOFR Reference Rate, Adjusted Term SOFR or Term SOFR, then, upon notice thereof by such Lender to the Borrower (through the Agent) (an “</w:t>
      </w:r>
      <w:r>
        <w:rPr>
          <w:rFonts w:ascii="Times New Roman" w:cs="Times New Roman" w:eastAsia="Times New Roman" w:hAnsi="Times New Roman"/>
          <w:sz w:val="18"/>
          <w:szCs w:val="18"/>
          <w:u w:val="single" w:color="auto"/>
          <w:color w:val="auto"/>
        </w:rPr>
        <w:t>Illegality Notice</w:t>
      </w:r>
      <w:r>
        <w:rPr>
          <w:rFonts w:ascii="Times New Roman" w:cs="Times New Roman" w:eastAsia="Times New Roman" w:hAnsi="Times New Roman"/>
          <w:sz w:val="18"/>
          <w:szCs w:val="18"/>
          <w:color w:val="auto"/>
        </w:rPr>
        <w:t>”), (i) any obligation of the Lenders to make SOFR Loans, and any right of the Borrower to continue SOFR Loans or to convert Reference Rate Loans to SOFR Loans, shall be suspended, and (ii) the interest rate on which Reference Rate Loans shall, if necessary to avoid such illegality, be determined by the Agent without reference to clause (c) of the definition of “Reference Rate”, in each case until each affected Lender notifies the Agent and the Borrower that the circumstances giving rise to such determination no longer exist. Upon receipt of an Illegality Notice, the Borrower shall, if necessary to avoid such illegality, upon demand from any Lender (with a copy to the Agent), prepay or, if applicable, convert all SOFR Loans to Reference Rate Loans (the interest rate on which Reference Rate Loans shall, if necessary to avoid such illegality, be determined by the Agent without reference to clause (c) of the definition of “Reference Rate”), on the last day of the Interest Period therefor, if all affected Lenders may lawfully continue to maintain such SOFR Loans to such day, or immediately, if any Lender may not lawfully continue to maintain such SOFR Loans to such day, in each case until the Agent is advised in writing by each affected Lender that it is no longer illegal for such Lender to determine or charge interest rates based upon SOFR, the Term SOFR Reference Rate, Adjusted Term SOFR or Term SOFR. Upon any such prepayment or conversion, the Borrower shall also pay accrued interest on the amount so prepaid or converted, together with any additional amounts required pursuant to Section 2.13.</w:t>
      </w: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6" w:name="page87"/>
    <w:bookmarkEnd w:id="86"/>
    <w:p>
      <w:pPr>
        <w:ind w:firstLine="1304"/>
        <w:spacing w:after="0" w:line="282" w:lineRule="auto"/>
        <w:tabs>
          <w:tab w:leader="none" w:pos="186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Credit Parties under this Section 2.14 shall survive the termination of this Agreement and the payment of the Loans and all other amounts payable hereunder.</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[INTENTIONALLY OMITTED].</w:t>
      </w:r>
    </w:p>
    <w:p>
      <w:pPr>
        <w:spacing w:after="0" w:line="2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The effectiveness of this Agreement and the obligations of the Lenders to make the Restatement Date Term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pursuant to this Agreement on the Restatement Date are subject to the following conditions:</w:t>
      </w:r>
    </w:p>
    <w:p>
      <w:pPr>
        <w:spacing w:after="0" w:line="207" w:lineRule="exact"/>
        <w:rPr>
          <w:sz w:val="20"/>
          <w:szCs w:val="20"/>
          <w:color w:val="auto"/>
        </w:rPr>
      </w:pPr>
    </w:p>
    <w:p>
      <w:pPr>
        <w:jc w:val="both"/>
        <w:ind w:firstLine="1304"/>
        <w:spacing w:after="0" w:line="258" w:lineRule="auto"/>
        <w:tabs>
          <w:tab w:leader="none" w:pos="193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Notes, this Agreement and the other Loan Documents</w:t>
      </w:r>
      <w:r>
        <w:rPr>
          <w:rFonts w:ascii="Times New Roman" w:cs="Times New Roman" w:eastAsia="Times New Roman" w:hAnsi="Times New Roman"/>
          <w:sz w:val="18"/>
          <w:szCs w:val="18"/>
          <w:color w:val="auto"/>
        </w:rPr>
        <w:t>. The Borrower shall have executed and delivered to the Agent for the account of each Lender requesting Notes, the Notes; the Borrower, the Agent, and each Lender shall have executed and delivered this Agreement; and the Borrower and each Guarantor shall have executed and delivered the other Loan Documents to which the Borrower or such Guarantor is required to be a party (including all schedules and other documents to be delivered pursuant hereto); and such Notes (if any), this Agreement and the other Loan Documents shall be in full force and effect in accordance with the terms of the Disbursement Letter.</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99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Authority</w:t>
      </w:r>
      <w:r>
        <w:rPr>
          <w:rFonts w:ascii="Times New Roman" w:cs="Times New Roman" w:eastAsia="Times New Roman" w:hAnsi="Times New Roman"/>
          <w:sz w:val="18"/>
          <w:szCs w:val="18"/>
          <w:color w:val="auto"/>
        </w:rPr>
        <w:t>. The Agent shall have received, from the Borrower and each Guarantor, a certificate of its Secretary, Assistant Secretary or Chief Operating Officer, dated as of the Restatement Date, as to:</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01"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resolutions (or the equivalent) of the Borrower and each Guarantor authorizing the transactions contemplated by this Agreement and the other Loan Documents, approving this Agreement and the other Loan Documents, in each case to which the Borrower and each such Guarantor is party, and authorizing the execution and delivery of this Agreement and the other Loan Documents, and in the case of the Borrower, authorizing the execution and delivery of requests for Loans hereunder,</w:t>
      </w:r>
    </w:p>
    <w:p>
      <w:pPr>
        <w:spacing w:after="0" w:line="179" w:lineRule="exact"/>
        <w:rPr>
          <w:rFonts w:ascii="Times New Roman" w:cs="Times New Roman" w:eastAsia="Times New Roman" w:hAnsi="Times New Roman"/>
          <w:sz w:val="18"/>
          <w:szCs w:val="18"/>
          <w:color w:val="auto"/>
        </w:rPr>
      </w:pPr>
    </w:p>
    <w:p>
      <w:pPr>
        <w:ind w:right="20" w:firstLine="1952"/>
        <w:spacing w:after="0" w:line="282" w:lineRule="auto"/>
        <w:tabs>
          <w:tab w:leader="none" w:pos="251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incumbency and signature of the officers or other authorized persons of the Borrower and each Guarantor executing any Loan Document and in the case of the Borrower, the officers who are authorized to execute any Requests for Loan,</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8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or continued existence (or the equivalent thereof) from the state of its incorporation or formation, and from every state or other jurisdiction where the Borrower and each Guarantor is qualified to do business (but only to the extent the failure to be so qualified could reasonably be expected to result in a Material Adverse Effect), which jurisdictions are listed on Schedule 4.1(b) attached hereto, and</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6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such articles of incorporation and bylaws or other constitutional documents of the Borrower and each Guarantor, as in effect on the Restatement Date.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6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Documents, Guaranties and other Loan Documents.</w:t>
      </w:r>
      <w:r>
        <w:rPr>
          <w:rFonts w:ascii="Times New Roman" w:cs="Times New Roman" w:eastAsia="Times New Roman" w:hAnsi="Times New Roman"/>
          <w:sz w:val="18"/>
          <w:szCs w:val="18"/>
          <w:color w:val="auto"/>
        </w:rPr>
        <w:t xml:space="preserve"> The Agent shall have received the following documents, each in form and substance satisfactory to the Agent and fully executed by each party thereto:</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5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Collateral Documents, each in form and substance acceptable to the Agent and fully executed by each party thereto and dated as of the Restatement Date: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7" w:name="page88"/>
    <w:bookmarkEnd w:id="87"/>
    <w:p>
      <w:pPr>
        <w:ind w:left="3160" w:hanging="560"/>
        <w:spacing w:after="0"/>
        <w:tabs>
          <w:tab w:leader="none" w:pos="316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Reaffirmation Agreement, executed and delivered by the Borrower and each Guarantor;</w:t>
      </w:r>
    </w:p>
    <w:p>
      <w:pPr>
        <w:spacing w:after="0" w:line="225" w:lineRule="exact"/>
        <w:rPr>
          <w:rFonts w:ascii="Times New Roman" w:cs="Times New Roman" w:eastAsia="Times New Roman" w:hAnsi="Times New Roman"/>
          <w:sz w:val="18"/>
          <w:szCs w:val="18"/>
          <w:color w:val="auto"/>
        </w:rPr>
      </w:pPr>
    </w:p>
    <w:p>
      <w:pPr>
        <w:ind w:left="3160" w:hanging="560"/>
        <w:spacing w:after="0"/>
        <w:tabs>
          <w:tab w:leader="none" w:pos="316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Perfection Certificate, duly executed by the Borrower;</w:t>
      </w:r>
    </w:p>
    <w:p>
      <w:pPr>
        <w:spacing w:after="0" w:line="225" w:lineRule="exact"/>
        <w:rPr>
          <w:rFonts w:ascii="Times New Roman" w:cs="Times New Roman" w:eastAsia="Times New Roman" w:hAnsi="Times New Roman"/>
          <w:sz w:val="18"/>
          <w:szCs w:val="18"/>
          <w:color w:val="auto"/>
        </w:rPr>
      </w:pPr>
    </w:p>
    <w:p>
      <w:pPr>
        <w:ind w:left="3160" w:hanging="560"/>
        <w:spacing w:after="0"/>
        <w:tabs>
          <w:tab w:leader="none" w:pos="316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Agreement;</w:t>
      </w:r>
    </w:p>
    <w:p>
      <w:pPr>
        <w:spacing w:after="0" w:line="225" w:lineRule="exact"/>
        <w:rPr>
          <w:rFonts w:ascii="Times New Roman" w:cs="Times New Roman" w:eastAsia="Times New Roman" w:hAnsi="Times New Roman"/>
          <w:sz w:val="18"/>
          <w:szCs w:val="18"/>
          <w:color w:val="auto"/>
        </w:rPr>
      </w:pPr>
    </w:p>
    <w:p>
      <w:pPr>
        <w:ind w:left="3160" w:hanging="560"/>
        <w:spacing w:after="0"/>
        <w:tabs>
          <w:tab w:leader="none" w:pos="316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Business Interruption Insurance Policy; and</w:t>
      </w:r>
    </w:p>
    <w:p>
      <w:pPr>
        <w:spacing w:after="0" w:line="225" w:lineRule="exact"/>
        <w:rPr>
          <w:rFonts w:ascii="Times New Roman" w:cs="Times New Roman" w:eastAsia="Times New Roman" w:hAnsi="Times New Roman"/>
          <w:sz w:val="18"/>
          <w:szCs w:val="18"/>
          <w:color w:val="auto"/>
        </w:rPr>
      </w:pPr>
    </w:p>
    <w:p>
      <w:pPr>
        <w:ind w:right="20" w:firstLine="2600"/>
        <w:spacing w:after="0" w:line="282" w:lineRule="auto"/>
        <w:tabs>
          <w:tab w:leader="none" w:pos="3303"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Irish law deed of confirmation in respect of the amended and restated Irish law share charge dated 23 November 2021 between the Borrower and the Agent (the “</w:t>
      </w:r>
      <w:r>
        <w:rPr>
          <w:rFonts w:ascii="Times New Roman" w:cs="Times New Roman" w:eastAsia="Times New Roman" w:hAnsi="Times New Roman"/>
          <w:sz w:val="18"/>
          <w:szCs w:val="18"/>
          <w:b w:val="1"/>
          <w:bCs w:val="1"/>
          <w:color w:val="auto"/>
        </w:rPr>
        <w:t>Irish Deed of Confirmation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Letter, executed and delivered by the Agent and the Borrower and dated as of the Restatement Date;</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55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copies of uniform commercial code requests for information, or a similar search report certified by a party acceptable to the Agent, dated a date reasonably prior to the Restatement Date, listing all effective financing statements in the jurisdiction noted on Schedule 4.1(c)(iii) which name the Borrower or any Guarantor (under their present names or under any previous names used within five (5) years prior to the Restatement Date) as debtors, together with (x) copies of such financing statements, and (y) authorized Uniform Commercial Code (Form UCC-3) termination statements, if any, necessary to release all Liens and other rights of any Person in any Collateral described in the Collateral Documents previously granted by any Person (other than Liens permitted by Section 7.2 of this Agreement) and (B) intellectual property search reports results from the United States Patent and Trademark Office and the United States Copyright Office for the Borrower and each Guarantor dated a date reasonably prior to the Restatement Date.</w:t>
      </w:r>
    </w:p>
    <w:p>
      <w:pPr>
        <w:spacing w:after="0" w:line="19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82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(including, without limitation, financing statements, amendments to financing statements and assignments of financing statements, stock powers executed in blank and any endorsements) requested by the Agent and reasonably required to be provided in connection with the Collateral Documents to create, in favor of the Agent (for and on behalf of the Lenders), a perfected security interest in the Collateral thereunder shall have been filed, registered or recorded, or shall have been delivered to the Agent in proper form for filing, registration or recordation.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6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Agent shall have received evidence reasonably satisfactory to it that the Borrower and Guarantors have obtained the insurance policies required by Section 6.5 hereof and that such insurance policies are in full force and effect (subject to Section 4.3 with respect to required endorsements).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1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Schedules and Exhibits</w:t>
      </w:r>
      <w:r>
        <w:rPr>
          <w:rFonts w:ascii="Times New Roman" w:cs="Times New Roman" w:eastAsia="Times New Roman" w:hAnsi="Times New Roman"/>
          <w:sz w:val="18"/>
          <w:szCs w:val="18"/>
          <w:color w:val="auto"/>
        </w:rPr>
        <w:t>. The Agent shall have received (i) schedules to this Agreement, the Perfection Certificate, and the Security Agreement and (ii) exhibits to this Agreement and the Security Agreement, in each case of the foregoing clauses (i) and (ii), in form and substance reasonably satisfactory to the Agent (it being acknowledged that the form of the schedules to this Agreement and the Perfection Certificate as agreed between the Agent and the Borrower as of the date of the Exchange Agreement are satisfactory to the Agent).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Opinions of Counsel</w:t>
      </w:r>
      <w:r>
        <w:rPr>
          <w:rFonts w:ascii="Times New Roman" w:cs="Times New Roman" w:eastAsia="Times New Roman" w:hAnsi="Times New Roman"/>
          <w:sz w:val="18"/>
          <w:szCs w:val="18"/>
          <w:color w:val="auto"/>
        </w:rPr>
        <w:t>. The Borrower and Guarantors shall have furnished to the Agent and the Lenders customary opinions of counsel to the Borrower and Guarantors, in each case dated the Restatement Date and covering such matters as reasonably required by and otherwise reasonably satisfactory in form and substance to the Agent and each of the Lenders. The Agent and the Lenders shall</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8" w:name="page89"/>
    <w:bookmarkEnd w:id="88"/>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have received a customary opinion of Arthur Cox LLP, Irish counsel to the Agent dated the Restatement Date and covering such matters as reasonably required by and otherwise reasonably satisfactory in form and substance to the Agent and each of the Lenders (it being acknowledged that form of opinion provided by Arthur Cox dated 23 November 2021 is satisfactory to the Agent and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Lenders fail to procure such opinion, the Borrower may cause the delivery of a customary opinion of another nationally recognized firm of counsel in lieu thereof.</w:t>
      </w:r>
    </w:p>
    <w:p>
      <w:pPr>
        <w:spacing w:after="0" w:line="180" w:lineRule="exact"/>
        <w:rPr>
          <w:sz w:val="20"/>
          <w:szCs w:val="20"/>
          <w:color w:val="auto"/>
        </w:rPr>
      </w:pPr>
    </w:p>
    <w:p>
      <w:pPr>
        <w:jc w:val="both"/>
        <w:ind w:firstLine="1304"/>
        <w:spacing w:after="0" w:line="266" w:lineRule="auto"/>
        <w:tabs>
          <w:tab w:leader="none" w:pos="1861"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Fees</w:t>
      </w:r>
      <w:r>
        <w:rPr>
          <w:rFonts w:ascii="Times New Roman" w:cs="Times New Roman" w:eastAsia="Times New Roman" w:hAnsi="Times New Roman"/>
          <w:sz w:val="18"/>
          <w:szCs w:val="18"/>
          <w:color w:val="auto"/>
        </w:rPr>
        <w:t>. The Borrower shall have paid to the Agent all fees, costs or expenses due and outstanding to the Agent or the Lenders as of the Restatement Date (including reasonable fees, disbursements and other charges of counsel to the Agent payable under Section 12.4(a) hereof), in each case to the extent invoiced at least one Business Day prior to the Restatement Date.</w:t>
      </w:r>
    </w:p>
    <w:p>
      <w:pPr>
        <w:spacing w:after="0" w:line="175"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Borrower shall have delivered to the Lenders and the Agent, in form and substance satisfactory to the</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(a) audited financial statements of the Borrower for the Fiscal Year ended January 31, 2025, and presented in accordance with GAAP (it being acknowledged that the Agent and Lenders are in receipt of such audited financial statements described in this clause (a)), and (b) unaudited financial statements of the Borrower for the most recently ended Fiscal Quarter prior to the Restatement Date which are required to be delivered pursuant to Section 6.1(b) of the Existing Credit Agreement (collectively,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in form reasonably acceptable to the Agent.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4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Restatement Date Transactions</w:t>
      </w:r>
      <w:r>
        <w:rPr>
          <w:rFonts w:ascii="Times New Roman" w:cs="Times New Roman" w:eastAsia="Times New Roman" w:hAnsi="Times New Roman"/>
          <w:sz w:val="18"/>
          <w:szCs w:val="18"/>
          <w:color w:val="auto"/>
        </w:rPr>
        <w:t>. Each of the transactions set forth in the Exchange Agreement (including, without limitation, the Exchange Transactions (as defined therein)) and the Purchase and Sale Agreement shall have been consummated in accordance with the terms and conditions thereof.</w:t>
      </w:r>
    </w:p>
    <w:p>
      <w:pPr>
        <w:spacing w:after="0" w:line="17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The Agent shall have received copies of all Material Contracts described on Schedule 5.18 hereto.</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and Other Approvals</w:t>
      </w:r>
      <w:r>
        <w:rPr>
          <w:rFonts w:ascii="Times New Roman" w:cs="Times New Roman" w:eastAsia="Times New Roman" w:hAnsi="Times New Roman"/>
          <w:sz w:val="18"/>
          <w:szCs w:val="18"/>
          <w:color w:val="auto"/>
        </w:rPr>
        <w:t>. The Agent shall have received copies of all authorizations, consents, approvals, licenses, qualifications or formal exemptions, filings, declarations and registrations with, any court, governmental agency or regulatory authority or any securities exchange or any other person or party (whether or not governmental) received by the Borrower or any Guarantor that, in each case, are necessary in connection with the transactions contemplated by the Loan Documents to occur on the Restatement Date.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3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The Agent shall have received a certificate of a Responsible Officer of the Borrower dated the Restatement Date, stating that to the best of his or her respective knowledge after due inquiry, (i) the conditions set forth in Sections 4.2(b) and 4.2(d) have been satisfied; and (ii) since January 31, 2025, no Material Adverse Effect has occurred.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8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 Certificate</w:t>
      </w:r>
      <w:r>
        <w:rPr>
          <w:rFonts w:ascii="Times New Roman" w:cs="Times New Roman" w:eastAsia="Times New Roman" w:hAnsi="Times New Roman"/>
          <w:sz w:val="18"/>
          <w:szCs w:val="18"/>
          <w:color w:val="auto"/>
        </w:rPr>
        <w:t>. The Agent shall have received a certificate of the chief financial officer of the Borrower, certifying that the Borrower is Solvent (after giving effect to the making of the Restatement Date Term Loan and the other Restatement Date Transactions).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foregoing, the Agent and each Lender acknowledge that:</w:t>
      </w:r>
    </w:p>
    <w:p>
      <w:pPr>
        <w:spacing w:after="0" w:line="225" w:lineRule="exact"/>
        <w:rPr>
          <w:sz w:val="20"/>
          <w:szCs w:val="20"/>
          <w:color w:val="auto"/>
        </w:rPr>
      </w:pPr>
    </w:p>
    <w:p>
      <w:pPr>
        <w:jc w:val="both"/>
        <w:ind w:firstLine="656"/>
        <w:spacing w:after="0" w:line="266" w:lineRule="auto"/>
        <w:tabs>
          <w:tab w:leader="none" w:pos="125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any document or instrument required to be delivered pursuant to the foregoing shall be deemed satisfactory if such document or instrument is in the form separately agreed with the Agent prior to execution and delivery of the Exchange Agreement or, if no such form is agreed, in a form substantially consistent with the form of such document or instrument with respect to the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Existing Credit Agreement or, if no such form exists, in customary form reasonably acceptable to the Agent; and</w:t>
      </w:r>
    </w:p>
    <w:p>
      <w:pPr>
        <w:spacing w:after="0" w:line="225" w:lineRule="exact"/>
        <w:rPr>
          <w:sz w:val="20"/>
          <w:szCs w:val="20"/>
          <w:color w:val="auto"/>
        </w:rPr>
      </w:pPr>
    </w:p>
    <w:p>
      <w:pPr>
        <w:jc w:val="both"/>
        <w:ind w:firstLine="656"/>
        <w:spacing w:after="0" w:line="256" w:lineRule="auto"/>
        <w:tabs>
          <w:tab w:leader="none" w:pos="122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to create or perfect any security interest shall constitute a condition precedent to the effectiveness of this Agreement so long as the Security Agreement and Account Control Agreements in respect of each deposit accounts and securities accounts (other than the Excluded Accounts) is executed and delivered by the Borrower and each Guarantor and the security interest under the Security Agreement is perfected to the extent it is capable of perfection by the filing of a UCC-1 financing statement; provided that any other document, instrument or action that would otherwise be required to create or perfect any security interest shall be delivered and/or complied with by the Borrower within 30 days after the Restatement Date (or such later date as the Agent may agree).</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Conditions to all Loans</w:t>
      </w:r>
      <w:r>
        <w:rPr>
          <w:rFonts w:ascii="Times New Roman" w:cs="Times New Roman" w:eastAsia="Times New Roman" w:hAnsi="Times New Roman"/>
          <w:sz w:val="18"/>
          <w:szCs w:val="18"/>
          <w:color w:val="auto"/>
        </w:rPr>
        <w:t>. The obligations of each Lender to make Loans (including the Restatement Date Term Loan) shall be subject to the following conditions:</w:t>
      </w:r>
    </w:p>
    <w:p>
      <w:pPr>
        <w:spacing w:after="0" w:line="162" w:lineRule="exact"/>
        <w:rPr>
          <w:sz w:val="20"/>
          <w:szCs w:val="20"/>
          <w:color w:val="auto"/>
        </w:rPr>
      </w:pPr>
    </w:p>
    <w:p>
      <w:pPr>
        <w:ind w:left="1820" w:hanging="516"/>
        <w:spacing w:after="0"/>
        <w:tabs>
          <w:tab w:leader="none" w:pos="18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have received a fully executed Request for Loan;</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8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after giving effect to the making of such Loan and the application of the proceeds thereof, (i) except in connection with consummation of the Restatement Date Transactions, no Default or (ii) Event of Default, in each case has occurred and is continuing or would result from the making of the Loan to be made;</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1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consummation of the Restatement Date Transactions, as of such Credit Date, the representations and warranties of the Credit Parties contained in this Agreement and the other Loan Documents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of the making of such Loan to the same extent as though made on and as of that date (both before and immediately after giving effect to such Loan),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 and</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connection with consummation of the Restatement Date Transactions, (i) the Specified Representations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Restatement Date as though made at and as of such date, except to the extent that such representations and warranties expressly relate to an earlier date (in which case such representations and warranties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such earlier date) and (ii) each of the representations and warranties other than the Specified Representations of the Credit Parties in this Agreement and the other Loan Documents shall be true and correct as of the Restatement Date as though made at and as of such date, except to the extent that any such other representations and warranties expressly relate to an earlier date (in which case such other representations and warranties shall be true and correct as of such earlier</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0" w:name="page91"/>
    <w:bookmarkEnd w:id="90"/>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date), in each case of this clause (ii), determined without regard to qualifications as to “materiality” or “Material Adverse Effect”, except that the condition in this clause (ii) will be satisfied unless the failure of any such representations and warranties to be so true and correct has resulted in, or could reasonably be expected to result in, individually or in the aggregate, a Material Adverse Effect. The representations and warranties made in connection with the Restatement Date Transactions under the Loan Documents will be those required to be accurate pursuant to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Conditions Subsequent to Effectiveness</w:t>
      </w:r>
      <w:r>
        <w:rPr>
          <w:rFonts w:ascii="Times New Roman" w:cs="Times New Roman" w:eastAsia="Times New Roman" w:hAnsi="Times New Roman"/>
          <w:sz w:val="18"/>
          <w:szCs w:val="18"/>
          <w:color w:val="auto"/>
        </w:rPr>
        <w:t>. As an accommodation to the Credit Parties, the Agent and the Lenders have agreed to execute this Agreement and to make the Restatement Date Term Loan on the Restatement Date notwithstanding the failure by the Credit Parties to satisfy the conditions set forth below on or before the Restatement Date. In consideration of such accommodation, the Credit Parties agree that, in addition to all other terms, conditions and provisions set forth in this Agreement and the other Loan Documents, the Credit Parties shall satisfy each of the conditions subsequent set forth below on or before the date applicable thereto (it being understood that (i) the failure by the Credit Parties to perform or cause to be performed any such condition subsequent on or before the date applicable thereto shall constitute an Event of Default and (ii) to the extent that the existence of any such condition subsequent would otherwise cause any representation, warranty or covenant in this Agreement or any other Loan Document to be breached, the Majority Lenders hereby waive such breach for the period from the Restatement Date until the date on which such condition subsequent is required to be fulfilled pursuant to this Section 4.3):</w:t>
      </w:r>
    </w:p>
    <w:p>
      <w:pPr>
        <w:spacing w:after="0" w:line="188" w:lineRule="exact"/>
        <w:rPr>
          <w:sz w:val="20"/>
          <w:szCs w:val="20"/>
          <w:color w:val="auto"/>
        </w:rPr>
      </w:pPr>
    </w:p>
    <w:p>
      <w:pPr>
        <w:jc w:val="both"/>
        <w:ind w:firstLine="1304"/>
        <w:spacing w:after="0" w:line="258" w:lineRule="auto"/>
        <w:tabs>
          <w:tab w:leader="none" w:pos="189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that is thirty (30) days following the Restatement Date (or such later date as agreed to in writing by the Agent in its sole discretion), the Borrower and each Guarantor shall have delivered to the Agent long form insurance endorsements with respect to the Borrower’s and such Guarantor’s insurance policies, in form and substance satisfactory to the Agent, naming the Agent as additional insured or lender’s loss payee thereunder, as applicable, and providing that such policy may be terminated or cancelled (by the insurer or the insured thereunder) only upon 30 days’ prior written notice to the Agent (or 10 days prior written notice in the case of nonpayment).</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represents and warrants to the Agent and the Lenders as follows:</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8"/>
          <w:szCs w:val="18"/>
          <w:u w:val="single" w:color="auto"/>
          <w:color w:val="auto"/>
        </w:rPr>
        <w:t>Corporate Authority</w:t>
      </w:r>
      <w:r>
        <w:rPr>
          <w:rFonts w:ascii="Times New Roman" w:cs="Times New Roman" w:eastAsia="Times New Roman" w:hAnsi="Times New Roman"/>
          <w:sz w:val="18"/>
          <w:szCs w:val="18"/>
          <w:color w:val="auto"/>
        </w:rPr>
        <w:t>. Each Credit Party is a corporation (or other business entity) duly organized and existing in good standing under the</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laws of the state or jurisdiction of its incorporation or formation, as applicable, and each Credit Party is duly qualified and authorized to do business as a foreign corporation in each jurisdiction where the character of its assets or the nature of its activities makes such qualification and authorization necessary except where failure to be so qualified or be in good standing could not reasonably be expected to have a Material Adverse Effect. Each Credit Party has all requisite corporate, limited liability or partnership power (as applicable) and authority to own all its property (whether real, personal, tangible or intangible or of any kind whatsoever) and to carry on its business.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Execution, delivery and performance of this Agreement, and the other Loan Documents, to which each Credit Party is party, and the issuance of the Notes by the Borrower (if requested) (i) are within such Person’s corporate, limited liability or partnership power (as applicable), (ii) have been duly authorized by all necessary action, (iii) are not in contravention of any Requirement of Law applicable to such Credit Party or the terms of such Credit Party’s organizational documents, any Material Contract or the Senior Loan Documents or (iv) do not and will not result in or require the creation of any Lien (other than pursuant to any Loan Document or Senior Loan Document) upon or with respect to any of its properties.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1" w:name="page92"/>
    <w:bookmarkEnd w:id="91"/>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u w:val="single" w:color="auto"/>
          <w:color w:val="auto"/>
        </w:rPr>
        <w:t>Good Title; Leases; Assets; No Liens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85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to the extent applicable, has good and valid title (or, in the case of real property, good and marketable title) to all assets owned by it, subject only to the Liens permitted under Section 7.2 hereof, and each Credit Party has a valid leasehold or interest as a lessee or a licensee in all of its leased real property;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5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5.3(b) hereto identifies all of the real property owned or leased, as lessee thereunder, by the Borrower or any Guarantor on the Restatement Date, including all warehouse or bailee locations;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5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will collectively own or collectively have a valid leasehold interest in all assets that were owned or leased (as lessee) by the Credit Parties immediately prior to the Restatement Date to the extent that such assets are necessary for the continued operation of the Credit Parties’ businesses in substantially the manner as such businesses were operated immediately prior to the Restatement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5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owns or has a valid leasehold interest in all real property necessary for its continued operations and, to the best knowledge of the Borrower, no material condemnation, eminent domain or expropriation action has been commenced or threatened against any such owned or leased real property;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2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on and no financing statements on file with respect to any of the assets owned by the Credit Parties, except for the Liens permitted pursuant to Section 7.2 of this Agreement and any financing statements relating thereto;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7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that is not the Borrower or a Guarantor holds or owns any assets that are material to the business of the Borrower and its Subsidiaries nor any Intellectual Property (unless held by Rent the Runway Limited in the ordinary course of business for use in fulfilling its obligations to Borrower in a manner substantially consistent with the Intercompany License Agreement as of the Restatement Date).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(i) All Tax returns and other reports required by applicable Requirements of Law to be filed by any Credit Party have been timely filed (taking into account any extensions granted by the applicable Governmental Authority) and (ii) all Taxes imposed upon any Credit Party or any property of any Credit Party which have become due and payable on or prior to the Restatement Date have been paid, except (A) unpaid Taxes in an aggregate amount at any one time not in excess of $1,000,000, (B) unpaid sales Taxes that are due and payable in the ordinary course of business and are not delinquent and (C) Taxes contested in good faith by proper proceedings which stay the imposition of any Lien resulting from the non-payment thereof and with respect to which adequate reserves have been set aside for the payment thereof in accordance with GAAP on the Financial Statements.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 Defaults</w:t>
      </w:r>
      <w:r>
        <w:rPr>
          <w:rFonts w:ascii="Times New Roman" w:cs="Times New Roman" w:eastAsia="Times New Roman" w:hAnsi="Times New Roman"/>
          <w:sz w:val="18"/>
          <w:szCs w:val="18"/>
          <w:color w:val="auto"/>
        </w:rPr>
        <w:t>. No Credit Party is in default under or with respect to any agreement, instrument or undertaking to which is a party or by which it or any of its property is bound which would cause or would reasonably be expected to cause a Material Adverse Effect.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Enforceability of Agreement and Loan Documents</w:t>
      </w:r>
      <w:r>
        <w:rPr>
          <w:rFonts w:ascii="Times New Roman" w:cs="Times New Roman" w:eastAsia="Times New Roman" w:hAnsi="Times New Roman"/>
          <w:sz w:val="18"/>
          <w:szCs w:val="18"/>
          <w:color w:val="auto"/>
        </w:rPr>
        <w:t>. This Agreement and each of the other Loan Documents to which any Credit Party is a party (including without limitation, each Request for Loan), have each been duly executed and delivered by its duly authorized officers and constitute the valid and binding obligations of such Credit Party, enforceable against such Credit Party in accordance with their respective terms, except as enforcement thereof may be limited by applicable bankruptcy,</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2" w:name="page93"/>
    <w:bookmarkEnd w:id="92"/>
    <w:p>
      <w:pPr>
        <w:jc w:val="both"/>
        <w:spacing w:after="0" w:line="282" w:lineRule="auto"/>
        <w:rPr>
          <w:sz w:val="20"/>
          <w:szCs w:val="20"/>
          <w:color w:val="auto"/>
        </w:rPr>
      </w:pPr>
      <w:r>
        <w:rPr>
          <w:rFonts w:ascii="Times New Roman" w:cs="Times New Roman" w:eastAsia="Times New Roman" w:hAnsi="Times New Roman"/>
          <w:sz w:val="18"/>
          <w:szCs w:val="18"/>
          <w:color w:val="auto"/>
        </w:rPr>
        <w:t>reorganization, insolvency, fraudulent conveyance, moratorium or similar laws affecting the enforcement of creditor’s rights, generally and by general principles of equity (regardless of whether enforcement is considered in a proceeding in law or equity).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(a) Except as disclosed on Schedule 5.7, each Credit Party has complied with all applicable federal, state and local laws, ordinances, codes, rules, regulations and guidelines (including consent decrees and administrative orders) including but not limited to Hazardous Material Laws, and is in compliance with any Requirement of Law, except to the extent that failure to comply therewith could not reasonably be expected to have a Material Adverse Effect; and (b) neither the extension of credit made pursuant to this Agreement or the use of the proceeds thereof by the Credit Parties will violate any Anti-Terrorism Laws, including the United States Foreign Corrupt Practices Act of 1977, the Trading with the Enemy Act, as amended, or any of the foreign assets control regulations of the United States Treasury Department (31 CFR, Subtitle B, Chapter V, as amended) or any enabling legislation or executive order relating thereto, or The United and Strengthening America by providing appropriate Tools Required to Intercept and Obstruct Terrorism (“USA Patriot Act”) Act of 2001, Public Law 10756, October 26, 2001 or Executive Order 13224 of September 23, 2001 issued by the President of the United States (66 Fed. Reg. 49049 (2001)).</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delivery and performance of this Agreement and the other Loan Documents (including each Request for Loan) to which each Credit Party is a party are not in contravention of the terms of any indenture, agreement or undertaking to which such Credit Party is a party or by which it or its properties are bound where such violation could reasonably be expected to have a Material Adverse Effect.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on Schedule 5.9 hereto, there is no suit, action, proceeding, including, without limitation, any bankruptcy proceeding or governmental investigation pending against or to the knowledge of the Borrower, threatened in writing against any Credit Party (other than any suit, action or proceeding in which a Credit Party is the plaintiff and in which no counterclaim or cross-claim against such Credit Party has been filed), or any judgment, decree, injunction, rule, or order of any court, government, department, commission, agency, instrumentality or arbitrator outstanding against any Credit Party, nor is any Credit Party in violation of any applicable order, injunction, decree or requirement of any governmental body or court which (i) could in any of the foregoing events reasonably be expected to have a Material Adverse Effect or (ii) relates to this Agreement or any other Loan Document.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Consents, Approvals and Filings, Etc</w:t>
      </w:r>
      <w:r>
        <w:rPr>
          <w:rFonts w:ascii="Times New Roman" w:cs="Times New Roman" w:eastAsia="Times New Roman" w:hAnsi="Times New Roman"/>
          <w:sz w:val="18"/>
          <w:szCs w:val="18"/>
          <w:color w:val="auto"/>
        </w:rPr>
        <w:t>. Except as set forth on Schedule 5.10 hereto, (a) no authorization, consent, approval, license, qualification or formal exemption from, nor any filing, declaration or registration with, any court, governmental agency or regulatory authority or any securities exchange or any other Person (whether or not governmental) is required in connection with the execution, delivery and performance: (i) by any Credit Party of this Agreement and any of the other Loan Documents to which such Credit Party is a party or (ii) by the Credit Parties of the grant of Liens granted, conveyed or otherwise established (or to be granted, conveyed or otherwise established) by or under this Agreement or the other Loan Documents, as applicable, and (b) no material authorization, consent, approval, license, qualification or formal exemption from, nor any filing, declaration or registration with, any court, governmental agency or regulatory authority or any securities exchange or any other Person (whether or not governmental) is otherwise necessary to the operation of its business, except in each case for (x) such matters which have been previously obtained, and (y) such filings to be made concurrently herewith or promptly following the Restatement Date as are required by the Collateral Documents to perfect Liens in favor of the Agent. All such authorizations, consents, approvals, licenses, qualifications, exemptions, filings, declarations and registrations which have previously been obtained or made, as the case may be, are in full force and effect and, to the best knowledge of the Borrower, are not the subject of</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any attack or threatened attack (in each case in any material respect) by appeal or direct proceeding or otherwise.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Agreements Affecting Financial Condition</w:t>
      </w:r>
      <w:r>
        <w:rPr>
          <w:rFonts w:ascii="Times New Roman" w:cs="Times New Roman" w:eastAsia="Times New Roman" w:hAnsi="Times New Roman"/>
          <w:sz w:val="18"/>
          <w:szCs w:val="18"/>
          <w:color w:val="auto"/>
        </w:rPr>
        <w:t>. No Credit Party is party to any agreement or instrument or subject to any charter or other corporate restriction which could reasonably be expected to have a Material Adverse Effect.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No Investment Company or Margin Stock</w:t>
      </w:r>
      <w:r>
        <w:rPr>
          <w:rFonts w:ascii="Times New Roman" w:cs="Times New Roman" w:eastAsia="Times New Roman" w:hAnsi="Times New Roman"/>
          <w:sz w:val="18"/>
          <w:szCs w:val="18"/>
          <w:color w:val="auto"/>
        </w:rPr>
        <w:t>. No Credit Party is an “investment company” within the meaning of the Investment Company Act of 1940, as amended. No Credit Party is engaged principally, or as one of its important activities, directly or indirectly, in the business of extending credit for the purpose of purchasing or carrying margin stock. No Credit Party is or will be engaged in the business of extending credit for the purpose of purchasing or carrying margin stock (within the meaning of Regulation T, U or X), and no proceeds of any Loan will be used to purchase or carry any margin stock or to extend credit to others for the purpose of purchasing or carrying any margin stock or for any purpose that violates, or is inconsistent with, the provisions of Regulation T, U and X. Terms for which meanings are provided in Regulation T, U and X of the Board of Governors of the Federal Reserve System or any regulations substituted therefore, as from time to time in effect, are used in this paragraph with such meanings.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No ERISA Event or Foreign Benefit Event has occurred and, to the knowledge of the Borrower, no ERISA Event or Foreign Benefit Event is reasonably expected to occur, except as would not reasonably be expected to have a Material Adverse Effect when taken either individually or in the aggregate with all other such ERISA Events or Foreign Benefit Events for which liability could be reasonably expected to occur. Each Pension Plan and Foreign Plan is being maintained and funded in accordance with its terms and is in compliance with the requirements of the Internal Revenue Code and ERISA and other Requirements of Law, except to the extent that failure to comply therewith could not, either individually or in the aggregate, reasonably be expected to have a Material Adverse Effect.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Conditions Affecting Business or Properties</w:t>
      </w:r>
      <w:r>
        <w:rPr>
          <w:rFonts w:ascii="Times New Roman" w:cs="Times New Roman" w:eastAsia="Times New Roman" w:hAnsi="Times New Roman"/>
          <w:sz w:val="18"/>
          <w:szCs w:val="18"/>
          <w:color w:val="auto"/>
        </w:rPr>
        <w:t>. Neither the respective businesses nor the properties of any Credit Party is affected by any fire, explosion, accident, strike, lockout or other dispute, drought, storm, hail, earthquake, embargo, Act of God, or other casualty which could reasonably be expected to have a Material Adverse Effect.</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5.15</w:t>
      </w:r>
      <w:r>
        <w:rPr>
          <w:sz w:val="20"/>
          <w:szCs w:val="20"/>
          <w:color w:val="auto"/>
        </w:rPr>
        <w:tab/>
      </w:r>
      <w:r>
        <w:rPr>
          <w:rFonts w:ascii="Times New Roman" w:cs="Times New Roman" w:eastAsia="Times New Roman" w:hAnsi="Times New Roman"/>
          <w:sz w:val="18"/>
          <w:szCs w:val="18"/>
          <w:u w:val="single" w:color="auto"/>
          <w:color w:val="auto"/>
        </w:rPr>
        <w:t>Environmental and Safety Matters</w:t>
      </w:r>
      <w:r>
        <w:rPr>
          <w:rFonts w:ascii="Times New Roman" w:cs="Times New Roman" w:eastAsia="Times New Roman" w:hAnsi="Times New Roman"/>
          <w:sz w:val="18"/>
          <w:szCs w:val="18"/>
          <w:color w:val="auto"/>
        </w:rPr>
        <w:t>. Except as set forth in Schedules 5.9, 5.10 and 5.15:</w:t>
      </w:r>
    </w:p>
    <w:p>
      <w:pPr>
        <w:spacing w:after="0" w:line="225" w:lineRule="exact"/>
        <w:rPr>
          <w:sz w:val="20"/>
          <w:szCs w:val="20"/>
          <w:color w:val="auto"/>
        </w:rPr>
      </w:pPr>
    </w:p>
    <w:p>
      <w:pPr>
        <w:ind w:firstLine="1304"/>
        <w:spacing w:after="0" w:line="282" w:lineRule="auto"/>
        <w:tabs>
          <w:tab w:leader="none" w:pos="18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facilities and property owned or leased by the Credit Parties are in compliance with all Hazardous Material Laws, except to the extent that any non-compliance could not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9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knowledge of the Borrower, except as could not reasonably be expected to result in a Material Adverse Effect, there have been no unresolved and outstanding past, and there are no pending or threatened: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4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complaints, notices or requests for information received by any Credit Party with respect to any alleged violation of any Hazardous Material Law, or</w:t>
      </w:r>
    </w:p>
    <w:p>
      <w:pPr>
        <w:spacing w:after="0" w:line="161"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complaints, notices or inquiries to any Credit Party regarding potential liability of any Credit Parties under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Hazardous Material Law; and</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82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knowledge of the Borrower, no conditions exist at, on or under any property now or previously owned or leased by any Credit Party, in each case which, with the passage of</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4" w:name="page95"/>
    <w:bookmarkEnd w:id="94"/>
    <w:p>
      <w:pPr>
        <w:jc w:val="both"/>
        <w:spacing w:after="0" w:line="266" w:lineRule="auto"/>
        <w:rPr>
          <w:sz w:val="20"/>
          <w:szCs w:val="20"/>
          <w:color w:val="auto"/>
        </w:rPr>
      </w:pPr>
      <w:r>
        <w:rPr>
          <w:rFonts w:ascii="Times New Roman" w:cs="Times New Roman" w:eastAsia="Times New Roman" w:hAnsi="Times New Roman"/>
          <w:sz w:val="18"/>
          <w:szCs w:val="18"/>
          <w:color w:val="auto"/>
        </w:rPr>
        <w:t>time, or the giving of notice or both, are or would be reasonably likely to give rise to liability under any Hazardous Material Law or create a significant adverse effect on the value of the property, except to the extent that such condition or liability could not reasonably be expected to result in a Material Adverse Effect.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Except as disclosed on Schedule 5.16 hereto as of the Restatement Date, and thereafter, except as disclosed to the Agent in writing from time to time, no Credit Party has any Subsidiaries.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Adverse Agreements, Etc</w:t>
      </w:r>
      <w:r>
        <w:rPr>
          <w:rFonts w:ascii="Times New Roman" w:cs="Times New Roman" w:eastAsia="Times New Roman" w:hAnsi="Times New Roman"/>
          <w:sz w:val="18"/>
          <w:szCs w:val="18"/>
          <w:color w:val="auto"/>
        </w:rPr>
        <w:t>. No Credit Party or any of its Subsidiaries is a party to any Contractual Obligation or subject to any restriction or limitation in any governing document or any judgment, order, regulation, ruling or other requirement of a court or other Governmental Authority, which (either individually or in the aggregate) has, or in the future could reasonably be expected (either individually or in the aggregate) to have, a Material Adverse Effect.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Schedule 5.18 attached hereto is an accurate and complete list of all Material Contracts in effect on or as of the Restatement Date to which any Credit Party is a party or is bound. Each such Material Contract is in full force and effect and is binding upon and enforceable against each Credit Party that is a party thereto and, to the best knowledge of such Credit Party, all other parties thereto in accordance with its terms.</w:t>
      </w:r>
    </w:p>
    <w:p>
      <w:pPr>
        <w:spacing w:after="0" w:line="18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5.19</w:t>
      </w:r>
      <w:r>
        <w:rPr>
          <w:sz w:val="20"/>
          <w:szCs w:val="20"/>
          <w:color w:val="auto"/>
        </w:rPr>
        <w:tab/>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Credit Party maintains all insurance required by Section 6.5.</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Capital Structure</w:t>
      </w:r>
      <w:r>
        <w:rPr>
          <w:rFonts w:ascii="Times New Roman" w:cs="Times New Roman" w:eastAsia="Times New Roman" w:hAnsi="Times New Roman"/>
          <w:sz w:val="18"/>
          <w:szCs w:val="18"/>
          <w:color w:val="auto"/>
        </w:rPr>
        <w:t>. Schedule 5.20 attached hereto sets forth all issued and outstanding Equity Interests of each Credit Party (other than the Borrower), including the number of authorized, issued and outstanding Equity Interests of each Credit Party, the par value of such Equity Interests and the holders of such Equity Interests, all on and as of the Restatement Date. All issued and outstanding Equity Interests of each Credit Party are duly authorized and validly issued, fully paid, nonassessable, free and clear of all Liens (in the case of Liens on the Equity Interests of any Credit Party (other than the Borrower), except for Liens in favor of (i) the Agent or (ii) the Senior Agent under the Senior Loan Documents) and such Equity Interests were issued in compliance with all applicable state, federal and foreign laws concerning the issuance of securities. Except as disclosed on Schedule 5.20, there are no preemptive or other outstanding rights, options, warrants, conversion rights or similar agreements or understandings for the purchase or acquisition from any Credit Party, of any Equity Interests of any Credit Party.</w:t>
      </w:r>
    </w:p>
    <w:p>
      <w:pPr>
        <w:spacing w:after="0" w:line="19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5.21</w:t>
      </w:r>
      <w:r>
        <w:rPr>
          <w:sz w:val="20"/>
          <w:szCs w:val="20"/>
          <w:color w:val="auto"/>
        </w:rPr>
        <w:tab/>
      </w:r>
      <w:r>
        <w:rPr>
          <w:rFonts w:ascii="Times New Roman" w:cs="Times New Roman" w:eastAsia="Times New Roman" w:hAnsi="Times New Roman"/>
          <w:sz w:val="18"/>
          <w:szCs w:val="18"/>
          <w:u w:val="single" w:color="auto"/>
          <w:color w:val="auto"/>
        </w:rPr>
        <w:t>Accuracy of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87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for the fiscal year ended January 31, 2025, furnished to the Agent and the Lenders prior to the Restatement Date fairly present in all material respects the financial condition of the Borrower and its respective Subsidiaries and the results of their operations for the periods covered thereby, and have been prepared in accordance with GAAP. The projections and the other pro forma financial information delivered to the Agent prior to the Restatement Date are based upon good faith estimates and assumptions believed by management of the Borrower to be accurate and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w:t>
      </w:r>
    </w:p>
    <w:p>
      <w:pPr>
        <w:spacing w:after="0" w:line="188"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31, 2025, no Material Adverse Effect has occurred.</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5" w:name="page96"/>
    <w:bookmarkEnd w:id="95"/>
    <w:p>
      <w:pPr>
        <w:jc w:val="both"/>
        <w:ind w:firstLine="1304"/>
        <w:spacing w:after="0" w:line="261" w:lineRule="auto"/>
        <w:tabs>
          <w:tab w:leader="none" w:pos="183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knowledge of the Credit Parties, as of the Restatement Date, (i) the Credit Parties do not have any material contingent obligations (including any liability for taxes) not disclosed by or reserved against in the opening balance sheet to be delivered hereunder and (ii) there are no unrealized or anticipated losses from any present commitment of the Credit Parties which contingent obligations and losses in the aggregate could reasonably be expected to have a Material Adverse Effect.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(i) After giving effect to the consummation of the Restatement Date Transactions and the other transactions contemplated by this Agreement and the other Loan Documents and (ii) after the Restatement Date, before and after giving effect to each Loan, the Credit Parties, taken as a whole, will be Solvent. This Agreement is being executed and delivered by the Borrower to the Agent and the Lenders in good faith and in exchange for fair, equivalent consideration. The Credit Parties do not contemplate filing a petition in bankruptcy or for an arrangement or reorganization under the Bankruptcy Code or any similar law of any jurisdiction now or hereafter in effect relating to any Credit Party, nor does any Credit Party have any knowledge of any threatened bankruptcy or insolvency proceedings against a Credit Party.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 There are no strikes, slowdowns, work stoppages, unfair labor practice complaints, grievances, arbitration proceedings or controversies pending or, to the best knowledge of the Borrower, threatened in writing against any Credit Party by any employees of any Credit Party, other than non-material employee grievances or controversies arising in the ordinary course of business and other grievances or controversies which could not reasonably be expected to have a Material Adverse Effect. Set forth on Schedule 5.23 are all union contracts or agreements to which any Credit Party is party as of the Restatement Date and the related expiration dates of each such contract.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Each Credit Party has disclosed to the Agent and the Lenders all agreements, instruments and corporate or other restrictions to which it is subject, and all other matters known to it, that, individually or in the aggregate, could reasonably be expected to result in a Material Adverse Effect. Neither this Agreement nor any other Loan Document, certificate, written information or report furnished or to be furnished by or on behalf of a Credit Party to the Agent or any Lender in connection with any of the transactions contemplated hereby or thereby, contains a misstatement of material fact, or omits to state a material fact required to be stated in order to make the statements contained herein or therein, taken as a whole, not materially misleading in the light of the circumstances under which such statements were made. There is no fact, other than information known to the public generally, known to any Credit Party after diligent inquiry, that could reasonably be expect to have a Material Adverse Effect that has not expressly been disclosed to the Agent in writing.</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u w:val="single" w:color="auto"/>
          <w:color w:val="auto"/>
        </w:rPr>
        <w:t>Corporate Documents and Corporate Existence</w:t>
      </w:r>
      <w:r>
        <w:rPr>
          <w:rFonts w:ascii="Times New Roman" w:cs="Times New Roman" w:eastAsia="Times New Roman" w:hAnsi="Times New Roman"/>
          <w:sz w:val="18"/>
          <w:szCs w:val="18"/>
          <w:color w:val="auto"/>
        </w:rPr>
        <w:t>. As to the Borrower and any Guarantor, (a) it is an organization as described on Schedule 1.1 hereto and has provided the Agent and the Lenders with complete and correct copies of its articles of incorporation, by-laws and all other applicable charter and other organizational documents, and, if applicable, a good standing certificate and (b) its correct legal name, business address, type of organization and jurisdiction of organization, tax identification number and other relevant identification numbers are set forth on Schedule 1.1 hereto.</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5.26 </w:t>
      </w:r>
      <w:r>
        <w:rPr>
          <w:rFonts w:ascii="Times New Roman" w:cs="Times New Roman" w:eastAsia="Times New Roman" w:hAnsi="Times New Roman"/>
          <w:sz w:val="18"/>
          <w:szCs w:val="18"/>
          <w:u w:val="single" w:color="auto"/>
          <w:color w:val="auto"/>
        </w:rPr>
        <w:t>Anti-Money Laundering/Anti-Terrorism</w:t>
      </w:r>
      <w:r>
        <w:rPr>
          <w:rFonts w:ascii="Times New Roman" w:cs="Times New Roman" w:eastAsia="Times New Roman" w:hAnsi="Times New Roman"/>
          <w:sz w:val="18"/>
          <w:szCs w:val="18"/>
          <w:color w:val="auto"/>
        </w:rPr>
        <w:t>. Each Credit Party represents and warrants that (i) no Covered Entity (in the case of clauses (b) and (c) of the definition of “Covered Entity,” to the knowledge of the Credit Parties) (A) is a Sanctioned Person; (B), either in its own right or through any third party, (1) has any of its assets in a Sanctioned Country or in the possession, custody or control of a Sanctioned Person; (2) does business in or with, or derives any of its income from investments in or transactions with, any Sanctioned Country or Sanctioned Person in violation of any Anti-Terrorism Law; or (3) engages in any dealings or transactions prohibited by, any Anti-Terrorism Laws.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6" w:name="page97"/>
    <w:bookmarkEnd w:id="96"/>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5.27</w:t>
      </w:r>
      <w:r>
        <w:rPr>
          <w:sz w:val="20"/>
          <w:szCs w:val="20"/>
          <w:color w:val="auto"/>
        </w:rPr>
        <w:tab/>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Neither the Borrower nor any Guarantor is an EEA Financial Institution.</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5.28</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86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the Borrower’s knowledge, the Credit Parties own or have rights to use the Intellectual Property necessary for the conduct of their businesses. To the best of the Borrower’s knowledge, each of the Copyrights, Trademarks and Patents (in each case, as defined in the Security Agreement) owned by the Borrower is valid and enforceable, and no part of such Intellectual Property has been judged invalid or unenforceable, in whole or in part, and no claim has been made to the Borrower that any part of such Intellectual Property violates the rights of any third party except to the extent such claim could not reasonably be expected to cause a Material Adverse Effect.</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81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and any Person acting for or on behalf of the Credit Parties have complied with all Data Security Requirements, except such non-compliance that could not reasonably be expected to result in a Material Adverse Effect.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5.29 </w:t>
      </w:r>
      <w:r>
        <w:rPr>
          <w:rFonts w:ascii="Times New Roman" w:cs="Times New Roman" w:eastAsia="Times New Roman" w:hAnsi="Times New Roman"/>
          <w:sz w:val="18"/>
          <w:szCs w:val="18"/>
          <w:u w:val="single" w:color="auto"/>
          <w:color w:val="auto"/>
        </w:rPr>
        <w:t>Inbound Licenses</w:t>
      </w:r>
      <w:r>
        <w:rPr>
          <w:rFonts w:ascii="Times New Roman" w:cs="Times New Roman" w:eastAsia="Times New Roman" w:hAnsi="Times New Roman"/>
          <w:sz w:val="18"/>
          <w:szCs w:val="18"/>
          <w:color w:val="auto"/>
        </w:rPr>
        <w:t>. Except as disclosed on Schedule 5.29, the Borrower is not a party to, nor is it bound by, any material inbound license or other material agreement the failure, breach, or termination of which could reasonably be expected to cause a Material Adverse Effect, or that prohibits or otherwise restricts the Borrower from granting a security interest in the Borrower’s interest in such license or any other property.</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5.30</w:t>
      </w:r>
      <w:r>
        <w:rPr>
          <w:sz w:val="20"/>
          <w:szCs w:val="20"/>
          <w:color w:val="auto"/>
        </w:rPr>
        <w:tab/>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of the Loans shall be used in accordance with Section 2.10.</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5.31 </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The Security Agreement creates in favor of the Agent, for the benefit of itself and the Lenders, a legal, valid, continuing and enforceable security interest in the Collateral, the enforceability of which is subject to applicable bankruptcy, insolvency, reorganization, moratorium or other laws affecting creditors’ rights generally and subject to general principles of equity, regardless of whether considered in a proceeding in equity or at law.</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5.32 </w:t>
      </w:r>
      <w:r>
        <w:rPr>
          <w:rFonts w:ascii="Times New Roman" w:cs="Times New Roman" w:eastAsia="Times New Roman" w:hAnsi="Times New Roman"/>
          <w:sz w:val="18"/>
          <w:szCs w:val="18"/>
          <w:u w:val="single" w:color="auto"/>
          <w:color w:val="auto"/>
        </w:rPr>
        <w:t>Customers and Suppliers</w:t>
      </w:r>
      <w:r>
        <w:rPr>
          <w:rFonts w:ascii="Times New Roman" w:cs="Times New Roman" w:eastAsia="Times New Roman" w:hAnsi="Times New Roman"/>
          <w:sz w:val="18"/>
          <w:szCs w:val="18"/>
          <w:color w:val="auto"/>
        </w:rPr>
        <w:t>. There exists no actual or threatened termination, cancellation or limitation of, or modification to or change in, the business relationship between (i) any Credit Party, on the one hand, and any customer or any group thereof, on the other hand, whose agreements with any Credit Party are individually or in the aggregate material to the business or operations of such Credit Party, or (ii) any Credit Party, on the one hand, and any supplier or any group thereof, on the other hand, whose agreements with any Credit Party are individually or in the aggregate material to the business or operations of such Credit Party; and there exists no present state of facts or circumstances that could give rise to or result in any such termination, cancellation, limitation, modification or change, except, in each case of this Section 5.32, where such termination, cancellation, limitation, modification or change that could not reasonably be expected to result in a Material Adverse Effect.</w:t>
      </w:r>
    </w:p>
    <w:p>
      <w:pPr>
        <w:spacing w:after="0" w:line="18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5.33</w:t>
      </w:r>
      <w:r>
        <w:rPr>
          <w:sz w:val="20"/>
          <w:szCs w:val="20"/>
          <w:color w:val="auto"/>
        </w:rPr>
        <w:tab/>
      </w:r>
      <w:r>
        <w:rPr>
          <w:rFonts w:ascii="Times New Roman" w:cs="Times New Roman" w:eastAsia="Times New Roman" w:hAnsi="Times New Roman"/>
          <w:sz w:val="17"/>
          <w:szCs w:val="17"/>
          <w:u w:val="single" w:color="auto"/>
          <w:color w:val="auto"/>
        </w:rPr>
        <w:t>Technology Security Systems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90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and each of its Subsidiaries has implemented and maintains adequate administrative, physical, and technical security measures and procedures (consistent with industry standards for companies and businesses of similar size in similar industries) to protect the confidentiality, integrity, and security of (i) its computers, computer systems, servers, hardware, software, websites, databases, networks, and all other information technology equipment and systems, including any hosted locations and other outsourced systems and processes (all of the foregoing in this clause (i),</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7" w:name="page98"/>
    <w:bookmarkEnd w:id="97"/>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 Systems</w:t>
      </w:r>
      <w:r>
        <w:rPr>
          <w:rFonts w:ascii="Times New Roman" w:cs="Times New Roman" w:eastAsia="Times New Roman" w:hAnsi="Times New Roman"/>
          <w:sz w:val="18"/>
          <w:szCs w:val="18"/>
          <w:color w:val="auto"/>
        </w:rPr>
        <w:t>”) and (ii) all individually identifiable information, including sensitive and confidential information, accessed, collected, used, processed, stored, transferred or disclosed by or on behalf of any Credit Party or any Subsidiary of any Credit Party (all such data and information referred to in this clause (ii), “</w:t>
      </w:r>
      <w:r>
        <w:rPr>
          <w:rFonts w:ascii="Times New Roman" w:cs="Times New Roman" w:eastAsia="Times New Roman" w:hAnsi="Times New Roman"/>
          <w:sz w:val="18"/>
          <w:szCs w:val="18"/>
          <w:u w:val="single" w:color="auto"/>
          <w:color w:val="auto"/>
        </w:rPr>
        <w:t>Credit Party Data</w:t>
      </w:r>
      <w:r>
        <w:rPr>
          <w:rFonts w:ascii="Times New Roman" w:cs="Times New Roman" w:eastAsia="Times New Roman" w:hAnsi="Times New Roman"/>
          <w:sz w:val="18"/>
          <w:szCs w:val="18"/>
          <w:color w:val="auto"/>
        </w:rPr>
        <w:t>”), in all cases including from theft, destruction, corruption, loss or unauthorized use, access, interruption, deletion, alteration or modification by any Person except, in each case of this clause (a), as has not had, and would not reasonably be expected to have, individually or in the aggregate, a Material Adverse Effect. All Credit Party Systems necessary to the operation of Credit Party’s business are operational in all material respects and have adequate backups and disaster recovery arrangements that are at least reasonable and at least consistent with, as protective as, and no less</w:t>
      </w:r>
    </w:p>
    <w:p>
      <w:pPr>
        <w:spacing w:after="0" w:line="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rigorous than, industry standards for companies and businesses of similar size in similar industries. Without limiting the generality of the foregoing, each Credit Party and each of its Subsidiaries (x) takes commercially reasonable efforts to securely store applicable equipment and software that is material to its business, (y) utilizes industry-accepted virus and intrusion checking software and firewalls, and (z) limits access to Credit Party Data to only those employees and agents who need such access for the conduct of the business of the Credit Parties and their Subsidiaries.</w:t>
      </w:r>
    </w:p>
    <w:p>
      <w:pPr>
        <w:spacing w:after="0" w:line="180" w:lineRule="exact"/>
        <w:rPr>
          <w:sz w:val="20"/>
          <w:szCs w:val="20"/>
          <w:color w:val="auto"/>
        </w:rPr>
      </w:pPr>
    </w:p>
    <w:p>
      <w:pPr>
        <w:jc w:val="both"/>
        <w:ind w:firstLine="1304"/>
        <w:spacing w:after="0" w:line="253" w:lineRule="auto"/>
        <w:tabs>
          <w:tab w:leader="none" w:pos="193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Credit Party or any Subsidiary of any Credit Party has experienced any (i) security incidents, data breaches, intrusions or unauthorized access, use or compromise of any of the Credit Party Systems, (ii) unauthorized collection, access, use, processing, loss, compromise, interruption, deletion, modification or disclosure of any Credit Party Data or trade secrets of any Credit Party or any Subsidiary of any Credit Party or (iii) cyber, social engineering, spoofing, phishing, ransom, viral or other attack, theft or intrusion (all of the foregoing clauses (i), (ii) and (iii), “</w:t>
      </w: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Breaches</w:t>
      </w:r>
      <w:r>
        <w:rPr>
          <w:rFonts w:ascii="Times New Roman" w:cs="Times New Roman" w:eastAsia="Times New Roman" w:hAnsi="Times New Roman"/>
          <w:sz w:val="18"/>
          <w:szCs w:val="18"/>
          <w:color w:val="auto"/>
        </w:rPr>
        <w:t>”) that has allowed an unauthorized Person to access, copy, encrypt or otherwise use any Credit Party Data, in each case, which could reasonably be expected to cause a Material Adverse Effect. Each Credit Party and each of its Subsidiaries is in material compliance with all Requirements of Laws regarding the privacy or security of all Credit Party Data. Except as set forth on Schedule 5.33(b), no Credit Party or any Subsidiary of any Credit Party has received or is aware of any notice, allegation, complaint or other communication, and to the knowledge of the Credit Parties there is no pending investigation by any Governmental Authority or other Person regarding any actual or possible violation of any Requirements of Laws regarding the privacy or security of any Credit Party Data.</w:t>
      </w:r>
    </w:p>
    <w:p>
      <w:pPr>
        <w:spacing w:after="0" w:line="1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AFFIRMATIVE COVENANTS.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covenants and agrees, so long as any Lender has any commitment to extend credit hereunder, or any of the Indebtedness (including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Prepayment Premium) remains outstanding and unpaid, that it will, and, as applicable, it will cause each of its Subsidiaries to:</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Furnish to the Agent, in form and detail satisfactory to the Agent, with sufficient copies for each Lender, the following documents:</w:t>
      </w:r>
    </w:p>
    <w:p>
      <w:pPr>
        <w:spacing w:after="0" w:line="162" w:lineRule="exact"/>
        <w:rPr>
          <w:sz w:val="20"/>
          <w:szCs w:val="20"/>
          <w:color w:val="auto"/>
        </w:rPr>
      </w:pPr>
    </w:p>
    <w:p>
      <w:pPr>
        <w:jc w:val="both"/>
        <w:ind w:firstLine="1304"/>
        <w:spacing w:after="0" w:line="253" w:lineRule="auto"/>
        <w:tabs>
          <w:tab w:leader="none" w:pos="1821"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one hundred twenty (120) days after the end of each Fiscal Year, a copy of the audited Consolidated financial statements of the Borrower and its Consolidated Subsidiaries and the related audited Consolidated statements of income, stockholders equity, and cash flows of the Borrower and its Consolidated Subsidiaries for such Fiscal Year, setting forth in each case in comparative form the figures for the previous Fiscal Year, certified, in the case of the audited Consolidated financial statements and audited Consolidated statements of income as being fairly stated in all material respects by an independent accounting firm reasonably acceptable to the Agent, it being understood that any nationally recognized certified public accounting firm is satisfactory to the Agent, which report and opinion shall not be subject to any “going concern” or like qualification or exception or any qualification or exception as to the scope of such audit other than any such qualification or exception that is solely with respect to, or resulting solely from,</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upcoming maturity date under this Agreement or the Senior Credit</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8" w:name="page99"/>
    <w:bookmarkEnd w:id="98"/>
    <w:p>
      <w:pPr>
        <w:spacing w:after="0" w:line="282" w:lineRule="auto"/>
        <w:rPr>
          <w:sz w:val="20"/>
          <w:szCs w:val="20"/>
          <w:color w:val="auto"/>
        </w:rPr>
      </w:pPr>
      <w:r>
        <w:rPr>
          <w:rFonts w:ascii="Times New Roman" w:cs="Times New Roman" w:eastAsia="Times New Roman" w:hAnsi="Times New Roman"/>
          <w:sz w:val="18"/>
          <w:szCs w:val="18"/>
          <w:color w:val="auto"/>
        </w:rPr>
        <w:t>Agreement occurring within one year from the time such report is delivered or (y) any inability to satisfy the financial covenants set forth in the Senior Credit Agreement;</w:t>
      </w:r>
    </w:p>
    <w:p>
      <w:pPr>
        <w:spacing w:after="0" w:line="162" w:lineRule="exact"/>
        <w:rPr>
          <w:sz w:val="20"/>
          <w:szCs w:val="20"/>
          <w:color w:val="auto"/>
        </w:rPr>
      </w:pPr>
    </w:p>
    <w:p>
      <w:pPr>
        <w:jc w:val="both"/>
        <w:ind w:firstLine="1304"/>
        <w:spacing w:after="0" w:line="255" w:lineRule="auto"/>
        <w:tabs>
          <w:tab w:leader="none" w:pos="189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forty-five (45) days after the end of each Fiscal Quarter (including the last Fiscal Quarter of each Fiscal Year which, for such Fiscal Quarter, shall be a Borrower prepared draft subject to standard audit adjustments), (i) the Borrower prepared unaudited Consolidated balance sheets of the Borrower and its Consolidated Subsidiaries as at the end of such Fiscal Quarter and the related unaudited statements of income and cash flows (and, upon the request of the Agent, if an Event of Default has occurred and is continuing, stockholders equity) of the Borrower and its Consolidated Subsidiaries for the portion of the Fiscal Year through the end of such Fiscal Quarter, setting forth in each case in comparative form the figures for the corresponding periods in the previous Fiscal Year, and (ii) a report reflecting compliance with Section 7.16 (with reasonably detailed supporting information), in each case, certified by a Responsible Officer of the Borrower as being fairly stated in all material respects; and</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2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end of each month (or such later date as the Agent agrees in its sole discretion), (including the last month of each Fiscal Quarter and each Fiscal Year, which, for such months, shall be a Borrower prepared draft subject to standard audit adjustments), commencing with the first full month occurring after the Restatement Date, the Borrower prepared unaudited Consolidated balance sheets of the Borrower and its Consolidated Subsidiaries as at the end of such month and the related unaudited statements of income and cash flows (and, upon the request of the Agent, if an Event of Default has occurred and is continuing, stockholders equity) of the Borrower and its Consolidated Subsidiaries for the portion of the Fiscal Year through the end of such Fiscal Month, setting forth in each case in comparative form the figures for the corresponding periods in the previous Fiscal Year, and certified by a Responsible Officer of the Borrower as being fairly stated in all material respects;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such financial statements to be complete and correct in all material respects and to be prepared in reasonable detail and in accordance with GAAP consistently applied, throughout the periods reflected therein and with prior periods (except as approved by a Responsible Officer of the Borrower and disclosed therein), provided however that (i) the Consolidating financial statements delivered pursuant to clause (a) hereof, (ii) all the financial statements delivered pursuant to clause (b) hereof will not be required to include footnotes and will be subject to change as a result of audit and year-end adjustments and (iii) all the financial statements delivered pursuant to clause (c) hereof will not be required to include exhibits and will be subject to change as a result of audit, quarterly and/or year-end adjustments.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may be satisfied with respect to financial information of the Borrower and its Consolidated Subsidiaries by furnishing Form 10-K or 10-Q of the Borrower, as applicable, filed with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information is in lieu of information required to be provided under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such materials are accompanied by a report and opinion of the Borrower’s auditor or any other independent accounting firm reasonably acceptable to the Agent, it being understood that any nationally recognized certified public accounting firm is satisfactory to the Agent, which report and opinion shall not be subject to any “going concern” or like qualification or exception or any qualification or exception as to the scope of such audit other than any such qualification or exception that is solely with respect to, or resulting solely from, (x) an upcoming maturity date under this Agreement or the Senior Credit Agreement occurring within one year from the time such report is delivered or (y) any inability to satisfy the financial covenants set forth in the Senior Credit Agreement.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Furnish to the Agent, in form and detail acceptable to the Agent, with sufficient copies for each Lender, the following documents: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9" w:name="page100"/>
    <w:bookmarkEnd w:id="99"/>
    <w:p>
      <w:pPr>
        <w:jc w:val="both"/>
        <w:ind w:firstLine="1304"/>
        <w:spacing w:after="0" w:line="266" w:lineRule="auto"/>
        <w:tabs>
          <w:tab w:leader="none" w:pos="201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receipt thereof, copies of all significant reports submitted by the Credit Parties’ firm(s) of certified public accountants in connection with each annual, interim or special audit or review of any type of the financial statements or related internal control systems of the Credit Parties made by such accountants, including any comment letter submitted by such accountants to management in connection with their services;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7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reports, statements, press releases, other material information or written notices delivered to the Senior Agent, the Senior Lenders or the holders of the Subordinated Debt pursuant to any Senior Loan Documents or any applicable Subordinated Debt Documents (to the extent not otherwise required hereunder), as and when delivered to such Persons (including, without limitation, any compliance certificate (or similar report) delivered pursuant to the Senior Credit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1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sixty (60) days after the end of such Fiscal Year, projections for the Credit Parties for the Fiscal Year then in progress, with the projections presented on a quarterly basis, including a balance sheet, as at the end of each relevant period and for the period commencing at the beginning of the Fiscal Year and ending on the last day of such relevant period, such projections approved by the Borrower’s board of directors and certified by a Responsible Officer of the Borrower as being believed to be reasonable estimates and assumptions taking into account all facts and information known by a Responsible Officer of the Borrower;</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1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the delivery of the financial statements of the Credit Parties required by Section 6.1, if, as a result of any change in accounting principles and policies from those used in the preparation of the Financial Statements, the Consolidated financial statements of the Borrower delivered pursuant to Section 6.1 will differ from the Consolidated financial statements that would have been delivered pursuant to such Section had no such change in accounting principles and policies been made, then, together with the first delivery of such financial statements after such change, one or more statements of reconciliation for all such prior financial statements in form and substance satisfactory to the Agent;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4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information as required by any Loan Document, and such additional schedules, certificates and reports respecting all or any of the Collateral, the items or amounts received by the Credit Parties in full or partial payment thereof, and any goods (the sale or lease of which shall have given rise to any of the Collateral) possession of which has been obtained by the Credit Parties, all to such extent as the Agent may reasonably request from time to time, any such schedule, certificate or report to be certified as true and correct in all material respects by a Responsible Officer of the applicable Credit Party and shall be in such form and detail as the Agent may reasonably specify;</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91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upon the Agent’s request, a report of the cash account balances of the Credit Parties, confirming the Credit Parties’ compliance with the covenant set forth in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1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financial and/or other information as the Agent or any Lender may from time to time reasonably request, promptly following such request.</w:t>
      </w:r>
    </w:p>
    <w:p>
      <w:pPr>
        <w:spacing w:after="0" w:line="16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u w:val="single" w:color="auto"/>
          <w:color w:val="auto"/>
        </w:rPr>
        <w:t>Payment of Taxes and Other Obligations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87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in full before delinquency or before the expiration of any extension period, all Taxes imposed upon any Credit Party or any property of any Credit Party, except (i) unpaid Taxes in an aggregate amount at any one time not in excess of $1,000,000, and (ii) Taxes contested in good faith by proper proceedings which stay the imposition of any Lien resulting from the non-payment thereof and with respect to which adequate reserves have been set aside for the payment thereof in accordance with GAAP.</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0" w:name="page101"/>
    <w:bookmarkEnd w:id="100"/>
    <w:p>
      <w:pPr>
        <w:jc w:val="both"/>
        <w:ind w:firstLine="1304"/>
        <w:spacing w:after="0" w:line="261" w:lineRule="auto"/>
        <w:tabs>
          <w:tab w:leader="none" w:pos="185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discharge or otherwise satisfy, at or before maturity or before they become delinquent, as the case may be, all of its material obligations (other than obligations described in clause (a) above) of whatever nature, including without limitation all assessments, governmental charges, claims for labor, supplies, rent or other obligations, except where the amount or validity thereof is currently being appropriately contested in good faith and reserves in conformity with GAAP with respect thereto have been provided on the books of the Credit Parties.</w:t>
      </w:r>
    </w:p>
    <w:p>
      <w:pPr>
        <w:spacing w:after="0" w:line="18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u w:val="single" w:color="auto"/>
          <w:color w:val="auto"/>
        </w:rPr>
        <w:t>Conduct of Business and Maintenance of Existence; Compliance with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89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engage in their respective business and operations substantially as conducted immediately prior to the Restatement Date, except as otherwise permitted pursuant to Section 7.4 or as may be agreed by the Agent from time to time in its reasonable discretion;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9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renew and keep in full force and effect its existence and maintain its qualifications to do business in each jurisdiction where such qualifications are necessary for its operations, except as otherwise permitted pursuant to Section 7.4;</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7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action it deems necessary in its reasonable business judgment to maintain all rights, privileges, licenses and franchises, and protect all algorithms, Software and customer lists, in each case as are necessary for the normal conduct of its business except where the failure to so maintain such rights, privileges or franchises or so protect such algorithms, Software and customer lists could not, either singly or in the aggregate, reasonably be expected to have a Material Adverse Effect. If, despite the restrictions contained in Section 7.3 and subject to the exceptions for Rent the Runway Limited set forth therein, any Subsidiary of the Borrower that is not the Borrower or a Guarantor holds, acquires, exclusively licenses or develops material algorithms, material customer lists, or material Software, the Borrower shall promptly cause (i) such Subsidiary to transfer such material algorithms, material customer lists, or material Software and any rights thereto to the Borrower or a Guarantor and (ii) grant a perfected security interest in any such material algorithms, material customer lists, or material Software in accordance with the requirements set forth in the Loan Documents and, provided that if Borrower or a Guarantor complies with the foregoing sentence, such holding, acquisition, exclusive license or development shall not constitute a breach of this Section 6.4;</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86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or renew all of its Intellectual Property, except to the extent such Intellectual Property is no longer used or useful to the business of the Credit Parties, based on Credit Parties’ reasonable business judgment;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1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Contractual Obligations and Requirements of Law, except to the extent that failure to comply therewith could not, either singly or in the aggregate, reasonably be expected to have a Material Adverse Effect;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4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Continue to be a Person whose property or interests in property is not blocked or subject to blocking pursuant to Section 1 of Executive Order 13224 of September 23, 2001 Blocking Property and Prohibiting Transactions With Persons Who Commit, Threaten to Commit or Support Terrorism (66 Fed. Reg. 49079 (2001)) (the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(ii) not engage in the transactions prohibited by Section 2 of that Order or become associated with Persons such that a violation of Section 2 of the Order would arise, and (iii) not become a Person on the list of Specially Designated Nationals and Blocked Persons, or (iv) otherwise not become subject to the limitation of any OFAC regulation or executive order.</w:t>
      </w:r>
    </w:p>
    <w:p>
      <w:pPr>
        <w:spacing w:after="0" w:line="18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Maintenance of Property; Insurance</w:t>
      </w:r>
      <w:r>
        <w:rPr>
          <w:rFonts w:ascii="Times New Roman" w:cs="Times New Roman" w:eastAsia="Times New Roman" w:hAnsi="Times New Roman"/>
          <w:sz w:val="18"/>
          <w:szCs w:val="18"/>
          <w:color w:val="auto"/>
        </w:rPr>
        <w:t>. (a) Keep all material property it deems, in its reasonable business judgment, useful and necessary in its business in working order (ordinary wear and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1" w:name="page102"/>
    <w:bookmarkEnd w:id="101"/>
    <w:p>
      <w:pPr>
        <w:jc w:val="both"/>
        <w:spacing w:after="0" w:line="252" w:lineRule="auto"/>
        <w:rPr>
          <w:sz w:val="20"/>
          <w:szCs w:val="20"/>
          <w:color w:val="auto"/>
        </w:rPr>
      </w:pPr>
      <w:r>
        <w:rPr>
          <w:rFonts w:ascii="Times New Roman" w:cs="Times New Roman" w:eastAsia="Times New Roman" w:hAnsi="Times New Roman"/>
          <w:sz w:val="18"/>
          <w:szCs w:val="18"/>
          <w:color w:val="auto"/>
        </w:rPr>
        <w:t>tear excepted); (b) maintain insurance coverage with financially sound and reputable insurance companies on physical assets and against other business risks in such amounts and of such types as are customarily carried by companies similar in size and nature (including without limitation casualty and public liability and property damage insurance), and in the event of acquisition of additional property, real or personal, or of the incurrence of additional risks of any nature, increase such insurance coverage in such manner and to such extent as prudent business judgment and present practice or any applicable Requirements of Law would dictate; (c) in the case of all insurance policies covering any Collateral, such insurance policies shall provide that the loss payable thereunder shall be payable to the applicable Credit Party, and to the Agent (as mortgagee, or, in the case of personal property interests, lender loss payee) as their respective interests may appear; (d) in the case of all public liability insurance policies, such policies shall list the Agent as an additional insured, as the Agent may reasonably request; and (e) if requested by the Agent, certificates evidencing such policies, including all endorsements thereto, to be deposited with the Agent, such certificates being in form and substance reasonably acceptable to the Agent (which policies shall provide that it shall not be canceled, modified or not renewed (i) by reason of nonpayment of premium except upon not less than ten (10) days’ prior written notice thereof by insurer to the Agent (giving the Agent the right to cure defaults in the payment of premiums) or (ii) for any other reason except upon not less than thirty</w:t>
      </w:r>
    </w:p>
    <w:p>
      <w:pPr>
        <w:spacing w:after="0" w:line="4" w:lineRule="exact"/>
        <w:rPr>
          <w:sz w:val="20"/>
          <w:szCs w:val="20"/>
          <w:color w:val="auto"/>
        </w:rPr>
      </w:pPr>
    </w:p>
    <w:p>
      <w:pPr>
        <w:jc w:val="both"/>
        <w:ind w:firstLine="8"/>
        <w:spacing w:after="0" w:line="252" w:lineRule="auto"/>
        <w:tabs>
          <w:tab w:leader="none" w:pos="35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written notice thereof by the insurer to the Agent. If any Credit Party fails to maintain such insurance, the Agent may arrange for such insurance, but at the Borrower’s expense and without any responsibility on the Agent’s part for obtaining the insurance, the solvency of the insurance companies, the adequacy of the coverage, or the collection of claims. Upon the occurrence and during the continuance of an Event of Default, subject to the terms of the Specified Subordination Agreement, the Agent shall have the sole right, in the name of the Lenders or any Credit Party,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Inspection of Property; Books and Records, Discussions</w:t>
      </w:r>
      <w:r>
        <w:rPr>
          <w:rFonts w:ascii="Times New Roman" w:cs="Times New Roman" w:eastAsia="Times New Roman" w:hAnsi="Times New Roman"/>
          <w:sz w:val="18"/>
          <w:szCs w:val="18"/>
          <w:color w:val="auto"/>
        </w:rPr>
        <w:t>. Permit the Agent and each Lender, through their authorized attorneys, accountants and representatives (i) at all reasonable times during normal business hours, upon the request of the Agent or such Lender, to examine each Credit Party’s books, accounts, records, ledgers and assets and properties, (ii) during normal business hours and at their own risk, to enter onto the real property owned or leased by any Credit Party to conduct inspections, investigations or other reviews of such real property, and (iii) at reasonable times during normal business hours and at reasonable intervals, to visit all of the Credit Parties’ offices, discuss each Credit Party’s respective financial matters with their respective officers, as applicable, and, by this provision, the Borrower authorizes, and will cause each of its respective Subsidiaries to authorize, its independent certified or chartered public accountants to discuss the finances and affairs of any Credit Party and examine any of such Credit Party’s books, reports or records held by such accountants; provided, however, when an Event of Default exists, the Agent and each Lender, through their authorized attorneys, accountants and representatives, may do any of the foregoing at the expense of the Credit Parties at any time during normal business hours and without advance notice.</w:t>
      </w:r>
    </w:p>
    <w:p>
      <w:pPr>
        <w:spacing w:after="0" w:line="19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Give written notice to the Agent of:</w:t>
      </w:r>
    </w:p>
    <w:p>
      <w:pPr>
        <w:spacing w:after="0" w:line="225" w:lineRule="exact"/>
        <w:rPr>
          <w:sz w:val="20"/>
          <w:szCs w:val="20"/>
          <w:color w:val="auto"/>
        </w:rPr>
      </w:pPr>
    </w:p>
    <w:p>
      <w:pPr>
        <w:ind w:firstLine="1304"/>
        <w:spacing w:after="0" w:line="282" w:lineRule="auto"/>
        <w:tabs>
          <w:tab w:leader="none" w:pos="18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in any event within 2 Business Days after the occurrence thereof, the occurrence of any Default or Event of Default of which any Credit Party has knowledge or the occurrence of any Reportable Compliance Event;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any (i) litigation or proceeding existing at any time between any Credit Party and any Governmental Authority or other third party, or any investigation of any Credit Party conducted by any Governmental Authority, which in any case if adversely determined would have a</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2" w:name="page103"/>
    <w:bookmarkEnd w:id="102"/>
    <w:p>
      <w:pPr>
        <w:jc w:val="both"/>
        <w:spacing w:after="0" w:line="266" w:lineRule="auto"/>
        <w:rPr>
          <w:sz w:val="20"/>
          <w:szCs w:val="20"/>
          <w:color w:val="auto"/>
        </w:rPr>
      </w:pPr>
      <w:r>
        <w:rPr>
          <w:rFonts w:ascii="Times New Roman" w:cs="Times New Roman" w:eastAsia="Times New Roman" w:hAnsi="Times New Roman"/>
          <w:sz w:val="18"/>
          <w:szCs w:val="18"/>
          <w:color w:val="auto"/>
        </w:rPr>
        <w:t>Material Adverse Effect together with all documents and information furnished to such Governmental Authority in connection thereof (to the extent such disclosure is not prohibited by any Requirements of Law) or (ii) Material Adverse Effect on the financial condition of any Credit Party since the date of the last audited financial statements delivered pursuant to Section 6.1(a) hereto;</w:t>
      </w:r>
    </w:p>
    <w:p>
      <w:pPr>
        <w:spacing w:after="0" w:line="176" w:lineRule="exact"/>
        <w:rPr>
          <w:sz w:val="20"/>
          <w:szCs w:val="20"/>
          <w:color w:val="auto"/>
        </w:rPr>
      </w:pPr>
    </w:p>
    <w:p>
      <w:pPr>
        <w:ind w:right="20" w:firstLine="1304"/>
        <w:spacing w:after="0" w:line="282" w:lineRule="auto"/>
        <w:tabs>
          <w:tab w:leader="none" w:pos="191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which any Credit Party believes could reasonably be expected to have a Material Adverse Effect, promptly, but in any event within 5 Business Days, after concluding that such event could reasonably be expected to have such a Material Adverse Effect;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7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but in any event within 5 Business Days, after becoming aware thereof, the taking by the Internal Revenue Service or any state, local or foreign taxing jurisdiction of a written tax position (or any such tax position taken by any Credit Party in a filing with the Internal Revenue Service or any state, local or foreign taxing jurisdiction) which could reasonably be expected to have a Material Adverse Effect, setting forth the details of such position and the financial impact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7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all jurisdictions in which the Borrower or any Guarantor proposes to become qualified after the Restatement Date to transact business, (ii) the acquisition or creation of any new Subsidiaries, (iii) any material change after the Restatement Date in the authorized and issued Equity Interests of any Credit Party or any other material amendment to any Credit Party’s charter, by-laws or other organizational documents, such notice, in each case, to identify the applicable jurisdictions, capital structures or amendments as applicable, provided that such notice shall be given not less than ten (10) Business Days prior to the proposed effectiveness of such changes, acquisition or creation, as the case may be (or such shorter period to which the Agent may consent);</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79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notices that any Credit Party executes or receives in connection with any Material Contract, as soon as possible and in any event within 5 Business Days after execution, receipt or delivery thereof, together with copies thereof;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8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(i) the sending or filing thereof, copies of all statements, reports and other information any Credit Party sends to any holders of its Debt in excess of $100,000 or its securities or files with the SEC or any national (domestic or foreign) securities exchange, and (ii) the receipt thereof, a copy of any material notice any Credit Party receives from any holder of its Debt in excess of $100,000;</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Security Breaches, all investigations by a Governmental Authority or other Person regarding an actual or possible material violation of any Applicable Laws regarding the privacy or security of any Credit Party Data, and all material notices, allegations, complaints, and other communications relating to any of the foregoing;</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8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fifteen (15) Business Days (or such other shorter period to which the Agent may agree) prior to the proposed effective date thereof (or to the extent the Borrower requests any such modification less than fifteen (15) Business Days prior to the proposed effective date thereof, upon receipt thereof), (i) any proposed amendments, restatements or other modifications to any Senior Loan Document or (ii) any material proposed amendments, restatements or other modifications to any Subordinated Debt Documents;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8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 or event of default by any Person under any Senior Loan Document or any Subordinated Debt Document, concurrently with delivery or promptly, but in any event within 5 Business Days, after receipt (as the case may be) of any notice of default or event of default under the applicable document, as the case may be.</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3" w:name="page104"/>
    <w:bookmarkEnd w:id="103"/>
    <w:p>
      <w:pPr>
        <w:jc w:val="both"/>
        <w:spacing w:after="0" w:line="266" w:lineRule="auto"/>
        <w:rPr>
          <w:sz w:val="20"/>
          <w:szCs w:val="20"/>
          <w:color w:val="auto"/>
        </w:rPr>
      </w:pPr>
      <w:r>
        <w:rPr>
          <w:rFonts w:ascii="Times New Roman" w:cs="Times New Roman" w:eastAsia="Times New Roman" w:hAnsi="Times New Roman"/>
          <w:sz w:val="18"/>
          <w:szCs w:val="18"/>
          <w:color w:val="auto"/>
        </w:rPr>
        <w:t>Each notice pursuant to this Section shall be accompanied by a statement of a Responsible Officer of the Borrower setting forth details of the occurrence referred to therein and, in the case of notices referred to in clauses (a), (b), (c), (d), (h) and (j) hereof stating what action the applicable Credit Party has taken or proposes to take with respect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the obligations in this Section may be satisfied by disclosure in public filings of the Borrower filed with the SEC.</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u w:val="single" w:color="auto"/>
          <w:color w:val="auto"/>
        </w:rPr>
        <w:t>Hazardous Material Laws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8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and operate all of its business, facilities and properties in material compliance with all applicable Hazardous Material Laws, keep all material required permits, approvals, certificates, licenses and other authorizations required under such Hazardous Material Laws in effect and remain in compliance therewith, and handle all Hazardous Materials in material compliance with all applicable Hazardous Material Laws;</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8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Promptly notify the Agent and provide copies upon receipt of all written claims, complaints, notices or inquiries received by any Credit Party relating to its facilities and properties or compliance with Hazardous Material Laws which, if adversely determined, could reasonably be expected to have a Material Adverse Effect and (ii) promptly cure and have dismissed with prejudice to the reasonable satisfaction of the Agent and the Majority Lenders any material actions and proceedings relating to compliance with, or liability under, Hazardous Material Laws to which any Credit Party is named a party, other than such actions or proceedings being contested in good faith and with the establishment of reasonable reserves;</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6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to comply with Hazardous Material Laws, remediate or monitor contamination arising from a release or disposal of Hazardous Material, or undertake corrective action to address any noncompliance with or liability under Hazardous Material Laws, in each case which solely, or together with other releases, instances of noncompliance, liability or disposals of Hazardous Materials could reasonably be expected to have a Material Adverse Effect; and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84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such information and certifications which the Agent or any Lender may reasonably request from time to time to evidence compliance with this Section 6.8.</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Board Observation Rights</w:t>
      </w:r>
      <w:r>
        <w:rPr>
          <w:rFonts w:ascii="Times New Roman" w:cs="Times New Roman" w:eastAsia="Times New Roman" w:hAnsi="Times New Roman"/>
          <w:sz w:val="18"/>
          <w:szCs w:val="18"/>
          <w:color w:val="auto"/>
        </w:rPr>
        <w:t>. (a) Each of STORY3 and Nexus shall be entitled to designate one observer and (b) CHS Investments shall be entitled to designate two observers (each such observer described in foregoing clauses (a) and (b), a “</w:t>
      </w:r>
      <w:r>
        <w:rPr>
          <w:rFonts w:ascii="Times New Roman" w:cs="Times New Roman" w:eastAsia="Times New Roman" w:hAnsi="Times New Roman"/>
          <w:sz w:val="18"/>
          <w:szCs w:val="18"/>
          <w:b w:val="1"/>
          <w:bCs w:val="1"/>
          <w:color w:val="auto"/>
        </w:rPr>
        <w:t>Board Observer</w:t>
      </w:r>
      <w:r>
        <w:rPr>
          <w:rFonts w:ascii="Times New Roman" w:cs="Times New Roman" w:eastAsia="Times New Roman" w:hAnsi="Times New Roman"/>
          <w:sz w:val="18"/>
          <w:szCs w:val="18"/>
          <w:color w:val="auto"/>
        </w:rPr>
        <w:t>”), in each case, to attend in person (or, only in the case of BOD Meetings that other board members or observers are permitted to attend by telephone, videoconference or other electronic means, by telephone, videoconference or such other electronic means) any regular or special meeting (a “</w:t>
      </w:r>
      <w:r>
        <w:rPr>
          <w:rFonts w:ascii="Times New Roman" w:cs="Times New Roman" w:eastAsia="Times New Roman" w:hAnsi="Times New Roman"/>
          <w:sz w:val="18"/>
          <w:szCs w:val="18"/>
          <w:b w:val="1"/>
          <w:bCs w:val="1"/>
          <w:color w:val="auto"/>
        </w:rPr>
        <w:t>BOD Meeting</w:t>
      </w:r>
      <w:r>
        <w:rPr>
          <w:rFonts w:ascii="Times New Roman" w:cs="Times New Roman" w:eastAsia="Times New Roman" w:hAnsi="Times New Roman"/>
          <w:sz w:val="18"/>
          <w:szCs w:val="18"/>
          <w:color w:val="auto"/>
        </w:rPr>
        <w:t xml:space="preserve">”) of the board of directors of the Borrower (or any relevant committees thereof), except that no Board Observer shall be entitled to vote on matters presented to or discussed by the board of directors (or any relevant committee thereof) of the Borrower at any such meetings. Each Board Observer shall be timely notified of the time and place of any BOD Meetings and will be given written notice (such notice to be delivered to the Board Observers contemporaneously with delivery of such notice to the other board members) of all proposed actions to be taken by the board of directors (or any relevant committee thereof) of the Borrower at such meeting as if such Board Observer were a member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to the contrary contained in this Section 6.9, the Board Observers may be excluded from meetings (or a portion thereof) and materials provided to the Board Observers in connection with such meetings may be redacted to the extent that the board of directors of the Borrower (or any relevant committees thereof) reasonably determines that such exclusion or redaction is necessary (a) to preserve attorney-client privilege or (b) to avoid a conflict of interest between the interests of the Borrower or any of its Subsidiaries, as applicable,</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4" w:name="page105"/>
    <w:bookmarkEnd w:id="104"/>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and those of the Agent or any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such exclusion or redaction shall be limited to the portion of such meeting or materials that is the basis for such exclusion or redaction and shall not extend to any portion of such meeting or materials that does not involve or pertain to such exclusion or redaction. Such notice shall describe in reasonable detail the nature and substance of the matters to be discussed and/or voted upon at such meeting (or the proposed actions to be taken by written consent without a meeting). In the event any Board Observer is excluded from any meeting or portion thereof or is delivered any redacted information or materials related thereto, the Borrower shall promptly provide to such Board Observer a general description, which shall be true and correct in all material respects, of the matters discussed during such meeting or portion thereof at which such Board Observer was excluded and any such redacted information or materials;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description may exclude any information to the extent that the Borrower reasonably determines that such exclusion is necessary (i) to preserve attorney-client privilege or (ii) to avoid a conflict of interest between the interests of the Borrower or any of its Subsidiaries, as applicable, and those of the Agent or any Lender. Subject to the first proviso in the second sentence of this Section, the Board Observers shall have the right to receive all information provided to the members of the board of directors or any similar group performing an executive oversight or similar function (or any relevant committee thereof) of the Borrower in anticipation of or at such meeting (regular or special and whether telephonic, videoconference or otherwise), in addition to copies of the records of the proceedings or minutes of such meeting, when provided to the members, and the Board Observers shall keep such materials and information confidential in accordance with Section 12.10. Each Board Observer shall be identified by CHS Investments, STORY3 or Nexus, as applicable, and consented to by the Borrower (such consent not to be unreasonably delayed or withheld), and each of CHS Investments, STORY3 and Nexus shall have the right to replace its Board Observer(s) at any time subject to consent by the Borrower (such consent not to be unreasonably delayed or withheld). The Borrower shall reimburse each Board Observer for all reasonable out-of-pocket costs and expenses incurred in connection with its participation in any such BOD Meeting.</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Governmental and Other Approvals</w:t>
      </w:r>
      <w:r>
        <w:rPr>
          <w:rFonts w:ascii="Times New Roman" w:cs="Times New Roman" w:eastAsia="Times New Roman" w:hAnsi="Times New Roman"/>
          <w:sz w:val="18"/>
          <w:szCs w:val="18"/>
          <w:color w:val="auto"/>
        </w:rPr>
        <w:t>. Apply for, obtain and/or maintain in effect, as applicable, all authorizations, consents, approvals, licenses, qualifications, exemptions, filings, declarations and registrations (whether with any court, governmental agency, regulatory authority, securities exchange or otherwise) which are necessary or reasonably requested by the Agent in connection with the execution, delivery and performance by any Credit Party of, as applicable, this Agreement, the other Loan Documents, the Senior Loan Documents, the Subordinated Debt Documents, or any other documents or instruments to be executed and/or delivered by any Credit Party, as applicable in connection therewith or herewith, except where the failure to so apply for, obtain or maintain could not reasonably be expected to have a Material Adverse Effect.</w:t>
      </w:r>
    </w:p>
    <w:p>
      <w:pPr>
        <w:spacing w:after="0" w:line="18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u w:val="single" w:color="auto"/>
          <w:color w:val="auto"/>
        </w:rPr>
        <w:t>Compliance with ERISA; ERISA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304"/>
        <w:spacing w:after="0" w:line="261" w:lineRule="auto"/>
        <w:tabs>
          <w:tab w:leader="none" w:pos="185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respects with all requirements imposed by ERISA and the Internal Revenue Code and other Requirements of Law, including, but not limited to, the minimum funding requirements for any Pension Plan (other than a Multiemployer Plan), and to prevent any occurrence of an ERISA Event or Foreign Benefit Event, except to the extent that failure to comply therewith could not, either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5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Agent in writing if any ERISA Event or Foreign Benefit Event occurs, or is reasonably expected to occur, to the extent that such ERISA Event or Foreign Benefit Event could reasonably be expected to have a Material Adverse Effect when taken either individually or in the aggregate with all other such ERISA Events or Foreign Benefit Events for which liability could be reasonably expected to occur.</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5" w:name="page106"/>
    <w:bookmarkEnd w:id="105"/>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8"/>
          <w:szCs w:val="18"/>
          <w:u w:val="single" w:color="auto"/>
          <w:color w:val="auto"/>
        </w:rPr>
        <w:t>Defense of Collateral</w:t>
      </w:r>
      <w:r>
        <w:rPr>
          <w:rFonts w:ascii="Times New Roman" w:cs="Times New Roman" w:eastAsia="Times New Roman" w:hAnsi="Times New Roman"/>
          <w:sz w:val="18"/>
          <w:szCs w:val="18"/>
          <w:color w:val="auto"/>
        </w:rPr>
        <w:t>. Defend the Collateral from any Liens other than Liens permitted by Section 7.2.</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7"/>
          <w:szCs w:val="17"/>
          <w:u w:val="single" w:color="auto"/>
          <w:color w:val="auto"/>
        </w:rPr>
        <w:t>Future Subsidiaries; Additional Collateral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87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Person which becomes a (i) Domestic Subsidiary of the Borrower (directly or indirectly) subsequent to the Restatement Date, whether by Permitted Acquisition or otherwise, cause such new Domestic Subsidiary or (ii) Foreign Subsidiary (including any CFC) of the Borrower (directly or indirectly) subsequent to the Restatement Date, whether by Permitted Acquisition or otherwise, unless the Agent, acting in consultation with the Borrower, reasonably determines in good faith that the cost, burden, difficulty and/or consequence of obtaining a guaranty or security interest with respect thereto outweigh the benefit to the Lenders after conducting due diligence on such Foreign Subsidiary, cause such new Foreign Subsidiary, to execute and deliver to the Agent, for and on behalf of itself and each of the Lenders (unless waived by the Agent) the below items set forth in clauses (i)-(iii); provided, that no CFC or CFC Holding Company shall be required to complete the items set forth in clauses (a)(i)-(iii) below if completing such requirements would reasonably be expected to result in material tax liabilities or material adverse tax consequences as jointly determined in good faith by the Borrower and the Agent:</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2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date such Person becomes a Subsidiary (or such longer time period as the Agent may determine, without any requirement for Lender consent), a Guaranty, or in the event that a Guaranty already exists, a joinder agreement to the Guaranty whereby such Subsidiary becomes obligated as a Guarantor under the Guaranty;</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563"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the date such Person becomes a Subsidiary (or such longer time period as the Agent may determine, without any requirement for Lender consent), a joinder agreement to the Security Agreement whereby such Subsidiary grants a Lien over its assets (other than Equity Interests which should be governed by (b) of this Section 6.13) as set forth in the Security Agreement, and such Subsidiary shall take such additional actions as may be necessary to ensure a valid perfected Lien over such assets of such Subsidiary, subject only to the other Liens permitted pursuant to Section 7.2 of this Agreement; and</w:t>
      </w:r>
    </w:p>
    <w:p>
      <w:pPr>
        <w:spacing w:after="0" w:line="183" w:lineRule="exact"/>
        <w:rPr>
          <w:rFonts w:ascii="Times New Roman" w:cs="Times New Roman" w:eastAsia="Times New Roman" w:hAnsi="Times New Roman"/>
          <w:sz w:val="18"/>
          <w:szCs w:val="18"/>
          <w:color w:val="auto"/>
        </w:rPr>
      </w:pPr>
    </w:p>
    <w:p>
      <w:pPr>
        <w:ind w:firstLine="1952"/>
        <w:spacing w:after="0" w:line="282" w:lineRule="auto"/>
        <w:tabs>
          <w:tab w:leader="none" w:pos="272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time period specified in and to the extent required under clause (c) of this Section 6.13, a Mortgage, Collateral Access Agreements and/or other documents required to be delivered in connection therewith;</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1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Equity Interests of each Person which becomes (whether by Permitted Acquisition or otherwise) (i) a Domestic Subsidiary or a Foreign Subsidiary which becomes (or is required to become) a Guarantor subsequent to the Restatement Date, cause the Borrower or the Guarantor that holds such Equity Interests to execute and deliver such Pledge Agreements, and take such actions as may be necessary to ensure a valid perfected Lien over one hundred percent (100%) of the Equity Interests of such Subsidiary held by the Borrower or such Guarantor, such Pledge Agreements to be executed and delivered (unless waived in writing by the Agent) within thirty (30) days after the date such Person becomes a Subsidiary (or such longer time period as the Agent may determine, without any requirement for Lender consent); provided that with respect to any CFC Holding Company that is not required to become a Guarantor, there shall be a valid perfected Lien over sixty-five percent (65%) (or more than sixty-five percent (65%) unless such greater percentage would reasonably be expected to cause any material adverse tax consequences to the Borrower as jointly determined in good faith by the Borrower and the Agent) of the voting Equity Interest and one hundred percent (100%) of the non-voting Equity Interest of such CFC Holding Company; and (ii) a Foreign Subsidiary subsequent to the Restatement Date and is not required to become a Guarantor, the Equity Interests of which is held directly</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6" w:name="page107"/>
    <w:bookmarkEnd w:id="106"/>
    <w:p>
      <w:pPr>
        <w:jc w:val="both"/>
        <w:spacing w:after="0" w:line="256" w:lineRule="auto"/>
        <w:rPr>
          <w:sz w:val="20"/>
          <w:szCs w:val="20"/>
          <w:color w:val="auto"/>
        </w:rPr>
      </w:pPr>
      <w:r>
        <w:rPr>
          <w:rFonts w:ascii="Times New Roman" w:cs="Times New Roman" w:eastAsia="Times New Roman" w:hAnsi="Times New Roman"/>
          <w:sz w:val="18"/>
          <w:szCs w:val="18"/>
          <w:color w:val="auto"/>
        </w:rPr>
        <w:t>by the Borrower or a Guarantor, cause the Borrower or such Guarantor that holds such Equity Interests to execute and deliver such Pledge Agreements and take such actions as may be necessary to ensure a valid perfected Lien over sixty-five percent (65%) (or more than sixty-five percent (65%) unless such greater percentage would reasonably be expected to cause any material adverse tax consequences to the Borrower as jointly determined in good faith by the Borrower and the Agent) of the voting Equity Interest and one hundred percent (100%) of the non-voting Equity Interests of such Foreign Subsidiary, such Pledge Agreements to be executed and delivered (unless waived in writing by the Agent) within thirty (30) days after the date such Person becomes a Foreign Subsidiary (or such longer time period as the Agent may determine, without any requirement for Lender consent); and</w:t>
      </w:r>
    </w:p>
    <w:p>
      <w:pPr>
        <w:spacing w:after="0" w:line="187" w:lineRule="exact"/>
        <w:rPr>
          <w:sz w:val="20"/>
          <w:szCs w:val="20"/>
          <w:color w:val="auto"/>
        </w:rPr>
      </w:pPr>
    </w:p>
    <w:p>
      <w:pPr>
        <w:jc w:val="both"/>
        <w:ind w:firstLine="1304"/>
        <w:spacing w:after="0" w:line="252" w:lineRule="auto"/>
        <w:tabs>
          <w:tab w:leader="none" w:pos="186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 respect to the acquisition of a fee interest in real property by the Borrower or any Guarantor after the Restatement Date (whether by Permitted Acquisition or otherwise), not later than sixty (60) days after the acquisition is consummated (or such longer time period as the Agent may determine, without any requirement for Lender consent), the Borrower or such Guarantor shall execute or cause to be executed (unless waived in writing by the Agent), a Mortgage (or an amendment to an existing mortgage, where appropriate) covering such real property, together with such additional real estate documentation, environmental reports, title policies and surveys as may be reasonably required by the Agent; (ii) with respect to the acquisition of any leasehold interest in real property by the Borrower or any Guarantor after the Restatement Date (whether by Permitted Acquisition or otherwise) at which the Borrower or such Guarantor maintains its headquarters location, not later than forty-five (45) days after the acquisition is consummated (or such longer time period as the Agent may determine, without any requirement for Lender consent), the Borrower or such Guarantor shall deliver to the Agent a copy of the applicable lease agreement and shall use commercially reasonably efforts to execute or cause to be executed, unless otherwise waived in writing by the Agent, a Collateral Access Agreement in form and substance reasonably acceptable to the Agent together with such other documentation as may be reasonably required by the Agent; and (iii) with respect to the acquisition of any other leasehold interest in real property by the Borrower or any Guarantor after the Restatement Date (whether by Permitted Acquisition or otherwise) at which the Borrower or such Guarantor holds or stores Collateral with an aggregate net book value in excess of $2,500,000 at each such location, not later than sixty (60) days after the date on which Collateral in excess of such threshold amount is located on the location subject to such lease (or such longer time period as the Agent may determine, without any requirement for Lender consent), the Borrower or such Guarantor shall deliver to the Agent a copy of the applicable lease agreement and shall use commercially reasonable efforts to execute or cause to be executed, unless otherwise waived by the Agent, a Collateral Access Agreement in form and substance reasonably acceptable to the Agent, together with such other documentation as may be reasonably required by the Agent;</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each case in form reasonably satisfactory to the Agent, in its reasonable discretion, together with such supporting documentation, including without limitation corporate authority items, certificates and opinions of counsel, as reasonably required by the Agent. Upon the Agent’s request, the Borrower and the Guarantors shall take, or cause to be taken, such additional steps as are necessary or advisable under applicable law to perfect and ensure the validity and priority of the Liens granted under this Section 6.13.</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Accounts</w:t>
      </w:r>
      <w:r>
        <w:rPr>
          <w:rFonts w:ascii="Times New Roman" w:cs="Times New Roman" w:eastAsia="Times New Roman" w:hAnsi="Times New Roman"/>
          <w:sz w:val="18"/>
          <w:szCs w:val="18"/>
          <w:color w:val="auto"/>
        </w:rPr>
        <w:t>. All deposit accounts and securities accounts of the Borrower and the Guarantors (other than Excluded Accounts and other deposit accounts and/or securities accounts that the Agent shall agree in its sole discretion) shall be subject to Account Control Agreements. The Borrower and the Guarantors shall take all other steps necessary, or in the opinion of the Agent, desirable to ensure that the Agent has a perfected security interest in such account. Notwithstanding the foregoing, the Borrower shall be permitted to maintain the Permitted Account without delivering the documentation required under this Section 6.14 with respect to such Permitted Account, so long as no Event of Default has occurred and is continuing and the aggregate balance in the Permitted Account does not exceed Three</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7" w:name="page108"/>
    <w:bookmarkEnd w:id="107"/>
    <w:p>
      <w:pPr>
        <w:jc w:val="both"/>
        <w:spacing w:after="0" w:line="256" w:lineRule="auto"/>
        <w:rPr>
          <w:sz w:val="20"/>
          <w:szCs w:val="20"/>
          <w:color w:val="auto"/>
        </w:rPr>
      </w:pPr>
      <w:r>
        <w:rPr>
          <w:rFonts w:ascii="Times New Roman" w:cs="Times New Roman" w:eastAsia="Times New Roman" w:hAnsi="Times New Roman"/>
          <w:sz w:val="18"/>
          <w:szCs w:val="18"/>
          <w:color w:val="auto"/>
        </w:rPr>
        <w:t>Hundred Thousand Dollars ($300,000) at any time. The Borrower and the Guarantors shall deposit, or cause to be deposited promptly, and in any event no later than the next Business Day after the date of receipt thereof, all proceeds in respect of any Collateral and all other amounts received by the Borrower and the Guarantors into an account of the Borrower or Guarantors. The Borrower and the Guarantors shall not maintain cash or other amounts in any deposit account or securities account, unless the Agent shall have received an Account Control Agreement in respect of each such account (other than the Excluded Accounts). Subject to the terms of the Specified Subordination Agreement, if an Event of Default has occurred and is continuing, all amounts received in such accounts shall, if so directed by the Agent, be wired each Business Day into the Agent’s Account.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Use the Loans in accordance with Section 2.10. The Borrower shall not use any portion of the proceeds of any such advances for the purpose of purchasing or carrying any “margin stock” (as defined in Regulation U of the Board of Governors of the Federal Reserve System) in any manner which violates the provisions of Regulation T, U or X of said Board of Governors or for any other purpose in violation of any applicable statute or regulation and not use the Loans to fund any operations in, finance any investments or activities in, or, make any payments to, a Sanctioned Country or Sanctioned Person in violation of any Anti-Terrorism Law or in any other manner that would result in a violation of Sanctions by any Person.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as could not reasonably be expected to have a Material Adverse Effect, the Borrower shall (i) protect, defend and maintain the validity and enforceability of the material Trademarks, Patents, Copyrights and Trade Secrets owned by the Borrower, (ii) use commercially reasonable efforts to detect or otherwise protect against infringements of the Trademarks, Patents and Copyrights or misappropriation of Trade Secrets owned by the Borrower and promptly advise the Agent in writing of material infringements or misappropriations detected and (iii) not allow any Intellectual Property owned by the Borrower to be abandoned, forfeited or dedicated to the public without the written consent of the Agent, which shall not be unreasonably withheld. If, despite the restrictions contained in Section 7.3 and subject to the exceptions for Rent the Runway Limited set forth therein, any Subsidiary of the Borrower that is not the Borrower or a Guarantor holds, acquires, exclusively licenses or develops material Intellectual Property, the Borrower shall promptly cause (i) such Subsidiary to transfer such material Intellectual Property and any rights thereto to the Borrower or a Guarantor and (ii) grant a perfected security interest in any such Intellectual Property in accordance with the requirements set forth in the Loan Documents.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Consent of Inbound Licensors</w:t>
      </w:r>
      <w:r>
        <w:rPr>
          <w:rFonts w:ascii="Times New Roman" w:cs="Times New Roman" w:eastAsia="Times New Roman" w:hAnsi="Times New Roman"/>
          <w:sz w:val="18"/>
          <w:szCs w:val="18"/>
          <w:color w:val="auto"/>
        </w:rPr>
        <w:t>. Promptly after entering into or becoming bound by any inbound license or agreement (other than over-the-counter software that is commercially available to the public), the failure, breach or termination of which could reasonably be expected to cause a Material Adverse Effect, the Borrower shall provide written notice to the Agent of the material terms of such license or agreement with a description of its likely impact on the Borrower’s business or financial condition. The Borrower shall, in good faith, take such actions as the Agent may reasonably request to obtain the consent of, or waiver by, any person whose consent or waiver is necessary for (a) the Borrower’s interest in such licenses or contract rights to be deemed Collateral and for the Agent to have, for the benefit of the Lenders, a security interest in it that might otherwise be restricted by the terms of the applicable license or agreement, whether now existing or entered into in the future (in each case, only to the extent they constitute Collateral), and (b) the Agent to have the ability in the event of a liquidation of any Collateral to dispose of such Collateral in accordance with the Agent’s rights and remedies under this Agreement and the other Loan Documents, provided, however, that the failure to obtain any such consent or waiver shall not constitute an Event of Default under this Agreement.</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Anti-Terrorism</w:t>
      </w:r>
      <w:r>
        <w:rPr>
          <w:rFonts w:ascii="Times New Roman" w:cs="Times New Roman" w:eastAsia="Times New Roman" w:hAnsi="Times New Roman"/>
          <w:sz w:val="18"/>
          <w:szCs w:val="18"/>
          <w:color w:val="auto"/>
        </w:rPr>
        <w:t>. Not permit (i) any Covered Entity (in the case of clauses (b) and (c) of the definition of “Covered Entity,” to the knowledge of the Credit Parties) to become a Sanctioned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8" w:name="page109"/>
    <w:bookmarkEnd w:id="108"/>
    <w:p>
      <w:pPr>
        <w:jc w:val="both"/>
        <w:spacing w:after="0" w:line="255" w:lineRule="auto"/>
        <w:rPr>
          <w:sz w:val="20"/>
          <w:szCs w:val="20"/>
          <w:color w:val="auto"/>
        </w:rPr>
      </w:pPr>
      <w:r>
        <w:rPr>
          <w:rFonts w:ascii="Times New Roman" w:cs="Times New Roman" w:eastAsia="Times New Roman" w:hAnsi="Times New Roman"/>
          <w:sz w:val="18"/>
          <w:szCs w:val="18"/>
          <w:color w:val="auto"/>
        </w:rPr>
        <w:t>Person, (ii) any Covered Entity (in the case of clauses (b) and (c) of the definition of “Covered Entity,” to the knowledge of the Credit Parties), either in its own right or through any third party, to (A) have any of its assets in a Sanctioned Country or in the possession, custody or control of a Sanctioned Person in violation of any Anti-Terrorism Law; (B) do business in or with, or derive any of its income from investments in or transactions with, any Sanctioned Country or Sanctioned Person in violation of any Anti-Terrorism Law; (C) engage in any dealings or transactions prohibited by any Anti-Terrorism Law; or</w:t>
      </w:r>
    </w:p>
    <w:p>
      <w:pPr>
        <w:spacing w:after="0" w:line="3" w:lineRule="exact"/>
        <w:rPr>
          <w:sz w:val="20"/>
          <w:szCs w:val="20"/>
          <w:color w:val="auto"/>
        </w:rPr>
      </w:pPr>
    </w:p>
    <w:p>
      <w:pPr>
        <w:jc w:val="both"/>
        <w:ind w:firstLine="8"/>
        <w:spacing w:after="0" w:line="253" w:lineRule="auto"/>
        <w:tabs>
          <w:tab w:leader="none" w:pos="29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Loans to fund any operations in, finance any investments or activities in, or, make any payments to, a Sanctioned Country or Sanctioned Person in violation of any Anti-Terrorism Law, (iii) the funds used to repay the Indebtedness will not be derived from any unlawful activity, and (iv) shall cause each Covered Entity (in the case of clauses (b) and (c) of the definition of “Covered Entity,” to the knowledge of the Credit Parties) to comply with all Anti-Terrorism Laws.</w:t>
      </w:r>
    </w:p>
    <w:p>
      <w:pPr>
        <w:spacing w:after="0" w:line="18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6.19</w:t>
      </w:r>
      <w:r>
        <w:rPr>
          <w:sz w:val="20"/>
          <w:szCs w:val="20"/>
          <w:color w:val="auto"/>
        </w:rPr>
        <w:tab/>
      </w:r>
      <w:r>
        <w:rPr>
          <w:rFonts w:ascii="Times New Roman" w:cs="Times New Roman" w:eastAsia="Times New Roman" w:hAnsi="Times New Roman"/>
          <w:sz w:val="17"/>
          <w:szCs w:val="17"/>
          <w:u w:val="single" w:color="auto"/>
          <w:color w:val="auto"/>
        </w:rPr>
        <w:t>Further Assurances and Information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832"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actions as the Agent or Majority Lenders may from time to time reasonably request to establish and maintain perfected security interests in and Liens on all of the Collateral, subject only to those Liens permitted under Section 7.2 hereof, including executing and delivering such additional pledges, assignments, mortgages, lien instruments or other security instruments covering any or all of the Borrower’s and the Guarantors’ assets as the Agent may reasonably require, such documentation to be in form and substance reasonably acceptable to the Agent, and prepared at the expense of the Borrower.</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91"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or cause to be executed and delivered to the Agent within a reasonable time following the Agent’s request, and at the expense of the Borrower, such other documents or instruments as the Agent may reasonably require to effectuate more fully the purposes of this Agreement or the other Loan Documents.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1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Agent and the Lenders with any other information required by Section 326 of the USA Patriot Act or necessary for the Agent and the Lenders to verify the identity of any Credit Party as required by Section 326 of the USA Patriot Act.</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55"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Agent, in its sole discretion, consents in writing to the formation or other existence of a direct parent entity of the Borrower, cause such parent entity to become a Guarantor and a party hereunder and the other Loan Documents, grant a security interest in all of the assets of such entity, including a pledge of 100% of the Equity Interests of the Borrower, and amend, restate, amend and restate, supplement or otherwise modify this Agreement and any other Loan Document to give effect to the foregoing, including causing such direct parent entity to be subject to, among other things, the representations, affirmative covenants, negative covenants (including, without limitation, a passive holding covenant, a restriction on granting Liens on any Equity Interests of the Borrower and a restriction prohibiting the “round-tripping” of cash equity contributions to any equity holders) and events of default hereunder.</w:t>
      </w:r>
    </w:p>
    <w:p>
      <w:pPr>
        <w:spacing w:after="0" w:line="18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NEGATIVE COVENANTS.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Borrower covenants and agrees that, so long as any Lender has any commitment to extend credit hereunder, or any of the Indebtedness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any Prepayment Premium) remains outstanding and unpaid, it will not, and, as applicable, it will not permit any of its Subsidiaries to:</w:t>
      </w:r>
    </w:p>
    <w:p>
      <w:pPr>
        <w:spacing w:after="0" w:line="207"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Limitation on Debt</w:t>
      </w:r>
      <w:r>
        <w:rPr>
          <w:rFonts w:ascii="Times New Roman" w:cs="Times New Roman" w:eastAsia="Times New Roman" w:hAnsi="Times New Roman"/>
          <w:sz w:val="18"/>
          <w:szCs w:val="18"/>
          <w:color w:val="auto"/>
        </w:rPr>
        <w:t>. Create, incur, assume or suffer to exist any Debt, except:</w:t>
      </w:r>
    </w:p>
    <w:p>
      <w:pPr>
        <w:spacing w:after="0" w:line="225" w:lineRule="exact"/>
        <w:rPr>
          <w:sz w:val="20"/>
          <w:szCs w:val="20"/>
          <w:color w:val="auto"/>
        </w:rPr>
      </w:pPr>
    </w:p>
    <w:p>
      <w:pPr>
        <w:ind w:left="5520" w:right="5020" w:hanging="4216"/>
        <w:spacing w:after="0" w:line="475" w:lineRule="auto"/>
        <w:tabs>
          <w:tab w:leader="none" w:pos="1827"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of any Credit Party to the Agent or any Lender;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9" w:name="page110"/>
    <w:bookmarkEnd w:id="109"/>
    <w:p>
      <w:pPr>
        <w:ind w:left="1880" w:hanging="576"/>
        <w:spacing w:after="0"/>
        <w:tabs>
          <w:tab w:leader="none" w:pos="18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existing on the Restatement Date and set forth in Schedule 7.1 attached hereto and any Permitted Refinancing Debt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of such Debt;</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of the Borrower or any of its Subsidiaries incurred to finance the acquisition of fixed or capital assets, or any Permitted Refinancing Debt thereof, whether pursuant to a loan or a Capitalized Lease provided that both at the time of and immediately after giving effect to the incurrence thereof (i) no Event of Default shall have occurred and be continuing, (ii) other than in the case of a refinancing, such Debt is incurred within 180 days of the acquisition thereof and (iii) the aggregate principal amount of all such Debt at any one time outstanding (including, without limitation, any Debt of the type described in this clause (c) which is set forth on Schedule 7.1 hereto) shall not exceed $10,000,000;</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86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of the Credit Parties under the Senior Loan Documents in the aggregate principal amount not to exceed $30,000,000 so long as such Debt and all other obligations of the Credit Parties in connection therewith are subject to the Specified Subordination Agreement;</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w:t>
      </w:r>
    </w:p>
    <w:p>
      <w:pPr>
        <w:spacing w:after="0" w:line="225"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under any Hedging Transactions, provided that such transaction is entered into for risk management purposes and not for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purposes;</w:t>
      </w:r>
    </w:p>
    <w:p>
      <w:pPr>
        <w:spacing w:after="0" w:line="206"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arising from judgments or decrees not deemed to be a Default or Event of Default under Section 8.1(g);</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owing to a Person that is a Credit Party, but only to the extent permitted under Section 7.6(d) or 7.6(m);</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2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incurred in respect of credit cards, credit card processing services, debit cards, stored value cards, purchase cards (including so-called “procurement cards” or “P-cards”) or other similar cash management services, in each case, incurred in the ordinary course of business;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1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reimbursement obligations with respect to Cash Secured L/Cs;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aggregate face amount of all Cash Secured L/Cs shall not exceed $15,000,000 at any time;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7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Debt not otherwise permitted under this Section 7.1, provided that both at the time of and immediately after giving effect to the incurrence thereof (i) no Event of Default shall have occurred and be continuing or result therefrom and (ii) the aggregate amount of all such Debt shall not exceed $7,500,000 at any one time outstanding.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Limitation on Liens</w:t>
      </w:r>
      <w:r>
        <w:rPr>
          <w:rFonts w:ascii="Times New Roman" w:cs="Times New Roman" w:eastAsia="Times New Roman" w:hAnsi="Times New Roman"/>
          <w:sz w:val="18"/>
          <w:szCs w:val="18"/>
          <w:color w:val="auto"/>
        </w:rPr>
        <w:t>. Create, incur, assume or suffer to exist any Lien upon any of its property, assets or revenues, whether now owned or hereafter acquired or sign or file or suffer to exist under the UCC or any similar Law or statute of any jurisdiction a financing statement that names any Credit Party as debtor; sign or suffer to exist any security agreement authorizing any Person thereunder to file such financing statement; sell any of its property or assets subject to an understanding or agreement (contingent or otherwise) to repurchase such property or assets with recourse to it or any of its Subsidiaries; or assign or otherwise transfer any accounts or other rights to receive income, except for:</w:t>
      </w:r>
    </w:p>
    <w:p>
      <w:pPr>
        <w:spacing w:after="0" w:line="183" w:lineRule="exact"/>
        <w:rPr>
          <w:sz w:val="20"/>
          <w:szCs w:val="20"/>
          <w:color w:val="auto"/>
        </w:rPr>
      </w:pPr>
    </w:p>
    <w:p>
      <w:pPr>
        <w:ind w:left="1820" w:hanging="516"/>
        <w:spacing w:after="0"/>
        <w:tabs>
          <w:tab w:leader="none" w:pos="18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2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Debt permitted by Section 7.1(c), provided that (i) such Liens are created only upon fixed or capital assets acquired by the applicable Credit Party after the date of this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0" w:name="page111"/>
    <w:bookmarkEnd w:id="110"/>
    <w:p>
      <w:pPr>
        <w:jc w:val="both"/>
        <w:spacing w:after="0" w:line="256" w:lineRule="auto"/>
        <w:rPr>
          <w:sz w:val="20"/>
          <w:szCs w:val="20"/>
          <w:color w:val="auto"/>
        </w:rPr>
      </w:pPr>
      <w:r>
        <w:rPr>
          <w:rFonts w:ascii="Times New Roman" w:cs="Times New Roman" w:eastAsia="Times New Roman" w:hAnsi="Times New Roman"/>
          <w:sz w:val="18"/>
          <w:szCs w:val="18"/>
          <w:color w:val="auto"/>
        </w:rPr>
        <w:t>Agreement (including without limitation by virtue of a loan or a Capitalized Lease), (ii) any such Lien is created solely for the purpose of securing indebtedness representing or incurred to finance the cost of the acquisition of the item of property subject thereto, (iii) the principal amount of the Debt secured by any such Lien shall at no time exceed 100% of the sum of the purchase price or cost of the applicable property, equipment or improvements and the related costs and charges imposed by the vendors thereof and (iv) the Lien does not cover any property other than the fixed or capital asset acquired; provided, however, that no such Lien shall be created over any owned real property of any Credit Party for which the Agent has received a Mortgage or for which such Credit Party is required to execute a Mortgage pursuant to the terms of this Agreement;</w:t>
      </w:r>
    </w:p>
    <w:p>
      <w:pPr>
        <w:spacing w:after="0" w:line="187" w:lineRule="exact"/>
        <w:rPr>
          <w:sz w:val="20"/>
          <w:szCs w:val="20"/>
          <w:color w:val="auto"/>
        </w:rPr>
      </w:pPr>
    </w:p>
    <w:p>
      <w:pPr>
        <w:ind w:left="1820" w:hanging="516"/>
        <w:spacing w:after="0"/>
        <w:tabs>
          <w:tab w:leader="none" w:pos="18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created pursuant to the Loan Documents;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2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Collateral securing the Senior Debt permitted by Section 7.1(d) so long as such Liens and all obligations of the Credit Parties in connection therewith are subject to the Specified Subordination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9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existing on the Restatement Date and set forth on Schedule 7.2; provided, that any such Lien shall only secure the Debt that it secures on the Restatement Date and any Permitted Refinancing Debt in respect thereof;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4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collateral and cash on deposit in deposit accounts securing the Cash Secured L/Cs constituting Debt permitted by Section 7.1(j) (each, an "</w:t>
      </w:r>
      <w:r>
        <w:rPr>
          <w:rFonts w:ascii="Times New Roman" w:cs="Times New Roman" w:eastAsia="Times New Roman" w:hAnsi="Times New Roman"/>
          <w:sz w:val="18"/>
          <w:szCs w:val="18"/>
          <w:b w:val="1"/>
          <w:bCs w:val="1"/>
          <w:color w:val="auto"/>
        </w:rPr>
        <w:t>Excluded L/C Account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aggregate amount of such cash collateral and cash in Excluded L/C Accounts does not exceed 105% of the face amount of the Cash Secured L/Cs; and</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79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which do not secure Indebtedness for borrowed money or letters of credit and as to which the aggregate amount of the obligations secured thereby does not exceed $2,500,000, so long as both at the time of and immediately after giving effect to the incurrence thereof no Event of Default shall have occurred and be continuing or result therefrom.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Regardless of the provisions of this Section 7.2, no Lien (except for those Liens (i) for the benefit of the Agent and the Lenders or (ii) for the benefit of the Senior Lenders under the Senior Loan Documents) over the Equity Interests owned by any Credit Party shall be permitted under the terms of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Material Assets</w:t>
      </w:r>
      <w:r>
        <w:rPr>
          <w:rFonts w:ascii="Times New Roman" w:cs="Times New Roman" w:eastAsia="Times New Roman" w:hAnsi="Times New Roman"/>
          <w:sz w:val="18"/>
          <w:szCs w:val="18"/>
          <w:color w:val="auto"/>
        </w:rPr>
        <w:t>. Fail to cause the Borrower or a Guarantor to hold, acquire, develop, own and possess any asset that is material to the business of the Borrower and its Subsidiaries, including, without limitation, material Intellectual Property, material algorithms, material customer lists, material Software source code (or portions thereof) and, other than in the ordinary course, other material Software; provided, that, Rent the Runway Limited may develop and use on a non-exclusive basis Intellectual Property of the Borrower so long as such Intellectual Property is solely used to fulfill its obligations to Borrower pursuant to the Intercompany License Agreement as of the Restatement Date.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Limitation on Mergers, Dissolution or Sale of Assets</w:t>
      </w:r>
      <w:r>
        <w:rPr>
          <w:rFonts w:ascii="Times New Roman" w:cs="Times New Roman" w:eastAsia="Times New Roman" w:hAnsi="Times New Roman"/>
          <w:sz w:val="18"/>
          <w:szCs w:val="18"/>
          <w:color w:val="auto"/>
        </w:rPr>
        <w:t>. Merge, dissolve, liquidate or consolidate with or into another Person (or agree to do any of the foregoing) or make any Asset Sale or enter into any agreement to make any Asset Sale except:</w:t>
      </w:r>
    </w:p>
    <w:p>
      <w:pPr>
        <w:spacing w:after="0" w:line="162" w:lineRule="exact"/>
        <w:rPr>
          <w:sz w:val="20"/>
          <w:szCs w:val="20"/>
          <w:color w:val="auto"/>
        </w:rPr>
      </w:pPr>
    </w:p>
    <w:p>
      <w:pPr>
        <w:ind w:left="1820" w:hanging="516"/>
        <w:spacing w:after="0"/>
        <w:tabs>
          <w:tab w:leader="none" w:pos="18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leased or sold in the ordinary course of business;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5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obsolete, damaged, uneconomic or worn out machinery, equipment or Units, or machinery, equipment or Units no longer used or useful in the conduct of the applicable Credit Party’s business (including write-offs of any such assets); provided that the fair market value of such equipment</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1" w:name="page112"/>
    <w:bookmarkEnd w:id="111"/>
    <w:p>
      <w:pPr>
        <w:spacing w:after="0" w:line="282" w:lineRule="auto"/>
        <w:rPr>
          <w:sz w:val="20"/>
          <w:szCs w:val="20"/>
          <w:color w:val="auto"/>
        </w:rPr>
      </w:pPr>
      <w:r>
        <w:rPr>
          <w:rFonts w:ascii="Times New Roman" w:cs="Times New Roman" w:eastAsia="Times New Roman" w:hAnsi="Times New Roman"/>
          <w:sz w:val="18"/>
          <w:szCs w:val="18"/>
          <w:color w:val="auto"/>
        </w:rPr>
        <w:t>not financed by the Agent or a Lender shall not exceed $2,500,000 in any Fiscal Year (it being understood and agreed for the avoidance of doubt that any write-off of assets shall not count toward such cap);</w:t>
      </w:r>
    </w:p>
    <w:p>
      <w:pPr>
        <w:spacing w:after="0" w:line="162" w:lineRule="exact"/>
        <w:rPr>
          <w:sz w:val="20"/>
          <w:szCs w:val="20"/>
          <w:color w:val="auto"/>
        </w:rPr>
      </w:pPr>
    </w:p>
    <w:p>
      <w:pPr>
        <w:ind w:left="1820" w:hanging="516"/>
        <w:spacing w:after="0"/>
        <w:tabs>
          <w:tab w:leader="none" w:pos="18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5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or consolidations of any Subsidiary of the Borrower with or into the Borrower or any Guarantor so long as the Borrower or such Guarantor shall be the continuing or surviving entity; provided that at the time of each such merger or consolidation, both before and after giving effect thereto, no Event of Default shall have occurred and be continuing or result from such merger or consolidation;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8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the Borrower may liquidate or dissolve into the Borrower or a Guarantor if the Borrower determines in good faith that such liquidation or dissolution is in the best interests of the Borrower, so long as no Event of Default has occurred and is continuing or would result therefrom;</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94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transfers, including without limitation upon voluntary liquidation from any Guarantor to the Borrower or to another Guarantor, provided that the Borrower or Guarantor takes such actions as the Agent may reasonably request to ensure the perfection and priority of the Liens in favor of the Lenders over such transferred assets;</w:t>
      </w:r>
    </w:p>
    <w:p>
      <w:pPr>
        <w:spacing w:after="0" w:line="17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sale or disposition of Permitted Investments and other cash or cash equivalents in the ordinary course of business;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6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charitable donations of cash or Units (valued using the net book value) not to exceed $2,000,000 in the aggregate in any Fiscal Year; provided that charitable donations of cash may not exceed $750,000 in any Fiscal Year;</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0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and similar non-exclusive arrangements for the use of property (including Intellectual Property, rights in or to algorithms, rights in or to Software (including any portions of source code therein) and rights in or to customer lists) of the Borrower or its Subsidiaries in the ordinary course of business;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9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machinery or equipment to the extent that such machinery or equipment is exchanged for credit against the purchase price of similar replacement machinery or equipment;</w:t>
      </w:r>
    </w:p>
    <w:p>
      <w:pPr>
        <w:spacing w:after="0" w:line="16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owned or leased vehicles in the ordinary course of business;</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1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assets that are not permitted by any other provision of this Section; provided that (i) the aggregate fair value of all assets disposed of in reliance on this clause shall not exceed $1,000,000 during any Fiscal Year, (ii) all dispositions made in reliance on this clause shall be made for fair value and at least 75% cash or cash equivalents consideration, (iii) the assets being sold do not consist of any Equity Interests of any Subsidiary of the Borrower, and (iv) no Default or Event of Default has occurred and is continuing at the time of each such sale (both before and after giving effect to such Asset Sale); and</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2" w:name="page113"/>
    <w:bookmarkEnd w:id="112"/>
    <w:p>
      <w:pPr>
        <w:ind w:firstLine="1304"/>
        <w:spacing w:after="0" w:line="282" w:lineRule="auto"/>
        <w:tabs>
          <w:tab w:leader="none" w:pos="188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 Sales approved in writing by the Majority Lenders in their sole discretion so long as the Net Cash Proceeds of such Asset Sale described in this clause (n) are paid to the Agent for the benefit of the Agent and the Lenders pursuant to the terms of Section 2.8(a).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else set forth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to the contrary, except to the extent permitted under </w:t>
      </w:r>
      <w:r>
        <w:rPr>
          <w:rFonts w:ascii="Times New Roman" w:cs="Times New Roman" w:eastAsia="Times New Roman" w:hAnsi="Times New Roman"/>
          <w:sz w:val="18"/>
          <w:szCs w:val="18"/>
          <w:u w:val="single" w:color="auto"/>
          <w:color w:val="auto"/>
        </w:rPr>
        <w:t>Section 7.4(j)</w:t>
      </w:r>
      <w:r>
        <w:rPr>
          <w:rFonts w:ascii="Times New Roman" w:cs="Times New Roman" w:eastAsia="Times New Roman" w:hAnsi="Times New Roman"/>
          <w:sz w:val="18"/>
          <w:szCs w:val="18"/>
          <w:color w:val="auto"/>
        </w:rPr>
        <w:t>, no Asset Sale (other than an Asset Sale to the Borrower or a Guarantor) of any Intellectual Property, rights in or to algorithms, rights in or to Software (including any portions of source code therein) or rights in or to customer lists of the Borrower or its Subsidiaries shall be permitted under this Agreement without the prior written consent of the Agent.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Lenders hereby consent and agree to the release by the Agent of any and all Liens on the property sold or otherwise disposed of in compliance with this Section 7.4.</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Declare or make, directly or indirectly, (x) any distributions, dividend, payment or other distribution of assets, properties, cash, rights, obligations or securities (collectively, “</w:t>
      </w:r>
      <w:r>
        <w:rPr>
          <w:rFonts w:ascii="Times New Roman" w:cs="Times New Roman" w:eastAsia="Times New Roman" w:hAnsi="Times New Roman"/>
          <w:sz w:val="18"/>
          <w:szCs w:val="18"/>
          <w:b w:val="1"/>
          <w:bCs w:val="1"/>
          <w:color w:val="auto"/>
        </w:rPr>
        <w:t>Distributions</w:t>
      </w:r>
      <w:r>
        <w:rPr>
          <w:rFonts w:ascii="Times New Roman" w:cs="Times New Roman" w:eastAsia="Times New Roman" w:hAnsi="Times New Roman"/>
          <w:sz w:val="18"/>
          <w:szCs w:val="18"/>
          <w:color w:val="auto"/>
        </w:rPr>
        <w:t>”) on account of any of its Equity Interests, as applicable, or (y) any payment (whether in cash, securities or other property), including any sinking fund or similar deposit, on account of the purchase, redemption, retirement, defeasance, acquisition, cancellation or termination of any such Equity Interest, or on account of any return of capital to its stockholders, partners or members (or the equivalent of any thereof), or any option, warrant or other right to acquire any such dividend or other distribution or payment (collectively, “</w:t>
      </w:r>
      <w:r>
        <w:rPr>
          <w:rFonts w:ascii="Times New Roman" w:cs="Times New Roman" w:eastAsia="Times New Roman" w:hAnsi="Times New Roman"/>
          <w:sz w:val="18"/>
          <w:szCs w:val="18"/>
          <w:b w:val="1"/>
          <w:bCs w:val="1"/>
          <w:color w:val="auto"/>
        </w:rPr>
        <w:t>Purchases</w:t>
      </w:r>
      <w:r>
        <w:rPr>
          <w:rFonts w:ascii="Times New Roman" w:cs="Times New Roman" w:eastAsia="Times New Roman" w:hAnsi="Times New Roman"/>
          <w:sz w:val="18"/>
          <w:szCs w:val="18"/>
          <w:color w:val="auto"/>
        </w:rPr>
        <w:t>”), or incur any obligation (contingent or otherwise) to do any of the foregoing, except that (subject to Section 7.3):</w:t>
      </w:r>
    </w:p>
    <w:p>
      <w:pPr>
        <w:spacing w:after="0" w:line="187" w:lineRule="exact"/>
        <w:rPr>
          <w:sz w:val="20"/>
          <w:szCs w:val="20"/>
          <w:color w:val="auto"/>
        </w:rPr>
      </w:pPr>
    </w:p>
    <w:p>
      <w:pPr>
        <w:ind w:left="1820" w:hanging="516"/>
        <w:spacing w:after="0"/>
        <w:tabs>
          <w:tab w:leader="none" w:pos="18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may pay cash Distributions to the Borrower or a Guarantor;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may declare and make Distributions payable in the Equity Interests of such Credit Party, provided that the issuance of such Equity Interests does not otherwise violate the terms of this Agreement and no Default or Event of Default has occurred and is continuing at the time of making such Distribution or would result from the making of such Distribution;</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06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Purchase the stock of current and former employees pursuant to stock repurchase agreements by the cancellation of indebtedness owed by such former employees, regardless of whether an Event of Default exists; and</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95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Purchase shares of its Equity Interests or warrant or options to acquire any such Equity Interests from its stockholders consistent with the requirement of existing equity agreements of the Borrower to the extent the consideration paid in respect thereof is paid solely in Equity Interests of the Borrower.</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contained herein, in the event Borrower or any other Credit Party receives proceeds from an equity contribution or the issuance of Equity Interests and such proceeds are used to satisfy a financial test, liquidity test or other similar test under this Agreement, the Senior Credit Agreement or otherwise, such proceeds shall not be permitted to used make a Distribution and/or Purchase pursuant to this Section 7.5.</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Limitation on Investments, Loans and Advances</w:t>
      </w:r>
      <w:r>
        <w:rPr>
          <w:rFonts w:ascii="Times New Roman" w:cs="Times New Roman" w:eastAsia="Times New Roman" w:hAnsi="Times New Roman"/>
          <w:sz w:val="18"/>
          <w:szCs w:val="18"/>
          <w:color w:val="auto"/>
        </w:rPr>
        <w:t>. Make or allow to remain outstanding any Investment (whether such investment shall be of the character of investment in shares of stock, evidences of indebtedness or other securities or otherwise) in, or any loans or advances to, any Person other than (subject to Section 7.3):</w:t>
      </w:r>
    </w:p>
    <w:p>
      <w:pPr>
        <w:spacing w:after="0" w:line="176" w:lineRule="exact"/>
        <w:rPr>
          <w:sz w:val="20"/>
          <w:szCs w:val="20"/>
          <w:color w:val="auto"/>
        </w:rPr>
      </w:pPr>
    </w:p>
    <w:p>
      <w:pPr>
        <w:ind w:left="1820" w:hanging="516"/>
        <w:spacing w:after="0"/>
        <w:tabs>
          <w:tab w:leader="none" w:pos="18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3" w:name="page114"/>
    <w:bookmarkEnd w:id="113"/>
    <w:p>
      <w:pPr>
        <w:ind w:firstLine="1304"/>
        <w:spacing w:after="0" w:line="282" w:lineRule="auto"/>
        <w:tabs>
          <w:tab w:leader="none" w:pos="186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existing on the Restatement Date and listed on Schedule 7.6 hereto but not any increase in the amount thereof as set forth in such Schedule or any other modification of the terms thereof;</w:t>
      </w:r>
    </w:p>
    <w:p>
      <w:pPr>
        <w:spacing w:after="0" w:line="161"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created in the ordinary course of business;</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7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loans or intercompany Investments made by any Credit Party to or in any Guarantor, the Borrower or any other Credit Party; provided that, in the case of any intercompany loans or intercompany Investments made by (i) a Credit Party that is not the Borrower or a Guarantor, such Credit Party is party to an intercompany subordination agreement, in form and substance reasonably satisfactory to the Agent, or (ii) the Borrower or a Guarantor to or in a Credit Party that is not the Borrower or a Guarantor, the aggregate amount outstanding in respect thereof shall not exceed $250,000; and provided further that in each case, no Default or Event of Default shall have occurred and be continuing at the time of making such intercompany loan or intercompany Investment or result from such intercompany loan or intercompany Investment being made and that any intercompany loans shall be evidenced by and funded under an Intercompany Note pledged to the Agent under the appropriate Collateral Documents;</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86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respect of Hedging Transactions provided that such transaction is entered into for risk management purposes and not for speculative purposes;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3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has occurred and is continuing, temporary advances to employees to cover incidental expenses to be incurred in the ordinary course of business, in an aggregate outstanding amount not to exceed $50,000 in the aggregate at any time outstanding;</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8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the Borrower’s business;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82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deposit accounts and securities accounts in which the Agent, on behalf of itself and the Lenders, has a perfected security interest;</w:t>
      </w:r>
    </w:p>
    <w:p>
      <w:pPr>
        <w:spacing w:after="0" w:line="16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accepted in connection with transfers or dispositions of property that are otherwise permitted under Section 7.4(m);</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2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loans to employees, officers or directors relating to the purchase of equity securities of the Borrower or its Subsidiaries pursuant to employee stock purchase plan agreements approved by the Borrower’s board of directors and any related tax liabilities so long as the cash portion does not exceed $500,000 in the aggregate in any Fiscal Year, provided that no Event of Default has occurred, is continuing or would exist after giving effect to the loan;</w:t>
      </w:r>
    </w:p>
    <w:p>
      <w:pPr>
        <w:spacing w:after="0" w:line="179"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3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constituting notes receivable of, or prepaid royalties and other credit extensions, to customers and suppliers who are not Affiliates, in the ordinary course of business, provided that this clause (l) shall not apply to Investments by the Borrower in any Subsidiary;</w:t>
      </w:r>
    </w:p>
    <w:p>
      <w:pPr>
        <w:spacing w:after="0" w:line="161"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Investments, Investments permitted under Section 7.4(d), 7.4(e) or 7.4(f); and</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4" w:name="page115"/>
    <w:bookmarkEnd w:id="114"/>
    <w:p>
      <w:pPr>
        <w:jc w:val="both"/>
        <w:ind w:firstLine="1304"/>
        <w:spacing w:after="0" w:line="266" w:lineRule="auto"/>
        <w:tabs>
          <w:tab w:leader="none" w:pos="187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or Event of Default has occurred and is continuing or would result therefrom, any other Investments in an aggregate amount not to exceed $2,500,000 in the aggregate at any time outstanding; provided, however, that no more than $1,250,000 in the aggregate at any time outstanding may be used for Investments by the Borrower or any Guarantor in any Subsidiary that is not a Guarantor;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else set forth in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to the contrary, no Investment (other than an investment in the Borrower or a Guarantor) of any Intellectual Property, rights in or to algorithms, rights in or to Software (including any portions of source code therein) or rights in or to customer lists of the Borrower or its Subsidiaries shall be permitted under this Agreement without the prior written consent of the Agent.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valuing any Investments for the purpose of applying the limitations set forth in this Section 7.6 (except as otherwise expressly provided herein), such Investment shall be taken at the original cost thereof, without allowance for any subsequent write-offs or appreciation or depreciation, but less any amount repaid or recovered on account of capital or principal.</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Except as set forth on Schedule 7.7, enter into any transaction, including, without limitation, any purchase, sale, lease or exchange of property or the rendering of any service, with any Affiliates of the Credit Parties except: (a) transactions among the Borrower or Guarantors; (b) transactions permitted under this Agreement; (c) transactions in the ordinary course of a Credit Party’s business and upon fair and reasonable terms (x) no less favorable to such Credit Party than it would obtain in a comparable arm’s length transaction from unrelated third parties and</w:t>
      </w:r>
    </w:p>
    <w:p>
      <w:pPr>
        <w:spacing w:after="0" w:line="3" w:lineRule="exact"/>
        <w:rPr>
          <w:sz w:val="20"/>
          <w:szCs w:val="20"/>
          <w:color w:val="auto"/>
        </w:rPr>
      </w:pPr>
    </w:p>
    <w:p>
      <w:pPr>
        <w:ind w:right="20" w:firstLine="8"/>
        <w:spacing w:after="0" w:line="260" w:lineRule="auto"/>
        <w:tabs>
          <w:tab w:leader="none" w:pos="2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are fully disclosed to the Agent in writing prior to the consummation thereof, if they involve one or more payments by any Credit Party in excess of $100,000 for any single transaction or series of related transactions; and (d) issuances of Equity Interests or Subordinated Debt.</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Sale-Leaseback Transactions</w:t>
      </w:r>
      <w:r>
        <w:rPr>
          <w:rFonts w:ascii="Times New Roman" w:cs="Times New Roman" w:eastAsia="Times New Roman" w:hAnsi="Times New Roman"/>
          <w:sz w:val="18"/>
          <w:szCs w:val="18"/>
          <w:color w:val="auto"/>
        </w:rPr>
        <w:t>. Enter into any arrangement with any Person providing for the leasing by a Credit Party of real or personal property which has been or is to be sold or transferred by such Credit Party to such Person or to any other Person to whom funds have been or are to be advanced by such Person on the security of such property or rental obligations of such Credit Party, as the case may be, provided that if, at the time that a Credit Party acquires fixed or capital assets, such Credit Party intends to sell to and then lease any such assets with an aggregate value in excess of $500,000 from another Person pursuant to a financing arrangement that would be permitted under Section 7.1(c), such transaction will not constitute a violation of this Section 7.8 so long as (i) such transaction is consummated within one hundred eighty (180) days following the acquisition of such assets and (ii) the Borrower provides a written notice of such transaction to the Agent at least 10 Business Days prior to the date on which such asset is leased to such Person.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Limitations on Other Restrictions</w:t>
      </w:r>
      <w:r>
        <w:rPr>
          <w:rFonts w:ascii="Times New Roman" w:cs="Times New Roman" w:eastAsia="Times New Roman" w:hAnsi="Times New Roman"/>
          <w:sz w:val="18"/>
          <w:szCs w:val="18"/>
          <w:color w:val="auto"/>
        </w:rPr>
        <w:t>. Except for this Agreement, any other Loan Document or the Senior Loan Documents, enter into any agreement, document or instrument which would (i) restrict the ability of any Subsidiary of the Borrower to pay or make dividends or distributions in cash or kind to the Borrower or any Guarantor, to make loans, advances or other payments of whatever nature to any Credit Party, or to make transfers or distributions of all or any part of its assets to any Credit Party; or (ii) restrict or prevent any Credit Party from granting the Agent on behalf of Lenders Liens upon, security interests in and pledges of their respective assets, except to the extent such restrictions exist in documents creating Liens permitted by Section 7.2(b) hereunder.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Prepayment of Subordinated Debt</w:t>
      </w:r>
      <w:r>
        <w:rPr>
          <w:rFonts w:ascii="Times New Roman" w:cs="Times New Roman" w:eastAsia="Times New Roman" w:hAnsi="Times New Roman"/>
          <w:sz w:val="18"/>
          <w:szCs w:val="18"/>
          <w:color w:val="auto"/>
        </w:rPr>
        <w:t>. Make any prepayment (whether optional or mandatory), repurchase, redemption, defeasance or any other payment in respect of any Subordinated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5" w:name="page116"/>
    <w:bookmarkEnd w:id="115"/>
    <w:p>
      <w:pPr>
        <w:jc w:val="both"/>
        <w:spacing w:after="0" w:line="282" w:lineRule="auto"/>
        <w:rPr>
          <w:sz w:val="20"/>
          <w:szCs w:val="20"/>
          <w:color w:val="auto"/>
        </w:rPr>
      </w:pPr>
      <w:r>
        <w:rPr>
          <w:rFonts w:ascii="Times New Roman" w:cs="Times New Roman" w:eastAsia="Times New Roman" w:hAnsi="Times New Roman"/>
          <w:sz w:val="18"/>
          <w:szCs w:val="18"/>
          <w:color w:val="auto"/>
        </w:rPr>
        <w:t>Debt, provided, however, that the applicable Credit Party may make certain payments in respect of Subordinated Debt to the extent permitted by the applicable Subordination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Amendment of Senior Loan Documents and Subordinated Debt Documents</w:t>
      </w:r>
      <w:r>
        <w:rPr>
          <w:rFonts w:ascii="Times New Roman" w:cs="Times New Roman" w:eastAsia="Times New Roman" w:hAnsi="Times New Roman"/>
          <w:sz w:val="18"/>
          <w:szCs w:val="18"/>
          <w:color w:val="auto"/>
        </w:rPr>
        <w:t>. Amend, modify or otherwise alter (or suffer to be amended, modified or altered) (a) any Senior Loan Document except in a manner not prohibited by the terms of the Specified Subordination Agreement or (b) any Subordinated Debt Documents except as permitted in the applicable Subordinated Debt Documents and Subordination Agreements, or if no such restrictions exist in the applicable Subordinated Debt Documents or Subordination Agreements, without the prior written consent of the Agent.</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Modification of Certain Agreements</w:t>
      </w:r>
      <w:r>
        <w:rPr>
          <w:rFonts w:ascii="Times New Roman" w:cs="Times New Roman" w:eastAsia="Times New Roman" w:hAnsi="Times New Roman"/>
          <w:sz w:val="18"/>
          <w:szCs w:val="18"/>
          <w:color w:val="auto"/>
        </w:rPr>
        <w:t>. Make, permit or consent to any amendment, supplement or other modification to the constitutional documents of any Credit Party, any Material Contract (other than the Senior Loan Documents) or the Intercompany License Agreement except to the extent that any such amendment, supplement or modification (i) does not violate the terms and conditions of this Agreement or any of the other Loan Documents,</w:t>
      </w:r>
    </w:p>
    <w:p>
      <w:pPr>
        <w:spacing w:after="0" w:line="1" w:lineRule="exact"/>
        <w:rPr>
          <w:sz w:val="20"/>
          <w:szCs w:val="20"/>
          <w:color w:val="auto"/>
        </w:rPr>
      </w:pPr>
    </w:p>
    <w:p>
      <w:pPr>
        <w:jc w:val="both"/>
        <w:ind w:firstLine="8"/>
        <w:spacing w:after="0" w:line="253" w:lineRule="auto"/>
        <w:tabs>
          <w:tab w:leader="none" w:pos="26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materially adversely affect the interest of the Lenders as creditors and/or secured parties under any Loan Document, (iii) could not reasonably be expected to have a Material Adverse Effect and (iv) with respect to the Intercompany License Agreement, does not amend, supplement or otherwise modify the fees in excess of Costs (as defined in the Intercompany License Agreement as of the Restatement Date) payable thereunder in excess of 105% of the fees historically paid thereunder as of the Restatement Date.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Permit the Fiscal Year of any Credit Party to end on a day other than January 31, except as may be agreed to by the Agent from time to time in its reasonable discretion.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(a) . Permit Liquidity to be less than (a) $15,000,000 at any time during the period from the Restatement Date until the date that is eighteen (18) months after the Effective Date (as defined in the Exchange Agreement) or (b) $30,000,000 at any time after the period set forth in the foregoing clause (a).</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Notwithstanding anything herein or any other Loan Document to the contrary, no Credit Party that is a limited liability company may divide itself into two or more limited liability companies (pursuant to a “plan of division” as contemplated under the Delaware Limited Liability Company Act or otherwise) without the prior written consent of the Agent, and in the event that any Credit Party that is a limited liability company divides itself into two or more limited liability companies (with or without the prior consent of the Agent as required above), any limited liability companies formed as a result of such division shall be required to comply with the obligations set forth in Section 6.13 and the other further assurances obligations set forth in the Loan Documents and become a Guarantor under this Agreement and the other Loan Documents.</w:t>
      </w:r>
    </w:p>
    <w:p>
      <w:pPr>
        <w:spacing w:after="0" w:line="18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7.16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Adopt, or permit any of its ERISA Affiliates to adopt, any employee welfare benefit plan within the meaning of Section 3(1) of ERISA that provides benefits to employees after termination of employment other than as required by Section 601 of ERISA or other Requirements of Law, except, either individually or in the aggregate, as could not reasonably be expected to result in a Material Adverse Effect.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u w:val="single" w:color="auto"/>
          <w:color w:val="auto"/>
        </w:rPr>
        <w:t>Environmental</w:t>
      </w:r>
      <w:r>
        <w:rPr>
          <w:rFonts w:ascii="Times New Roman" w:cs="Times New Roman" w:eastAsia="Times New Roman" w:hAnsi="Times New Roman"/>
          <w:sz w:val="18"/>
          <w:szCs w:val="18"/>
          <w:color w:val="auto"/>
        </w:rPr>
        <w:t>. Permit the use, handling, generation, storage, treatment, Release or disposal of Hazardous Materials on, in, at, under or from any property owned, leased or operated by it or any of its Subsidiaries, except in compliance in all material respects with Environmental Laws (other than any noncompliance that could not reasonably be expected to have a Material Adverse Effect).</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6" w:name="page117"/>
    <w:bookmarkEnd w:id="11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7.19 </w:t>
      </w:r>
      <w:r>
        <w:rPr>
          <w:rFonts w:ascii="Times New Roman" w:cs="Times New Roman" w:eastAsia="Times New Roman" w:hAnsi="Times New Roman"/>
          <w:sz w:val="18"/>
          <w:szCs w:val="18"/>
          <w:u w:val="single" w:color="auto"/>
          <w:color w:val="auto"/>
        </w:rPr>
        <w:t>Accounting Methods</w:t>
      </w:r>
      <w:r>
        <w:rPr>
          <w:rFonts w:ascii="Times New Roman" w:cs="Times New Roman" w:eastAsia="Times New Roman" w:hAnsi="Times New Roman"/>
          <w:sz w:val="18"/>
          <w:szCs w:val="18"/>
          <w:color w:val="auto"/>
        </w:rPr>
        <w:t>. Modify or change, or permit any of its Subsidiaries to modify or change, its method of accounting or accounting principles from those utilized in the preparation of the Financial Statements (other than as may be required to conform to GAAP or with the prior written consent of the Agent (not to be unreasonably withheld, delayed or conditioned), as recommended by an auditor or accounting firm of the Borrower and its Subsidiaries (so long as such recommendation is in accordance with GAAP)).</w:t>
      </w:r>
    </w:p>
    <w:p>
      <w:pPr>
        <w:spacing w:after="0" w:line="18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7.20</w:t>
      </w:r>
      <w:r>
        <w:rPr>
          <w:sz w:val="20"/>
          <w:szCs w:val="20"/>
          <w:color w:val="auto"/>
        </w:rPr>
        <w:tab/>
      </w:r>
      <w:r>
        <w:rPr>
          <w:rFonts w:ascii="Times New Roman" w:cs="Times New Roman" w:eastAsia="Times New Roman" w:hAnsi="Times New Roman"/>
          <w:sz w:val="17"/>
          <w:szCs w:val="17"/>
          <w:u w:val="single" w:color="auto"/>
          <w:color w:val="auto"/>
        </w:rPr>
        <w:t>Sanctioned Persons; Anti-Corruption Laws; Anti-Money Laundering Laws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82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nor permit any of its Subsidiaries to conduct, any business or engage in any transaction or deal with or for the benefit of any Sanctioned Person, including the making or receiving of any contribution of funds, goods or services to, from or for the benefit of any Sanctioned Person; or</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6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nor permit any of its Subsidiaries to use, directly or indirectly, any of the proceeds of any Loan, (i) to fund any activities or business of or with any Sanctioned Person or in any other manner that would result in a violation of any Sanctions by any Person (including by any Person participating in any Loan, whether as underwriter, advisor, investor or otherwise), or (ii) for the purpose of an offer, payment, promise to pay, or authorization of the payment or giving of money, or anything else of value, to any Person in violation of any Anti-Terrorism Law.</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7.21 </w:t>
      </w:r>
      <w:r>
        <w:rPr>
          <w:rFonts w:ascii="Times New Roman" w:cs="Times New Roman" w:eastAsia="Times New Roman" w:hAnsi="Times New Roman"/>
          <w:sz w:val="18"/>
          <w:szCs w:val="18"/>
          <w:u w:val="single" w:color="auto"/>
          <w:color w:val="auto"/>
        </w:rPr>
        <w:t>Federal Reserve Regulations</w:t>
      </w:r>
      <w:r>
        <w:rPr>
          <w:rFonts w:ascii="Times New Roman" w:cs="Times New Roman" w:eastAsia="Times New Roman" w:hAnsi="Times New Roman"/>
          <w:sz w:val="18"/>
          <w:szCs w:val="18"/>
          <w:color w:val="auto"/>
        </w:rPr>
        <w:t>. Permit any Loan or the proceeds of any Loan under this Agreement to be used for any purpose that would cause such Loan to be a margin loan under the provisions of Regulation T, U or X of the Board of Governors of the Federal Reserve System.</w:t>
      </w:r>
    </w:p>
    <w:p>
      <w:pPr>
        <w:spacing w:after="0" w:line="158"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DEFAULTS.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The occurrence of any of the following events shall constitute an Event of Default hereunder:</w:t>
      </w:r>
    </w:p>
    <w:p>
      <w:pPr>
        <w:spacing w:after="0" w:line="225" w:lineRule="exact"/>
        <w:rPr>
          <w:rFonts w:ascii="Times New Roman" w:cs="Times New Roman" w:eastAsia="Times New Roman" w:hAnsi="Times New Roman"/>
          <w:sz w:val="18"/>
          <w:szCs w:val="18"/>
          <w:b w:val="1"/>
          <w:bCs w:val="1"/>
          <w:color w:val="auto"/>
        </w:rPr>
      </w:pPr>
    </w:p>
    <w:p>
      <w:pPr>
        <w:ind w:left="1820" w:hanging="516"/>
        <w:spacing w:after="0"/>
        <w:tabs>
          <w:tab w:leader="none" w:pos="182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non-payment when due of the principal or interest on the Indebtedness;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53"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non-payment of any Fees or other amounts (including any Prepayment Premium) due and owing by the Borrower under this Agreement or by any Credit Party under any of the other Loan Documents to which it is a party, other than as set forth in subsection (a) above, within three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Business Days after the same is due and payable;</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observance or performance of any of the conditions, covenants or agreements of the Borrower set forth in (i) Sections 6.1, 6.2, 6.4(b) (solely with respect to maintenance of the Borrower’s existence), 6.4(e), 6.5, 6.6, 6.7, 6.13, 6.14, 6.15, 6.16, 6.17, 6.18, 6.19 or Article 7 in its entirety or Sections 4.5(a), 4.7(a) or 4.8(b)(i) of the Security Agreement or (ii) Section 6.9 and such default continues for a period of 5 consecutive days;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8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observance or performance of any of the other conditions, covenants or agreements set forth in this Agreement or any of the other Loan Documents by any Credit Party and continuance thereof for a period of twenty (20) consecutive days after the earlier of (i) the date that a Responsible Officer of the Borrower or such other Credit Party becomes aware of the same or (ii) the date on which notice shall have been given to the Borrower or any other Credit Party from the Agent;</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905"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by any Credit Party herein, any other Loan Document or in any certificate, instrument or other document submitted pursuant hereto or thereto proves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7" w:name="page118"/>
    <w:bookmarkEnd w:id="117"/>
    <w:p>
      <w:pPr>
        <w:spacing w:after="0" w:line="282" w:lineRule="auto"/>
        <w:rPr>
          <w:sz w:val="20"/>
          <w:szCs w:val="20"/>
          <w:color w:val="auto"/>
        </w:rPr>
      </w:pPr>
      <w:r>
        <w:rPr>
          <w:rFonts w:ascii="Times New Roman" w:cs="Times New Roman" w:eastAsia="Times New Roman" w:hAnsi="Times New Roman"/>
          <w:sz w:val="18"/>
          <w:szCs w:val="18"/>
          <w:color w:val="auto"/>
        </w:rPr>
        <w:t>untrue or misleading in any material adverse respect (or in any respect if such representation or warranty is qualified or modified as to materiality or “Material Adverse Effect” in the text thereof) when made;</w:t>
      </w:r>
    </w:p>
    <w:p>
      <w:pPr>
        <w:spacing w:after="0" w:line="162" w:lineRule="exact"/>
        <w:rPr>
          <w:sz w:val="20"/>
          <w:szCs w:val="20"/>
          <w:color w:val="auto"/>
        </w:rPr>
      </w:pPr>
    </w:p>
    <w:p>
      <w:pPr>
        <w:jc w:val="both"/>
        <w:ind w:firstLine="1304"/>
        <w:spacing w:after="0" w:line="255" w:lineRule="auto"/>
        <w:tabs>
          <w:tab w:leader="none" w:pos="18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default by any Credit Party in the payment of any Debt, whether under a direct obligation or guaranty (other than Indebtedness and the Senior Debt) of any Credit Party in excess of One Million Dollars ($1,000,000) (or the equivalent thereof in any currency other than Dollars) individually or in the aggregate when due and continuance thereof beyond any applicable period of cure or (ii) failure to comply with the terms of any other obligation of any Credit Party with respect to any Debt (other than Indebtedness and the Senior Debt) in excess of One Million Dollars ($1,000,000) (or the equivalent thereof in any currency other than Dollars) individually or in the aggregate, which continues beyond any applicable period of cure and which would permit the holder or holders thereto to accelerate such other Debt, or require the prepayment, repurchase, redemption or defeasance of such indebtedness;</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6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rendering of any judgment (not covered by adequate insurance from a solvent carrier which is defending such action without reservation of rights) for the payment of money in excess of the sum of One Million Dollars ($1,000,000) (or the equivalent thereof in any currency other than Dollars) individually or in the aggregate against any Credit Party, and (i) enforcement proceedings shall have been commenced by any creditor upon any such judgment or (ii) there shall be a period of thirty (30) consecutive days after entry thereof during which (A) a stay of enforcement thereof is not in effect or (B) the same is not vacated, discharged, stayed or bonded pending appeal;</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or Foreign Benefit Event that could reasonably be expected to result in a Material Adverse Effect when taken either individually or in the aggregate with all other such ERISA Events or Foreign Benefit Events for which liability could be reasonably expected to occur;</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8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under this Agreement, any Credit Party shall be dissolved (other than a dissolution of a Subsidiary of the Borrower which is not a Guarantor or the Borrower) or liquidated (or any judgment, order or decree therefor shall be entered); or if a creditors’ committee shall have been appointed for the business of any Credit Party; or if any Credit Party shall have made a general assignment for the benefit of creditors or shall have been adjudicated bankrupt and if not an adjudication based on a filing by a Credit Party, it shall not have been dismissed within forty five (45) days, or shall have filed a voluntary petition in bankruptcy or for reorganization or to effect a plan or arrangement with creditors or shall fail to pay its debts generally as such debts become due in the ordinary course of business (except as contested in good faith and for which adequate reserves are made in such party’s financial statements in accordance with GAAP); or shall file an answer to a creditor’s petition or other petition filed against it, admitting the material allegations thereof for an adjudication in bankruptcy or for reorganization; or shall have applied for or permitted the appointment of a receiver or trustee or custodian for any of its property or assets; or such receiver, trustee or custodian shall have been appointed for any of its property or assets (otherwise than upon application or consent of a Credit Party ) and shall not have been removed within forty five (45) days; or if an order shall be entered approving any petition for reorganization of any Credit Party and shall not have been reversed or dismissed within forty five (45) days;</w:t>
      </w:r>
    </w:p>
    <w:p>
      <w:pPr>
        <w:spacing w:after="0" w:line="191"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shall have occurred;</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82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binding effect or enforceability of any subordination provisions relating to any Subordinated Debt shall be contested by any Person party thereto (other than any Lender or the Agent), or such subordination provisions shall fail to be enforceable by the Agent and the Lenders in accordance with the terms thereof, or the Indebtedness shall for any reason not have the priority contemplated by this Agreement or such subordination provisions;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8" w:name="page119"/>
    <w:bookmarkEnd w:id="118"/>
    <w:p>
      <w:pPr>
        <w:jc w:val="both"/>
        <w:ind w:firstLine="1304"/>
        <w:spacing w:after="0" w:line="257" w:lineRule="auto"/>
        <w:tabs>
          <w:tab w:leader="none" w:pos="1787"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Loan Document shall at any time for any reason cease to be in full force and effect (other than in accordance with the terms thereof or hereof), (ii) the validity, binding effect or enforceability thereof shall be contested by any party thereto (other than any Lender or the Agent), (iii) any Person (other than in accordance with the terms thereof or hereof) shall deny that it has any or further liability or obligation under any Loan Document,</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30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Loan Document shall be terminated (other than in accordance with the terms thereof), invalidated, revoked or set aside or in any way cease to give or provide to the Lenders and the Agent the benefits purported to be created thereby, (v) any Loan Document purporting to grant a Lien to secure any Indebtedness shall for any reason, at any time after the delivery of such Loan Document, fail to create a valid and enforceable Lien on any Collateral purported to be covered thereby or (vi) such Lien shall fail to cease to be a perfected Lien with the priority required in the relevant Loan Document;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7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or failure to perform in any of the Senior Loan Documents and continuance thereof beyond any applicable period of grace or cure; provided that, an Event of Default shall only occur under this clause (m) if, as a result of a default or failure to perform in any of the Senior Loan Documents, the Senior Debt is accelerated or otherwise becomes due and payable prior to the stated maturity therein;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49"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permitted hereunder, any action by the Credit Parties, taken as a whole, to suspend the operation of their business in the ordinary course, liquidate all or a material portion of their assets, or employ an agent or other third party to conduct a program of closings, liquidations or “Going-Out-Of-Business” sales of any material portion of their business;</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uninsured loss to any material portion of the Collateral;</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3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of its Subsidiaries is enjoined, restrained or in any way prevented by the order of any court or any Governmental Authority from conducting, or otherwise ceases to conduct for any reason whatsoever, all or any material part of the business of the Borrower and its Subsidiaries, taken as a whole, for more than 30 consecutive days;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2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damage to, or loss, theft or destruction of, any Collateral, whether or not insured, or any strike, lockout, labor dispute, embargo, condemnation, act of God or public enemy, or other casualty which, in each case, causes, for more than 30 consecutive days, the cessation or substantial curtailment of revenue producing activities of the Borrower and its Subsidiaries, taken as a whole;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23"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suspension or revocation of, or failure to renew, any license or permit now held or hereafter acquired by the Borrower or any of its Subsidiaries, if such loss, suspension, revocation or failure to renew could reasonably be expected to have a Material Adverse Effect; or</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56"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indictment of the Borrower or any of its Subsidiaries or any senior officer thereof under any criminal statute, or commencement of criminal or civil proceedings against the Borrower or any of its Subsidiaries or any senior officer thereof, pursuant to which statute or proceedings the penalties or remedies sought include forfeiture to any Governmental Authority of any material portion of the Collateral.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Exercise of Remedies</w:t>
      </w:r>
      <w:r>
        <w:rPr>
          <w:rFonts w:ascii="Times New Roman" w:cs="Times New Roman" w:eastAsia="Times New Roman" w:hAnsi="Times New Roman"/>
          <w:sz w:val="18"/>
          <w:szCs w:val="18"/>
          <w:color w:val="auto"/>
        </w:rPr>
        <w:t>. If an Event of Default has occurred and is continuing hereunder: (a) [reserved]; (b) the Agent may, and shall, upon being directed to do so by the Majority Lenders, declare the entire unpaid principal Indebtedness, including the Notes, and any accrued and unpaid interest or other amounts (including the Prepayment Premium), immediately due and payable, without presentment, notice or demand, all of which are hereby expressly waived by the Borrower; (c) upon the occurrence of any Event of Default specified in Section 8.1(i) and notwithstanding the lack of any declaration by the</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19" w:name="page120"/>
    <w:bookmarkEnd w:id="119"/>
    <w:p>
      <w:pPr>
        <w:jc w:val="both"/>
        <w:spacing w:after="0" w:line="261" w:lineRule="auto"/>
        <w:rPr>
          <w:sz w:val="20"/>
          <w:szCs w:val="20"/>
          <w:color w:val="auto"/>
        </w:rPr>
      </w:pPr>
      <w:r>
        <w:rPr>
          <w:rFonts w:ascii="Times New Roman" w:cs="Times New Roman" w:eastAsia="Times New Roman" w:hAnsi="Times New Roman"/>
          <w:sz w:val="18"/>
          <w:szCs w:val="18"/>
          <w:color w:val="auto"/>
        </w:rPr>
        <w:t>Agent under preceding clause (b), the entire unpaid principal Indebtedness and any accrued and unpaid interest or other amounts (including the Prepayment Premium) shall become automatically and immediately due and payable, and the Commitments shall be automatically and immediately terminated; and (d) the Agent may, and shall, upon being directed to do so by the Majority Lenders or the Lenders, as applicable (subject to the terms hereof), exercise any remedy permitted by this Agreement, the other Loan Documents or law.</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Rights Cumulative</w:t>
      </w:r>
      <w:r>
        <w:rPr>
          <w:rFonts w:ascii="Times New Roman" w:cs="Times New Roman" w:eastAsia="Times New Roman" w:hAnsi="Times New Roman"/>
          <w:sz w:val="18"/>
          <w:szCs w:val="18"/>
          <w:color w:val="auto"/>
        </w:rPr>
        <w:t>. No delay or failure of the Agent and/or Lenders in exercising any right, power or privilege hereunder shall affect such right, power or privilege, nor shall any single or partial exercise thereof preclude any further exercise thereof, or the exercise of any other power, right or privilege. The rights of the Agent and Lenders under this Agreement are cumulative and not exclusive of any right or remedies which Lenders would otherwise have.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Waiver by the Borrower of Certain Laws</w:t>
      </w:r>
      <w:r>
        <w:rPr>
          <w:rFonts w:ascii="Times New Roman" w:cs="Times New Roman" w:eastAsia="Times New Roman" w:hAnsi="Times New Roman"/>
          <w:sz w:val="18"/>
          <w:szCs w:val="18"/>
          <w:color w:val="auto"/>
        </w:rPr>
        <w:t>. To the extent permitted by applicable law, the Borrower hereby agrees to waive, and does hereby absolutely and irrevocably waive and relinquish the benefit and advantage of any valuation, stay, appraisement, extension or redemption laws now existing or which may hereafter exist, which, but for this provision, might be applicable to any sale made under the judgment, order or decree of any court, on any claim for interest on the Notes, or any security interest or mortgage contemplated by or granted under or in connection with this Agreement. These waivers have been voluntarily given, with full knowledge of the consequences thereof.</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Waiver of Defaults</w:t>
      </w:r>
      <w:r>
        <w:rPr>
          <w:rFonts w:ascii="Times New Roman" w:cs="Times New Roman" w:eastAsia="Times New Roman" w:hAnsi="Times New Roman"/>
          <w:sz w:val="18"/>
          <w:szCs w:val="18"/>
          <w:color w:val="auto"/>
        </w:rPr>
        <w:t>. No Event of Default shall be waived by the Lenders except in a writing signed by an officer of the Agent in accordance with Section 12.9 hereof. No single or partial exercise of any right, power or privilege hereunder, nor any delay in the exercise thereof, shall preclude other or further exercise of their rights by the Agent or the Lenders. No waiver of any Event of Default shall extend to any other or further Event of Default. No forbearance on the part of the Agent or the Lenders in enforcing any of their rights shall constitute a waiver of any of their rights. The Borrower expressly agrees that this Section may not be waived or modified by the Lenders or the Agent by course of performance, estoppel or otherwise.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Set Off</w:t>
      </w:r>
      <w:r>
        <w:rPr>
          <w:rFonts w:ascii="Times New Roman" w:cs="Times New Roman" w:eastAsia="Times New Roman" w:hAnsi="Times New Roman"/>
          <w:sz w:val="18"/>
          <w:szCs w:val="18"/>
          <w:color w:val="auto"/>
        </w:rPr>
        <w:t xml:space="preserve">. Upon the occurrence and during the continuance of any Event of Default, each Lender may at any time and from time to time, without notice to the Borrower but subject to the provisions of Section 9.3 hereof (any requirement for such notice being expressly waived by the Borrower), setoff and apply against any and all of the obligations of the Borrower now or hereafter existing under this Agreement, whether owing to such Lender, any Affiliate of such Lender or any other Lender or the Agent, any and all deposits (general or special, time or demand, provisional or final) at any time held and other indebtedness at any time owing by such Lender to or for the credit or the account of the Borrower and any property of the Borrower from time to time in possession of such Lender, irrespective of whether or not such deposits held or indebtedness owing by such Lender may be contingent and unmatured and regardless of whether any Collateral then held by the Agent or any Lender is adequate to cover the Indebtedness (including any Prepayment Premium). Promptly following any such setoff, such Lender shall give written notice to the Agent and the Borrower of the occurrence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Agent for further application in accordance with the provisions of Section 9.4 and, pending such payment, shall be segregated by such Defaulting Lender from its other funds and deemed held for the benefit of the Agent and the Lenders, and (y) the Defaulting Lender shall provide promptly to the Agent a statement describing in reasonable detail the Indebtedness owing to such Defaulting Lender as to which it exercised such right of setoff. The Borrower hereby grants to the Lenders and the Agent a lien on and security interest in all such deposits, indebtedness and property as collateral security for the payment and performance of all of the obligations of the Borrower under this</w:t>
      </w: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0" w:name="page121"/>
    <w:bookmarkEnd w:id="120"/>
    <w:p>
      <w:pPr>
        <w:spacing w:after="0" w:line="282" w:lineRule="auto"/>
        <w:rPr>
          <w:sz w:val="20"/>
          <w:szCs w:val="20"/>
          <w:color w:val="auto"/>
        </w:rPr>
      </w:pPr>
      <w:r>
        <w:rPr>
          <w:rFonts w:ascii="Times New Roman" w:cs="Times New Roman" w:eastAsia="Times New Roman" w:hAnsi="Times New Roman"/>
          <w:sz w:val="18"/>
          <w:szCs w:val="18"/>
          <w:color w:val="auto"/>
        </w:rPr>
        <w:t>Agreement. The rights of each Lender under this Section 8.6 are in addition to the other rights and remedies (including, without limitation, other rights of setoff) which such Lender may have.</w:t>
      </w:r>
    </w:p>
    <w:p>
      <w:pPr>
        <w:spacing w:after="0" w:line="158"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PAYMENTS, RECOVERIES AND COLLECTIONS.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Payment Procedure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204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to be made by the Borrower shall be made without condition or deduction for any counterclaim, defense, recoupment or setoff. Except as otherwise provided herein, all payments made by the Borrower of principal, interest or fees hereunder shall be made without setoff or counterclaim on the date specified for payment under this Agreement and must be received by the Agent not later than 12:00 p.m. (New York time) (or such later time on such date as agreed to by Agent) on the date such payment is required or intended to be made in Dollars in immediately available funds to the Agent’s Account. The Agent shall deem any payment by or on behalf of the Borrower hereunder that is not made in same day funds prior to 12:00 p.m. (New York time) to be a non-conforming payment. Any such payment shall not be deemed to have been received by the Agent until the later of (i) the time such funds become available funds, and (ii) the applicable next Business Day. The Agent shall give prompt telephonic notice to the Borrower and each applicable Lender (confirmed in writing) if any payment is non-conforming. Any non-conforming payment may constitute or become a Default or Event of Default in accordance with the terms of Section 8.1(a) or 8.1(b), as applicable. Interest shall continue to accrue on any principal as to which a non-conforming payment is made until such funds become available funds (but in no event less than the period from the date of such payment to the next succeeding applicable Business Day) at the default interest rate determined pursuant to Section 2.6(d) from the date such amount was due and payable until the date such amount is paid in full.</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9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and the Borrower hereby authorize the Agent to, and the Agent may, from time to time, charge the Loan Account with any amount due and payable by the Borrower under any Loan Document. Any amount charged to the Loan Account shall be deemed Indebtedness hereunder.</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81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in respect of the principal amount of any Loan shall be accompanied by payment of accrued interest on the principal amount being repaid or prepaid, together with any fees or premiums (including the Prepayment Premium) and all other amounts payable with respect to the principal amount being repaid or prepaid.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7"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promptly distribute to each Lender at such account or address as such Lender shall indicate in writing, such Lender’s applicable Pro Rata Share of all payments and prepayments of principal and interest due hereunder, together with all other amounts due with respect thereto, including, without limitation, all fees payable with respect thereto, to the extent received by the Agent.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2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payment to be made hereunder shall otherwise be due on a day which is not a Business Day, such payment shall be made on the next succeeding Business Day and such extension of time shall be included in computing interest, if any, in connection with such payment.</w:t>
      </w:r>
    </w:p>
    <w:p>
      <w:pPr>
        <w:spacing w:after="0" w:line="16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u w:val="single" w:color="auto"/>
          <w:color w:val="auto"/>
        </w:rPr>
        <w:t>Application of Payments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0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 Application Event has occurred and is continuing, or the maturity of the Indebtedness shall have been accelerated pursuant to Section 8.2, all payments or proceeds received by the Agent hereunder or under any other Loan Document in respect of any of the Indebtedness, including, but not limited to all proceeds received by the Agent in respect of any sale, any collection</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from, or other realization upon all or any part of the Collateral, shall be applied in full or in part as follows:</w:t>
      </w:r>
    </w:p>
    <w:p>
      <w:pPr>
        <w:spacing w:after="0" w:line="223" w:lineRule="exact"/>
        <w:rPr>
          <w:sz w:val="20"/>
          <w:szCs w:val="20"/>
          <w:color w:val="auto"/>
        </w:rPr>
      </w:pPr>
    </w:p>
    <w:p>
      <w:pPr>
        <w:ind w:left="13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ratably to pay the Indebtedness in respect of any fees (other than the Prepayment Premium), expense reimbursements,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indemnities and other amounts then due and payable to the Agent until paid in full;</w:t>
      </w:r>
    </w:p>
    <w:p>
      <w:pPr>
        <w:spacing w:after="0" w:line="158" w:lineRule="exact"/>
        <w:rPr>
          <w:sz w:val="20"/>
          <w:szCs w:val="20"/>
          <w:color w:val="auto"/>
        </w:rPr>
      </w:pPr>
    </w:p>
    <w:p>
      <w:pPr>
        <w:ind w:left="1300"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ratably to pay the Indebtedness in respect of any fees (other than the Prepayment Premium), expense reimbursements,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indemnities then due and payable to the Lenders until paid in full;</w:t>
      </w:r>
    </w:p>
    <w:p>
      <w:pPr>
        <w:spacing w:after="0" w:line="1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ratably to pay interest then due and payable in respect of the Loans;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ratably to pay principal of the Term Loan until paid in full;</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ratably to pay the Indebtedness in respect of the Prepayment Premium then due and payable to the Lenders until paid in</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full;</w:t>
      </w:r>
    </w:p>
    <w:p>
      <w:pPr>
        <w:spacing w:after="0" w:line="2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to the ratable payment of all other Indebtedness then due and payable until paid in full; 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all remaining amounts to the Borrower or such other Person entitled thereto under applicable law.</w:t>
      </w:r>
    </w:p>
    <w:p>
      <w:pPr>
        <w:spacing w:after="0" w:line="227" w:lineRule="exact"/>
        <w:rPr>
          <w:sz w:val="20"/>
          <w:szCs w:val="20"/>
          <w:color w:val="auto"/>
        </w:rPr>
      </w:pPr>
    </w:p>
    <w:p>
      <w:pPr>
        <w:jc w:val="both"/>
        <w:ind w:firstLine="1304"/>
        <w:spacing w:after="0" w:line="261" w:lineRule="auto"/>
        <w:tabs>
          <w:tab w:leader="none" w:pos="186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9.2,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 direct conflict between the priority provisions of Section 9.2 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Section 9.2 shall control and govern.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Ratable Sharing</w:t>
      </w:r>
      <w:r>
        <w:rPr>
          <w:rFonts w:ascii="Times New Roman" w:cs="Times New Roman" w:eastAsia="Times New Roman" w:hAnsi="Times New Roman"/>
          <w:sz w:val="18"/>
          <w:szCs w:val="18"/>
          <w:color w:val="auto"/>
        </w:rPr>
        <w:t>(a) . Lenders hereby agree among themselves that if any of them shall, whether by voluntary payment (other than a voluntary prepayment of Loans made and applied in accordance with the terms hereof), through the exercise of any right of set off or banker’s lien, by counterclaim or cross action or by the enforcement of any right under the Loan Documents or otherwise, or as adequate protection of a deposit treated as cash collateral under the Bankruptcy Code, receive payment in respect of fees and other amounts then due and owing to such Lender hereunder or under the other Loan Documents (collectively, the “</w:t>
      </w:r>
      <w:r>
        <w:rPr>
          <w:rFonts w:ascii="Times New Roman" w:cs="Times New Roman" w:eastAsia="Times New Roman" w:hAnsi="Times New Roman"/>
          <w:sz w:val="18"/>
          <w:szCs w:val="18"/>
          <w:b w:val="1"/>
          <w:bCs w:val="1"/>
          <w:color w:val="auto"/>
        </w:rPr>
        <w:t>Aggregate Amounts Due</w:t>
      </w:r>
      <w:r>
        <w:rPr>
          <w:rFonts w:ascii="Times New Roman" w:cs="Times New Roman" w:eastAsia="Times New Roman" w:hAnsi="Times New Roman"/>
          <w:sz w:val="18"/>
          <w:szCs w:val="18"/>
          <w:color w:val="auto"/>
        </w:rPr>
        <w:t xml:space="preserve">” to such Lender) which is greater than the proportion received by any other Lender in respect of the Aggregate Amounts Due to such other Lender having Loans of the same Class, then the Lender receiving such proportionately greater payment shall (a) notify the Agent and each other Lender in writing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having Loans of the same Class in proportion to the Aggregate Amounts Due to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if all or part of such proportionately greater payment received by such purchasing</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2" w:name="page123"/>
    <w:bookmarkEnd w:id="122"/>
    <w:p>
      <w:pPr>
        <w:jc w:val="both"/>
        <w:spacing w:after="0" w:line="258" w:lineRule="auto"/>
        <w:rPr>
          <w:sz w:val="20"/>
          <w:szCs w:val="20"/>
          <w:color w:val="auto"/>
        </w:rPr>
      </w:pPr>
      <w:r>
        <w:rPr>
          <w:rFonts w:ascii="Times New Roman" w:cs="Times New Roman" w:eastAsia="Times New Roman" w:hAnsi="Times New Roman"/>
          <w:sz w:val="18"/>
          <w:szCs w:val="18"/>
          <w:color w:val="auto"/>
        </w:rPr>
        <w:t>Lender is thereafter recovered from such Lender upon the bankruptcy or reorganization of the Borrower or otherwise, those purchases shall be rescinded and the purchase prices paid for such participations shall be returned to such purchasing Lender ratably to the extent of such recovery, but without interest. The Borrower expressly consents to the foregoing arrangement and agrees that any holder of a participation so purchased may exercise any and all rights of banker’s lien, set off or counterclaim with respect to any and all monies owing by the Borrower to that holder with respect thereto as fully as if that holder were owed the amount of the participation held by that holder.</w:t>
      </w:r>
    </w:p>
    <w:p>
      <w:pPr>
        <w:spacing w:after="0" w:line="18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u w:val="single" w:color="auto"/>
          <w:color w:val="auto"/>
        </w:rPr>
        <w:t>Treatment of a Defaulting Lender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88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any Lender to make any Loan hereunder shall not be affected by the failure of any other Lender to make any Loan under this Agreement, and no Lender shall have any liability to the Borrower or any of its Subsidiaries, the Agent, any other Lender, or any other Person for another Lender’s failure to make any loan or Loan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7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become a Defaulting Lender, then such Defaulting Lender’s right to vote in respect of any amendment, consent or waiver of the terms of this Agreement or such other Loan Documents, or to direct or approve any action or inaction by the Agent shall be subject to the restrictions set forth in Section 12.9.</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6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Agent for the account of such Defaulting Lender (whether voluntary or mandatory, at maturity, pursuant to Article 9 or otherwise) or received by the Agent from a Defaulting Lender pursuant to Section 8.6 shall be applied at such time or times as may be determined by the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Agent;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if so determined by the Agent and the Borrower, to be held in a deposit account and released pro rata in order to satisfy such Defaulting Lender’s potential future funding obligations with respect to Loans under this Agreement;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in respect of which such Defaulting Lender has not fully funded its appropriate share, and (y) such Loans were made at a time when the conditions set forth in Section 4.2 were satisfied or waived, such payment shall be applied solely to pay the Loans of all Non-Defaulting Lenders in accordance with their Pro Rata Shares prior to being applied to the payment of any Loans of such Defaulting Lender until such time as all Loans are held by the Lenders pro rata in accordance with their respective Pro Rata Shares.</w:t>
      </w:r>
    </w:p>
    <w:p>
      <w:pPr>
        <w:spacing w:after="0" w:line="19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YIELD PROTECTION; INCREASED COSTS; MARGIN ADJUSTMENTS; TAXES.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u w:val="single" w:color="auto"/>
          <w:color w:val="auto"/>
        </w:rPr>
        <w:t>Capital Adequacy and Other Increased Costs</w:t>
      </w:r>
      <w:r>
        <w:rPr>
          <w:rFonts w:ascii="Times New Roman" w:cs="Times New Roman" w:eastAsia="Times New Roman" w:hAnsi="Times New Roman"/>
          <w:sz w:val="18"/>
          <w:szCs w:val="18"/>
          <w:color w:val="auto"/>
        </w:rPr>
        <w:t>.  If any Change in Law affects or would affect the capital or liquidity requirements of a</w:t>
      </w:r>
    </w:p>
    <w:p>
      <w:pPr>
        <w:spacing w:after="0" w:line="2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Lender or the Agent (or any corporation controlling such Lender or the Agent) (including as a result of the imposition of Taxes other than Indemnified Taxes, Taxes described in clauses (b) through (d) of the definition of Excluded Taxes or Other Connection Taxes) and such Lender or the Agent, as the case may be, determines that the amount of required capital is increased by, or based upon the existence of such Lender’s or the Agent’s obligations or Loans</w:t>
      </w:r>
    </w:p>
    <w:p>
      <w:pPr>
        <w:spacing w:after="0" w:line="2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3" w:name="page124"/>
    <w:bookmarkEnd w:id="123"/>
    <w:p>
      <w:pPr>
        <w:jc w:val="both"/>
        <w:spacing w:after="0" w:line="253" w:lineRule="auto"/>
        <w:rPr>
          <w:sz w:val="20"/>
          <w:szCs w:val="20"/>
          <w:color w:val="auto"/>
        </w:rPr>
      </w:pPr>
      <w:r>
        <w:rPr>
          <w:rFonts w:ascii="Times New Roman" w:cs="Times New Roman" w:eastAsia="Times New Roman" w:hAnsi="Times New Roman"/>
          <w:sz w:val="18"/>
          <w:szCs w:val="18"/>
          <w:color w:val="auto"/>
        </w:rPr>
        <w:t>hereunder, the effect of such Change in Law is to result in such an increase, and such increase has the effect of reducing the rate of return on such Lender’s or the Agent’s (or such controlling corporation’s) capital as a consequence of such obligations or Loans hereunder to a level below that which such Lender or the Agent (or such controlling corporation) could have achieved but for such circumstances (taking into consideration its policies with respect to capital adequacy or liquidity) by an amount deemed by such Lender or the Agent to be material, then the Agent or such Lender shall notify the Borrower, and thereafter the Borrower shall pay to such Lender or the Agent, as the case may be, within ten (10) Business Days of written demand therefor from such Lender or the Agent, additional amounts sufficient to compensate such Lender or the Agent (or such controlling corporation) for any such reduction which such Lender or the Agent determines to be allocable to the existence of such Lender’s or the Agent’s obligations or Loans hereunder. A statement setting forth the amount of such compensation, the methodology for the calculation and the calculation thereof which shall also be prepared in good faith and in reasonable detail by such Lender or the Agent, as the case may be, shall be submitted by such Lender or by the Agent to the Borrower, reasonably promptly after becoming aware of any event described in this Section 10.1 and shall be conclusively presumed to be correct, absent manifest error.</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Right of Lenders to Fund through Branches and Affiliates</w:t>
      </w:r>
      <w:r>
        <w:rPr>
          <w:rFonts w:ascii="Times New Roman" w:cs="Times New Roman" w:eastAsia="Times New Roman" w:hAnsi="Times New Roman"/>
          <w:sz w:val="18"/>
          <w:szCs w:val="18"/>
          <w:color w:val="auto"/>
        </w:rPr>
        <w:t xml:space="preserve">. Each Lender may, if it so elects, fulfill its commitment as to any Loan hereunder by designating a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 shall remain solely responsible for the performances of its obligations hereunder and (b) no such designation shall result in any material increased costs to the Borrower or the Agent.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Failure or delay on the part of any Lender to demand compensation pursuant to the foregoing provisions of this Section 10.3 shall not constitute a waiver of such Lender’s right to demand such compensation, provided that the Borrower shall not be required to compensate a Lender pursuant to Section 10.1, for any increased costs incurred or reductions suffered more than 180 days prior to the date that such Lender notifies the Borrower of the Change in Law (provided that this provision will not apply to any Change in Law of the type referred to in clauses (x), (y) or</w:t>
      </w:r>
    </w:p>
    <w:p>
      <w:pPr>
        <w:spacing w:after="0" w:line="3" w:lineRule="exact"/>
        <w:rPr>
          <w:sz w:val="20"/>
          <w:szCs w:val="20"/>
          <w:color w:val="auto"/>
        </w:rPr>
      </w:pPr>
    </w:p>
    <w:p>
      <w:pPr>
        <w:jc w:val="both"/>
        <w:ind w:firstLine="8"/>
        <w:spacing w:after="0" w:line="255" w:lineRule="auto"/>
        <w:tabs>
          <w:tab w:leader="none" w:pos="24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thereof) giving rise to such increased costs or reductions and of such Lender’s intention to claim compensation therefor (except that, if the Change in Law giving rise to such increased costs or reductions is retroactive, then the 180 day period referred to above shall be extended to include the period of retroactive effect thereof).</w:t>
      </w:r>
    </w:p>
    <w:p>
      <w:pPr>
        <w:spacing w:after="0" w:line="18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87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payments by or on account of any obligation of any Credit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Credit Party shall be increased as necessary so that after such deduction or withholding has been made (including such deductions and withholdings applicable to additional sums payable under this Section 10.4) the applicable Recipient receives an amount equal to the sum it would have received had no such deduction or withholding been made.</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186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Section 10.4(a), the Credit Parties shall timely pay to the relevant Governmental Authority in accordance with applicable law, or at the option of the Agent, timely reimburse it for the payment of, any Other Taxes.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4" w:name="page125"/>
    <w:bookmarkEnd w:id="124"/>
    <w:p>
      <w:pPr>
        <w:jc w:val="both"/>
        <w:ind w:firstLine="1304"/>
        <w:spacing w:after="0" w:line="266" w:lineRule="auto"/>
        <w:tabs>
          <w:tab w:leader="none" w:pos="18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any payment of Taxes by any Credit Party to a Governmental Authority pursuant to this Section 10.4, such Credit Party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5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determines, in its sole discretion exercised in good faith, that it has received a refund of any Taxes as to which it has been indemnified pursuant to this Section 10.4, (including by payment of additional amounts pursuant to this Section 10.4), it shall pay to the indemnifying party an amount equal to such refund (but only to the extent of additional amounts or indemnification paid under this Section 10.4 with respect to the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(d) (plus any penalties, interest or other charges imposed by the relevant Governmental Authority) in the event that such indemnified party is required to repay such refund to such Governmental Authority. Notwithstanding anything to the contrary in this paragraph (d), in no event will the indemnified party be required to pay any amount to an indemnifying party pursuant to this paragraph (d)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each Recipient, within ten (10) days after demand therefor, for the full amount of any Indemnified Taxes (including Indemnified Taxes imposed or asserted on or attributable to amounts payable under this Section 10.4) payable or paid by such Person or required to be withheld or deducted from a payment to such Person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severally indemnify the Agent, within ten (10) days after demand therefor, for (i) any Indemnified Taxes attributable to such Lender (but only to the extent the Borrower has not already indemnified the Agent for such Indemnified Taxes and without limiting the obligation of the Borrower to do so), (ii) any Taxes attributable to such Lender’s failure to comply with the provisions of Section 12.7 hereof relating to the maintenance of a Participant Register and (iii) any Excluded Taxes attributable to such Lender (or assignee or participant, if applicable), in each case, that are payable or paid by the Agent or Borrower, as and if applicable,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accompanied by reasonable supporting documentation,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paragraph (f).</w:t>
      </w:r>
    </w:p>
    <w:p>
      <w:pPr>
        <w:spacing w:after="0" w:line="188"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10.4, the term “applicable law” includes FATCA.</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5" w:name="page126"/>
    <w:bookmarkEnd w:id="125"/>
    <w:p>
      <w:pPr>
        <w:jc w:val="both"/>
        <w:ind w:firstLine="1304"/>
        <w:spacing w:after="0" w:line="266" w:lineRule="auto"/>
        <w:tabs>
          <w:tab w:leader="none" w:pos="1897"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10.4 shall survive the resignation or replacement of the Agent or any assignment of rights by, or the replacement of a Lender, the termination of Commitments and the repayment, satisfaction or discharge of all obligations under any Loan Document.</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AGENT.</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11.1</w:t>
      </w:r>
      <w:r>
        <w:rPr>
          <w:rFonts w:ascii="Times New Roman" w:cs="Times New Roman" w:eastAsia="Times New Roman" w:hAnsi="Times New Roman"/>
          <w:sz w:val="18"/>
          <w:szCs w:val="18"/>
          <w:u w:val="single" w:color="auto"/>
          <w:color w:val="auto"/>
        </w:rPr>
        <w:t>Appointment of the Agent</w:t>
      </w:r>
      <w:r>
        <w:rPr>
          <w:rFonts w:ascii="Times New Roman" w:cs="Times New Roman" w:eastAsia="Times New Roman" w:hAnsi="Times New Roman"/>
          <w:sz w:val="18"/>
          <w:szCs w:val="18"/>
          <w:color w:val="auto"/>
        </w:rPr>
        <w:t>. Each Lender and the holder of each Note (if issued) irrevocably appoints and authorizes the Agent to act on</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behalf of such Lender or holder under this Agreement and the other Loan Documents and to exercise such powers hereunder and thereunder as are specifically delegated to the Agent by the terms hereof and thereof, together with such powers as may be reasonably incidental thereto, including without limitation the power to execute or authorize the execution of financing or similar statements or notices, and other documents. In performing its functions and duties under this Agreement, the Agent shall act solely as a non-fiduciary agent of the Lenders and does not assume and shall not be deemed to have assumed any obligation towards or relationship of agency or trust with or for any Credit Party.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Agency for Perfection</w:t>
      </w:r>
      <w:r>
        <w:rPr>
          <w:rFonts w:ascii="Times New Roman" w:cs="Times New Roman" w:eastAsia="Times New Roman" w:hAnsi="Times New Roman"/>
          <w:sz w:val="18"/>
          <w:szCs w:val="18"/>
          <w:color w:val="auto"/>
        </w:rPr>
        <w:t>. Each Lender hereby appoints the Agent and each other Lender as agent and bailee for the purpose of perfection the security interests in and liens upon the Collateral in assets which, in accordance with Article 9 of the UCC, can be perfected only by possession or control (or where the security interest of a secured party with possession or control has priority over the security interest of another secured party) and the Agent and each Lender hereby acknowledges that it holds possession of or otherwise controls any such Collateral for the benefit of the Agent and the Lenders as secured party. Should any Lender obtain possession or control of any such Collateral, such Lender shall notify the Agent thereof in writing, and, promptly upon the Agent’s request therefore shall deliver such Collateral to the Agent or in accordance with the Agent’s instructions.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Scope of the Agent’s Duties</w:t>
      </w:r>
      <w:r>
        <w:rPr>
          <w:rFonts w:ascii="Times New Roman" w:cs="Times New Roman" w:eastAsia="Times New Roman" w:hAnsi="Times New Roman"/>
          <w:sz w:val="18"/>
          <w:szCs w:val="18"/>
          <w:color w:val="auto"/>
        </w:rPr>
        <w:t>. The Agent shall have no duties or responsibilities except those expressly set forth herein, and shall not, by reason of this Agreement or otherwise, have a fiduciary relationship with any Lender (and no implied covenants or other obligations shall be read into this Agreement against the Agent). None of the Agent, its Affiliates nor any of their respective directors, officers, employees or agents shall be liable for any action taken or omitted to be taken by it or them under this Agreement or any document executed pursuant hereto, or in connection herewith or therewith:</w:t>
      </w:r>
    </w:p>
    <w:p>
      <w:pPr>
        <w:spacing w:after="0" w:line="3" w:lineRule="exact"/>
        <w:rPr>
          <w:sz w:val="20"/>
          <w:szCs w:val="20"/>
          <w:color w:val="auto"/>
        </w:rPr>
      </w:pPr>
    </w:p>
    <w:p>
      <w:pPr>
        <w:jc w:val="both"/>
        <w:ind w:firstLine="8"/>
        <w:spacing w:after="0" w:line="251" w:lineRule="auto"/>
        <w:tabs>
          <w:tab w:leader="none" w:pos="23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or at the request of the Majority Lenders (or all of the Lenders for those acts requiring consent of all of the Lenders or such other number or percentage of Lenders as shall be necessary, or as the Agent shall believe in good faith shall be necessary, under the circumstances); or (ii) in the absence of its own gross negligence or willful misconduct, as determined by a court of competent jurisdiction by a final and non-appealable judgment; provided, that, no action taken or not taken by the Agent with the consent or at the request of the Majority Lenders (or all of the Lenders for those acts requiring consent of all of the Lenders or such other number or percentage of Lenders as shall be necessary, or as the Agent shall believe in good faith shall be necessary, under the circumstances) shall be considered gross negligence or willful misconduct of the Agent. None of the Agent, its Affiliates nor any of their respective directors, officers, employees or agents shall be responsible for or have any duties to ascertain, inquire into or verify (a) any recitals or warranties made by the Credit Parties or any Affiliate of the Credit Parties, or any officer thereof contained herein or therein, (b) the effectiveness, enforceability, validity or due execution of this Agreement or any document executed pursuant hereto or any security thereunder, (c) the performance by the Credit Parties of their respective obligations hereunder or thereunder, or (d) the satisfaction of any condition hereunder or thereunder, including without limitation in connection with the making of any Loan. The Agent and its Affiliates shall be entitled to rely upon, and shall not incur any liability for relying upon, any certificate, notice, document or other communication (including any cable, telegraph, telex, facsimile transmission or oral communication) believed by it to be</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6" w:name="page127"/>
    <w:bookmarkEnd w:id="126"/>
    <w:p>
      <w:pPr>
        <w:jc w:val="both"/>
        <w:spacing w:after="0" w:line="258" w:lineRule="auto"/>
        <w:rPr>
          <w:sz w:val="20"/>
          <w:szCs w:val="20"/>
          <w:color w:val="auto"/>
        </w:rPr>
      </w:pPr>
      <w:r>
        <w:rPr>
          <w:rFonts w:ascii="Times New Roman" w:cs="Times New Roman" w:eastAsia="Times New Roman" w:hAnsi="Times New Roman"/>
          <w:sz w:val="18"/>
          <w:szCs w:val="18"/>
          <w:color w:val="auto"/>
        </w:rPr>
        <w:t>genuine and correct and to have been sent or given by or on behalf of a proper Person. The Agent may treat the payee of any Note as the holder thereof. The Agent may employ agents and may consult with legal counsel, independent public accountants and other experts selected by it and shall not be liable to any Person for the negligence or misconduct of any such Person (except to the extent that a court of competent jurisdiction determines in a final and non-appealable judgment that the Agent acted with gross negligence or willful misconduct in the selection of such Person) or for any action taken or omitted to be taken by it in good faith in accordance with the advice of such counsel, accountants or experts.</w:t>
      </w:r>
    </w:p>
    <w:p>
      <w:pPr>
        <w:spacing w:after="0" w:line="18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u w:val="single" w:color="auto"/>
          <w:color w:val="auto"/>
        </w:rPr>
        <w:t>Successor Agent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80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resign as such at any time upon at least thirty (30) days prior notice to the Borrower and each of the Lenders. If the Agent at any time shall resign or if the office of the Agent shall become vacant for any other reason, Majority Lenders shall, by written instrument, appoint successor agent(s) (“</w:t>
      </w:r>
      <w:r>
        <w:rPr>
          <w:rFonts w:ascii="Times New Roman" w:cs="Times New Roman" w:eastAsia="Times New Roman" w:hAnsi="Times New Roman"/>
          <w:sz w:val="18"/>
          <w:szCs w:val="18"/>
          <w:b w:val="1"/>
          <w:bCs w:val="1"/>
          <w:color w:val="auto"/>
        </w:rPr>
        <w:t>Successor Agent</w:t>
      </w:r>
      <w:r>
        <w:rPr>
          <w:rFonts w:ascii="Times New Roman" w:cs="Times New Roman" w:eastAsia="Times New Roman" w:hAnsi="Times New Roman"/>
          <w:sz w:val="18"/>
          <w:szCs w:val="18"/>
          <w:color w:val="auto"/>
        </w:rPr>
        <w:t>”) satisfactory to such Majority Lenders and, so long as no Event of Default has occurred and is continuing, to the Borrower (which approval shall not be unreasonably withheld or delayed); provided, however that any such successor Agent shall be a bank or a trust company or other financial institution which maintains an office in the United States, or a commercial bank organized under the laws of the United States or any state thereof, or any Affiliate of such bank or trust company or other financial institution which is engaged in the banking business, and shall have a combined capital and surplus of at least $500,000,000. Such Successor Agent shall thereupon become the Agent hereunder, as applicable, and the Agent shall deliver or cause to be delivered to any successor agent such documents of transfer and assignment as such Successor Agent may reasonably request. If a Successor Agent is not so appointed or does not accept such appointment before the resigning Agent’s resignation becomes effective, the resigning Agent may, but shall be under no obligation to, appoint a temporary successor to act until such appointment by the Majority Lenders and, if applicable, the Borrower, is made and accepted, or if no such temporary successor is appointed as provided above by the resigning the Agent, the Majority Lenders shall thereafter perform all of the duties of the resigning the Agent hereunder until such appointment by the Majority Lenders and, if applicable, the Borrower, is made and accepted. Such Successor Agent shall succeed to all of the rights and obligations of the resigning Agent as if originally named. The resigning Agent shall duly assign, transfer and deliver to such Successor Agent all moneys at the time held by the resigning Agent hereunder after deducting therefrom its expenses for which it is entitled to be reimbursed hereunder. Upon such succession of any such Successor Agent, the resigning Agent shall be discharged from its duties and obligations, in its capacity as the Agent hereunder, and the provisions of this Article 11, Section 10.4(e)-(f) and Section 12.4 shall continue in effect for the benefit of the resigning Agent in respect of any actions taken or omitted to be taken by it while it was acting as the Agent.</w:t>
      </w:r>
    </w:p>
    <w:p>
      <w:pPr>
        <w:spacing w:after="0" w:line="19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4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CHS may assign its rights and duties as the Agent hereunder to its Affiliates and Related Funds without the prior written consent of, or prior written notice to, the Borrower or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and the Lenders may deem and treat such assigning Agent as the Agent for all purposes hereof, unless and until such assigning Agent provides written notice to the Borrower and the Lenders of such assignment. Upon such assignment such Person shall succeed to and become vested with all rights, powers, privileges and duties as the Agent hereunder and under the other Loan Documents.</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2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perform any and all of its duties and exercise its rights and powers under this Agreement or under any other Loan Document by or through any one or more additional individuals or institutions as separate trustee, co-trustee, collateral agent, sub-agent or co-agent (“</w:t>
      </w:r>
      <w:r>
        <w:rPr>
          <w:rFonts w:ascii="Times New Roman" w:cs="Times New Roman" w:eastAsia="Times New Roman" w:hAnsi="Times New Roman"/>
          <w:sz w:val="18"/>
          <w:szCs w:val="18"/>
          <w:u w:val="single" w:color="auto"/>
          <w:color w:val="auto"/>
        </w:rPr>
        <w:t>Supplemental Agents</w:t>
      </w:r>
      <w:r>
        <w:rPr>
          <w:rFonts w:ascii="Times New Roman" w:cs="Times New Roman" w:eastAsia="Times New Roman" w:hAnsi="Times New Roman"/>
          <w:sz w:val="18"/>
          <w:szCs w:val="18"/>
          <w:color w:val="auto"/>
        </w:rPr>
        <w:t>”) appointed by the Agent. The Agent and any such Supplemental Agents may perform any and all of its duties and exercise its rights and powers by or through their respective Affiliates. The exculpatory, indemnification and other provisions of this Agreement (including, without</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7" w:name="page128"/>
    <w:bookmarkEnd w:id="127"/>
    <w:p>
      <w:pPr>
        <w:jc w:val="both"/>
        <w:spacing w:after="0" w:line="252" w:lineRule="auto"/>
        <w:rPr>
          <w:sz w:val="20"/>
          <w:szCs w:val="20"/>
          <w:color w:val="auto"/>
        </w:rPr>
      </w:pPr>
      <w:r>
        <w:rPr>
          <w:rFonts w:ascii="Times New Roman" w:cs="Times New Roman" w:eastAsia="Times New Roman" w:hAnsi="Times New Roman"/>
          <w:sz w:val="18"/>
          <w:szCs w:val="18"/>
          <w:color w:val="auto"/>
        </w:rPr>
        <w:t>limitation, this Article 11, Section 10.4(e)-(f) and Section 12.4) shall apply to any of the Supplemental Agents of the Agent and shall apply to their respective activities in connection with its activities as the Agent. All of the rights, benefits and privileges (including the exculpatory and indemnification provisions) of this Agreement (including, without limitation, this Article 11, Section 10.4(e)-(f) and Section 12.4) shall apply to any such Supplemental Agent and to the Affiliates of any such Supplemental Agent, and shall apply to their respective activities as sub-agent as if such sub-agent and Affiliates were named herein. Notwithstanding anything herein to the contrary, with respect to each Supplemental Agent appointed by the Agent, (i) such Supplemental 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the Borrower, the Guarantors and the Lenders, (ii) such rights, benefits and privileges (including exculpatory rights and rights to indemnification) shall not be modified or amended without the consent of such Supplemental Agent, and (iii) such Supplemental Agent shall only have obligations to the Agent, and not to the Borrower, Guarantor, Lender or any other Person and no Borrower, Guarantor, Lender or any other Person shall have the rights, directly or indirectly, as a third party beneficiary or otherwise, against such Supplemental Agent. The Agent shall not be responsible for the negligence or misconduct of any Supplemental Agent except to the extent that a court of competent jurisdiction determines in a final and non-appealable judgment that the Agent acted with gross negligence or willful misconduct in the selection of such Supplemental Agent.</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Credit Decisions</w:t>
      </w:r>
      <w:r>
        <w:rPr>
          <w:rFonts w:ascii="Times New Roman" w:cs="Times New Roman" w:eastAsia="Times New Roman" w:hAnsi="Times New Roman"/>
          <w:sz w:val="18"/>
          <w:szCs w:val="18"/>
          <w:color w:val="auto"/>
        </w:rPr>
        <w:t>. Each Lender acknowledges that it has, independently of the Agent and each other Lender and based on the financial statements of the Borrower and such other documents, information and investigations as it has deemed appropriate, made its own credit decision to extend credit hereunder from time to time. Each Lender also acknowledges that it will, independently of the Agent and each other Lender and based on such other documents, information and investigations as it shall deem appropriate at any time, continue to make its own credit decisions as to exercising or not exercising from time to time any rights and privileges available to it under this Agreement, any Loan Document or any other document executed pursuant hereto.</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Authority of the Agent to Enforce This Agreement</w:t>
      </w:r>
      <w:r>
        <w:rPr>
          <w:rFonts w:ascii="Times New Roman" w:cs="Times New Roman" w:eastAsia="Times New Roman" w:hAnsi="Times New Roman"/>
          <w:sz w:val="18"/>
          <w:szCs w:val="18"/>
          <w:color w:val="auto"/>
        </w:rPr>
        <w:t>. Each Lender, subject to the terms and conditions of this Agreement, grants the Agent full power and authority as attorney-in-fact to institute and maintain actions, suits or proceedings for the collection and enforcement of any Indebtedness (including any Prepayment Premium) outstanding under this Agreement or any other Loan Document and to file such proofs of debt or other documents as may be necessary to have the claims of the Lenders allowed in any proceeding relative to any Credit Party, or their respective creditors or affecting their respective properties, and to take such other actions which the Agent considers to be necessary or desirable for the protection, collection and enforcement of the Notes, this Agreement or the other Loan Documents.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Indemnification of the Agent</w:t>
      </w:r>
      <w:r>
        <w:rPr>
          <w:rFonts w:ascii="Times New Roman" w:cs="Times New Roman" w:eastAsia="Times New Roman" w:hAnsi="Times New Roman"/>
          <w:sz w:val="18"/>
          <w:szCs w:val="18"/>
          <w:color w:val="auto"/>
        </w:rPr>
        <w:t>. The Lenders agree to indemnify the Agent, its Affiliates and their respective officers, partners, directors, trustees employees and agents (each, an “</w:t>
      </w:r>
      <w:r>
        <w:rPr>
          <w:rFonts w:ascii="Times New Roman" w:cs="Times New Roman" w:eastAsia="Times New Roman" w:hAnsi="Times New Roman"/>
          <w:sz w:val="18"/>
          <w:szCs w:val="18"/>
          <w:b w:val="1"/>
          <w:bCs w:val="1"/>
          <w:color w:val="auto"/>
        </w:rPr>
        <w:t>Indemnitee Agent Party</w:t>
      </w:r>
      <w:r>
        <w:rPr>
          <w:rFonts w:ascii="Times New Roman" w:cs="Times New Roman" w:eastAsia="Times New Roman" w:hAnsi="Times New Roman"/>
          <w:sz w:val="18"/>
          <w:szCs w:val="18"/>
          <w:color w:val="auto"/>
        </w:rPr>
        <w:t>”) (to the extent not reimbursed by the Borrower, but without limiting any obligation of the Borrower to make such reimbursement), ratably according to their respective Pro Rata Shares (provided, that, if such indemnity payment is sought after the date on which the Loans have been paid in full, such determination of such Pro Rata Shares shall be made as of the last date prior to which the Loans were paid in full), from and against any and all claims, damages, losses, liabilities, costs or expenses of any kind or nature whatsoever (including, without limitation, reasonable fees and expenses of in-house and outside counsel) which may be imposed on, incurred by, or asserted against any Indemnitee Agent Party in any way relating to or arising out of this Agreement, any of the other Loan Documents or the transactions</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8" w:name="page129"/>
    <w:bookmarkEnd w:id="128"/>
    <w:p>
      <w:pPr>
        <w:jc w:val="both"/>
        <w:spacing w:after="0" w:line="252" w:lineRule="auto"/>
        <w:rPr>
          <w:sz w:val="20"/>
          <w:szCs w:val="20"/>
          <w:color w:val="auto"/>
        </w:rPr>
      </w:pPr>
      <w:r>
        <w:rPr>
          <w:rFonts w:ascii="Times New Roman" w:cs="Times New Roman" w:eastAsia="Times New Roman" w:hAnsi="Times New Roman"/>
          <w:sz w:val="18"/>
          <w:szCs w:val="18"/>
          <w:color w:val="auto"/>
        </w:rPr>
        <w:t>contemplated hereby or any action taken or omitted by any Indemnitee Agent Party under this Agreement or any of the Loan Documents in all cases, whether or not caused by or arising, in whole or in part, out of the comparative, contributory, or sole negligence of such Indemnitee Agent Party; provided, however, that no Lender shall be liable for any portion of such claims, damages, losses, liabilities, costs or expenses resulting from such Indemnitee Agent Party’s gross negligence or willful misconduct as determined by a court of competent jurisdiction in a final, non-appealable order. Without limitation of the foregoing, each Lender agrees to reimburse the Indemnitee Agent Parties promptly upon demand for its ratable share of any reasonable out-of-pocket expenses (including, without limitation, reasonable fees and expenses of in-house and outside counsel) incurred by the Indemnitee Agent Parties in connection with the preparation, execution, delivery, administration, modification, amendment or enforcement (whether through negotiations, legal proceedings or otherwise) of, or legal advice in respect of rights or responsibilities under, this Agreement or any of the other Loan Documents, to the extent that the Indemnitee Agent Parties are not timely reimbursed for such expenses by the Borrower, but without limiting the obligation of the Borrower to make such reimbursement. Each Lender agrees to reimburse the Indemnitee Agent Parties promptly upon demand for its ratable share (provided, that, if such payment is sought after the date on which the Loans have been paid in full, such determination of such ratable share shall be made as of the last date prior to which the Loans were paid in full) of any amounts owing to the Indemnitee Agent Parties by the Lenders pursuant to this Section, provided that, if the Indemnitee Agent Parties are subsequently reimbursed by the Borrower for such amounts, they shall refund to the Lenders on a pro rata basis the amount of any excess reimbursement. If the indemnity furnished to the Indemnitee Agent Parties under this Section shall become impaired as determined in the Agent’s reasonable judgment or the Agent shall elect in its sole discretion to have such indemnity confirmed by the Lenders (as to specific matters or otherwise), the Agent shall give notice thereof to each Lender and, until such additional indemnity is provided or such existing indemnity is confirmed, the Agent may cease, or not commence, to take any action. Any amounts paid by the Lenders hereunder to the Indemnitee Agent Parties shall be deemed to constitute part of the Indebtedness hereunder.</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Knowledge of Default</w:t>
      </w:r>
      <w:r>
        <w:rPr>
          <w:rFonts w:ascii="Times New Roman" w:cs="Times New Roman" w:eastAsia="Times New Roman" w:hAnsi="Times New Roman"/>
          <w:sz w:val="18"/>
          <w:szCs w:val="18"/>
          <w:color w:val="auto"/>
        </w:rPr>
        <w:t>. It is expressly understood and agreed that the Agent shall be entitled to assume that no Default or Event of Default has occurred and is continuing, unless the officers of the Agent immediately responsible for matters concerning this Agreement shall have received a written notice from a Lender or the Borrower specifying such Default or Event of Default and conspicuously stating that such notice is a “notice of default”. Upon receiving such a notice, the Agent shall promptly notify each Lender of such Default or Event of Default and provide each Lender with a copy of such notice and shall endeavor to provide such notice to the Lenders within three (3) Business Days (but without any liability whatsoever in the event of its failure to do so). The Agent shall also furnish the Lenders, promptly upon receipt, with copies of all other notices or other information required to be provided by the Borrower hereunder.</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The Agent’s Authorization; Action by Lenders</w:t>
      </w:r>
      <w:r>
        <w:rPr>
          <w:rFonts w:ascii="Times New Roman" w:cs="Times New Roman" w:eastAsia="Times New Roman" w:hAnsi="Times New Roman"/>
          <w:sz w:val="18"/>
          <w:szCs w:val="18"/>
          <w:color w:val="auto"/>
        </w:rPr>
        <w:t>. Except as otherwise expressly provided herein, whenever the Agent is authorized and empowered hereunder on behalf of the Lenders to give any approval or consent, or to make any request, or to take any other action on behalf of the Lenders (including without limitation the exercise of any right or remedy hereunder or under the other Loan Documents), the Agent shall be required to give such approval or consent, or to make such request or to take such other action only when so requested in writing by the Majority Lenders or the Lenders, as applicable hereunder, provided, however, that the Agent shall not be required to act or omit to act if, in the reasonable judgment of the Agent, such action or omission may expose the Agent to personal liability for which the Agent has not been satisfactorily indemnified hereunder or is contrary to this Agreement, any of the Loan Documents or applicable law. Action that may be taken by the Majority Lenders, any other specified percentage of the Lenders or all of the Lenders, as the case may be (as provided for hereunder), may be taken (i) pursuant to a vote of the requisite percentages of the Lenders as required hereunder at a meeting (which may be held by telephone conference call), provided that the Agent</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9" w:name="page130"/>
    <w:bookmarkEnd w:id="129"/>
    <w:p>
      <w:pPr>
        <w:jc w:val="both"/>
        <w:spacing w:after="0" w:line="266" w:lineRule="auto"/>
        <w:rPr>
          <w:sz w:val="20"/>
          <w:szCs w:val="20"/>
          <w:color w:val="auto"/>
        </w:rPr>
      </w:pPr>
      <w:r>
        <w:rPr>
          <w:rFonts w:ascii="Times New Roman" w:cs="Times New Roman" w:eastAsia="Times New Roman" w:hAnsi="Times New Roman"/>
          <w:sz w:val="18"/>
          <w:szCs w:val="18"/>
          <w:color w:val="auto"/>
        </w:rPr>
        <w:t>exercises good faith, diligent efforts to give all of the Lenders reasonable advance notice of the meeting, or (ii) pursuant to the written consent of the requisite percentages of the Lenders as required hereunder, provided that all of the Lenders are given reasonable advance notice of the requests for such consent.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Enforcement Actions by the Agent</w:t>
      </w:r>
      <w:r>
        <w:rPr>
          <w:rFonts w:ascii="Times New Roman" w:cs="Times New Roman" w:eastAsia="Times New Roman" w:hAnsi="Times New Roman"/>
          <w:sz w:val="18"/>
          <w:szCs w:val="18"/>
          <w:color w:val="auto"/>
        </w:rPr>
        <w:t>. Except as otherwise expressly provided under this Agreement or in any of the other Loan Documents and subject to the terms hereof, the Agent will take such action, assert such rights and pursue such remedies under this Agreement and the other Loan Documents as the Majority Lenders or all of the Lenders, as the case may be (as provided for hereunder), shall direct; provided, however, that the Agent shall not be required to act or omit to act if, in the reasonable judgment of the Agent, such action or omission may expose the Agent to personal liability for which the Agent has not been satisfactorily indemnified hereunder or is contrary to this Agreement, any of the Loan Documents or applicable law. Anything contained in any of the Loan Documents to the contrary notwithstanding, the Borrower, the Agent and each Lender hereby agree (i) no Lender shall have any right individually to realize upon any of the Collateral under any Loan Document or to enforce any Guaranty, it being understood and agreed that all powers, rights and remedies under the Loan Documents may be exercised solely by the Agent for the benefit of the Lenders in accordance with the terms thereof, (ii) in the event of a foreclosure by the Agent on any of the Collateral pursuant to a public or private sale, the Agent or any Lender may be the purchaser of any or all of such Collateral at any such sale and (iii) the Agent, as agent for and representative of the Lenders (but not any Lender or Lenders in its or their respective individual capacities unless the Majority Lenders shall otherwise agree in writing) shall be entitled (either directly or through one or more acquisition vehicles) for the purpose of bidding and making settlement or payment of the purchase price for all or any portion of the Collateral to be sold (A) at any public or private sale, (B) at any sale conducted by the Agent under the provisions of the Uniform Commercial Code (including pursuant to Sections 9-610 or 9-620 of the Uniform Commercial Code), (C) at any sale or foreclosure conducted by the Agent (whether by judicial action or otherwise) in accordance with applicable law or (D) any sale conducted pursuant to the provisions of any Debtor Relief Law (including Section 363 of the Bankruptcy Code), to use and apply all or any of the Indebtedness (including any Prepayment Premium) as a credit on account of the purchase price for any Collateral payable by the Agent at such sale.</w:t>
      </w:r>
    </w:p>
    <w:p>
      <w:pPr>
        <w:spacing w:after="0" w:line="193"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8"/>
          <w:szCs w:val="18"/>
          <w:u w:val="single" w:color="auto"/>
          <w:color w:val="auto"/>
        </w:rPr>
        <w:t>Collateral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863"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authorized on behalf of all the Lenders, without the necessity of any notice to or further consent from the Lenders, from time to time to take any action with respect to any Collateral or the Collateral Documents which may be necessary to perfect and maintain a perfected security interest in and Liens upon the Collateral granted pursuant to the Loan Documents.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6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irrevocably authorize the Agent, in its reasonable discretion, to the full extent set forth in Section 12.9(d) hereof, at the sole cost and expense of the Borrower (1) to release or terminate any Lien granted to or held by the Agent upon any Collateral (a) upon termination of the Commitments and payment in full of all Indebtedness (including any Prepayment Premium) payable under this Agreement and under any other Loan Document; (b) constituting property (including, without limitation, Equity Interests in any Person) sold or to be sold or disposed of as part of or in connection with any disposition (whether by sale, by merger or by any other form of transaction and including the property of any Subsidiary that is disposed of as permitted hereby) permitted in accordance with the terms of this Agreement to a Person that is not the Borrower or a Guarantor, subject to Section 11.11(b)(3) below; (c) constituting property in which a Credit Party owned no interest at the time the Lien was granted or at any time thereafter; or</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2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approved, authorized or ratified in writing by the Majority Lenders, or all the Lenders, as the case may be, as provided in Section 12.9; (2) to subordinate the Lien granted to or held by the Agent on any Collateral to any other holder of a Lien on such Collateral which is permitted by Section 7.2(b) hereto; and (3) if all of the Equity Interests held by the Credit Parties in any</w:t>
      </w:r>
    </w:p>
    <w:p>
      <w:pPr>
        <w:spacing w:after="0" w:line="2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0" w:name="page131"/>
    <w:bookmarkEnd w:id="130"/>
    <w:p>
      <w:pPr>
        <w:jc w:val="both"/>
        <w:spacing w:after="0" w:line="255" w:lineRule="auto"/>
        <w:rPr>
          <w:sz w:val="20"/>
          <w:szCs w:val="20"/>
          <w:color w:val="auto"/>
        </w:rPr>
      </w:pPr>
      <w:r>
        <w:rPr>
          <w:rFonts w:ascii="Times New Roman" w:cs="Times New Roman" w:eastAsia="Times New Roman" w:hAnsi="Times New Roman"/>
          <w:sz w:val="18"/>
          <w:szCs w:val="18"/>
          <w:color w:val="auto"/>
        </w:rPr>
        <w:t>Person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 to release such Person from all of its obligations under the Loan Documents (including, without limitation, under any Guaranty). Upon request by the Agent at any time, the Lenders will confirm in writing the Agent’s authority to release particular types or items of Collateral or subordinate its interest in particular types or items of property or to release any Guarantor from its obligations under the Guaranty pursuant to this Section 11.11(b), and the Agent shall be entitled to refrain from taking any such action until it receives such written confirmation from the Majority Lenders or Lenders (as applicable).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The Agent in its Individual Capacity</w:t>
      </w:r>
      <w:r>
        <w:rPr>
          <w:rFonts w:ascii="Times New Roman" w:cs="Times New Roman" w:eastAsia="Times New Roman" w:hAnsi="Times New Roman"/>
          <w:sz w:val="18"/>
          <w:szCs w:val="18"/>
          <w:color w:val="auto"/>
        </w:rPr>
        <w:t>. CHS and its Affiliates, successors and assigns shall each have the same rights and powers hereunder as any other Lender and may exercise or refrain from exercising the same as though such Lender were not the Agent. CHS and its Affiliates may (without having to account therefor to any Lender) accept deposits from, lend money to, and generally engage in any kind of banking, trust, financial advisory or other business with the Credit Parties as if such Lender were not acting as the Agent hereunder, and may accept fees and other consideration therefor without having to account for the same to the Lenders.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Specified Subordination Agreement and Subordination Agreements</w:t>
      </w:r>
      <w:r>
        <w:rPr>
          <w:rFonts w:ascii="Times New Roman" w:cs="Times New Roman" w:eastAsia="Times New Roman" w:hAnsi="Times New Roman"/>
          <w:sz w:val="18"/>
          <w:szCs w:val="18"/>
          <w:color w:val="auto"/>
        </w:rPr>
        <w:t>. Each Lender hereby irrevocably appoints, designates and authorizes Agent to enter into any subordination or intercreditor agreement pertaining to the Senior Debt or any Subordinated Debt, on its behalf and to take such action on its behalf under the provisions of any such agreement. Each Lender further agrees to be bound by the terms and conditions of each subordination or intercreditor agreement pertaining to the Senior Debt or any Subordinated Debt.</w:t>
      </w:r>
    </w:p>
    <w:p>
      <w:pPr>
        <w:spacing w:after="0" w:line="180"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color w:val="auto"/>
        </w:rPr>
        <w:t>11.14</w:t>
      </w:r>
      <w:r>
        <w:rPr>
          <w:sz w:val="20"/>
          <w:szCs w:val="20"/>
          <w:color w:val="auto"/>
        </w:rPr>
        <w:tab/>
      </w:r>
      <w:r>
        <w:rPr>
          <w:rFonts w:ascii="Times New Roman" w:cs="Times New Roman" w:eastAsia="Times New Roman" w:hAnsi="Times New Roman"/>
          <w:sz w:val="17"/>
          <w:szCs w:val="17"/>
          <w:u w:val="single" w:color="auto"/>
          <w:color w:val="auto"/>
        </w:rPr>
        <w:t>No Reliance on the Agent’s Customer Identification Program</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81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and agrees that neither such Lender, nor any of its Affiliates, participants or assignees, may rely on the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 w:cs="Times New Roman" w:eastAsia="Times New Roman" w:hAnsi="Times New Roman"/>
          <w:sz w:val="18"/>
          <w:szCs w:val="18"/>
          <w:b w:val="1"/>
          <w:bCs w:val="1"/>
          <w:color w:val="auto"/>
        </w:rPr>
        <w:t>CIP Regulations</w:t>
      </w:r>
      <w:r>
        <w:rPr>
          <w:rFonts w:ascii="Times New Roman" w:cs="Times New Roman" w:eastAsia="Times New Roman" w:hAnsi="Times New Roman"/>
          <w:sz w:val="18"/>
          <w:szCs w:val="18"/>
          <w:color w:val="auto"/>
        </w:rPr>
        <w:t>”), or any other Anti-Terrorism Law, including any programs involving any of the following items relating to or in connection with the Borrower or any of its Subsidiaries, any of their respective Affiliates or agents, the Loan Documents or the transactions hereunder: (i) any identify verification procedures, (ii) any record keeping, (iii) any comparisons with government lists, (iv) any customer notices or (v) any other procedures required under the CIP Regulations or such other laws.</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3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or assignee or participant of a Lender that is not organized under the laws of the United States or a state thereof (and is not excepted from the certification requirement contained in Section 313 of the USA Patriot Act and the applicable regulations because it is both (i) an affiliate of a depository institution or foreign bank that maintains a physical presence in the United States or foreign country, and (ii) subject to supervision by a banking authority regulating such affiliated depository institution or foreign bank) shall deliver to the Agent the certification, or, if applicable, recertification, certifying that such Lender is not a “shell” and certifying to other matters as required by Section 313 of the USA Patriot Act and the applicable regulations: (x) within 10 days after the Restatement Date, and (y) at such other times as are required under the USA Patriot Act.</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1" w:name="page132"/>
    <w:bookmarkEnd w:id="131"/>
    <w:p>
      <w:pPr>
        <w:ind w:left="660" w:right="8960" w:hanging="652"/>
        <w:spacing w:after="0" w:line="532" w:lineRule="auto"/>
        <w:tabs>
          <w:tab w:leader="none" w:pos="660" w:val="left"/>
        </w:tabs>
        <w:numPr>
          <w:ilvl w:val="0"/>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MISCELLANEOUS. </w:t>
      </w:r>
      <w:r>
        <w:rPr>
          <w:rFonts w:ascii="Times New Roman" w:cs="Times New Roman" w:eastAsia="Times New Roman" w:hAnsi="Times New Roman"/>
          <w:sz w:val="17"/>
          <w:szCs w:val="17"/>
          <w:color w:val="auto"/>
        </w:rPr>
        <w:t xml:space="preserve">12.1 </w:t>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xml:space="preserve">. ALL JUDICIAL PROCEEDINGS BROUGHT AGAINST ANY THE BORROWER OR ANY GUARANTOR ARISING OUT OF OR RELATING HERETO OR ANY OTHER LOAN DOCUMENT, OR ANY OF THE INDEBTEDNESS (INCLUDING ANY PREPAYMENT PREMIUM), MAY BE BROUGHT IN ANY STATE OR FEDERAL COURT OF COMPETENT JURISDICTION IN THE STATE, COUNTY AND CITY OF NEW YORK. BY EXECUTING AND DELIVERING THIS AGREEMENT, THE BORROWER, FOR ITSELF AND IN CONNECTION WITH ITS PROPERTIES, IRREVOCABLY (I) ACCEPTS GENERALLY AND UNCONDITIONALLY THE NON-EXCLUSIVE JURISDICTION AND VENUE OF SUCH COURTS; (II) WAIVES ANY DEFENSE OF FORUM NON CONVENIENS; (III) AGREES THAT SERVICE OF ALL PROCESS IN ANY SUCH PROCEEDING IN ANY SUCH COURT MAY BE MADE BY REGISTERED OR CERTIFIED MAIL, RETURN RECEIPT REQUESTED, TO THE APPLICABLE CREDIT PARTY AT ITS ADDRESS PROVIDED IN ACCORDANCE WITH </w:t>
      </w:r>
      <w:r>
        <w:rPr>
          <w:rFonts w:ascii="Times New Roman" w:cs="Times New Roman" w:eastAsia="Times New Roman" w:hAnsi="Times New Roman"/>
          <w:sz w:val="18"/>
          <w:szCs w:val="18"/>
          <w:u w:val="single" w:color="auto"/>
          <w:color w:val="auto"/>
        </w:rPr>
        <w:t>SECTION 12.5</w:t>
      </w:r>
      <w:r>
        <w:rPr>
          <w:rFonts w:ascii="Times New Roman" w:cs="Times New Roman" w:eastAsia="Times New Roman" w:hAnsi="Times New Roman"/>
          <w:sz w:val="18"/>
          <w:szCs w:val="18"/>
          <w:color w:val="auto"/>
        </w:rPr>
        <w:t xml:space="preserve"> IS SUFFICIENT TO CONFER PERSONAL JURISDICTION OVER THE APPLICABLE CREDIT PARTY IN ANY SUCH PROCEEDING IN ANY SUCH COURT, AND OTHERWISE CONSTITUTES EFFECTIVE AND BINDING SERVICE IN EVERY RESPECT; AND (iv) AGREES THAT THE AGENT AND THE LENDERS RETAIN THE RIGHT TO SERVE PROCESS IN ANY OTHER MANNER PERMITTED BY LAW OR TO BRING PROCEEDINGS AGAINST THE BORROWER OR ANY GUARANTOR IN THE COURTS OF ANY OTHER JURISDICTION.</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RIGHTS AND OBLIGATIONS OF THE PARTIES HEREUNDER SHALL BE GOVERNED BY, AND SHALL BE CONSTRUED AND ENFORCED IN ACCORDANCE WITH, THE LAWS OF THE STATE OF NEW YORK APPLICABLE TO CONTRACTS MADE AND TO BE PERFORMED IN THE STATE OF NEW YORK.</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u w:val="single" w:color="auto"/>
          <w:color w:val="auto"/>
        </w:rPr>
        <w:t>Closing Costs and Other Costs; Indemnification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87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hereby shall be consummated, the Borrower shall pay or reimburse (a) the Agent, the Lenders and their respective Affiliates for payment of, on demand, all reasonable and documented costs and expenses incurred by the Agent, Lenders and their respective Affiliates in connection with the consummation and closing of the loans contemplated hereby, the administration or enforcement of this Agreement or the other Loan Documents (including the obtaining of legal advice regarding the rights and responsibilities of the parties hereto), any refinancing or restructuring of the Loans provided under this Agreement or the other Loan Documents or the negotiation, preparation, execution and administration of the Loan Documents and any consents, amendments, waivers or other modifications thereto and any other documents or matters requested by Borrower, including, by way of description and not limitation, reasonable outside attorney fees (which shall be limited to one outside counsel for the Agent and one outside counsel for the Lenders (absent a conflict of interest (in which case, each group of similarly situated and conflicted Lenders may engage and be reimbursed for an additional firm of outside counsel)) and if necessary, one local counsel in each relevant jurisdiction and such specialist counsel as the Agent may reasonably determine to be necessary and one local counsel in each relevant jurisdiction and such specialist counsel as the Lenders may reasonably determine to be necessary (the "</w:t>
      </w:r>
      <w:r>
        <w:rPr>
          <w:rFonts w:ascii="Times New Roman" w:cs="Times New Roman" w:eastAsia="Times New Roman" w:hAnsi="Times New Roman"/>
          <w:sz w:val="18"/>
          <w:szCs w:val="18"/>
          <w:b w:val="1"/>
          <w:bCs w:val="1"/>
          <w:color w:val="auto"/>
        </w:rPr>
        <w:t>Legal Counsel Limitations</w:t>
      </w:r>
      <w:r>
        <w:rPr>
          <w:rFonts w:ascii="Times New Roman" w:cs="Times New Roman" w:eastAsia="Times New Roman" w:hAnsi="Times New Roman"/>
          <w:sz w:val="18"/>
          <w:szCs w:val="18"/>
          <w:color w:val="auto"/>
        </w:rPr>
        <w:t>")) and advances, appraisal, auditing, consulting and accounting fees, costs and expenses of creating and perfecting Liens in favor of the Agent, for the benefit of Agent and the Lenders (including, without limitation, filing and recording fees and lien search fees), costs and expenses (including the fees, expenses and disbursements of any appraisers, consultants, advisors and agents retained by Agent and its counsel and Lenders and their</w:t>
      </w: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32" w:name="page133"/>
    <w:bookmarkEnd w:id="132"/>
    <w:p>
      <w:pPr>
        <w:jc w:val="both"/>
        <w:spacing w:after="0" w:line="253" w:lineRule="auto"/>
        <w:rPr>
          <w:sz w:val="20"/>
          <w:szCs w:val="20"/>
          <w:color w:val="auto"/>
        </w:rPr>
      </w:pPr>
      <w:r>
        <w:rPr>
          <w:rFonts w:ascii="Times New Roman" w:cs="Times New Roman" w:eastAsia="Times New Roman" w:hAnsi="Times New Roman"/>
          <w:sz w:val="18"/>
          <w:szCs w:val="18"/>
          <w:color w:val="auto"/>
        </w:rPr>
        <w:t>counsel) in connection with the custody or preservation of any of the Collateral and required travel costs, and (b) the Agent and its Affiliates and each of the Lenders, as the case may be, for all stamp and other taxes and duties payable or determined to be payable in connection with the execution, delivery, filing or recording of this Agreement and the other Loan Documents and the consummation of the transactions contemplated hereby, and any and all liabilities with respect to or resulting from any delay in paying or omitting to pay such taxes or duties. Furthermore, all reasonable costs and expenses, including without limitation attorney fees (subject to the Legal Counsel Limitations), incurred by the Agent, the Lenders and their respective Affiliates in revising, preserving, protecting, exercising or enforcing any of the Agent’s and the Lenders’ rights against the Borrower or any other Credit Party, or otherwise incurred by the Agent and its Affiliates and the Lenders in connection with any Event of Default or the enforcement of their rights and remedies hereunder (whether incurred through negotiations, legal proceedings or otherwise), including by way of description and not limitation, such charges incurred in connection with the sale of, collection from or other realization upon any of the Collateral, in connection with any refinancing or restructuring of the credit arrangements provided hereunder in the nature of a “workout” or pursuant to any court or bankruptcy proceedings or arising out of any claim or action by any person against the Agent, its Affiliates, or any Lender which would not have been asserted were it not for the Agent’s or such Affiliate’s or Lender’s relationship with the Borrower hereunder or otherwise, shall also be paid by the Borrower.</w:t>
      </w:r>
    </w:p>
    <w:p>
      <w:pPr>
        <w:spacing w:after="0" w:line="190" w:lineRule="exact"/>
        <w:rPr>
          <w:sz w:val="20"/>
          <w:szCs w:val="20"/>
          <w:color w:val="auto"/>
        </w:rPr>
      </w:pPr>
    </w:p>
    <w:p>
      <w:pPr>
        <w:jc w:val="both"/>
        <w:ind w:firstLine="1304"/>
        <w:spacing w:after="0" w:line="254" w:lineRule="auto"/>
        <w:tabs>
          <w:tab w:leader="none" w:pos="189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PAYMENT OF EXPENSES PURSUANT TO </w:t>
      </w:r>
      <w:r>
        <w:rPr>
          <w:rFonts w:ascii="Times New Roman" w:cs="Times New Roman" w:eastAsia="Times New Roman" w:hAnsi="Times New Roman"/>
          <w:sz w:val="18"/>
          <w:szCs w:val="18"/>
          <w:u w:val="single" w:color="auto"/>
          <w:color w:val="auto"/>
        </w:rPr>
        <w:t>SECTION 12.4(a)</w:t>
      </w:r>
      <w:r>
        <w:rPr>
          <w:rFonts w:ascii="Times New Roman" w:cs="Times New Roman" w:eastAsia="Times New Roman" w:hAnsi="Times New Roman"/>
          <w:sz w:val="18"/>
          <w:szCs w:val="18"/>
          <w:color w:val="auto"/>
        </w:rPr>
        <w:t>, WHETHER OR NOT THE TRANSACTIONS CONTEMPLATED HEREBY SHALL BE CONSUMMATED, THE BORROWER AGREES TO DEFEND (SUBJECT TO THE LEGAL COUNSEL LIMITATIONS), INDEMNIFY, PAY AND HOLD HARMLESS, AGENT AND EACH LENDER, THEIR RESPECTIVE AFFILIATES AND THEIR RESPECTIVE OFFICERS, PARTNERS, DIRECTORS, TRUSTEES, EMPLOYEES AND AGENTS OF AGENT AND EACH LENDER (EACH,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xml:space="preserve">”), FROM AND AGAINST ANY AND ALL INDEMNIFIED LIABILITIES, </w:t>
      </w:r>
      <w:r>
        <w:rPr>
          <w:rFonts w:ascii="Times New Roman" w:cs="Times New Roman" w:eastAsia="Times New Roman" w:hAnsi="Times New Roman"/>
          <w:sz w:val="18"/>
          <w:szCs w:val="18"/>
          <w:b w:val="1"/>
          <w:bCs w:val="1"/>
          <w:color w:val="auto"/>
        </w:rPr>
        <w:t>IN ALL CASES,</w:t>
      </w:r>
    </w:p>
    <w:p>
      <w:pPr>
        <w:spacing w:after="0" w:line="3"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WHETHER OR NOT CAUSED BY OR ARISING, IN WHOLE OR IN PART, OUT OF THE COMPARATIVE, CONTRIBUTORY, OR SOLE NEGLIGENCE OF SUCH INDEMNITEE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THE BORROWER SHALL NOT HAVE ANY OBLIGATION TO ANY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WITH RESPECT TO ANY INDEMNIFIED LIABILITIES TO THE EXTENT SUCH INDEMNIFIED LIABILITIES ARISE FROM THE GROSS NEGLIGENCE OR WILLFUL MISCONDUCT, AS DETERMINED BY A COURT OF COMPETENT JURISDICTION IN A FINAL, NON-APPEALABLE ORDER, OF THAT INDEMNITEE. TO THE EXTENT THAT THE UNDERTAKINGS TO DEFEND, INDEMNIFY, PAY AND HOLD HARMLESS SET FORTH IN THIS </w:t>
      </w:r>
      <w:r>
        <w:rPr>
          <w:rFonts w:ascii="Times New Roman" w:cs="Times New Roman" w:eastAsia="Times New Roman" w:hAnsi="Times New Roman"/>
          <w:sz w:val="18"/>
          <w:szCs w:val="18"/>
          <w:u w:val="single" w:color="auto"/>
          <w:color w:val="auto"/>
        </w:rPr>
        <w:t>SECTION 12.4(b)</w:t>
      </w:r>
      <w:r>
        <w:rPr>
          <w:rFonts w:ascii="Times New Roman" w:cs="Times New Roman" w:eastAsia="Times New Roman" w:hAnsi="Times New Roman"/>
          <w:sz w:val="18"/>
          <w:szCs w:val="18"/>
          <w:color w:val="auto"/>
        </w:rPr>
        <w:t xml:space="preserve"> MAY BE UNENFORCEABLE IN WHOLE OR IN PART BECAUSE THEY ARE VIOLATIVE OF ANY LAW OR PUBLIC POLICY, THE BORROWER SHALL CONTRIBUTE THE MAXIMUM PORTION THAT IT IS PERMITTED TO PAY AND SATISFY UNDER APPLICABLE LAW TO THE PAYMENT AND SATISFACTION OF ALL INDEMNIFIED LIABILITIES INCURRED BY INDEMNITEES OR ANY OF THEM.</w:t>
      </w:r>
    </w:p>
    <w:p>
      <w:pPr>
        <w:spacing w:after="0" w:line="19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8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the Borrower shall not assert, and the Borrower hereby waives, any claim against Lenders, Agent and their respective Affiliates, directors, employees, attorneys or 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Loan or the use of the proceeds thereof or any act or omission or event occurring in connection therewith, and the Borrower hereby waives, releases and agrees not to sue upon any such claim or any such damages, whether or not accrued and whether or not known or suspected to exist in its favor.</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3" w:name="page134"/>
    <w:bookmarkEnd w:id="133"/>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93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provided otherwise in this Agreement (and except as provided in clause (b) below), all notices and other communications provided to any party hereto under this Agreement or any other Loan Document shall be in writing and shall be given by personal delivery, by mail, by reputable overnight courier or by facsimile and addressed or delivered to it at its address set forth on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or at such other address as may be designated by such party in a notice to the other parties that complies as to delivery with the terms of this Section 12.5 or posted to an E-System set up by or at the direction of the Agent (as set forth below). Any notice, if personally delivered or if mailed and properly addressed with postage prepaid and sent by registered or certified mail, shall be deemed given when received or when delivery is refused; any notice, if given to a reputable overnight courier and properly addressed, shall be deemed given two (2) Business Days after the date on which it was sent, unless it is actually received sooner by the named addressee; and any notice, if transmitted by facsimile, shall be deemed given when received. The Agent may, but, except as specifically provided herein, shall not be required to, take any action on the basis of any notice given to it by telephone, but the giver of any such notice shall promptly confirm such notice in writing or by facsimile, and such notice will not be deemed to have been received until such confirmation is deemed received in accordance with the provisions of this Section set forth above. If such telephonic notice conflicts with any such confirmation, the terms of such confirmation shall control. Any notice given by the Agent or any Lender to the Borrower shall be deemed to be a notice to all of the Credit Parties.</w:t>
      </w:r>
    </w:p>
    <w:p>
      <w:pPr>
        <w:spacing w:after="0" w:line="18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8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Notices and other communications provided to the Agent and the Lenders party hereto under this Agreement or any other Loan Document may be delivered or furnished by electronic communication (including email and Internet or intranet websites) pursuant to procedures approved by the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pursuant to Article 2 if such Lender has notified the Agent that it is incapable of receiving notices under such Section by electronic communication. The Agent or the Borrower may, in its discretion, agree to accept notices and other communications to it hereunder by electronic communications (including email and any E-System) pursuant to procedures approved by it. Unless otherwise agreed to in a writing by and among the parties to a particular communication, (i) notices and other communications sent to an email address shall be deemed received upon the sender’s receipt of an acknowledgment from the intended recipient (such as by the “return receipt requested” function, return email, or other written acknowledgment) and (ii) notices and other communications posted to any E-System shall be deemed received upon the deemed receipt by the intended recipient at its email address as described in the foregoing clause (i) of notification that such notice or other communication is available and identifying the website address therefore;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The Borrower, from time to time, upon written request of the Agent will make, execute, acknowledge and deliver or cause to be made, executed, acknowledged and delivered, all such further and additional instruments, and take all such further action as may reasonably be required to carry out the intent and purpose of this Agreement or the Loan Documents, and to provide for Loans under and payment of the Notes, according to the intent and purpose herein and therein expressed.</w:t>
      </w:r>
    </w:p>
    <w:p>
      <w:pPr>
        <w:spacing w:after="0" w:line="18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u w:val="single" w:color="auto"/>
          <w:color w:val="auto"/>
        </w:rPr>
        <w:t>Successors and Assigns; Participations; Assignments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00" w:hanging="696"/>
        <w:spacing w:after="0"/>
        <w:tabs>
          <w:tab w:leader="none" w:pos="20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shall inure to the benefit of the Borrower and the Lenders and their respective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 and assigns.</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4" w:name="page135"/>
    <w:bookmarkEnd w:id="134"/>
    <w:p>
      <w:pPr>
        <w:ind w:firstLine="1304"/>
        <w:spacing w:after="0" w:line="282" w:lineRule="auto"/>
        <w:tabs>
          <w:tab w:leader="none" w:pos="194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shall not authorize any assignment by the Borrower of its rights or duties hereunder, and, except as otherwise provided herein, no such assignment shall be made (or be effective) without the prior written approval of the Lenders.</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Lenders may at any time assign or grant participations in such Lender’s rights and obligations hereunder and under the other Loan Documents except (i) by way of assignment to any Eligible Assignee in accordance with clause (d) of this Section, (ii) by way of a participation in accordance with the provisions of clause (e) of this Section 12.7 or (iii) by way of a pledge or assignment or grant of a security interest subject to the restrictions of clause (g) of this Section 12.7 (and any other attempted assignment or transfer by any Lender shall be deemed to be null and void); provided, that, notwithstanding anything to the contrary contained in this Agreement, (a) the Agent shall not be responsible or have any liability for, or have any duty to ascertain, inquire into, monitor or enforce, compliance with the provisions hereof relating to an Eligible Assignee and (b) the Borrower and the Lenders acknowledge and agree that the Agent shall have no responsibility or obligation to determine whether any Lender or potential Lender is an Eligible Assignee and that the Agent shall have no liability with respect to any assignment or participation made to any Person which is not an Eligible Assignee.</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188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assignment by a Lender of all or any portion of its rights and obligations hereunder and under the other Loan Documents, shall be subject to the following terms and conditions:</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564"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assignment shall be made on a pro rata basis with respect to each Class of Term Loans, and shall be in a minimum amount of the lesser of Five Million Dollars ($5,000,000) (or such lesser amount as may be agreed to by the Agent or as shall constitute the aggregate amount of the Term Loan or Incremental Term Loans of a particular tranche of the assigning Lender) with respect to the assignment of Term Loans; and</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69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any assignment shall execute and deliver to the Agent an Assignment Agreement substantially (as determined by the Agent) in the form attached hereto as Exhibit B (with appropriate insertions acceptable to the Agent), together with a processing and recordation fee in the amount, if any, required as set forth in the Assignment Agreement, and any other documents as the Agent shall reasonably request from such assignee.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Until the Assignment Agreement becomes effective in accordance with its terms and is recorded in the Register maintained by the Agent under clause (h) of this Section 12.7, and the Agent has confirmed that the assignment satisfies the requirements of this Section 12.7, the Borrower and the Agent shall be entitled to continue to deal solely and directly with the assigning Lender in connection with the interest so assigned. From and after the effective date of each Assignment Agreement that satisfies the requirements of this Section 12.7, the assignee thereunder shall be deemed to be a party to this Agreement, such assignee shall have the rights and obligations of a Lender under this Agreement and the other Loan Documents (including without limitation the right to receive fees payable hereunder in respect of the period following such assignment) and the assigning Lender shall relinquish its rights and be released from its obligations under this Agreement and the other Loan Documents.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request, the Borrower shall execute and deliver to the Agent, new Note(s) payable to the order of the assignee in an amount equal to the amount assigned to the assigning Lender pursuant to such Assignment Agreement, and with respect to the portion of the Indebtedness retained by the assigning Lender, to the extent applicable, new Note(s) payable to the order of the assigning Lender in an amount equal to the amount retained by such Lender hereunder. The Agent, the Lenders and the Borrower acknowledges and agrees that any such new Note(s) shall be given in renewal and replacement of the Notes issued to the assigning lender prior to such assignment and shall not effect or constitute a novation</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t>or discharge of the Indebtedness evidenced by such prior Note, and each such new Note may contain a provision confirming such agreement.</w:t>
      </w:r>
    </w:p>
    <w:p>
      <w:pPr>
        <w:spacing w:after="0" w:line="225" w:lineRule="exact"/>
        <w:rPr>
          <w:sz w:val="20"/>
          <w:szCs w:val="20"/>
          <w:color w:val="auto"/>
        </w:rPr>
      </w:pPr>
    </w:p>
    <w:p>
      <w:pPr>
        <w:jc w:val="both"/>
        <w:ind w:firstLine="1304"/>
        <w:spacing w:after="0" w:line="261" w:lineRule="auto"/>
        <w:tabs>
          <w:tab w:leader="none" w:pos="187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Agent acknowledge that each of the Lenders may at any time and from time to time, subject to the terms and conditions hereof, grant participations in such Lender’s rights and obligations hereunder (on a pro rata basis only) and under the other Loan Documents to any Person (other than a natural person or to the Borrower or any of the Borrower’s Affiliates or Subsidiaries); provided that any participation permitted hereunder shall comply with all applicable laws and shall be subject to a participation agreement that incorporates the following restrictions:</w:t>
      </w:r>
    </w:p>
    <w:p>
      <w:pPr>
        <w:spacing w:after="0" w:line="179"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remain the holder of its Notes hereunder (if such Notes are issued), notwithstanding any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w:t>
      </w:r>
    </w:p>
    <w:p>
      <w:pPr>
        <w:spacing w:after="0" w:line="206"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not reassign or transfer, or grant any sub-participations in its participation interest hereunder or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thereof;</w:t>
      </w:r>
    </w:p>
    <w:p>
      <w:pPr>
        <w:spacing w:after="0" w:line="206" w:lineRule="exact"/>
        <w:rPr>
          <w:rFonts w:ascii="Times New Roman" w:cs="Times New Roman" w:eastAsia="Times New Roman" w:hAnsi="Times New Roman"/>
          <w:sz w:val="18"/>
          <w:szCs w:val="18"/>
          <w:color w:val="auto"/>
        </w:rPr>
      </w:pPr>
    </w:p>
    <w:p>
      <w:pPr>
        <w:jc w:val="both"/>
        <w:ind w:firstLine="1952"/>
        <w:spacing w:after="0" w:line="252" w:lineRule="auto"/>
        <w:tabs>
          <w:tab w:leader="none" w:pos="259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retain the sole right and responsibility to enforce the obligations of the Credit Parties relating to the Notes and the other Loan Documents, including, without limitation, the right to proceed against any Guarantors, or cause the Agent to do so (subject to the terms and conditions hereof), and the right to approve any amendment, modification or waiver of any provision of this Agreement without the consent of the participant (unless such participant is an Affiliate of such Lender), except for those matters requiring the consent of each of the Lenders under Section 12.9(b) (provided that a participant may exercise approval rights over such matters only on an indirect basis, acting through such Lender and the Credit Parties, the Agent and the other Lenders may continue to deal directly with such Lender in connection with such Lender’s rights and duties hereunder). Notwithstanding the foregoing, however, in the case of any participation granted by any Lender hereunder, the participant shall not have any rights under this Agreement or any of the other Loan Documents against the Agent, any other Lender or any Credit Party; provided, however that the participant may have rights against such Lender in respect of such participation as may be set forth in the applicable participation agreement and all amounts payable by the Borrower and Guarantors hereunder shall be determined as if such Lender had not sold such participation. Each such participant shall be entitled to the benefits of Article 10 of this Agreement to the same extent as if it were a Lender and had acquired its interest by assignment pursuant to clause (d) of this Section, provided that no participant shall be entitled to receive any greater amount pursuant to such the provisions of Article 10 than the issuing Lender would have been entitled to receive in respect of the amount of the participation transferred by such issuing Lender to such participant had no such transfer occurred, except to the extent that such entitlement to receive any greater payment results from a Change in Law that occurs after the participant acquired the applicable participation, and each such participant shall also be entitled to the benefits of Section 8.6 hereof as though it were a Lender, provided that such participant agrees to be subject to Section 9.3 hereof as though it were a Lender; and</w:t>
      </w:r>
    </w:p>
    <w:p>
      <w:pPr>
        <w:spacing w:after="0" w:line="194"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shall provide the relevant tax form required under Section 12.12 to its participating Lender.</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9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6" w:name="page137"/>
    <w:bookmarkEnd w:id="136"/>
    <w:p>
      <w:pPr>
        <w:jc w:val="both"/>
        <w:spacing w:after="0" w:line="261" w:lineRule="auto"/>
        <w:rPr>
          <w:sz w:val="20"/>
          <w:szCs w:val="20"/>
          <w:color w:val="auto"/>
        </w:rPr>
      </w:pPr>
      <w:r>
        <w:rPr>
          <w:rFonts w:ascii="Times New Roman" w:cs="Times New Roman" w:eastAsia="Times New Roman" w:hAnsi="Times New Roman"/>
          <w:sz w:val="18"/>
          <w:szCs w:val="18"/>
          <w:color w:val="auto"/>
        </w:rPr>
        <w:t>registered form under Section 5f.103-1(c) of the United States Treasury Regulations and Section 163(f), 871(h)(2) and 881(c)(2) of the Internal Revenue Code.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spacing w:after="0" w:line="180" w:lineRule="exact"/>
        <w:rPr>
          <w:sz w:val="20"/>
          <w:szCs w:val="20"/>
          <w:color w:val="auto"/>
        </w:rPr>
      </w:pPr>
    </w:p>
    <w:p>
      <w:pPr>
        <w:jc w:val="both"/>
        <w:ind w:firstLine="1304"/>
        <w:spacing w:after="0" w:line="255" w:lineRule="auto"/>
        <w:tabs>
          <w:tab w:leader="none" w:pos="187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at any time pledge or assign or grant a security interest in all or any portion of its rights under this Agreement (including its Notes, if any) or any other Loan Document to secure obligations or indebtedness of such Lender, including any pledge or assignment or grant to secure obligations to a Federal Reserve Bank or other third party lender, without notice to or consent of the Borrower or the Agent; provided that no such pledge or assignment shall release such Lender from any of its obligations hereunder or substitute any such pledge or assignee for such Lender as a party</w:t>
      </w:r>
    </w:p>
    <w:p>
      <w:pPr>
        <w:spacing w:after="0" w:line="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hereto (except in connection with the exercise of remedies by such pledgee or assignee or grantee with respect to the obligations or indebtedness of such Lender).</w:t>
      </w:r>
    </w:p>
    <w:p>
      <w:pPr>
        <w:spacing w:after="0" w:line="181" w:lineRule="exact"/>
        <w:rPr>
          <w:sz w:val="20"/>
          <w:szCs w:val="20"/>
          <w:color w:val="auto"/>
        </w:rPr>
      </w:pPr>
    </w:p>
    <w:p>
      <w:pPr>
        <w:jc w:val="both"/>
        <w:ind w:firstLine="1304"/>
        <w:spacing w:after="0" w:line="253" w:lineRule="auto"/>
        <w:tabs>
          <w:tab w:leader="none" w:pos="185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designates the Agent, and Agent agrees to serve, as the Borrower’s non-fiduciary agent solely for purposes of this Section 12.7(h) to maintain at its principal office in the United States a copy of each Assignment Agreement delivered to it and a register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for the recordation of the names and addresses of the Lenders and the principal amount of each type of Loan owing to each such Lender from time to time. The entries in the Register shall be conclusive evidence, absent manifest error, and the Borrower, the Agent, and the Lenders shall treat each Person whose name is recorded in the Register as the owner of the Loans recorded therein for all purposes of this Agreement. The Register shall be available for inspection by the Borrower or any Lender (but only with respect to any entry relating to the principal amounts owing to such Lender) upon reasonable notice to the Agent and a copy of such information shall be provided to any such party on their prior written request. The Agent shall give prompt written notice to the Borrower of the making of any entry in the Register or any change in such entry. This Section 12.7(h) shall be construed so that the Loans are at all times maintained in “registered form” within the meaning of Section 5f.103-1(c) of the United States Treasury Regulations and Sections 163(f), 871(h)(2) and 881(c)(2) of the Internal Revenue Code.</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authorizes each Lender to disclose to any prospective assignee or participant which has satisfied the requirements hereunder, any and all financial information in such Lender’s possession concerning the Credit Parties which has been delivered to such Lender pursuant to this Agreement, provided that each such prospective assignee or participant shall execute a confidentiality agreement consistent with the terms of Section 12.10 hereof or shall otherwise agree to be bound by the terms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6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the Notes or the other Loan Documents, expressed or implied, is intended to or shall confer on any Person other than the respective parties hereto and thereto and their successors and assignees and participants permitted hereunder and thereunder any benefit or any legal or equitable right, remedy or other claim under this Agreement, the Notes or the other Loan Documents.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several counterparts, and each executed copy shall constitute an original instrument, but such counterparts shall together constitute but one and the same instrument. The words “execution,” “execute”, “signed,” “signature,” and words of like import in or related to any document to be signed in connection with this Agreement and the transactions contemplated hereby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7" w:name="page138"/>
    <w:bookmarkEnd w:id="137"/>
    <w:p>
      <w:pPr>
        <w:jc w:val="both"/>
        <w:spacing w:after="0" w:line="258" w:lineRule="auto"/>
        <w:rPr>
          <w:sz w:val="20"/>
          <w:szCs w:val="20"/>
          <w:color w:val="auto"/>
        </w:rPr>
      </w:pPr>
      <w:r>
        <w:rPr>
          <w:rFonts w:ascii="Times New Roman" w:cs="Times New Roman" w:eastAsia="Times New Roman" w:hAnsi="Times New Roman"/>
          <w:sz w:val="18"/>
          <w:szCs w:val="18"/>
          <w:color w:val="auto"/>
        </w:rPr>
        <w:t>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Agent is under no obligation to agree to accept electronic signatures in any form or in any format unless expressly agreed to by the Agent pursuant to procedures approved by it.</w:t>
      </w:r>
    </w:p>
    <w:p>
      <w:pPr>
        <w:spacing w:after="0" w:line="18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12.9</w:t>
      </w:r>
      <w:r>
        <w:rPr>
          <w:sz w:val="20"/>
          <w:szCs w:val="20"/>
          <w:color w:val="auto"/>
        </w:rPr>
        <w:tab/>
      </w:r>
      <w:r>
        <w:rPr>
          <w:rFonts w:ascii="Times New Roman" w:cs="Times New Roman" w:eastAsia="Times New Roman" w:hAnsi="Times New Roman"/>
          <w:sz w:val="17"/>
          <w:szCs w:val="17"/>
          <w:u w:val="single" w:color="auto"/>
          <w:color w:val="auto"/>
        </w:rPr>
        <w:t>Amendment and Waiver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86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or waiver of any provision of this Agreement or any other Loan Document, nor consent to any departure by any Credit Party therefrom, shall in any event be effective unless the same shall be in writing and signed by the Agent and the Majority Lenders (or by the Agent at the written request of the Majority Lenders) (except with respect to the Fee Letter, which shall only require the consent of the parties thereto) or, if this Agreement expressly so requires with respect to the subject matter thereof, by all Lenders (and, with respect to any amendments to this Agreement or the other Loan Documents, by any Credit Party or the Guarantors that are signatories thereto), and then such waiver or consent shall be effective only in the specific instance and for the specific purpose for which given. All references in this Agreement to “Lenders” or “the Lenders” shall refer to all Lenders, unless expressly stated to refer to Majority Lenders (or the like).</w:t>
      </w:r>
    </w:p>
    <w:p>
      <w:pPr>
        <w:spacing w:after="0" w:line="188"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w:t>
      </w:r>
    </w:p>
    <w:p>
      <w:pPr>
        <w:spacing w:after="0" w:line="22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waiver or consent shall increase the stated amount of any Lender’s commitment hereunder without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consent;</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589"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waiver or consent shall, unless in writing and signed by the Lender or Lenders holding Indebtedness directly affected thereby, do any of the following:</w:t>
      </w:r>
    </w:p>
    <w:p>
      <w:pPr>
        <w:spacing w:after="0" w:line="161" w:lineRule="exact"/>
        <w:rPr>
          <w:rFonts w:ascii="Times New Roman" w:cs="Times New Roman" w:eastAsia="Times New Roman" w:hAnsi="Times New Roman"/>
          <w:sz w:val="18"/>
          <w:szCs w:val="18"/>
          <w:color w:val="auto"/>
        </w:rPr>
      </w:pPr>
    </w:p>
    <w:p>
      <w:pPr>
        <w:ind w:firstLine="2600"/>
        <w:spacing w:after="0" w:line="282" w:lineRule="auto"/>
        <w:tabs>
          <w:tab w:leader="none" w:pos="3215"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interest (other than any waiver of any increase in the interest rate applicable to any Loan pursuant to Section 2.6(d)) on, any outstanding Indebtedness or any Fees or other amounts payable hereunder (including any Prepayment Premium),</w:t>
      </w:r>
    </w:p>
    <w:p>
      <w:pPr>
        <w:spacing w:after="0" w:line="161" w:lineRule="exact"/>
        <w:rPr>
          <w:rFonts w:ascii="Times New Roman" w:cs="Times New Roman" w:eastAsia="Times New Roman" w:hAnsi="Times New Roman"/>
          <w:sz w:val="18"/>
          <w:szCs w:val="18"/>
          <w:color w:val="auto"/>
        </w:rPr>
      </w:pPr>
    </w:p>
    <w:p>
      <w:pPr>
        <w:ind w:firstLine="2600"/>
        <w:spacing w:after="0" w:line="282" w:lineRule="auto"/>
        <w:tabs>
          <w:tab w:leader="none" w:pos="3237"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fixed for any payment of principal of, or interest on, any outstanding Indebtedness or any Fees or other amounts payable hereunder (including any Prepayment Premium),</w:t>
      </w:r>
    </w:p>
    <w:p>
      <w:pPr>
        <w:spacing w:after="0" w:line="161" w:lineRule="exact"/>
        <w:rPr>
          <w:rFonts w:ascii="Times New Roman" w:cs="Times New Roman" w:eastAsia="Times New Roman" w:hAnsi="Times New Roman"/>
          <w:sz w:val="18"/>
          <w:szCs w:val="18"/>
          <w:color w:val="auto"/>
        </w:rPr>
      </w:pPr>
    </w:p>
    <w:p>
      <w:pPr>
        <w:jc w:val="both"/>
        <w:ind w:firstLine="2600"/>
        <w:spacing w:after="0" w:line="258" w:lineRule="auto"/>
        <w:tabs>
          <w:tab w:leader="none" w:pos="3166"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of the provisions of this Section 12.9 or the definition of “Majority Lenders” or any other provision of any Loan Document specifying the number or percentage of Lenders required to waive, amend or modify any rights thereunder or make any determination or grant any consent thereunder; provided that changes to the definition of “Majority Lenders” may be made with the consent of only the Majority Lenders to include the Lenders holding any additional credit facilities that are added to this Agreement with the approval of the appropriate Lenders, and</w:t>
      </w:r>
    </w:p>
    <w:p>
      <w:pPr>
        <w:spacing w:after="0" w:line="183" w:lineRule="exact"/>
        <w:rPr>
          <w:rFonts w:ascii="Times New Roman" w:cs="Times New Roman" w:eastAsia="Times New Roman" w:hAnsi="Times New Roman"/>
          <w:sz w:val="18"/>
          <w:szCs w:val="18"/>
          <w:color w:val="auto"/>
        </w:rPr>
      </w:pPr>
    </w:p>
    <w:p>
      <w:pPr>
        <w:ind w:left="3160" w:hanging="560"/>
        <w:spacing w:after="0"/>
        <w:tabs>
          <w:tab w:leader="none" w:pos="3160"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definition of “Pro Rata Share”;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waiver of a mandatory prepayment, </w:t>
      </w:r>
      <w:r>
        <w:rPr>
          <w:rFonts w:ascii="Times New Roman" w:cs="Times New Roman" w:eastAsia="Times New Roman" w:hAnsi="Times New Roman"/>
          <w:sz w:val="18"/>
          <w:szCs w:val="18"/>
          <w:u w:val="single" w:color="auto"/>
          <w:color w:val="auto"/>
        </w:rPr>
        <w:t>Section 2.11(b)(v)</w:t>
      </w:r>
      <w:r>
        <w:rPr>
          <w:rFonts w:ascii="Times New Roman" w:cs="Times New Roman" w:eastAsia="Times New Roman" w:hAnsi="Times New Roman"/>
          <w:sz w:val="18"/>
          <w:szCs w:val="18"/>
          <w:color w:val="auto"/>
        </w:rPr>
        <w:t xml:space="preserve"> or any Default or Event of Default shall be subject only to the consent of the Majority Lenders;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8" w:name="page139"/>
    <w:bookmarkEnd w:id="138"/>
    <w:p>
      <w:pPr>
        <w:ind w:left="2540" w:hanging="588"/>
        <w:spacing w:after="0"/>
        <w:tabs>
          <w:tab w:leader="none" w:pos="2540"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waiver or consent shall, unless in writing and signed by all Lenders, do any of the following:</w:t>
      </w:r>
    </w:p>
    <w:p>
      <w:pPr>
        <w:spacing w:after="0" w:line="225" w:lineRule="exact"/>
        <w:rPr>
          <w:rFonts w:ascii="Times New Roman" w:cs="Times New Roman" w:eastAsia="Times New Roman" w:hAnsi="Times New Roman"/>
          <w:sz w:val="18"/>
          <w:szCs w:val="18"/>
          <w:color w:val="auto"/>
        </w:rPr>
      </w:pPr>
    </w:p>
    <w:p>
      <w:pPr>
        <w:jc w:val="both"/>
        <w:ind w:firstLine="2600"/>
        <w:spacing w:after="0" w:line="256" w:lineRule="auto"/>
        <w:tabs>
          <w:tab w:leader="none" w:pos="3157" w:val="left"/>
        </w:tabs>
        <w:numPr>
          <w:ilvl w:val="3"/>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hereunder or under the Collateral Documents, release all or substantially all of the Collateral (provided that neither the Agent nor any Lender shall be prohibited thereby from proposing or participating in a consensual or nonconsensual debtor-in-possession or similar financing), or release any material guaranty provided by any Person in favor of the Agent and the Lenders, provided however that the Agent shall be entitled, without notice to or any further action or consent of the Lenders, to release any Collateral which any Credit Party is permitted to sell, assign or otherwise transfer in compliance with this Agreement or the other Loan Documents (to a Person that is not the Borrower or a Guarantor) or release any guaranty to the extent expressly permitted by Section 11.11(b)(iii) of this Agreement,</w:t>
      </w:r>
    </w:p>
    <w:p>
      <w:pPr>
        <w:spacing w:after="0" w:line="187" w:lineRule="exact"/>
        <w:rPr>
          <w:rFonts w:ascii="Times New Roman" w:cs="Times New Roman" w:eastAsia="Times New Roman" w:hAnsi="Times New Roman"/>
          <w:sz w:val="18"/>
          <w:szCs w:val="18"/>
          <w:color w:val="auto"/>
        </w:rPr>
      </w:pPr>
    </w:p>
    <w:p>
      <w:pPr>
        <w:jc w:val="both"/>
        <w:ind w:firstLine="2600"/>
        <w:spacing w:after="0" w:line="266" w:lineRule="auto"/>
        <w:tabs>
          <w:tab w:leader="none" w:pos="3177" w:val="left"/>
        </w:tabs>
        <w:numPr>
          <w:ilvl w:val="3"/>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directly or indirectly, Section 9.2, Section 9.3 hereof or any other provision herein or in the other Loan Documents receiving the pro rata treatment of Lenders in a manner that would alter the priorities set forth therein or the pro rata sharing of payments required thereby, or</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3268" w:val="left"/>
        </w:tabs>
        <w:numPr>
          <w:ilvl w:val="3"/>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in Section 11.11(b)(2), subordinate the Indebtedness hereunder or the Liens granted hereunder or under the other Loan Documents, to any other Debt (other than the Senior Debt) or obligation or Lien (other than the Liens in favor of the Senior Agent under the Senior Loan Documents), as the case may be;</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575"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waiver, or consent that will affect the rights or duties of the Agent under this Agreement or any other Loan Document, shall require the written concurrence of the Agent; and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543"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waiver, consent or other modification to this Agreement to permit the formation or other existence of the direct parent entity of the Borrower shall require the written consent of the Agent in its sole discretion.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7" w:lineRule="auto"/>
        <w:tabs>
          <w:tab w:leader="none" w:pos="1954"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no Defaulting Lender shall have any right to approve or disapprove of any amendment, consent, waiver or any other modification to any Loan Document (and all amendments, consents, waivers and other modifications may be effected without the consent of the Defaulting Lenders), except that the foregoing shall not permit, in each case without such Defaulting Lender’s consent,</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25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such Defaulting Lender’s stated commitment amounts, (ii) the waiver, forgiveness or reduction of the principal amount of any Indebtedness owing to such Defaulting Lender (unless all other Lenders affected thereby are treated similarly), (iii) the extension of the final maturity date(s) of such Defaulting Lenders’ portion of any of the Indebtedness (including any Prepayment Premium) or the extension of any commitment to extend credit of such Defaulting Lender, or (iv) any other modification which requires the consent of all Lenders or the Lender(s) affected thereby which affects such Defaulting Lender more adversely than the other affected Lenders (other than a modification which results in a reduction of repayment of any amounts owing to such Defaulting Lender on a non pro-rata basis).</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95"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shall, upon the written request of the Borrower, execute and deliver to the Credit Parties such documents as may be necessary to evidence (1) the release of any Lien granted to or held by the Agent upon any Collateral: (a) upon termination of the Commitments and payment in full of all Indebtedness (including any Prepayment Premium) payable under this Agreement and under any other Loan Document; (b) which constitutes property (including, without limitation, Equity Interests in any Person) sold or to be sold or disposed of as part of or in connection with any disposition (whether by</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9" w:name="page140"/>
    <w:bookmarkEnd w:id="139"/>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sale, by merger or by any other form of transaction and including the property of any Subsidiary that is disposed of as permitted hereby) permitted in accordance with the terms of this Agreement to a Person that is not the Borrower or a Guarantor, subject to Section 12.9(d)(2) below; (c) which constitutes property in which a Credit Party owned no interest at the time the Lien was granted or at any time thereafter; or (d) if approved, authorized or ratified in writing by the Majority Lenders, or all the Lenders, as the case may be, as provided in this Section 12.9; or (2) the release of any Person from its obligations under the Loan Documents (including without limitation the Guaranty) if all of the Equity Interests of such Person that were held by a Credit Party are sold or otherwise transferred to any transferee other than the Borrower, an Affiliate of the Borrower or a Subsidiary of the Borrower as part of or in connection with any disposition (whether by sale, by merger or by any other form of transaction) permitted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Agent shall not be required to execute any such release or subordination agreement under clauses (1) or (2) above on terms which, in the Agent’s opinion, would expose the Agent to liability or create any obligation or entail any consequence other than the release of such Liens without recourse or warranty or such release shall not in any manner discharge, affect or impair the Indebtedness (including any Prepayment Premium) or any Liens upon any Collateral retained by any Credit Party, including (without limitation) the proceeds of the sale or other disposition, all of which shall constitute and remain part of the Collateral.</w:t>
      </w:r>
    </w:p>
    <w:p>
      <w:pPr>
        <w:spacing w:after="0" w:line="190" w:lineRule="exact"/>
        <w:rPr>
          <w:sz w:val="20"/>
          <w:szCs w:val="20"/>
          <w:color w:val="auto"/>
        </w:rPr>
      </w:pPr>
    </w:p>
    <w:p>
      <w:pPr>
        <w:ind w:firstLine="1304"/>
        <w:spacing w:after="0" w:line="282" w:lineRule="auto"/>
        <w:tabs>
          <w:tab w:leader="none" w:pos="20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Agent may, with the consent of the Borrower only, amend, modify or supplement this Agreement or any of the other Loan Documents to cure any ambiguity, omission, mistake, defect or inconsistency.</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amendment and restatement of this Agreement which is in all other respects approved by the Lenders in accordance with this Section 12.9 shall require the consent or approval of any Lender (i) which immediately after giving effect to such amendment and restatement, shall have no commitment or other obligation to maintain or extend credit under this Agreement (as so amended and restated) and (ii) which, substantially contemporaneously with the effectiveness of such amendment and restatement, shall have received payment in full of all Indebtedness (including any Prepayment Premium) owing to such Lender under the Loan Documents. From and after the effectiveness of any such amendment and restatement, any such Lender shall be deemed to no longer be a “Lender” hereunder or a party hereto, except that any such Lender shall retain the benefits of indemnification provisions hereof which, by the terms hereof would survive the termination of this Agreement.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Agent and Lender agrees that it will not disclose without the prior consent of the Borrower (other than to its Subsidiaries, another Lender, an Affiliate of a Lender or to its auditors, agents, advisors, directors, officers, employees, shareholders, counsel or representatives (or to other Persons authorized by a Lender or the Agent to organize, present or disseminate such information in connection with disclosures otherwise made in accordance with this Section 12.10)) any information with respect to the Credit Parties which is furnished pursuant to this Agreement or any of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Agent and Lenders may disclose any such information (a) as has become generally available to the public or has been lawfully obtained by Agent or Lender from any third party under no duty of confidentiality to any Credit Party, (b) as may be required or appropriate in any report, statement or testimony submitted to, or in respect to any inquiry, by, any municipal, state or federal regulatory body having or claiming to have jurisdiction over Agent or Lender, including the Board of Governors of the Federal Reserve System of the United States, the Office of the Comptroller of the Currency or the Federal Deposit Insurance Corporation or similar organizations (whether in the United States or elsewhere) or their successors, (c) as may be required or appropriate in respect to any summons or subpoena or in connection with any litigation, (d) in order to comply with any law, order, regulation, ruling or other requirement of law applicable to such Lender, (e) to any prospective assignee or participant in accordance with Section 12.7(f) hereof, (f) disclosure to any rating agency when required</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0" w:name="page141"/>
    <w:bookmarkEnd w:id="140"/>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disclosure, such rating agency shall undertake in writing to preserve the confidentiality of any confidential information relating to the Credit Parties received by it from any of the Agent or any Lender, and (g) disclosures of such information to any investors, members and partners of any Agent, Lender or their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any disclosure, such investor, member or partner is informed of the confidential nature of the information.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Substitution or Removal of Lenders</w:t>
      </w:r>
      <w:r>
        <w:rPr>
          <w:rFonts w:ascii="Times New Roman" w:cs="Times New Roman" w:eastAsia="Times New Roman" w:hAnsi="Times New Roman"/>
          <w:sz w:val="18"/>
          <w:szCs w:val="18"/>
          <w:color w:val="auto"/>
        </w:rPr>
        <w:t>. Anything contained herein to the contrary notwithstanding, in the event that: (a) (i) any Lender shall give notice to the Borrower that such Lender is entitled to receive payments under Section 10.1 or 10.4, (ii) the circumstances which entitle such Lender to receive such payments shall remain in effect, and (iii) such Lender shall fail to withdraw such notice within five Business Days after the Borrower’s request for such withdrawal; or (b)(i) any Lender shall become a Defaulting Lender, and (ii) such Defaulting Lender shall fail to cure the default as a result of which it has become a Defaulting Lender within five Business Days after the Borrower’s request that it cure such default; or (c) in connection with any proposed amendment, modification, termination, waiver or consent with respect to any of the provisions hereof as contemplated by Section 12.9(b), the consent of the Agent and the Majority Lenders shall have been obtained but the consent of one or more of such other Lenders whose consent is required shall not have been obtained (a “</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then, with respect to each such Lender (an “</w:t>
      </w:r>
      <w:r>
        <w:rPr>
          <w:rFonts w:ascii="Times New Roman" w:cs="Times New Roman" w:eastAsia="Times New Roman" w:hAnsi="Times New Roman"/>
          <w:sz w:val="18"/>
          <w:szCs w:val="18"/>
          <w:b w:val="1"/>
          <w:bCs w:val="1"/>
          <w:color w:val="auto"/>
        </w:rPr>
        <w:t>Affected Lender</w:t>
      </w:r>
      <w:r>
        <w:rPr>
          <w:rFonts w:ascii="Times New Roman" w:cs="Times New Roman" w:eastAsia="Times New Roman" w:hAnsi="Times New Roman"/>
          <w:sz w:val="18"/>
          <w:szCs w:val="18"/>
          <w:color w:val="auto"/>
        </w:rPr>
        <w:t>”), the Borrower or Agent may, by giving written notice to the Borrower and any Affected Lender of its election to do so, elect to cause such Affected Lender (and such Affected Lender hereby irrevocably agrees) to assign its outstanding Loans in full to one or more Eligible Assignees (each a “</w:t>
      </w:r>
      <w:r>
        <w:rPr>
          <w:rFonts w:ascii="Times New Roman" w:cs="Times New Roman" w:eastAsia="Times New Roman" w:hAnsi="Times New Roman"/>
          <w:sz w:val="18"/>
          <w:szCs w:val="18"/>
          <w:b w:val="1"/>
          <w:bCs w:val="1"/>
          <w:color w:val="auto"/>
        </w:rPr>
        <w:t>Replacement Lender</w:t>
      </w:r>
      <w:r>
        <w:rPr>
          <w:rFonts w:ascii="Times New Roman" w:cs="Times New Roman" w:eastAsia="Times New Roman" w:hAnsi="Times New Roman"/>
          <w:sz w:val="18"/>
          <w:szCs w:val="18"/>
          <w:color w:val="auto"/>
        </w:rPr>
        <w:t xml:space="preserve">”) in accordance with the provisions of Section 12.7 and Affected Lender shall pay any fees payable thereunder in connection with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jc w:val="both"/>
        <w:ind w:firstLine="8"/>
        <w:spacing w:after="0" w:line="252" w:lineRule="auto"/>
        <w:tabs>
          <w:tab w:leader="none" w:pos="277"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date of such assignment, the Replacement Lender shall pay to Affected Lender an amount equal to the sum of (A) an amount equal to the principal of, and all accrued interest on, all outstanding Loans of the Affected Lender and (B) an amount equal to all accrued, but theretofore unpaid fees owing to such Affected Lender pursuant to the Fee Letter; (2) on the date of such assignment, the Borrower shall pay any amounts payable to such Affected Lender pursuant to Section 10.1 or 10.4; and (3) in the event such Affected Lender is a Non-Consenting Lender, each Replacement Lender shall consent, at the time of such assignment, to each matter in respect of which such Affected Lender was a Non-Consenting Lender. Upon the prepayment of all amounts owing to any Affected Lender, such Affected Lender shall no longer constitute a “Lender” for purposes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any rights of such Affected Lender to indemnification hereunder shall survive as to such Affected Lender.</w:t>
      </w:r>
    </w:p>
    <w:p>
      <w:pPr>
        <w:spacing w:after="0" w:line="188"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12.12</w:t>
      </w:r>
      <w:r>
        <w:rPr>
          <w:sz w:val="20"/>
          <w:szCs w:val="20"/>
          <w:color w:val="auto"/>
        </w:rPr>
        <w:tab/>
      </w:r>
      <w:r>
        <w:rPr>
          <w:rFonts w:ascii="Times New Roman" w:cs="Times New Roman" w:eastAsia="Times New Roman" w:hAnsi="Times New Roman"/>
          <w:sz w:val="17"/>
          <w:szCs w:val="17"/>
          <w:u w:val="single" w:color="auto"/>
          <w:color w:val="auto"/>
        </w:rPr>
        <w:t>Withholding 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88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12.12(a)(i)(A), (i)(B) and (i)(D)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limiting the generality of the foregoing:</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1" w:name="page142"/>
    <w:bookmarkEnd w:id="141"/>
    <w:p>
      <w:pPr>
        <w:jc w:val="both"/>
        <w:ind w:left="840" w:hanging="656"/>
        <w:spacing w:after="0" w:line="261" w:lineRule="auto"/>
        <w:tabs>
          <w:tab w:leader="none" w:pos="8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Agent on or about the date on which such Lender becomes a Lender under this Agreement (and from time to time thereafter upon the reasonable request of the Borrower or the Agent), executed copies of IRS Form W-9 (or any successor form) certifying that such Lender is exempt from U.S. federal backup withholding tax;</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Agent (in such number of copies as shall be requested by the recipient) on or about the date on which such Foreign Lender becomes a Lender under this Agreement (and from time to time thereafter upon the reasonable request of the Borrower or the Agent), whichever of the following is applicable:</w:t>
      </w:r>
    </w:p>
    <w:p>
      <w:pPr>
        <w:spacing w:after="0" w:line="179" w:lineRule="exact"/>
        <w:rPr>
          <w:rFonts w:ascii="Times New Roman" w:cs="Times New Roman" w:eastAsia="Times New Roman" w:hAnsi="Times New Roman"/>
          <w:sz w:val="18"/>
          <w:szCs w:val="18"/>
          <w:color w:val="auto"/>
        </w:rPr>
      </w:pPr>
    </w:p>
    <w:p>
      <w:pPr>
        <w:jc w:val="both"/>
        <w:ind w:left="1480" w:hanging="648"/>
        <w:spacing w:after="0" w:line="256" w:lineRule="auto"/>
        <w:tabs>
          <w:tab w:leader="none" w:pos="14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copies of IRS Form W-8BEN or W-8BEN-E (or any successor form), as applicable,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187"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 (or any successor form);</w:t>
      </w:r>
    </w:p>
    <w:p>
      <w:pPr>
        <w:spacing w:after="0" w:line="225" w:lineRule="exact"/>
        <w:rPr>
          <w:rFonts w:ascii="Times New Roman" w:cs="Times New Roman" w:eastAsia="Times New Roman" w:hAnsi="Times New Roman"/>
          <w:sz w:val="18"/>
          <w:szCs w:val="18"/>
          <w:color w:val="auto"/>
        </w:rPr>
      </w:pPr>
    </w:p>
    <w:p>
      <w:pPr>
        <w:jc w:val="both"/>
        <w:ind w:left="1480" w:hanging="648"/>
        <w:spacing w:after="0" w:line="256" w:lineRule="auto"/>
        <w:tabs>
          <w:tab w:leader="none" w:pos="14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881(c) of the Internal Revenue Code, (x) a certificate substantially in the form of Exhibit E-1 to the effect that such Foreign Lender is not a “bank” within the meaning of Section 881(c)(3)(A) of the Internal Revenue Code, a “10 percent shareholder” of a Borrower within the meaning of Section 881(c)(3)(B) of the Internal Revenue Code, or a “controlled foreign corporation” related to the Borrower as described in Section 881(c)(3)(C) of the Internal Revenue Code (a “U.S. Tax Compliance Certificate”) and (y) executed copies of IRS Form W-8BEN or W-8BEN-E; or</w:t>
      </w:r>
    </w:p>
    <w:p>
      <w:pPr>
        <w:spacing w:after="0" w:line="187" w:lineRule="exact"/>
        <w:rPr>
          <w:rFonts w:ascii="Times New Roman" w:cs="Times New Roman" w:eastAsia="Times New Roman" w:hAnsi="Times New Roman"/>
          <w:sz w:val="18"/>
          <w:szCs w:val="18"/>
          <w:color w:val="auto"/>
        </w:rPr>
      </w:pPr>
    </w:p>
    <w:p>
      <w:pPr>
        <w:jc w:val="both"/>
        <w:ind w:left="1480" w:hanging="648"/>
        <w:spacing w:after="0" w:line="255" w:lineRule="auto"/>
        <w:tabs>
          <w:tab w:leader="none" w:pos="14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Foreign Lender is not the beneficial owner, executed copies of IRS Form W-8IMY (or any successor form), accompanied by IRS Form W-8ECI, IRS Form W-8BEN, IRS Form W-8BEN-E, a U.S. Tax Compliance Certificate substantially in the form of Exhibit E-2 or Exhibit E-3, IRS Form W-9, and/or other certification documents from each beneficial owner and supplementary documentation as may be prescribed by applicable law,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w:t>
      </w:r>
    </w:p>
    <w:p>
      <w:pPr>
        <w:spacing w:after="0" w:line="188"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Agent (in such number of copies as shall be requested by the</w:t>
      </w:r>
    </w:p>
    <w:p>
      <w:pPr>
        <w:spacing w:after="0" w:line="27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540" w:right="339" w:bottom="1440" w:gutter="0" w:footer="0" w:header="0"/>
        </w:sectPr>
      </w:pPr>
    </w:p>
    <w:bookmarkStart w:id="142" w:name="page143"/>
    <w:bookmarkEnd w:id="142"/>
    <w:p>
      <w:pPr>
        <w:jc w:val="both"/>
        <w:ind w:left="1960"/>
        <w:spacing w:after="0" w:line="258" w:lineRule="auto"/>
        <w:rPr>
          <w:sz w:val="20"/>
          <w:szCs w:val="20"/>
          <w:color w:val="auto"/>
        </w:rPr>
      </w:pPr>
      <w:r>
        <w:rPr>
          <w:rFonts w:ascii="Times New Roman" w:cs="Times New Roman" w:eastAsia="Times New Roman" w:hAnsi="Times New Roman"/>
          <w:sz w:val="18"/>
          <w:szCs w:val="18"/>
          <w:color w:val="auto"/>
        </w:rPr>
        <w:t>recipient) on or about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183" w:lineRule="exact"/>
        <w:rPr>
          <w:sz w:val="20"/>
          <w:szCs w:val="20"/>
          <w:color w:val="auto"/>
        </w:rPr>
      </w:pPr>
    </w:p>
    <w:p>
      <w:pPr>
        <w:jc w:val="both"/>
        <w:ind w:left="1960" w:hanging="656"/>
        <w:spacing w:after="0" w:line="253" w:lineRule="auto"/>
        <w:tabs>
          <w:tab w:leader="none" w:pos="19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or Agent under any Loan Document would be subject to U.S. federal withholding Tax imposed by FATCA if such Lender or Agent were to fail to comply with the applicable reporting requirements of FATCA (including those contained in Section 1471(b) or 1472(b) of the Internal Revenue Code, as applicable), such Lender or Agent shall deliver to the Borrower and the Agent at the time or times prescribed by law and at such time or times reasonably requested by the Borrower or the Agent such documentation prescribed by applicable law (including as prescribed by Section 1471(b)(3)(C)(i) of the Internal Revenue Code) and such additional documentation reasonably requested by the Borrower or the Agent as may be necessary for the Borrower and the Agent to comply with their obligations under FATCA and to determine that such Lender or Agent has complied with such Lender’s or Agent’s obligations under FATCA or to determine the amount to deduct and withhold from such payment. Solely for purposes of this clause (D), “FATCA” shall include any amendments made to FATCA after the date of this Agreement.</w:t>
      </w:r>
    </w:p>
    <w:p>
      <w:pPr>
        <w:spacing w:after="0" w:line="19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162" w:lineRule="exact"/>
        <w:rPr>
          <w:sz w:val="20"/>
          <w:szCs w:val="20"/>
          <w:color w:val="auto"/>
        </w:rPr>
      </w:pPr>
    </w:p>
    <w:p>
      <w:pPr>
        <w:ind w:left="1820" w:hanging="516"/>
        <w:spacing w:after="0"/>
        <w:tabs>
          <w:tab w:leader="none" w:pos="18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12.12, the term “applicable law” includes FATCA.</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HERETO HEREBY AGREES TO WAIVE ITS RESPECTIVE RIGHTS TO A JURY TRIAL OF ANY CLAIM OR CAUSE OF ACTION BASED UPON OR ARISING HEREUNDER OR UNDER ANY OF THE OTHER LOAN DOCUMENTS OR ANY DEALINGS BETWEEN THEM RELATING TO THE SUBJECT MATTER OF THIS LOAN TRANSACTION OR THE LENDER/BORROWER RELATIONSHIP THAT IS BEING ESTABLISHED.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12.13 AND EXECUTED BY EACH OF THE PARTIES HERETO), AND THIS WAIVER SHALL APPLY TO ANY SUBSEQUENT</w:t>
      </w: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3" w:name="page144"/>
    <w:bookmarkEnd w:id="143"/>
    <w:p>
      <w:pPr>
        <w:jc w:val="both"/>
        <w:spacing w:after="0" w:line="266" w:lineRule="auto"/>
        <w:rPr>
          <w:sz w:val="20"/>
          <w:szCs w:val="20"/>
          <w:color w:val="auto"/>
        </w:rPr>
      </w:pPr>
      <w:r>
        <w:rPr>
          <w:rFonts w:ascii="Times New Roman" w:cs="Times New Roman" w:eastAsia="Times New Roman" w:hAnsi="Times New Roman"/>
          <w:sz w:val="18"/>
          <w:szCs w:val="18"/>
          <w:color w:val="auto"/>
        </w:rPr>
        <w:t>AMENDMENTS, RENEWALS, SUPPLEMENTS OR MODIFICATIONS HERETO OR ANY OF THE OTHER LOAN DOCUMENTS OR TO ANY OTHER DOCUMENTS OR AGREEMENTS RELATING TO THE LOANS MADE HEREUNDER. IN THE EVENT OF LITIGATION, A COPY OF THIS AGREEMENT MAY BE FILED AS A WRITTEN CONSENT TO A TRIAL BY THE COURT.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12.14 </w:t>
      </w:r>
      <w:r>
        <w:rPr>
          <w:rFonts w:ascii="Times New Roman" w:cs="Times New Roman" w:eastAsia="Times New Roman" w:hAnsi="Times New Roman"/>
          <w:sz w:val="18"/>
          <w:szCs w:val="18"/>
          <w:u w:val="single" w:color="auto"/>
          <w:color w:val="auto"/>
        </w:rPr>
        <w:t>USA Patriot Act Notice; Beneficial Ownership Certification</w:t>
      </w:r>
      <w:r>
        <w:rPr>
          <w:rFonts w:ascii="Times New Roman" w:cs="Times New Roman" w:eastAsia="Times New Roman" w:hAnsi="Times New Roman"/>
          <w:sz w:val="18"/>
          <w:szCs w:val="18"/>
          <w:color w:val="auto"/>
        </w:rPr>
        <w:t>. Pursuant to Section 326 of the USA Patriot Act, the Agent and the Lenders hereby notify the Credit Parties that if they or any of their Subsidiaries open an account, including any loan, deposit account, treasury management account, or other extension of credit with the Agent or any Lender, the Agent or the applicable Lender will request the applicable Person’s name, tax identification number, business address and other information necessary to identify such Person (and may request such Person’s organizational documents or other identifying documents) to the extent necessary for the Agent and the applicable Lender to comply with the USA Patriot Act. The Borrower shall also deliver, from time to time at the reasonable request of the Agent or any Lender, a completed certification regarding beneficial ownership to the extent required by 31 C.F.R. §1010.230, together with any other information required under such regulation.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12.15 </w:t>
      </w:r>
      <w:r>
        <w:rPr>
          <w:rFonts w:ascii="Times New Roman" w:cs="Times New Roman" w:eastAsia="Times New Roman" w:hAnsi="Times New Roman"/>
          <w:sz w:val="18"/>
          <w:szCs w:val="18"/>
          <w:u w:val="single" w:color="auto"/>
          <w:color w:val="auto"/>
        </w:rPr>
        <w:t>Complete Agreement; Conflicts</w:t>
      </w:r>
      <w:r>
        <w:rPr>
          <w:rFonts w:ascii="Times New Roman" w:cs="Times New Roman" w:eastAsia="Times New Roman" w:hAnsi="Times New Roman"/>
          <w:sz w:val="18"/>
          <w:szCs w:val="18"/>
          <w:color w:val="auto"/>
        </w:rPr>
        <w:t>. This Agreement, the Notes (if issued), any Requests for Loan and the Loan Documents contain the entire agreement of the parties hereto, superseding all prior agreements, discussions and understandings relating to the subject matter hereof, and none of the parties shall be bound by anything not expressed in writing. In the event of any conflict between the terms of this Agreement and the other Loan Documents, this Agreement shall govern.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12.16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obligations of the Credit Parties under this Agreement, the Notes or any of the other Loan Documents shall be invalid, illegal or unenforceable in any jurisdiction, the validity, legality and enforceability of the remaining obligations of the Credit Parties shall not in any way be affected or impaired thereby, and such invalidity, illegality or unenforceability in one jurisdiction shall not affect the validity, legality or enforceability of the obligations of the Credit Parties under this Agreement, the Notes or any of the other Loan Documents in any other jurisdiction.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12.17 </w:t>
      </w:r>
      <w:r>
        <w:rPr>
          <w:rFonts w:ascii="Times New Roman" w:cs="Times New Roman" w:eastAsia="Times New Roman" w:hAnsi="Times New Roman"/>
          <w:sz w:val="18"/>
          <w:szCs w:val="18"/>
          <w:u w:val="single" w:color="auto"/>
          <w:color w:val="auto"/>
        </w:rPr>
        <w:t>Table of Contents and Headings; Section References</w:t>
      </w:r>
      <w:r>
        <w:rPr>
          <w:rFonts w:ascii="Times New Roman" w:cs="Times New Roman" w:eastAsia="Times New Roman" w:hAnsi="Times New Roman"/>
          <w:sz w:val="18"/>
          <w:szCs w:val="18"/>
          <w:color w:val="auto"/>
        </w:rPr>
        <w:t>. The table of contents and the headings of the various subdivisions hereof are for convenience of reference only and shall in no way modify or affect any of the terms or provisions hereof and references herein to “sections,” “subsections,” “clauses,” “paragraphs,” “subparagraphs,” “exhibits” and “schedules” shall be to sections, subsections, clauses, paragraphs, subparagraphs, exhibits and schedules, respectively, of this Agreement unless otherwise specifically provided herein or unless the context otherwise clearly indicates.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12.18 </w:t>
      </w:r>
      <w:r>
        <w:rPr>
          <w:rFonts w:ascii="Times New Roman" w:cs="Times New Roman" w:eastAsia="Times New Roman" w:hAnsi="Times New Roman"/>
          <w:sz w:val="18"/>
          <w:szCs w:val="18"/>
          <w:u w:val="single" w:color="auto"/>
          <w:color w:val="auto"/>
        </w:rPr>
        <w:t>Construction of Certain Provisions</w:t>
      </w:r>
      <w:r>
        <w:rPr>
          <w:rFonts w:ascii="Times New Roman" w:cs="Times New Roman" w:eastAsia="Times New Roman" w:hAnsi="Times New Roman"/>
          <w:sz w:val="18"/>
          <w:szCs w:val="18"/>
          <w:color w:val="auto"/>
        </w:rPr>
        <w:t>. If any provision of this Agreement or any of the Loan Documents refers to any action to be taken by any Person, or which such Person is prohibited from taking, such provision shall be applicable whether such action is taken directly or indirectly by such Person, whether or not expressly specified in such provision.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12.19 </w:t>
      </w:r>
      <w:r>
        <w:rPr>
          <w:rFonts w:ascii="Times New Roman" w:cs="Times New Roman" w:eastAsia="Times New Roman" w:hAnsi="Times New Roman"/>
          <w:sz w:val="18"/>
          <w:szCs w:val="18"/>
          <w:u w:val="single" w:color="auto"/>
          <w:color w:val="auto"/>
        </w:rPr>
        <w:t>Independence of Covenants</w:t>
      </w:r>
      <w:r>
        <w:rPr>
          <w:rFonts w:ascii="Times New Roman" w:cs="Times New Roman" w:eastAsia="Times New Roman" w:hAnsi="Times New Roman"/>
          <w:sz w:val="18"/>
          <w:szCs w:val="18"/>
          <w:color w:val="auto"/>
        </w:rPr>
        <w:t>. Each covenant hereunder shall be given independent effect (subject to any exceptions stated in such covenant) so that if a particular action or condition is not permitted by any such covenant (taking into account any such stated exception), the fact that it would be permitted by an exception to, or would be otherwise within the limitations of, another covenant shall not avoid the occurrence of a Default or an Event of Default.</w:t>
      </w:r>
    </w:p>
    <w:p>
      <w:pPr>
        <w:spacing w:after="0" w:line="180"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18"/>
          <w:szCs w:val="18"/>
          <w:color w:val="auto"/>
        </w:rPr>
        <w:t>12.20</w:t>
      </w:r>
      <w:r>
        <w:rPr>
          <w:sz w:val="20"/>
          <w:szCs w:val="20"/>
          <w:color w:val="auto"/>
        </w:rPr>
        <w:tab/>
      </w:r>
      <w:r>
        <w:rPr>
          <w:rFonts w:ascii="Times New Roman" w:cs="Times New Roman" w:eastAsia="Times New Roman" w:hAnsi="Times New Roman"/>
          <w:sz w:val="17"/>
          <w:szCs w:val="17"/>
          <w:u w:val="single" w:color="auto"/>
          <w:color w:val="auto"/>
        </w:rPr>
        <w:t>Electronic Transmissions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84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Agent, the Credit Parties, the Lenders, and each of their Affiliates is authorized (but not required) to transmit, post or otherwise make or communicate, in its sole discretion,</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4" w:name="page145"/>
    <w:bookmarkEnd w:id="144"/>
    <w:p>
      <w:pPr>
        <w:jc w:val="both"/>
        <w:spacing w:after="0" w:line="261" w:lineRule="auto"/>
        <w:rPr>
          <w:sz w:val="20"/>
          <w:szCs w:val="20"/>
          <w:color w:val="auto"/>
        </w:rPr>
      </w:pPr>
      <w:r>
        <w:rPr>
          <w:rFonts w:ascii="Times New Roman" w:cs="Times New Roman" w:eastAsia="Times New Roman" w:hAnsi="Times New Roman"/>
          <w:sz w:val="18"/>
          <w:szCs w:val="18"/>
          <w:color w:val="auto"/>
        </w:rPr>
        <w:t>Electronic Transmissions in connection with any Loan Document and the transactions contemplated therein. The Borrower and each other Credit Party hereby acknowledges and agrees that the use of Electronic Transmissions is not necessarily secure and that there are risks associated with such use, including risks of interception, disclosure and abuse and each indicates it assumes and accepts such risks by hereby authorizing the transmission of Electronic Transmissions.</w:t>
      </w:r>
    </w:p>
    <w:p>
      <w:pPr>
        <w:spacing w:after="0" w:line="180" w:lineRule="exact"/>
        <w:rPr>
          <w:sz w:val="20"/>
          <w:szCs w:val="20"/>
          <w:color w:val="auto"/>
        </w:rPr>
      </w:pPr>
    </w:p>
    <w:p>
      <w:pPr>
        <w:jc w:val="both"/>
        <w:ind w:firstLine="1304"/>
        <w:spacing w:after="0" w:line="266" w:lineRule="auto"/>
        <w:tabs>
          <w:tab w:leader="none" w:pos="181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uses of an E-System shall be governed by and subject to, in addition to Section 12.5 and this Section 12.20, separate terms and conditions posted or referenced in such E-System and related contractual obligations executed by the Agent, the Credit Parties and the Lenders in connection with the use of such E-System.</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6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E-Systems and Electronic Transmissions shall be provided “as is” and “as available”. None of the Agent or any of its Affiliates, nor the Borrower or any of its respective Affiliates warrants the accuracy, adequacy or completeness of any E-Systems or Electronic Transmission, and each disclaims all liability for errors or omissions therein. No warranty of any kind is made by the Agent or any of its Affiliates, or the Borrower or any of its respective Affiliates in connection with any E-Systems or Electronic Transmission, including any warranty of merchantability, fitness for a particular purpose, non-infringement of third-party rights or freedom from viruses or other code defects. The Agent, the Borrower and its Subsidiaries, and the Lenders agree that the Agent has no responsibility for maintaining or providing any equipment, software, services or any testing required in connection with any Electronic Transmission or otherwise required for any E-System. The Agent and the Lenders agree that the Borrower has no responsibility for maintaining or providing any equipment, software, services or any testing required in connection with any Electronic Transmission or otherwise required for any E-System.</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12.21 </w:t>
      </w:r>
      <w:r>
        <w:rPr>
          <w:rFonts w:ascii="Times New Roman" w:cs="Times New Roman" w:eastAsia="Times New Roman" w:hAnsi="Times New Roman"/>
          <w:sz w:val="18"/>
          <w:szCs w:val="18"/>
          <w:u w:val="single" w:color="auto"/>
          <w:color w:val="auto"/>
        </w:rPr>
        <w:t>Advertisements</w:t>
      </w:r>
      <w:r>
        <w:rPr>
          <w:rFonts w:ascii="Times New Roman" w:cs="Times New Roman" w:eastAsia="Times New Roman" w:hAnsi="Times New Roman"/>
          <w:sz w:val="18"/>
          <w:szCs w:val="18"/>
          <w:color w:val="auto"/>
        </w:rPr>
        <w:t>. The Agent and the Lenders, subject to the Borrower’s consent not to be unreasonably withheld, delayed or conditioned, may issue news releases and publish “tombstone” advertisements and other announcements relating to this transaction in newspapers, trade journals and other appropriate media (which may include use of logos of one or more of the Credit Parties) (collectively, “</w:t>
      </w:r>
      <w:r>
        <w:rPr>
          <w:rFonts w:ascii="Times New Roman" w:cs="Times New Roman" w:eastAsia="Times New Roman" w:hAnsi="Times New Roman"/>
          <w:sz w:val="18"/>
          <w:szCs w:val="18"/>
          <w:b w:val="1"/>
          <w:bCs w:val="1"/>
          <w:color w:val="auto"/>
        </w:rPr>
        <w:t>Trade Announcements</w:t>
      </w:r>
      <w:r>
        <w:rPr>
          <w:rFonts w:ascii="Times New Roman" w:cs="Times New Roman" w:eastAsia="Times New Roman" w:hAnsi="Times New Roman"/>
          <w:sz w:val="18"/>
          <w:szCs w:val="18"/>
          <w:color w:val="auto"/>
        </w:rPr>
        <w:t>”). No Credit Party shall issue any Trade Announcement or disclose the name of Agent or any Lender except (i) disclosures required by applicable law, regulation, legal process or the rules of the SEC or (ii) with the prior approval of Agent and such Lender not to be unreasonably withheld, delayed or conditioned.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12.22 </w:t>
      </w:r>
      <w:r>
        <w:rPr>
          <w:rFonts w:ascii="Times New Roman" w:cs="Times New Roman" w:eastAsia="Times New Roman" w:hAnsi="Times New Roman"/>
          <w:sz w:val="18"/>
          <w:szCs w:val="18"/>
          <w:u w:val="single" w:color="auto"/>
          <w:color w:val="auto"/>
        </w:rPr>
        <w:t>Reliance on and Survival of Provisions</w:t>
      </w:r>
      <w:r>
        <w:rPr>
          <w:rFonts w:ascii="Times New Roman" w:cs="Times New Roman" w:eastAsia="Times New Roman" w:hAnsi="Times New Roman"/>
          <w:sz w:val="18"/>
          <w:szCs w:val="18"/>
          <w:color w:val="auto"/>
        </w:rPr>
        <w:t>. All terms, covenants, agreements, representations and warranties of the Credit Parties to any of the Loan Documents made herein or in any of the Loan Documents or in any certificate, report, financial statement or other document furnished by or on behalf of any Credit Party in connection with this Agreement or any of the Loan Documents shall be deemed to have been relied upon by the Lenders, notwithstanding any investigation heretofore or hereafter made by any Lender or on such Lender’s behalf, and those covenants and agreements of the Borrower and the Lenders, as applicable, set forth in Sections 8.3, 8.6, 9.3, 10.1, 10.4, 11.3, 11.7 and 12.4 hereof (together with any other indemnities of any Credit Party or Lender contained elsewhere in this Agreement or in any of the other Loan Documents) shall survive the repayment in full of the Indebtedness (including any Prepayment Premium) and the termination of this Agreement and the other Loan Documents, including any commitment to extend credit thereunder.</w:t>
      </w:r>
    </w:p>
    <w:p>
      <w:pPr>
        <w:spacing w:after="0" w:line="19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12.23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Notwithstanding any other provision herein, the aggregate interest rate charged or agreed to be paid with respect to any of the Indebtedness (including any Prepayment Premium),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Lawful Rate until the total amount</w:t>
      </w: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5" w:name="page146"/>
    <w:bookmarkEnd w:id="145"/>
    <w:p>
      <w:pPr>
        <w:jc w:val="both"/>
        <w:spacing w:after="0" w:line="253" w:lineRule="auto"/>
        <w:rPr>
          <w:sz w:val="20"/>
          <w:szCs w:val="20"/>
          <w:color w:val="auto"/>
        </w:rPr>
      </w:pPr>
      <w:r>
        <w:rPr>
          <w:rFonts w:ascii="Times New Roman" w:cs="Times New Roman" w:eastAsia="Times New Roman" w:hAnsi="Times New Roman"/>
          <w:sz w:val="18"/>
          <w:szCs w:val="18"/>
          <w:color w:val="auto"/>
        </w:rPr>
        <w:t>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the Agent an amount equal to the difference between the amount of interest paid and the amount of interest which would have been paid if the Highest Lawful Rate had at all times been in effect. Notwithstanding the foregoing, it is the intention of Lenders and the Borrower to conform strictly to any applicable usury laws. Accordingly, if any Lender contracts for, charges,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the Borrower. In determining whether the interest contracted for, charged, or received by the Agent or a Lender exceeds the Highest Lawful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Indebtedness hereunder.</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12.24 </w:t>
      </w:r>
      <w:r>
        <w:rPr>
          <w:rFonts w:ascii="Times New Roman" w:cs="Times New Roman" w:eastAsia="Times New Roman" w:hAnsi="Times New Roman"/>
          <w:sz w:val="18"/>
          <w:szCs w:val="18"/>
          <w:u w:val="single" w:color="auto"/>
          <w:color w:val="auto"/>
        </w:rPr>
        <w:t>Acknowledgment and Consent to Bail-In of EEA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 down and conversion powers of an EEA Resolution Authority and agrees and consents to, and acknowledges and agrees to be bound by:</w:t>
      </w:r>
    </w:p>
    <w:p>
      <w:pPr>
        <w:spacing w:after="0" w:line="180" w:lineRule="exact"/>
        <w:rPr>
          <w:sz w:val="20"/>
          <w:szCs w:val="20"/>
          <w:color w:val="auto"/>
        </w:rPr>
      </w:pPr>
    </w:p>
    <w:p>
      <w:pPr>
        <w:ind w:left="1960" w:hanging="656"/>
        <w:spacing w:after="0" w:line="282" w:lineRule="auto"/>
        <w:tabs>
          <w:tab w:leader="none" w:pos="19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61" w:lineRule="auto"/>
        <w:tabs>
          <w:tab w:leader="none" w:pos="260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EEA Resolution Authority.</w:t>
      </w:r>
    </w:p>
    <w:p>
      <w:pPr>
        <w:spacing w:after="0" w:line="16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12.25 </w:t>
      </w:r>
      <w:r>
        <w:rPr>
          <w:rFonts w:ascii="Times New Roman" w:cs="Times New Roman" w:eastAsia="Times New Roman" w:hAnsi="Times New Roman"/>
          <w:sz w:val="18"/>
          <w:szCs w:val="18"/>
          <w:u w:val="single" w:color="auto"/>
          <w:color w:val="auto"/>
        </w:rPr>
        <w:t>Specified Subordination Agreement</w:t>
      </w:r>
      <w:r>
        <w:rPr>
          <w:rFonts w:ascii="Times New Roman" w:cs="Times New Roman" w:eastAsia="Times New Roman" w:hAnsi="Times New Roman"/>
          <w:sz w:val="18"/>
          <w:szCs w:val="18"/>
          <w:color w:val="auto"/>
        </w:rPr>
        <w:t>. Notwithstanding anything herein to the contrary, the Indebtedness evidenced by this Agreement and the other Loan Documents and the exercise of any right or remedy by the Agent or the Lenders hereunder or thereunder are subject to the provisions of the Specified Subordination Agreement (to the extent such Specified Subordination Agreement is then in effect). In the event of any direct conflict between the terms of the Specified Subordination Agreement and any other Loan Document, the terms of the Specified Subordination Agreement (to the extent such</w:t>
      </w:r>
    </w:p>
    <w:p>
      <w:pPr>
        <w:spacing w:after="0" w:line="200" w:lineRule="exact"/>
        <w:rPr>
          <w:sz w:val="20"/>
          <w:szCs w:val="20"/>
          <w:color w:val="auto"/>
        </w:rPr>
      </w:pPr>
    </w:p>
    <w:p>
      <w:pPr>
        <w:spacing w:after="0" w:line="3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6" w:name="page147"/>
    <w:bookmarkEnd w:id="146"/>
    <w:p>
      <w:pPr>
        <w:jc w:val="both"/>
        <w:spacing w:after="0" w:line="256" w:lineRule="auto"/>
        <w:rPr>
          <w:sz w:val="20"/>
          <w:szCs w:val="20"/>
          <w:color w:val="auto"/>
        </w:rPr>
      </w:pPr>
      <w:r>
        <w:rPr>
          <w:rFonts w:ascii="Times New Roman" w:cs="Times New Roman" w:eastAsia="Times New Roman" w:hAnsi="Times New Roman"/>
          <w:sz w:val="18"/>
          <w:szCs w:val="18"/>
          <w:color w:val="auto"/>
        </w:rPr>
        <w:t>Specified Subordination Agreement is then in effect) shall govern. Notwithstanding anything that may be contained herein to the contrary, all of the provisions of this Agreement and the other Loan Documents, including without limitation, the covenants of the Credit Parties contained herein and therein and all of the rights, remedies and powers provided for herein and therein, are subject to the provisions of the Specified Subordination Agreement to the extent such Specified Subordination Agreement is then in effect (it being understood that any breach by any Credit Party of its obligations hereunder or thereunder shall nonetheless constitute a default (and to the extent provided herein or therein, an Event of Default) hereunder or thereunder, as applicable, notwithstanding the foregoing).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12.26 </w:t>
      </w:r>
      <w:r>
        <w:rPr>
          <w:rFonts w:ascii="Times New Roman" w:cs="Times New Roman" w:eastAsia="Times New Roman" w:hAnsi="Times New Roman"/>
          <w:sz w:val="18"/>
          <w:szCs w:val="18"/>
          <w:u w:val="single" w:color="auto"/>
          <w:color w:val="auto"/>
        </w:rPr>
        <w:t>Restatement of Original Credit Agreement</w:t>
      </w:r>
      <w:r>
        <w:rPr>
          <w:rFonts w:ascii="Times New Roman" w:cs="Times New Roman" w:eastAsia="Times New Roman" w:hAnsi="Times New Roman"/>
          <w:sz w:val="18"/>
          <w:szCs w:val="18"/>
          <w:color w:val="auto"/>
        </w:rPr>
        <w:t>. The parties hereto agree that, on the Restatement Date, the following transactions shall be deemed to occur automatically, without further action by any party hereto:</w:t>
      </w:r>
    </w:p>
    <w:p>
      <w:pPr>
        <w:spacing w:after="0" w:line="162" w:lineRule="exact"/>
        <w:rPr>
          <w:sz w:val="20"/>
          <w:szCs w:val="20"/>
          <w:color w:val="auto"/>
        </w:rPr>
      </w:pPr>
    </w:p>
    <w:p>
      <w:pPr>
        <w:ind w:left="1820" w:hanging="516"/>
        <w:spacing w:after="0"/>
        <w:tabs>
          <w:tab w:leader="none" w:pos="18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Credit Agreement shall be deemed to be amended and restated in its entirety in the form of this Agreement;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3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reaffirms and confirms its obligations under each Loan Document (as defined in the Original Credit Agreement) to which it is a party (including all Collateral Documents (as defined in the Original Credit Agreement) and the security interests previously granted thereunder), as amended, supplemented, or otherwise modified or replaced by the Agreement and by any other Loan Document delivered on the Restatement Date continue in full force and effect and extend to all Indebtedness of each Credit Party under the Loan Documents as modified on the Restatement Date;</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53"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Loans (including the Exchanged Term Loans) shall continue to be secured by all Liens provided in connection with the Original Credit Agreement as and to the extent provided in, and subject to the terms of, this Agreement (and from and after the Restatement Date, shall be secured by all Liens provided in connection with this Agreement as and to the extent provided for in, and subject to the terms of, this Agreement);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3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the Loan Documents (as defined in the Original Credit Agreement) to the “Credit Agreement” shall be deemed to refer without further amendment to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3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Loan Documents do not constitute a novation or termination of the Existing Term Loans and that, to the extent not exchanged for Equity Interests of the Borrower on the Restatement Date, such Existing Term Loans shall in all respects continue and remain outstanding as Exchanged Term Loans under this Agreement with only the terms being modified from and after the Restatement Date of this Agreement as provided in this Agreement and the other Loan Documents;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7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acknowledge that this Agreement does not constitute a waiver by any Lender or any Agent of any Default or Event of Default under the Original Credit Agreement and any such Default or Event of Default that exists on the Restatement Date shall continue to exist under this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47" w:name="page148"/>
    <w:bookmarkEnd w:id="147"/>
    <w:tbl>
      <w:tblPr>
        <w:tblLayout w:type="fixed"/>
        <w:tblInd w:w="31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ANNEX I – LOANS AND COMMITMENTS</w:t>
            </w:r>
          </w:p>
        </w:tc>
      </w:tr>
      <w:tr>
        <w:trPr>
          <w:trHeight w:val="453"/>
        </w:trPr>
        <w:tc>
          <w:tcPr>
            <w:tcW w:w="3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1.  Existing Term Loans</w:t>
            </w:r>
          </w:p>
        </w:tc>
        <w:tc>
          <w:tcPr>
            <w:tcW w:w="124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16"/>
        </w:trPr>
        <w:tc>
          <w:tcPr>
            <w:tcW w:w="2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r>
      <w:tr>
        <w:trPr>
          <w:trHeight w:val="209"/>
        </w:trPr>
        <w:tc>
          <w:tcPr>
            <w:tcW w:w="2120" w:type="dxa"/>
            <w:vAlign w:val="bottom"/>
            <w:tcBorders>
              <w:left w:val="single" w:sz="8" w:color="auto"/>
            </w:tcBorders>
          </w:tcPr>
          <w:p>
            <w:pPr>
              <w:spacing w:after="0"/>
              <w:rPr>
                <w:sz w:val="18"/>
                <w:szCs w:val="18"/>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1240" w:type="dxa"/>
            <w:vAlign w:val="bottom"/>
            <w:tcBorders>
              <w:right w:val="single" w:sz="8" w:color="auto"/>
            </w:tcBorders>
          </w:tcPr>
          <w:p>
            <w:pPr>
              <w:spacing w:after="0"/>
              <w:rPr>
                <w:sz w:val="18"/>
                <w:szCs w:val="18"/>
                <w:color w:val="auto"/>
              </w:rPr>
            </w:pPr>
          </w:p>
        </w:tc>
        <w:tc>
          <w:tcPr>
            <w:tcW w:w="5840" w:type="dxa"/>
            <w:vAlign w:val="bottom"/>
            <w:tcBorders>
              <w:right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Existing Term Loan</w:t>
            </w:r>
          </w:p>
        </w:tc>
      </w:tr>
      <w:tr>
        <w:trPr>
          <w:trHeight w:val="61"/>
        </w:trPr>
        <w:tc>
          <w:tcPr>
            <w:tcW w:w="2120" w:type="dxa"/>
            <w:vAlign w:val="bottom"/>
            <w:tcBorders>
              <w:left w:val="single" w:sz="8" w:color="auto"/>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40" w:type="dxa"/>
            <w:vAlign w:val="bottom"/>
            <w:tcBorders>
              <w:bottom w:val="single" w:sz="8" w:color="auto"/>
              <w:right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00" w:type="dxa"/>
            <w:vAlign w:val="bottom"/>
            <w:tcBorders>
              <w:top w:val="single" w:sz="8" w:color="auto"/>
              <w:bottom w:val="single" w:sz="8" w:color="auto"/>
            </w:tcBorders>
          </w:tcPr>
          <w:p>
            <w:pPr>
              <w:spacing w:after="0"/>
              <w:rPr>
                <w:sz w:val="5"/>
                <w:szCs w:val="5"/>
                <w:color w:val="auto"/>
              </w:rPr>
            </w:pPr>
          </w:p>
        </w:tc>
        <w:tc>
          <w:tcPr>
            <w:tcW w:w="1440" w:type="dxa"/>
            <w:vAlign w:val="bottom"/>
            <w:tcBorders>
              <w:top w:val="single" w:sz="8" w:color="auto"/>
              <w:bottom w:val="single" w:sz="8" w:color="auto"/>
            </w:tcBorders>
          </w:tcPr>
          <w:p>
            <w:pPr>
              <w:spacing w:after="0"/>
              <w:rPr>
                <w:sz w:val="5"/>
                <w:szCs w:val="5"/>
                <w:color w:val="auto"/>
              </w:rPr>
            </w:pPr>
          </w:p>
        </w:tc>
        <w:tc>
          <w:tcPr>
            <w:tcW w:w="2160" w:type="dxa"/>
            <w:vAlign w:val="bottom"/>
            <w:tcBorders>
              <w:bottom w:val="single" w:sz="8" w:color="auto"/>
              <w:right w:val="single" w:sz="8" w:color="auto"/>
            </w:tcBorders>
          </w:tcPr>
          <w:p>
            <w:pPr>
              <w:spacing w:after="0"/>
              <w:rPr>
                <w:sz w:val="5"/>
                <w:szCs w:val="5"/>
                <w:color w:val="auto"/>
              </w:rPr>
            </w:pPr>
          </w:p>
        </w:tc>
      </w:tr>
      <w:tr>
        <w:trPr>
          <w:trHeight w:val="250"/>
        </w:trPr>
        <w:tc>
          <w:tcPr>
            <w:tcW w:w="358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CHS US Investments LLC</w:t>
            </w:r>
          </w:p>
        </w:tc>
        <w:tc>
          <w:tcPr>
            <w:tcW w:w="1240" w:type="dxa"/>
            <w:vAlign w:val="bottom"/>
            <w:tcBorders>
              <w:right w:val="single" w:sz="8" w:color="auto"/>
            </w:tcBorders>
          </w:tcPr>
          <w:p>
            <w:pPr>
              <w:spacing w:after="0"/>
              <w:rPr>
                <w:sz w:val="21"/>
                <w:szCs w:val="21"/>
                <w:color w:val="auto"/>
              </w:rPr>
            </w:pPr>
          </w:p>
        </w:tc>
        <w:tc>
          <w:tcPr>
            <w:tcW w:w="3680" w:type="dxa"/>
            <w:vAlign w:val="bottom"/>
            <w:gridSpan w:val="3"/>
          </w:tcPr>
          <w:p>
            <w:pPr>
              <w:jc w:val="center"/>
              <w:ind w:left="2050"/>
              <w:spacing w:after="0"/>
              <w:rPr>
                <w:sz w:val="20"/>
                <w:szCs w:val="20"/>
                <w:color w:val="auto"/>
              </w:rPr>
            </w:pPr>
            <w:r>
              <w:rPr>
                <w:rFonts w:ascii="Times New Roman" w:cs="Times New Roman" w:eastAsia="Times New Roman" w:hAnsi="Times New Roman"/>
                <w:sz w:val="18"/>
                <w:szCs w:val="18"/>
                <w:color w:val="auto"/>
              </w:rPr>
              <w:t>$334,165,275.12</w:t>
            </w:r>
          </w:p>
        </w:tc>
        <w:tc>
          <w:tcPr>
            <w:tcW w:w="2160" w:type="dxa"/>
            <w:vAlign w:val="bottom"/>
            <w:tcBorders>
              <w:right w:val="single" w:sz="8" w:color="auto"/>
            </w:tcBorders>
          </w:tcPr>
          <w:p>
            <w:pPr>
              <w:spacing w:after="0"/>
              <w:rPr>
                <w:sz w:val="21"/>
                <w:szCs w:val="21"/>
                <w:color w:val="auto"/>
              </w:rPr>
            </w:pPr>
          </w:p>
        </w:tc>
      </w:tr>
      <w:tr>
        <w:trPr>
          <w:trHeight w:val="41"/>
        </w:trPr>
        <w:tc>
          <w:tcPr>
            <w:tcW w:w="2120" w:type="dxa"/>
            <w:vAlign w:val="bottom"/>
            <w:tcBorders>
              <w:left w:val="single" w:sz="8" w:color="auto"/>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r>
      <w:tr>
        <w:trPr>
          <w:trHeight w:val="250"/>
        </w:trPr>
        <w:tc>
          <w:tcPr>
            <w:tcW w:w="358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right w:val="single" w:sz="8" w:color="auto"/>
            </w:tcBorders>
          </w:tcPr>
          <w:p>
            <w:pPr>
              <w:spacing w:after="0"/>
              <w:rPr>
                <w:sz w:val="21"/>
                <w:szCs w:val="21"/>
                <w:color w:val="auto"/>
              </w:rPr>
            </w:pPr>
          </w:p>
        </w:tc>
        <w:tc>
          <w:tcPr>
            <w:tcW w:w="3680" w:type="dxa"/>
            <w:vAlign w:val="bottom"/>
            <w:gridSpan w:val="3"/>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rPr>
              <w:t>$334,165,275.12</w:t>
            </w:r>
          </w:p>
        </w:tc>
        <w:tc>
          <w:tcPr>
            <w:tcW w:w="2160" w:type="dxa"/>
            <w:vAlign w:val="bottom"/>
            <w:tcBorders>
              <w:right w:val="single" w:sz="8" w:color="auto"/>
            </w:tcBorders>
          </w:tcPr>
          <w:p>
            <w:pPr>
              <w:spacing w:after="0"/>
              <w:rPr>
                <w:sz w:val="21"/>
                <w:szCs w:val="21"/>
                <w:color w:val="auto"/>
              </w:rPr>
            </w:pPr>
          </w:p>
        </w:tc>
      </w:tr>
      <w:tr>
        <w:trPr>
          <w:trHeight w:val="40"/>
        </w:trPr>
        <w:tc>
          <w:tcPr>
            <w:tcW w:w="2120" w:type="dxa"/>
            <w:vAlign w:val="bottom"/>
            <w:tcBorders>
              <w:left w:val="single" w:sz="8" w:color="auto"/>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r>
    </w:tbl>
    <w:p>
      <w:pPr>
        <w:spacing w:after="0" w:line="221" w:lineRule="exact"/>
        <w:rPr>
          <w:sz w:val="20"/>
          <w:szCs w:val="20"/>
          <w:color w:val="auto"/>
        </w:rPr>
      </w:pPr>
    </w:p>
    <w:p>
      <w:pPr>
        <w:ind w:left="660" w:hanging="328"/>
        <w:spacing w:after="0"/>
        <w:tabs>
          <w:tab w:leader="none" w:pos="66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Restatement Date Term Loan Commitments</w:t>
      </w:r>
    </w:p>
    <w:p>
      <w:pPr>
        <w:spacing w:after="0" w:line="227" w:lineRule="exact"/>
        <w:rPr>
          <w:sz w:val="20"/>
          <w:szCs w:val="20"/>
          <w:color w:val="auto"/>
        </w:rPr>
      </w:pPr>
    </w:p>
    <w:tbl>
      <w:tblPr>
        <w:tblLayout w:type="fixed"/>
        <w:tblInd w:w="310" w:type="dxa"/>
        <w:tblCellMar>
          <w:top w:w="0" w:type="dxa"/>
          <w:left w:w="0" w:type="dxa"/>
          <w:bottom w:w="0" w:type="dxa"/>
          <w:right w:w="0" w:type="dxa"/>
        </w:tblCellMar>
      </w:tblPr>
      <w:tr>
        <w:trPr>
          <w:trHeight w:val="229"/>
        </w:trPr>
        <w:tc>
          <w:tcPr>
            <w:tcW w:w="4820" w:type="dxa"/>
            <w:vAlign w:val="bottom"/>
            <w:tcBorders>
              <w:top w:val="single" w:sz="8" w:color="auto"/>
              <w:left w:val="single" w:sz="8" w:color="auto"/>
              <w:right w:val="single" w:sz="8" w:color="auto"/>
            </w:tcBorders>
            <w:gridSpan w:val="3"/>
          </w:tcPr>
          <w:p>
            <w:pPr>
              <w:ind w:left="210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5840" w:type="dxa"/>
            <w:vAlign w:val="bottom"/>
            <w:tcBorders>
              <w:top w:val="single" w:sz="8" w:color="auto"/>
              <w:right w:val="single" w:sz="8" w:color="auto"/>
            </w:tcBorders>
            <w:gridSpan w:val="3"/>
          </w:tcPr>
          <w:p>
            <w:pPr>
              <w:ind w:left="1240"/>
              <w:spacing w:after="0"/>
              <w:rPr>
                <w:sz w:val="20"/>
                <w:szCs w:val="20"/>
                <w:color w:val="auto"/>
              </w:rPr>
            </w:pPr>
            <w:r>
              <w:rPr>
                <w:rFonts w:ascii="Times New Roman" w:cs="Times New Roman" w:eastAsia="Times New Roman" w:hAnsi="Times New Roman"/>
                <w:sz w:val="18"/>
                <w:szCs w:val="18"/>
                <w:b w:val="1"/>
                <w:bCs w:val="1"/>
                <w:color w:val="auto"/>
              </w:rPr>
              <w:t>Restatement Date Term Loan Commitment</w:t>
            </w:r>
          </w:p>
        </w:tc>
      </w:tr>
      <w:tr>
        <w:trPr>
          <w:trHeight w:val="61"/>
        </w:trPr>
        <w:tc>
          <w:tcPr>
            <w:tcW w:w="2100" w:type="dxa"/>
            <w:vAlign w:val="bottom"/>
            <w:tcBorders>
              <w:left w:val="single" w:sz="8" w:color="auto"/>
              <w:bottom w:val="single" w:sz="8" w:color="auto"/>
            </w:tcBorders>
          </w:tcPr>
          <w:p>
            <w:pPr>
              <w:spacing w:after="0"/>
              <w:rPr>
                <w:sz w:val="5"/>
                <w:szCs w:val="5"/>
                <w:color w:val="auto"/>
              </w:rPr>
            </w:pPr>
          </w:p>
        </w:tc>
        <w:tc>
          <w:tcPr>
            <w:tcW w:w="600" w:type="dxa"/>
            <w:vAlign w:val="bottom"/>
            <w:tcBorders>
              <w:top w:val="single" w:sz="8" w:color="auto"/>
              <w:bottom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3340" w:type="dxa"/>
            <w:vAlign w:val="bottom"/>
            <w:tcBorders>
              <w:top w:val="single" w:sz="8" w:color="auto"/>
              <w:bottom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r>
      <w:tr>
        <w:trPr>
          <w:trHeight w:val="250"/>
        </w:trPr>
        <w:tc>
          <w:tcPr>
            <w:tcW w:w="48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CHS US Investments LLC</w:t>
            </w:r>
          </w:p>
        </w:tc>
        <w:tc>
          <w:tcPr>
            <w:tcW w:w="458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$10,000,000.00</w:t>
            </w:r>
          </w:p>
        </w:tc>
        <w:tc>
          <w:tcPr>
            <w:tcW w:w="1260" w:type="dxa"/>
            <w:vAlign w:val="bottom"/>
            <w:tcBorders>
              <w:right w:val="single" w:sz="8" w:color="auto"/>
            </w:tcBorders>
          </w:tcPr>
          <w:p>
            <w:pPr>
              <w:spacing w:after="0"/>
              <w:rPr>
                <w:sz w:val="21"/>
                <w:szCs w:val="21"/>
                <w:color w:val="auto"/>
              </w:rPr>
            </w:pPr>
          </w:p>
        </w:tc>
      </w:tr>
      <w:tr>
        <w:trPr>
          <w:trHeight w:val="41"/>
        </w:trPr>
        <w:tc>
          <w:tcPr>
            <w:tcW w:w="2100" w:type="dxa"/>
            <w:vAlign w:val="bottom"/>
            <w:tcBorders>
              <w:left w:val="single" w:sz="8" w:color="auto"/>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250"/>
        </w:trPr>
        <w:tc>
          <w:tcPr>
            <w:tcW w:w="48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Gateway Runway, LLC</w:t>
            </w:r>
          </w:p>
        </w:tc>
        <w:tc>
          <w:tcPr>
            <w:tcW w:w="458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rPr>
              <w:t>$5,000,000.00</w:t>
            </w:r>
          </w:p>
        </w:tc>
        <w:tc>
          <w:tcPr>
            <w:tcW w:w="1260" w:type="dxa"/>
            <w:vAlign w:val="bottom"/>
            <w:tcBorders>
              <w:right w:val="single" w:sz="8" w:color="auto"/>
            </w:tcBorders>
          </w:tcPr>
          <w:p>
            <w:pPr>
              <w:spacing w:after="0"/>
              <w:rPr>
                <w:sz w:val="21"/>
                <w:szCs w:val="21"/>
                <w:color w:val="auto"/>
              </w:rPr>
            </w:pPr>
          </w:p>
        </w:tc>
      </w:tr>
      <w:tr>
        <w:trPr>
          <w:trHeight w:val="40"/>
        </w:trPr>
        <w:tc>
          <w:tcPr>
            <w:tcW w:w="2100" w:type="dxa"/>
            <w:vAlign w:val="bottom"/>
            <w:tcBorders>
              <w:left w:val="single" w:sz="8" w:color="auto"/>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250"/>
        </w:trPr>
        <w:tc>
          <w:tcPr>
            <w:tcW w:w="48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S3 RR Aggregator, LLC</w:t>
            </w:r>
          </w:p>
        </w:tc>
        <w:tc>
          <w:tcPr>
            <w:tcW w:w="458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auto"/>
              </w:rPr>
              <w:t>$5,000,000.00</w:t>
            </w:r>
          </w:p>
        </w:tc>
        <w:tc>
          <w:tcPr>
            <w:tcW w:w="1260" w:type="dxa"/>
            <w:vAlign w:val="bottom"/>
            <w:tcBorders>
              <w:right w:val="single" w:sz="8" w:color="auto"/>
            </w:tcBorders>
          </w:tcPr>
          <w:p>
            <w:pPr>
              <w:spacing w:after="0"/>
              <w:rPr>
                <w:sz w:val="21"/>
                <w:szCs w:val="21"/>
                <w:color w:val="auto"/>
              </w:rPr>
            </w:pPr>
          </w:p>
        </w:tc>
      </w:tr>
      <w:tr>
        <w:trPr>
          <w:trHeight w:val="41"/>
        </w:trPr>
        <w:tc>
          <w:tcPr>
            <w:tcW w:w="2100" w:type="dxa"/>
            <w:vAlign w:val="bottom"/>
            <w:tcBorders>
              <w:left w:val="single" w:sz="8" w:color="auto"/>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r>
        <w:trPr>
          <w:trHeight w:val="250"/>
        </w:trPr>
        <w:tc>
          <w:tcPr>
            <w:tcW w:w="48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58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$20,000,000.00</w:t>
            </w:r>
          </w:p>
        </w:tc>
        <w:tc>
          <w:tcPr>
            <w:tcW w:w="1260" w:type="dxa"/>
            <w:vAlign w:val="bottom"/>
            <w:tcBorders>
              <w:right w:val="single" w:sz="8" w:color="auto"/>
            </w:tcBorders>
          </w:tcPr>
          <w:p>
            <w:pPr>
              <w:spacing w:after="0"/>
              <w:rPr>
                <w:sz w:val="21"/>
                <w:szCs w:val="21"/>
                <w:color w:val="auto"/>
              </w:rPr>
            </w:pPr>
          </w:p>
        </w:tc>
      </w:tr>
      <w:tr>
        <w:trPr>
          <w:trHeight w:val="40"/>
        </w:trPr>
        <w:tc>
          <w:tcPr>
            <w:tcW w:w="2100" w:type="dxa"/>
            <w:vAlign w:val="bottom"/>
            <w:tcBorders>
              <w:left w:val="single" w:sz="8" w:color="auto"/>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bl>
    <w:p>
      <w:pPr>
        <w:spacing w:after="0" w:line="221" w:lineRule="exact"/>
        <w:rPr>
          <w:sz w:val="20"/>
          <w:szCs w:val="20"/>
          <w:color w:val="auto"/>
        </w:rPr>
      </w:pPr>
    </w:p>
    <w:p>
      <w:pPr>
        <w:ind w:left="660" w:hanging="328"/>
        <w:spacing w:after="0"/>
        <w:tabs>
          <w:tab w:leader="none" w:pos="66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Loans held by the Lenders (after giving effect to the Restatement Date Transactions)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 w:type="dxa"/>
            <w:vAlign w:val="bottom"/>
            <w:tcBorders>
              <w:right w:val="single" w:sz="8" w:color="auto"/>
            </w:tcBorders>
          </w:tcPr>
          <w:p>
            <w:pPr>
              <w:spacing w:after="0"/>
              <w:rPr>
                <w:sz w:val="19"/>
                <w:szCs w:val="19"/>
                <w:color w:val="auto"/>
              </w:rPr>
            </w:pPr>
          </w:p>
        </w:tc>
        <w:tc>
          <w:tcPr>
            <w:tcW w:w="2100" w:type="dxa"/>
            <w:vAlign w:val="bottom"/>
            <w:tcBorders>
              <w:top w:val="single" w:sz="8" w:color="auto"/>
            </w:tcBorders>
          </w:tcPr>
          <w:p>
            <w:pPr>
              <w:spacing w:after="0"/>
              <w:rPr>
                <w:sz w:val="19"/>
                <w:szCs w:val="19"/>
                <w:color w:val="auto"/>
              </w:rPr>
            </w:pPr>
          </w:p>
        </w:tc>
        <w:tc>
          <w:tcPr>
            <w:tcW w:w="270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2440" w:type="dxa"/>
            <w:vAlign w:val="bottom"/>
            <w:tcBorders>
              <w:top w:val="single" w:sz="8" w:color="auto"/>
            </w:tcBorders>
          </w:tcPr>
          <w:p>
            <w:pPr>
              <w:spacing w:after="0"/>
              <w:rPr>
                <w:sz w:val="19"/>
                <w:szCs w:val="19"/>
                <w:color w:val="auto"/>
              </w:rPr>
            </w:pPr>
          </w:p>
        </w:tc>
        <w:tc>
          <w:tcPr>
            <w:tcW w:w="340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Term Loans</w:t>
            </w:r>
          </w:p>
        </w:tc>
        <w:tc>
          <w:tcPr>
            <w:tcW w:w="280" w:type="dxa"/>
            <w:vAlign w:val="bottom"/>
          </w:tcPr>
          <w:p>
            <w:pPr>
              <w:spacing w:after="0"/>
              <w:rPr>
                <w:sz w:val="19"/>
                <w:szCs w:val="19"/>
                <w:color w:val="auto"/>
              </w:rPr>
            </w:pPr>
          </w:p>
        </w:tc>
      </w:tr>
      <w:tr>
        <w:trPr>
          <w:trHeight w:val="61"/>
        </w:trPr>
        <w:tc>
          <w:tcPr>
            <w:tcW w:w="320" w:type="dxa"/>
            <w:vAlign w:val="bottom"/>
            <w:tcBorders>
              <w:right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560" w:type="dxa"/>
            <w:vAlign w:val="bottom"/>
            <w:tcBorders>
              <w:top w:val="single" w:sz="8" w:color="auto"/>
              <w:bottom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2440" w:type="dxa"/>
            <w:vAlign w:val="bottom"/>
            <w:tcBorders>
              <w:bottom w:val="single" w:sz="8" w:color="auto"/>
            </w:tcBorders>
          </w:tcPr>
          <w:p>
            <w:pPr>
              <w:spacing w:after="0"/>
              <w:rPr>
                <w:sz w:val="5"/>
                <w:szCs w:val="5"/>
                <w:color w:val="auto"/>
              </w:rPr>
            </w:pPr>
          </w:p>
        </w:tc>
        <w:tc>
          <w:tcPr>
            <w:tcW w:w="940" w:type="dxa"/>
            <w:vAlign w:val="bottom"/>
            <w:tcBorders>
              <w:top w:val="single" w:sz="8" w:color="auto"/>
              <w:bottom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280" w:type="dxa"/>
            <w:vAlign w:val="bottom"/>
          </w:tcPr>
          <w:p>
            <w:pPr>
              <w:spacing w:after="0"/>
              <w:rPr>
                <w:sz w:val="5"/>
                <w:szCs w:val="5"/>
                <w:color w:val="auto"/>
              </w:rPr>
            </w:pPr>
          </w:p>
        </w:tc>
      </w:tr>
      <w:tr>
        <w:trPr>
          <w:trHeight w:val="250"/>
        </w:trPr>
        <w:tc>
          <w:tcPr>
            <w:tcW w:w="320" w:type="dxa"/>
            <w:vAlign w:val="bottom"/>
            <w:tcBorders>
              <w:right w:val="single" w:sz="8" w:color="auto"/>
            </w:tcBorders>
          </w:tcPr>
          <w:p>
            <w:pPr>
              <w:spacing w:after="0"/>
              <w:rPr>
                <w:sz w:val="21"/>
                <w:szCs w:val="21"/>
                <w:color w:val="auto"/>
              </w:rPr>
            </w:pPr>
          </w:p>
        </w:tc>
        <w:tc>
          <w:tcPr>
            <w:tcW w:w="48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CHS US Investments LLC</w:t>
            </w:r>
          </w:p>
        </w:tc>
        <w:tc>
          <w:tcPr>
            <w:tcW w:w="3380" w:type="dxa"/>
            <w:vAlign w:val="bottom"/>
            <w:gridSpan w:val="2"/>
          </w:tcPr>
          <w:p>
            <w:pPr>
              <w:jc w:val="center"/>
              <w:ind w:left="2350"/>
              <w:spacing w:after="0"/>
              <w:rPr>
                <w:sz w:val="20"/>
                <w:szCs w:val="20"/>
                <w:color w:val="auto"/>
              </w:rPr>
            </w:pPr>
            <w:r>
              <w:rPr>
                <w:rFonts w:ascii="Times New Roman" w:cs="Times New Roman" w:eastAsia="Times New Roman" w:hAnsi="Times New Roman"/>
                <w:sz w:val="18"/>
                <w:szCs w:val="18"/>
                <w:color w:val="auto"/>
                <w:w w:val="99"/>
              </w:rPr>
              <w:t>$80,000,000</w:t>
            </w:r>
          </w:p>
        </w:tc>
        <w:tc>
          <w:tcPr>
            <w:tcW w:w="246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r>
      <w:tr>
        <w:trPr>
          <w:trHeight w:val="41"/>
        </w:trPr>
        <w:tc>
          <w:tcPr>
            <w:tcW w:w="320" w:type="dxa"/>
            <w:vAlign w:val="bottom"/>
            <w:tcBorders>
              <w:right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250"/>
        </w:trPr>
        <w:tc>
          <w:tcPr>
            <w:tcW w:w="320" w:type="dxa"/>
            <w:vAlign w:val="bottom"/>
            <w:tcBorders>
              <w:right w:val="single" w:sz="8" w:color="auto"/>
            </w:tcBorders>
          </w:tcPr>
          <w:p>
            <w:pPr>
              <w:spacing w:after="0"/>
              <w:rPr>
                <w:sz w:val="21"/>
                <w:szCs w:val="21"/>
                <w:color w:val="auto"/>
              </w:rPr>
            </w:pPr>
          </w:p>
        </w:tc>
        <w:tc>
          <w:tcPr>
            <w:tcW w:w="48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Gateway Runway, LLC</w:t>
            </w:r>
          </w:p>
        </w:tc>
        <w:tc>
          <w:tcPr>
            <w:tcW w:w="3380" w:type="dxa"/>
            <w:vAlign w:val="bottom"/>
            <w:gridSpan w:val="2"/>
          </w:tcPr>
          <w:p>
            <w:pPr>
              <w:jc w:val="center"/>
              <w:ind w:left="2350"/>
              <w:spacing w:after="0"/>
              <w:rPr>
                <w:sz w:val="20"/>
                <w:szCs w:val="20"/>
                <w:color w:val="auto"/>
              </w:rPr>
            </w:pPr>
            <w:r>
              <w:rPr>
                <w:rFonts w:ascii="Times New Roman" w:cs="Times New Roman" w:eastAsia="Times New Roman" w:hAnsi="Times New Roman"/>
                <w:sz w:val="18"/>
                <w:szCs w:val="18"/>
                <w:color w:val="auto"/>
                <w:w w:val="99"/>
              </w:rPr>
              <w:t>$20,000,000</w:t>
            </w:r>
          </w:p>
        </w:tc>
        <w:tc>
          <w:tcPr>
            <w:tcW w:w="246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r>
      <w:tr>
        <w:trPr>
          <w:trHeight w:val="40"/>
        </w:trPr>
        <w:tc>
          <w:tcPr>
            <w:tcW w:w="320" w:type="dxa"/>
            <w:vAlign w:val="bottom"/>
            <w:tcBorders>
              <w:right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250"/>
        </w:trPr>
        <w:tc>
          <w:tcPr>
            <w:tcW w:w="320" w:type="dxa"/>
            <w:vAlign w:val="bottom"/>
            <w:tcBorders>
              <w:right w:val="single" w:sz="8" w:color="auto"/>
            </w:tcBorders>
          </w:tcPr>
          <w:p>
            <w:pPr>
              <w:spacing w:after="0"/>
              <w:rPr>
                <w:sz w:val="21"/>
                <w:szCs w:val="21"/>
                <w:color w:val="auto"/>
              </w:rPr>
            </w:pPr>
          </w:p>
        </w:tc>
        <w:tc>
          <w:tcPr>
            <w:tcW w:w="48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S3 RR Aggregator, LLC</w:t>
            </w:r>
          </w:p>
        </w:tc>
        <w:tc>
          <w:tcPr>
            <w:tcW w:w="3380" w:type="dxa"/>
            <w:vAlign w:val="bottom"/>
            <w:gridSpan w:val="2"/>
          </w:tcPr>
          <w:p>
            <w:pPr>
              <w:jc w:val="center"/>
              <w:ind w:left="2350"/>
              <w:spacing w:after="0"/>
              <w:rPr>
                <w:sz w:val="20"/>
                <w:szCs w:val="20"/>
                <w:color w:val="auto"/>
              </w:rPr>
            </w:pPr>
            <w:r>
              <w:rPr>
                <w:rFonts w:ascii="Times New Roman" w:cs="Times New Roman" w:eastAsia="Times New Roman" w:hAnsi="Times New Roman"/>
                <w:sz w:val="18"/>
                <w:szCs w:val="18"/>
                <w:color w:val="auto"/>
                <w:w w:val="99"/>
              </w:rPr>
              <w:t>$20,000,000</w:t>
            </w:r>
          </w:p>
        </w:tc>
        <w:tc>
          <w:tcPr>
            <w:tcW w:w="246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r>
      <w:tr>
        <w:trPr>
          <w:trHeight w:val="41"/>
        </w:trPr>
        <w:tc>
          <w:tcPr>
            <w:tcW w:w="320" w:type="dxa"/>
            <w:vAlign w:val="bottom"/>
            <w:tcBorders>
              <w:right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250"/>
        </w:trPr>
        <w:tc>
          <w:tcPr>
            <w:tcW w:w="320" w:type="dxa"/>
            <w:vAlign w:val="bottom"/>
            <w:tcBorders>
              <w:right w:val="single" w:sz="8" w:color="auto"/>
            </w:tcBorders>
          </w:tcPr>
          <w:p>
            <w:pPr>
              <w:spacing w:after="0"/>
              <w:rPr>
                <w:sz w:val="21"/>
                <w:szCs w:val="21"/>
                <w:color w:val="auto"/>
              </w:rPr>
            </w:pPr>
          </w:p>
        </w:tc>
        <w:tc>
          <w:tcPr>
            <w:tcW w:w="48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4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$120,000,000.00</w:t>
            </w:r>
          </w:p>
        </w:tc>
        <w:tc>
          <w:tcPr>
            <w:tcW w:w="280" w:type="dxa"/>
            <w:vAlign w:val="bottom"/>
          </w:tcPr>
          <w:p>
            <w:pPr>
              <w:spacing w:after="0"/>
              <w:rPr>
                <w:sz w:val="21"/>
                <w:szCs w:val="21"/>
                <w:color w:val="auto"/>
              </w:rPr>
            </w:pPr>
          </w:p>
        </w:tc>
      </w:tr>
      <w:tr>
        <w:trPr>
          <w:trHeight w:val="40"/>
        </w:trPr>
        <w:tc>
          <w:tcPr>
            <w:tcW w:w="320" w:type="dxa"/>
            <w:vAlign w:val="bottom"/>
            <w:tcBorders>
              <w:right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14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280" w:type="dxa"/>
            <w:vAlign w:val="bottom"/>
          </w:tcPr>
          <w:p>
            <w:pPr>
              <w:spacing w:after="0"/>
              <w:rPr>
                <w:sz w:val="3"/>
                <w:szCs w:val="3"/>
                <w:color w:val="auto"/>
              </w:rPr>
            </w:pPr>
          </w:p>
        </w:tc>
      </w:tr>
      <w:tr>
        <w:trPr>
          <w:trHeight w:val="790"/>
        </w:trPr>
        <w:tc>
          <w:tcPr>
            <w:tcW w:w="3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26"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Rent the Runway Announces Closing of Recapitalization Transactions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NEW YORK, October 28, 2025 (GLOBE NEWSWIRE) (Nasdaq: RENT) – Rent the Runway, Inc. (the “Company” or “RTR”), a pioneer in apparel rental that created one of the world’s leading fashion subscription platforms, today announced the closing of its previously announced recapitalization transactions, a strategic step to enhance the Company’s financial position and flexibility by meaningfully reducing outstanding debt, extending the maturity of its remaining debt balance, and providing additional capital to support the Company’s growth initiatives.</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part of the recapitalization, Aranda Principal Strategies (“APS”) converted a substantial portion of its extant debt investment into common equity ownership, and an investor group consisting of APS, STORY3 Capital Partners (“STORY3”) and Nexus Capital Management (“Nexus”) contributed $20 million of cash to RTR’s balance sheet. Effective as of the closing of the transactions, RTR’s total outstanding debt balance was reduced to $120 million with its maturity extended to 2029. In a concurrent rights offering, the Company received an incremental amount of approximately $12.5 million of primary gross proceeds.</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recapitalization is an important milestone in Rent the Runway’s transformation,” said Jennifer Hyman, CEO and Co-founder of RTR. “By strengthening our balance sheet and partnering with APS, STORY3 and Nexus, we are now in a better position than ever to focus on our customers, deliver profitable growth, and advance our mission to reinvent how women access fashion.”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RTR will continue to operate as a public company and trade under the ticker symbol “RENT” on Nasdaq.</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333333"/>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These statements include, but are not limited to, the anticipated benefits of the recapitalization, debt reduction and rights offering, future investments in the Company’s business, statements regarding the Company’s business strategy and objectives, and the impact of the Company’s growth initiatives. Forward-looking statements are inherently subject to risks and uncertainties, some of which cannot be predicted or quantified. In some cases, you can identify forward-looking statements because they contain words such as “aim,”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 Forward-looking statements are based on information available at the time those statements are made and are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the Company’s control, that could cause actual performance or results to differ materially from those expressed in or suggested by the forward-looking statements.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Information regarding risks and uncertainties that could cause actual results to differ materially from the Company’s expectations is included in the Company’s Quarterly Report on Form 10-Q for the quarter ended July 31, 2025, and in the section entitled “Risk Factors” in the Company’s other periodic reports filed with the SEC. Except as required by law, the Company does not undertake any obligation to publicly update or revise any forward-looking statement, whether as a result of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About Rent the Runway, Inc.</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Founded in 2009, Rent the Runway is disrupting the trillion-dollar fashion industry and changing the way women get dressed through the Closet in the Cloud. RTR’s mission has remained the same since its founding: powering women to feel their best every day. Through RTR, customers can subscribe, rent items a-la-carte and shop resale from hundreds of designer brands. The Closet in the Cloud offers a wide assortment of millions of items for every occasion, from evening wear and accessories to ready-to-wear, workwear, denim, casual, maternity, outerwear, blouses, knitwear, loungewear, jewelry, handbags, activewear and ski wear. RTR has built a two-sided discovery engine, which connects deeply engaged customers and differentiated brand partners on a powerful platform built around its brand, data, logistics and technology. Under CEO and Co-Founder Jennifer Hyman’s leadership, RTR has been named to CNBC’s “Disruptor 50” five times in ten years, and has been placed on Fast Company’s Most Innovative Companies list four times, while Hyman herself has been named to the “TIME 100: Most Influential People in the World" and as one of People Magazine’s “Women Changing the World.”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press@renttherunway.com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53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FFCA11"/>
    <w:multiLevelType w:val="hybridMultilevel"/>
    <w:lvl w:ilvl="0">
      <w:lvlJc w:val="left"/>
      <w:lvlText w:val="☐"/>
      <w:numFmt w:val="bullet"/>
      <w:start w:val="1"/>
    </w:lvl>
  </w:abstractNum>
  <w:abstractNum w:abstractNumId="1">
    <w:nsid w:val="1A27709E"/>
    <w:multiLevelType w:val="hybridMultilevel"/>
    <w:lvl w:ilvl="0">
      <w:lvlJc w:val="left"/>
      <w:lvlText w:val="(%1)"/>
      <w:numFmt w:val="lowerLetter"/>
      <w:start w:val="4"/>
    </w:lvl>
  </w:abstractNum>
  <w:abstractNum w:abstractNumId="2">
    <w:nsid w:val="71EA1109"/>
    <w:multiLevelType w:val="hybridMultilevel"/>
    <w:lvl w:ilvl="0">
      <w:lvlJc w:val="left"/>
      <w:lvlText w:val="(%1)"/>
      <w:numFmt w:val="lowerLetter"/>
      <w:start w:val="1"/>
    </w:lvl>
  </w:abstractNum>
  <w:abstractNum w:abstractNumId="3">
    <w:nsid w:val="100F59DC"/>
    <w:multiLevelType w:val="hybridMultilevel"/>
    <w:lvl w:ilvl="0">
      <w:lvlJc w:val="left"/>
      <w:lvlText w:val="(%1)"/>
      <w:numFmt w:val="lowerLetter"/>
      <w:start w:val="2"/>
    </w:lvl>
  </w:abstractNum>
  <w:abstractNum w:abstractNumId="4">
    <w:nsid w:val="7FB7E0AA"/>
    <w:multiLevelType w:val="hybridMultilevel"/>
    <w:lvl w:ilvl="0">
      <w:lvlJc w:val="left"/>
      <w:lvlText w:val="%1"/>
      <w:numFmt w:val="decimal"/>
      <w:start w:val="1"/>
    </w:lvl>
    <w:lvl w:ilvl="1">
      <w:lvlJc w:val="left"/>
      <w:lvlText w:val="(%2)"/>
      <w:numFmt w:val="lowerLetter"/>
      <w:start w:val="1"/>
    </w:lvl>
  </w:abstractNum>
  <w:abstractNum w:abstractNumId="5">
    <w:nsid w:val="6EB5BD4"/>
    <w:multiLevelType w:val="hybridMultilevel"/>
    <w:lvl w:ilvl="0">
      <w:lvlJc w:val="left"/>
      <w:lvlText w:val="(%1)"/>
      <w:numFmt w:val="decimal"/>
      <w:start w:val="2"/>
    </w:lvl>
    <w:lvl w:ilvl="1">
      <w:lvlJc w:val="left"/>
      <w:lvlText w:val="%2"/>
      <w:numFmt w:val="lowerLetter"/>
      <w:start w:val="1"/>
    </w:lvl>
  </w:abstractNum>
  <w:abstractNum w:abstractNumId="6">
    <w:nsid w:val="6F6DD9AC"/>
    <w:multiLevelType w:val="hybridMultilevel"/>
    <w:lvl w:ilvl="0">
      <w:lvlJc w:val="left"/>
      <w:lvlText w:val="(%1)"/>
      <w:numFmt w:val="lowerLetter"/>
      <w:start w:val="2"/>
    </w:lvl>
    <w:lvl w:ilvl="1">
      <w:lvlJc w:val="left"/>
      <w:lvlText w:val="(%2)"/>
      <w:numFmt w:val="lowerRoman"/>
      <w:start w:val="1"/>
    </w:lvl>
  </w:abstractNum>
  <w:abstractNum w:abstractNumId="7">
    <w:nsid w:val="94211F2"/>
    <w:multiLevelType w:val="hybridMultilevel"/>
    <w:lvl w:ilvl="0">
      <w:lvlJc w:val="left"/>
      <w:lvlText w:val="(%1)"/>
      <w:numFmt w:val="lowerRoman"/>
      <w:start w:val="3"/>
    </w:lvl>
  </w:abstractNum>
  <w:abstractNum w:abstractNumId="8">
    <w:nsid w:val="885E1B"/>
    <w:multiLevelType w:val="hybridMultilevel"/>
    <w:lvl w:ilvl="0">
      <w:lvlJc w:val="left"/>
      <w:lvlText w:val="(%1)"/>
      <w:numFmt w:val="lowerLetter"/>
      <w:start w:val="4"/>
    </w:lvl>
  </w:abstractNum>
  <w:abstractNum w:abstractNumId="9">
    <w:nsid w:val="76272110"/>
    <w:multiLevelType w:val="hybridMultilevel"/>
    <w:lvl w:ilvl="0">
      <w:lvlJc w:val="left"/>
      <w:lvlText w:val="(%1)"/>
      <w:numFmt w:val="lowerLetter"/>
      <w:start w:val="7"/>
    </w:lvl>
  </w:abstractNum>
  <w:abstractNum w:abstractNumId="10">
    <w:nsid w:val="4C04A8AF"/>
    <w:multiLevelType w:val="hybridMultilevel"/>
    <w:lvl w:ilvl="0">
      <w:lvlJc w:val="left"/>
      <w:lvlText w:val="(%1)"/>
      <w:numFmt w:val="lowerLetter"/>
      <w:start w:val="1"/>
    </w:lvl>
  </w:abstractNum>
  <w:abstractNum w:abstractNumId="11">
    <w:nsid w:val="1716703B"/>
    <w:multiLevelType w:val="hybridMultilevel"/>
    <w:lvl w:ilvl="0">
      <w:lvlJc w:val="left"/>
      <w:lvlText w:val="(%1)"/>
      <w:numFmt w:val="lowerRoman"/>
      <w:start w:val="1"/>
    </w:lvl>
  </w:abstractNum>
  <w:abstractNum w:abstractNumId="12">
    <w:nsid w:val="14E17E33"/>
    <w:multiLevelType w:val="hybridMultilevel"/>
    <w:lvl w:ilvl="0">
      <w:lvlJc w:val="left"/>
      <w:lvlText w:val="%1"/>
      <w:numFmt w:val="lowerLetter"/>
      <w:start w:val="1"/>
    </w:lvl>
    <w:lvl w:ilvl="1">
      <w:lvlJc w:val="left"/>
      <w:lvlText w:val="(%2)"/>
      <w:numFmt w:val="lowerRoman"/>
      <w:start w:val="3"/>
    </w:lvl>
  </w:abstractNum>
  <w:abstractNum w:abstractNumId="13">
    <w:nsid w:val="3222E7CD"/>
    <w:multiLevelType w:val="hybridMultilevel"/>
    <w:lvl w:ilvl="0">
      <w:lvlJc w:val="left"/>
      <w:lvlText w:val="(%1)"/>
      <w:numFmt w:val="lowerLetter"/>
      <w:start w:val="3"/>
    </w:lvl>
    <w:lvl w:ilvl="1">
      <w:lvlJc w:val="left"/>
      <w:lvlText w:val="(%2)"/>
      <w:numFmt w:val="lowerRoman"/>
      <w:start w:val="1"/>
    </w:lvl>
  </w:abstractNum>
  <w:abstractNum w:abstractNumId="14">
    <w:nsid w:val="74DE0EE3"/>
    <w:multiLevelType w:val="hybridMultilevel"/>
    <w:lvl w:ilvl="0">
      <w:lvlJc w:val="left"/>
      <w:lvlText w:val="%1"/>
      <w:numFmt w:val="lowerLetter"/>
      <w:start w:val="1"/>
    </w:lvl>
    <w:lvl w:ilvl="1">
      <w:lvlJc w:val="left"/>
      <w:lvlText w:val="(%2)"/>
      <w:numFmt w:val="lowerLetter"/>
      <w:start w:val="61"/>
    </w:lvl>
  </w:abstractNum>
  <w:abstractNum w:abstractNumId="15">
    <w:nsid w:val="68EBC550"/>
    <w:multiLevelType w:val="hybridMultilevel"/>
    <w:lvl w:ilvl="0">
      <w:lvlJc w:val="left"/>
      <w:lvlText w:val="(%1)"/>
      <w:numFmt w:val="lowerLetter"/>
      <w:start w:val="4"/>
    </w:lvl>
    <w:lvl w:ilvl="1">
      <w:lvlJc w:val="left"/>
      <w:lvlText w:val="%2"/>
      <w:numFmt w:val="lowerLetter"/>
      <w:start w:val="1"/>
    </w:lvl>
  </w:abstractNum>
  <w:abstractNum w:abstractNumId="16">
    <w:nsid w:val="2DF6D648"/>
    <w:multiLevelType w:val="hybridMultilevel"/>
    <w:lvl w:ilvl="0">
      <w:lvlJc w:val="left"/>
      <w:lvlText w:val="(%1)"/>
      <w:numFmt w:val="lowerLetter"/>
      <w:start w:val="7"/>
    </w:lvl>
  </w:abstractNum>
  <w:abstractNum w:abstractNumId="17">
    <w:nsid w:val="46B7D447"/>
    <w:multiLevelType w:val="hybridMultilevel"/>
    <w:lvl w:ilvl="0">
      <w:lvlJc w:val="left"/>
      <w:lvlText w:val="(%1)"/>
      <w:numFmt w:val="lowerLetter"/>
      <w:start w:val="9"/>
    </w:lvl>
  </w:abstractNum>
  <w:abstractNum w:abstractNumId="18">
    <w:nsid w:val="4A2AC315"/>
    <w:multiLevelType w:val="hybridMultilevel"/>
    <w:lvl w:ilvl="0">
      <w:lvlJc w:val="left"/>
      <w:lvlText w:val="(%1)"/>
      <w:numFmt w:val="lowerLetter"/>
      <w:start w:val="1"/>
    </w:lvl>
  </w:abstractNum>
  <w:abstractNum w:abstractNumId="19">
    <w:nsid w:val="39EE015C"/>
    <w:multiLevelType w:val="hybridMultilevel"/>
    <w:lvl w:ilvl="0">
      <w:lvlJc w:val="left"/>
      <w:lvlText w:val="(%1)"/>
      <w:numFmt w:val="lowerLetter"/>
      <w:start w:val="2"/>
    </w:lvl>
  </w:abstractNum>
  <w:abstractNum w:abstractNumId="20">
    <w:nsid w:val="57FC4FBB"/>
    <w:multiLevelType w:val="hybridMultilevel"/>
    <w:lvl w:ilvl="0">
      <w:lvlJc w:val="left"/>
      <w:lvlText w:val="A"/>
      <w:numFmt w:val="bullet"/>
      <w:start w:val="1"/>
    </w:lvl>
  </w:abstractNum>
  <w:abstractNum w:abstractNumId="21">
    <w:nsid w:val="CC1016F"/>
    <w:multiLevelType w:val="hybridMultilevel"/>
    <w:lvl w:ilvl="0">
      <w:lvlJc w:val="left"/>
      <w:lvlText w:val="B"/>
      <w:numFmt w:val="bullet"/>
      <w:start w:val="1"/>
    </w:lvl>
  </w:abstractNum>
  <w:abstractNum w:abstractNumId="22">
    <w:nsid w:val="43F18422"/>
    <w:multiLevelType w:val="hybridMultilevel"/>
    <w:lvl w:ilvl="0">
      <w:lvlJc w:val="left"/>
      <w:lvlText w:val="I"/>
      <w:numFmt w:val="bullet"/>
      <w:start w:val="1"/>
    </w:lvl>
  </w:abstractNum>
  <w:abstractNum w:abstractNumId="23">
    <w:nsid w:val="60EF0119"/>
    <w:multiLevelType w:val="hybridMultilevel"/>
    <w:lvl w:ilvl="0">
      <w:lvlJc w:val="left"/>
      <w:lvlText w:val="%1."/>
      <w:numFmt w:val="decimal"/>
      <w:start w:val="1"/>
    </w:lvl>
  </w:abstractNum>
  <w:abstractNum w:abstractNumId="24">
    <w:nsid w:val="26F324BA"/>
    <w:multiLevelType w:val="hybridMultilevel"/>
    <w:lvl w:ilvl="0">
      <w:lvlJc w:val="left"/>
      <w:lvlText w:val="(%1)"/>
      <w:numFmt w:val="lowerLetter"/>
      <w:start w:val="1"/>
    </w:lvl>
  </w:abstractNum>
  <w:abstractNum w:abstractNumId="25">
    <w:nsid w:val="7F01579B"/>
    <w:multiLevelType w:val="hybridMultilevel"/>
    <w:lvl w:ilvl="0">
      <w:lvlJc w:val="left"/>
      <w:lvlText w:val="(%1)"/>
      <w:numFmt w:val="lowerLetter"/>
      <w:start w:val="2"/>
    </w:lvl>
  </w:abstractNum>
  <w:abstractNum w:abstractNumId="26">
    <w:nsid w:val="49DA307D"/>
    <w:multiLevelType w:val="hybridMultilevel"/>
    <w:lvl w:ilvl="0">
      <w:lvlJc w:val="left"/>
      <w:lvlText w:val="(%1)"/>
      <w:numFmt w:val="lowerLetter"/>
      <w:start w:val="1"/>
    </w:lvl>
  </w:abstractNum>
  <w:abstractNum w:abstractNumId="27">
    <w:nsid w:val="7055A5F5"/>
    <w:multiLevelType w:val="hybridMultilevel"/>
    <w:lvl w:ilvl="0">
      <w:lvlJc w:val="left"/>
      <w:lvlText w:val="(%1)"/>
      <w:numFmt w:val="lowerRoman"/>
      <w:start w:val="10"/>
    </w:lvl>
  </w:abstractNum>
  <w:abstractNum w:abstractNumId="28">
    <w:nsid w:val="5FB8370B"/>
    <w:multiLevelType w:val="hybridMultilevel"/>
    <w:lvl w:ilvl="0">
      <w:lvlJc w:val="left"/>
      <w:lvlText w:val="(%1)"/>
      <w:numFmt w:val="lowerLetter"/>
      <w:start w:val="1"/>
    </w:lvl>
  </w:abstractNum>
  <w:abstractNum w:abstractNumId="29">
    <w:nsid w:val="50801EE1"/>
    <w:multiLevelType w:val="hybridMultilevel"/>
    <w:lvl w:ilvl="0">
      <w:lvlJc w:val="left"/>
      <w:lvlText w:val="(%1)"/>
      <w:numFmt w:val="lowerRoman"/>
      <w:start w:val="1"/>
    </w:lvl>
  </w:abstractNum>
  <w:abstractNum w:abstractNumId="30">
    <w:nsid w:val="488AC1A"/>
    <w:multiLevelType w:val="hybridMultilevel"/>
    <w:lvl w:ilvl="0">
      <w:lvlJc w:val="left"/>
      <w:lvlText w:val="(%1)"/>
      <w:numFmt w:val="upperLetter"/>
      <w:start w:val="2"/>
    </w:lvl>
  </w:abstractNum>
  <w:abstractNum w:abstractNumId="31">
    <w:nsid w:val="5FB8011C"/>
    <w:multiLevelType w:val="hybridMultilevel"/>
    <w:lvl w:ilvl="0">
      <w:lvlJc w:val="left"/>
      <w:lvlText w:val="(%1)"/>
      <w:numFmt w:val="lowerLetter"/>
      <w:start w:val="1"/>
    </w:lvl>
  </w:abstractNum>
  <w:abstractNum w:abstractNumId="32">
    <w:nsid w:val="6AA78F7F"/>
    <w:multiLevelType w:val="hybridMultilevel"/>
    <w:lvl w:ilvl="0">
      <w:lvlJc w:val="left"/>
      <w:lvlText w:val="(%1)"/>
      <w:numFmt w:val="lowerLetter"/>
      <w:start w:val="3"/>
    </w:lvl>
  </w:abstractNum>
  <w:abstractNum w:abstractNumId="33">
    <w:nsid w:val="7672BD23"/>
    <w:multiLevelType w:val="hybridMultilevel"/>
    <w:lvl w:ilvl="0">
      <w:lvlJc w:val="left"/>
      <w:lvlText w:val="(%1)"/>
      <w:numFmt w:val="lowerLetter"/>
      <w:start w:val="9"/>
    </w:lvl>
  </w:abstractNum>
  <w:abstractNum w:abstractNumId="34">
    <w:nsid w:val="6FC75AF8"/>
    <w:multiLevelType w:val="hybridMultilevel"/>
    <w:lvl w:ilvl="0">
      <w:lvlJc w:val="left"/>
      <w:lvlText w:val="(%1)"/>
      <w:numFmt w:val="lowerLetter"/>
      <w:start w:val="1"/>
    </w:lvl>
  </w:abstractNum>
  <w:abstractNum w:abstractNumId="35">
    <w:nsid w:val="6A5F7029"/>
    <w:multiLevelType w:val="hybridMultilevel"/>
    <w:lvl w:ilvl="0">
      <w:lvlJc w:val="left"/>
      <w:lvlText w:val="(%1)"/>
      <w:numFmt w:val="lowerLetter"/>
      <w:start w:val="4"/>
    </w:lvl>
  </w:abstractNum>
  <w:abstractNum w:abstractNumId="36">
    <w:nsid w:val="7D5E18F8"/>
    <w:multiLevelType w:val="hybridMultilevel"/>
    <w:lvl w:ilvl="0">
      <w:lvlJc w:val="left"/>
      <w:lvlText w:val="(%1)"/>
      <w:numFmt w:val="lowerLetter"/>
      <w:start w:val="1"/>
    </w:lvl>
  </w:abstractNum>
  <w:abstractNum w:abstractNumId="37">
    <w:nsid w:val="5F3534A4"/>
    <w:multiLevelType w:val="hybridMultilevel"/>
    <w:lvl w:ilvl="0">
      <w:lvlJc w:val="left"/>
      <w:lvlText w:val="(%1)"/>
      <w:numFmt w:val="lowerLetter"/>
      <w:start w:val="7"/>
    </w:lvl>
  </w:abstractNum>
  <w:abstractNum w:abstractNumId="38">
    <w:nsid w:val="73A1821B"/>
    <w:multiLevelType w:val="hybridMultilevel"/>
    <w:lvl w:ilvl="0">
      <w:lvlJc w:val="left"/>
      <w:lvlText w:val="(%1)"/>
      <w:numFmt w:val="lowerLetter"/>
      <w:start w:val="1"/>
    </w:lvl>
  </w:abstractNum>
  <w:abstractNum w:abstractNumId="39">
    <w:nsid w:val="7DE67713"/>
    <w:multiLevelType w:val="hybridMultilevel"/>
    <w:lvl w:ilvl="0">
      <w:lvlJc w:val="left"/>
      <w:lvlText w:val="(%1)"/>
      <w:numFmt w:val="lowerRoman"/>
      <w:start w:val="1"/>
    </w:lvl>
  </w:abstractNum>
  <w:abstractNum w:abstractNumId="40">
    <w:nsid w:val="555C55B5"/>
    <w:multiLevelType w:val="hybridMultilevel"/>
    <w:lvl w:ilvl="0">
      <w:lvlJc w:val="left"/>
      <w:lvlText w:val="(%1)"/>
      <w:numFmt w:val="lowerLetter"/>
      <w:start w:val="1"/>
    </w:lvl>
  </w:abstractNum>
  <w:abstractNum w:abstractNumId="41">
    <w:nsid w:val="3FA62ACA"/>
    <w:multiLevelType w:val="hybridMultilevel"/>
    <w:lvl w:ilvl="0">
      <w:lvlJc w:val="left"/>
      <w:lvlText w:val="(%1)"/>
      <w:numFmt w:val="lowerLetter"/>
      <w:start w:val="1"/>
    </w:lvl>
  </w:abstractNum>
  <w:abstractNum w:abstractNumId="42">
    <w:nsid w:val="14FCE74E"/>
    <w:multiLevelType w:val="hybridMultilevel"/>
    <w:lvl w:ilvl="0">
      <w:lvlJc w:val="left"/>
      <w:lvlText w:val="(%1)"/>
      <w:numFmt w:val="lowerLetter"/>
      <w:start w:val="2"/>
    </w:lvl>
  </w:abstractNum>
  <w:abstractNum w:abstractNumId="43">
    <w:nsid w:val="6A3DD3E8"/>
    <w:multiLevelType w:val="hybridMultilevel"/>
    <w:lvl w:ilvl="0">
      <w:lvlJc w:val="left"/>
      <w:lvlText w:val="(%1)"/>
      <w:numFmt w:val="lowerLetter"/>
      <w:start w:val="1"/>
    </w:lvl>
  </w:abstractNum>
  <w:abstractNum w:abstractNumId="44">
    <w:nsid w:val="71C91298"/>
    <w:multiLevelType w:val="hybridMultilevel"/>
    <w:lvl w:ilvl="0">
      <w:lvlJc w:val="left"/>
      <w:lvlText w:val="(%1)"/>
      <w:numFmt w:val="lowerLetter"/>
      <w:start w:val="2"/>
    </w:lvl>
  </w:abstractNum>
  <w:abstractNum w:abstractNumId="45">
    <w:nsid w:val="9DAF632"/>
    <w:multiLevelType w:val="hybridMultilevel"/>
    <w:lvl w:ilvl="0">
      <w:lvlJc w:val="left"/>
      <w:lvlText w:val="(%1)"/>
      <w:numFmt w:val="lowerLetter"/>
      <w:start w:val="1"/>
    </w:lvl>
  </w:abstractNum>
  <w:abstractNum w:abstractNumId="46">
    <w:nsid w:val="53299938"/>
    <w:multiLevelType w:val="hybridMultilevel"/>
    <w:lvl w:ilvl="0">
      <w:lvlJc w:val="left"/>
      <w:lvlText w:val="%1."/>
      <w:numFmt w:val="decimal"/>
      <w:start w:val="2"/>
    </w:lvl>
    <w:lvl w:ilvl="1">
      <w:lvlJc w:val="left"/>
      <w:lvlText w:val="(%2)"/>
      <w:numFmt w:val="lowerLetter"/>
      <w:start w:val="1"/>
    </w:lvl>
  </w:abstractNum>
  <w:abstractNum w:abstractNumId="47">
    <w:nsid w:val="1FBFE8E0"/>
    <w:multiLevelType w:val="hybridMultilevel"/>
    <w:lvl w:ilvl="0">
      <w:lvlJc w:val="left"/>
      <w:lvlText w:val="(%1)"/>
      <w:numFmt w:val="lowerLetter"/>
      <w:start w:val="3"/>
    </w:lvl>
  </w:abstractNum>
  <w:abstractNum w:abstractNumId="48">
    <w:nsid w:val="5092CA79"/>
    <w:multiLevelType w:val="hybridMultilevel"/>
    <w:lvl w:ilvl="0">
      <w:lvlJc w:val="left"/>
      <w:lvlText w:val="(%1)"/>
      <w:numFmt w:val="lowerLetter"/>
      <w:start w:val="1"/>
    </w:lvl>
  </w:abstractNum>
  <w:abstractNum w:abstractNumId="49">
    <w:nsid w:val="1D545C4D"/>
    <w:multiLevelType w:val="hybridMultilevel"/>
    <w:lvl w:ilvl="0">
      <w:lvlJc w:val="left"/>
      <w:lvlText w:val="(%1)"/>
      <w:numFmt w:val="lowerLetter"/>
      <w:start w:val="5"/>
    </w:lvl>
  </w:abstractNum>
  <w:abstractNum w:abstractNumId="50">
    <w:nsid w:val="59ADEA3D"/>
    <w:multiLevelType w:val="hybridMultilevel"/>
    <w:lvl w:ilvl="0">
      <w:lvlJc w:val="left"/>
      <w:lvlText w:val="(%1)"/>
      <w:numFmt w:val="lowerLetter"/>
      <w:start w:val="1"/>
    </w:lvl>
    <w:lvl w:ilvl="1">
      <w:lvlJc w:val="left"/>
      <w:lvlText w:val="(%2)"/>
      <w:numFmt w:val="lowerRoman"/>
      <w:start w:val="1"/>
    </w:lvl>
  </w:abstractNum>
  <w:abstractNum w:abstractNumId="51">
    <w:nsid w:val="288F1A34"/>
    <w:multiLevelType w:val="hybridMultilevel"/>
    <w:lvl w:ilvl="0">
      <w:lvlJc w:val="left"/>
      <w:lvlText w:val="(%1)"/>
      <w:numFmt w:val="lowerLetter"/>
      <w:start w:val="1"/>
    </w:lvl>
    <w:lvl w:ilvl="1">
      <w:lvlJc w:val="left"/>
      <w:lvlText w:val="(%2)"/>
      <w:numFmt w:val="lowerRoman"/>
      <w:start w:val="1"/>
    </w:lvl>
  </w:abstractNum>
  <w:abstractNum w:abstractNumId="52">
    <w:nsid w:val="2A155DBC"/>
    <w:multiLevelType w:val="hybridMultilevel"/>
    <w:lvl w:ilvl="0">
      <w:lvlJc w:val="left"/>
      <w:lvlText w:val="(%1)"/>
      <w:numFmt w:val="lowerLetter"/>
      <w:start w:val="4"/>
    </w:lvl>
  </w:abstractNum>
  <w:abstractNum w:abstractNumId="53">
    <w:nsid w:val="1D9F6E5F"/>
    <w:multiLevelType w:val="hybridMultilevel"/>
    <w:lvl w:ilvl="0">
      <w:lvlJc w:val="left"/>
      <w:lvlText w:val="(%1)"/>
      <w:numFmt w:val="lowerLetter"/>
      <w:start w:val="1"/>
    </w:lvl>
  </w:abstractNum>
  <w:abstractNum w:abstractNumId="54">
    <w:nsid w:val="97E1B4E"/>
    <w:multiLevelType w:val="hybridMultilevel"/>
    <w:lvl w:ilvl="0">
      <w:lvlJc w:val="left"/>
      <w:lvlText w:val="(%1)"/>
      <w:numFmt w:val="lowerLetter"/>
      <w:start w:val="1"/>
    </w:lvl>
  </w:abstractNum>
  <w:abstractNum w:abstractNumId="55">
    <w:nsid w:val="51088277"/>
    <w:multiLevelType w:val="hybridMultilevel"/>
    <w:lvl w:ilvl="0">
      <w:lvlJc w:val="left"/>
      <w:lvlText w:val="(%1)"/>
      <w:numFmt w:val="lowerLetter"/>
      <w:start w:val="2"/>
    </w:lvl>
    <w:lvl w:ilvl="1">
      <w:lvlJc w:val="left"/>
      <w:lvlText w:val="(%2)"/>
      <w:numFmt w:val="lowerRoman"/>
      <w:start w:val="1"/>
    </w:lvl>
  </w:abstractNum>
  <w:abstractNum w:abstractNumId="56">
    <w:nsid w:val="1CA0C5FA"/>
    <w:multiLevelType w:val="hybridMultilevel"/>
    <w:lvl w:ilvl="0">
      <w:lvlJc w:val="left"/>
      <w:lvlText w:val="(%1)"/>
      <w:numFmt w:val="lowerLetter"/>
      <w:start w:val="1"/>
    </w:lvl>
  </w:abstractNum>
  <w:abstractNum w:abstractNumId="57">
    <w:nsid w:val="53584BCB"/>
    <w:multiLevelType w:val="hybridMultilevel"/>
    <w:lvl w:ilvl="0">
      <w:lvlJc w:val="left"/>
      <w:lvlText w:val="(%1)"/>
      <w:numFmt w:val="lowerLetter"/>
      <w:start w:val="3"/>
    </w:lvl>
  </w:abstractNum>
  <w:abstractNum w:abstractNumId="58">
    <w:nsid w:val="415E286C"/>
    <w:multiLevelType w:val="hybridMultilevel"/>
    <w:lvl w:ilvl="0">
      <w:lvlJc w:val="left"/>
      <w:lvlText w:val="(%1)"/>
      <w:numFmt w:val="lowerLetter"/>
      <w:start w:val="1"/>
    </w:lvl>
  </w:abstractNum>
  <w:abstractNum w:abstractNumId="59">
    <w:nsid w:val="7C58FD05"/>
    <w:multiLevelType w:val="hybridMultilevel"/>
    <w:lvl w:ilvl="0">
      <w:lvlJc w:val="left"/>
      <w:lvlText w:val="%1"/>
      <w:numFmt w:val="lowerLetter"/>
      <w:start w:val="1"/>
    </w:lvl>
    <w:lvl w:ilvl="1">
      <w:lvlJc w:val="left"/>
      <w:lvlText w:val="(%2)"/>
      <w:numFmt w:val="lowerRoman"/>
      <w:start w:val="1"/>
    </w:lvl>
  </w:abstractNum>
  <w:abstractNum w:abstractNumId="60">
    <w:nsid w:val="23D86AAC"/>
    <w:multiLevelType w:val="hybridMultilevel"/>
    <w:lvl w:ilvl="0">
      <w:lvlJc w:val="left"/>
      <w:lvlText w:val="(%1)"/>
      <w:numFmt w:val="lowerLetter"/>
      <w:start w:val="3"/>
    </w:lvl>
    <w:lvl w:ilvl="1">
      <w:lvlJc w:val="left"/>
      <w:lvlText w:val="(%2)"/>
      <w:numFmt w:val="lowerRoman"/>
      <w:start w:val="1"/>
    </w:lvl>
  </w:abstractNum>
  <w:abstractNum w:abstractNumId="61">
    <w:nsid w:val="45E6D486"/>
    <w:multiLevelType w:val="hybridMultilevel"/>
    <w:lvl w:ilvl="0">
      <w:lvlJc w:val="left"/>
      <w:lvlText w:val="(%1)"/>
      <w:numFmt w:val="lowerLetter"/>
      <w:start w:val="4"/>
    </w:lvl>
  </w:abstractNum>
  <w:abstractNum w:abstractNumId="62">
    <w:nsid w:val="5C10FE21"/>
    <w:multiLevelType w:val="hybridMultilevel"/>
    <w:lvl w:ilvl="0">
      <w:lvlJc w:val="left"/>
      <w:lvlText w:val="%1"/>
      <w:numFmt w:val="lowerLetter"/>
      <w:start w:val="1"/>
    </w:lvl>
    <w:lvl w:ilvl="1">
      <w:lvlJc w:val="left"/>
      <w:lvlText w:val="(%2)"/>
      <w:numFmt w:val="lowerLetter"/>
      <w:start w:val="1"/>
    </w:lvl>
  </w:abstractNum>
  <w:abstractNum w:abstractNumId="63">
    <w:nsid w:val="E7FFA2B"/>
    <w:multiLevelType w:val="hybridMultilevel"/>
    <w:lvl w:ilvl="0">
      <w:lvlJc w:val="left"/>
      <w:lvlText w:val="(%1)"/>
      <w:numFmt w:val="lowerLetter"/>
      <w:start w:val="35"/>
    </w:lvl>
    <w:lvl w:ilvl="1">
      <w:lvlJc w:val="left"/>
      <w:lvlText w:val="(%2)"/>
      <w:numFmt w:val="lowerLetter"/>
      <w:start w:val="2"/>
    </w:lvl>
  </w:abstractNum>
  <w:abstractNum w:abstractNumId="64">
    <w:nsid w:val="3C5991AA"/>
    <w:multiLevelType w:val="hybridMultilevel"/>
    <w:lvl w:ilvl="0">
      <w:lvlJc w:val="left"/>
      <w:lvlText w:val="(%1)"/>
      <w:numFmt w:val="lowerLetter"/>
      <w:start w:val="4"/>
    </w:lvl>
    <w:lvl w:ilvl="1">
      <w:lvlJc w:val="left"/>
      <w:lvlText w:val="(%2)"/>
      <w:numFmt w:val="lowerRoman"/>
      <w:start w:val="1"/>
    </w:lvl>
  </w:abstractNum>
  <w:abstractNum w:abstractNumId="65">
    <w:nsid w:val="4BD8591A"/>
    <w:multiLevelType w:val="hybridMultilevel"/>
    <w:lvl w:ilvl="0">
      <w:lvlJc w:val="left"/>
      <w:lvlText w:val="(%1)"/>
      <w:numFmt w:val="lowerLetter"/>
      <w:start w:val="7"/>
    </w:lvl>
    <w:lvl w:ilvl="1">
      <w:lvlJc w:val="left"/>
      <w:lvlText w:val="(%2)"/>
      <w:numFmt w:val="lowerRoman"/>
      <w:start w:val="1"/>
    </w:lvl>
  </w:abstractNum>
  <w:abstractNum w:abstractNumId="66">
    <w:nsid w:val="78DF6A55"/>
    <w:multiLevelType w:val="hybridMultilevel"/>
    <w:lvl w:ilvl="0">
      <w:lvlJc w:val="left"/>
      <w:lvlText w:val="(%1)"/>
      <w:numFmt w:val="lowerRoman"/>
      <w:start w:val="5"/>
    </w:lvl>
  </w:abstractNum>
  <w:abstractNum w:abstractNumId="67">
    <w:nsid w:val="39B7AAA2"/>
    <w:multiLevelType w:val="hybridMultilevel"/>
    <w:lvl w:ilvl="0">
      <w:lvlJc w:val="left"/>
      <w:lvlText w:val="(%1)"/>
      <w:numFmt w:val="lowerLetter"/>
      <w:start w:val="3"/>
    </w:lvl>
  </w:abstractNum>
  <w:abstractNum w:abstractNumId="68">
    <w:nsid w:val="2B0D8DBE"/>
    <w:multiLevelType w:val="hybridMultilevel"/>
    <w:lvl w:ilvl="0">
      <w:lvlJc w:val="left"/>
      <w:lvlText w:val="(%1)"/>
      <w:numFmt w:val="lowerLetter"/>
      <w:start w:val="1"/>
    </w:lvl>
  </w:abstractNum>
  <w:abstractNum w:abstractNumId="69">
    <w:nsid w:val="6C80EC70"/>
    <w:multiLevelType w:val="hybridMultilevel"/>
    <w:lvl w:ilvl="0">
      <w:lvlJc w:val="left"/>
      <w:lvlText w:val="%1"/>
      <w:numFmt w:val="decimal"/>
      <w:start w:val="1"/>
    </w:lvl>
    <w:lvl w:ilvl="1">
      <w:lvlJc w:val="left"/>
      <w:lvlText w:val="(%2)"/>
      <w:numFmt w:val="lowerLetter"/>
      <w:start w:val="3"/>
    </w:lvl>
  </w:abstractNum>
  <w:abstractNum w:abstractNumId="70">
    <w:nsid w:val="379E21B5"/>
    <w:multiLevelType w:val="hybridMultilevel"/>
    <w:lvl w:ilvl="0">
      <w:lvlJc w:val="left"/>
      <w:lvlText w:val="%1."/>
      <w:numFmt w:val="decimal"/>
      <w:start w:val="3"/>
    </w:lvl>
    <w:lvl w:ilvl="1">
      <w:lvlJc w:val="left"/>
      <w:lvlText w:val="%2"/>
      <w:numFmt w:val="lowerLetter"/>
      <w:start w:val="1"/>
    </w:lvl>
  </w:abstractNum>
  <w:abstractNum w:abstractNumId="71">
    <w:nsid w:val="69E373"/>
    <w:multiLevelType w:val="hybridMultilevel"/>
    <w:lvl w:ilvl="0">
      <w:lvlJc w:val="left"/>
      <w:lvlText w:val="(%1)"/>
      <w:numFmt w:val="lowerLetter"/>
      <w:start w:val="1"/>
    </w:lvl>
    <w:lvl w:ilvl="1">
      <w:lvlJc w:val="left"/>
      <w:lvlText w:val="(%2)"/>
      <w:numFmt w:val="lowerRoman"/>
      <w:start w:val="1"/>
    </w:lvl>
  </w:abstractNum>
  <w:abstractNum w:abstractNumId="72">
    <w:nsid w:val="2C27173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3">
    <w:nsid w:val="4C9B090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74">
    <w:nsid w:val="6AA7B75C"/>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75">
    <w:nsid w:val="1DF029D3"/>
    <w:multiLevelType w:val="hybridMultilevel"/>
    <w:lvl w:ilvl="0">
      <w:lvlJc w:val="left"/>
      <w:lvlText w:val="(%1)"/>
      <w:numFmt w:val="lowerLetter"/>
      <w:start w:val="7"/>
    </w:lvl>
  </w:abstractNum>
  <w:abstractNum w:abstractNumId="76">
    <w:nsid w:val="5675FF36"/>
    <w:multiLevelType w:val="hybridMultilevel"/>
    <w:lvl w:ilvl="0">
      <w:lvlJc w:val="left"/>
      <w:lvlText w:val="(%1)"/>
      <w:numFmt w:val="decimal"/>
      <w:start w:val="1"/>
    </w:lvl>
  </w:abstractNum>
  <w:abstractNum w:abstractNumId="77">
    <w:nsid w:val="3DD15094"/>
    <w:multiLevelType w:val="hybridMultilevel"/>
    <w:lvl w:ilvl="0">
      <w:lvlJc w:val="left"/>
      <w:lvlText w:val="(%1)"/>
      <w:numFmt w:val="decimal"/>
      <w:start w:val="2"/>
    </w:lvl>
  </w:abstractNum>
  <w:abstractNum w:abstractNumId="78">
    <w:nsid w:val="3DB012B3"/>
    <w:multiLevelType w:val="hybridMultilevel"/>
    <w:lvl w:ilvl="0">
      <w:lvlJc w:val="left"/>
      <w:lvlText w:val="(%1)"/>
      <w:numFmt w:val="lowerLetter"/>
      <w:start w:val="1"/>
    </w:lvl>
  </w:abstractNum>
  <w:abstractNum w:abstractNumId="79">
    <w:nsid w:val="2708C9AF"/>
    <w:multiLevelType w:val="hybridMultilevel"/>
    <w:lvl w:ilvl="0">
      <w:lvlJc w:val="left"/>
      <w:lvlText w:val="%1"/>
      <w:numFmt w:val="decimal"/>
      <w:start w:val="1"/>
    </w:lvl>
    <w:lvl w:ilvl="1">
      <w:lvlJc w:val="left"/>
      <w:lvlText w:val="(%2)"/>
      <w:numFmt w:val="lowerLetter"/>
      <w:start w:val="1"/>
    </w:lvl>
  </w:abstractNum>
  <w:abstractNum w:abstractNumId="80">
    <w:nsid w:val="5B25ACE2"/>
    <w:multiLevelType w:val="hybridMultilevel"/>
    <w:lvl w:ilvl="0">
      <w:lvlJc w:val="left"/>
      <w:lvlText w:val="%1."/>
      <w:numFmt w:val="decimal"/>
      <w:start w:val="5"/>
    </w:lvl>
    <w:lvl w:ilvl="1">
      <w:lvlJc w:val="left"/>
      <w:lvlText w:val="%2"/>
      <w:numFmt w:val="lowerLetter"/>
      <w:start w:val="1"/>
    </w:lvl>
  </w:abstractNum>
  <w:abstractNum w:abstractNumId="81">
    <w:nsid w:val="175DFCF0"/>
    <w:multiLevelType w:val="hybridMultilevel"/>
    <w:lvl w:ilvl="0">
      <w:lvlJc w:val="left"/>
      <w:lvlText w:val="(%1)"/>
      <w:numFmt w:val="lowerLetter"/>
      <w:start w:val="1"/>
    </w:lvl>
  </w:abstractNum>
  <w:abstractNum w:abstractNumId="82">
    <w:nsid w:val="4F97E3E4"/>
    <w:multiLevelType w:val="hybridMultilevel"/>
    <w:lvl w:ilvl="0">
      <w:lvlJc w:val="left"/>
      <w:lvlText w:val="(%1)"/>
      <w:numFmt w:val="lowerLetter"/>
      <w:start w:val="1"/>
    </w:lvl>
    <w:lvl w:ilvl="1">
      <w:lvlJc w:val="left"/>
      <w:lvlText w:val="(%2)"/>
      <w:numFmt w:val="lowerRoman"/>
      <w:start w:val="1"/>
    </w:lvl>
  </w:abstractNum>
  <w:abstractNum w:abstractNumId="83">
    <w:nsid w:val="53B0A9E"/>
    <w:multiLevelType w:val="hybridMultilevel"/>
    <w:lvl w:ilvl="0">
      <w:lvlJc w:val="left"/>
      <w:lvlText w:val="(%1)"/>
      <w:numFmt w:val="lowerLetter"/>
      <w:start w:val="1"/>
    </w:lvl>
  </w:abstractNum>
  <w:abstractNum w:abstractNumId="84">
    <w:nsid w:val="34FD6B4F"/>
    <w:multiLevelType w:val="hybridMultilevel"/>
    <w:lvl w:ilvl="0">
      <w:lvlJc w:val="left"/>
      <w:lvlText w:val="(%1)"/>
      <w:numFmt w:val="lowerLetter"/>
      <w:start w:val="3"/>
    </w:lvl>
  </w:abstractNum>
  <w:abstractNum w:abstractNumId="85">
    <w:nsid w:val="5915FF32"/>
    <w:multiLevelType w:val="hybridMultilevel"/>
    <w:lvl w:ilvl="0">
      <w:lvlJc w:val="left"/>
      <w:lvlText w:val="(%1)"/>
      <w:numFmt w:val="lowerLetter"/>
      <w:start w:val="1"/>
    </w:lvl>
  </w:abstractNum>
  <w:abstractNum w:abstractNumId="86">
    <w:nsid w:val="56438D15"/>
    <w:multiLevelType w:val="hybridMultilevel"/>
    <w:lvl w:ilvl="0">
      <w:lvlJc w:val="left"/>
      <w:lvlText w:val="(%1)"/>
      <w:numFmt w:val="lowerLetter"/>
      <w:start w:val="1"/>
    </w:lvl>
  </w:abstractNum>
  <w:abstractNum w:abstractNumId="87">
    <w:nsid w:val="519E3149"/>
    <w:multiLevelType w:val="hybridMultilevel"/>
    <w:lvl w:ilvl="0">
      <w:lvlJc w:val="left"/>
      <w:lvlText w:val="%1"/>
      <w:numFmt w:val="decimal"/>
      <w:start w:val="1"/>
    </w:lvl>
    <w:lvl w:ilvl="1">
      <w:lvlJc w:val="left"/>
      <w:lvlText w:val="(%2)"/>
      <w:numFmt w:val="lowerLetter"/>
      <w:start w:val="2"/>
    </w:lvl>
  </w:abstractNum>
  <w:abstractNum w:abstractNumId="88">
    <w:nsid w:val="2C6E4AFD"/>
    <w:multiLevelType w:val="hybridMultilevel"/>
    <w:lvl w:ilvl="0">
      <w:lvlJc w:val="left"/>
      <w:lvlText w:val="%1."/>
      <w:numFmt w:val="decimal"/>
      <w:start w:val="6"/>
    </w:lvl>
    <w:lvl w:ilvl="1">
      <w:lvlJc w:val="left"/>
      <w:lvlText w:val="%2"/>
      <w:numFmt w:val="lowerLetter"/>
      <w:start w:val="1"/>
    </w:lvl>
  </w:abstractNum>
  <w:abstractNum w:abstractNumId="89">
    <w:nsid w:val="17A1B582"/>
    <w:multiLevelType w:val="hybridMultilevel"/>
    <w:lvl w:ilvl="0">
      <w:lvlJc w:val="left"/>
      <w:lvlText w:val="%1"/>
      <w:numFmt w:val="lowerLetter"/>
      <w:start w:val="1"/>
    </w:lvl>
    <w:lvl w:ilvl="1">
      <w:lvlJc w:val="left"/>
      <w:lvlText w:val="(%2)"/>
      <w:numFmt w:val="lowerLetter"/>
      <w:start w:val="1"/>
    </w:lvl>
  </w:abstractNum>
  <w:abstractNum w:abstractNumId="90">
    <w:nsid w:val="4DF72E4E"/>
    <w:multiLevelType w:val="hybridMultilevel"/>
    <w:lvl w:ilvl="0">
      <w:lvlJc w:val="left"/>
      <w:lvlText w:val="(%1)"/>
      <w:numFmt w:val="lowerLetter"/>
      <w:start w:val="24"/>
    </w:lvl>
    <w:lvl w:ilvl="1">
      <w:lvlJc w:val="left"/>
      <w:lvlText w:val="%2"/>
      <w:numFmt w:val="lowerLetter"/>
      <w:start w:val="1"/>
    </w:lvl>
  </w:abstractNum>
  <w:abstractNum w:abstractNumId="91">
    <w:nsid w:val="5046B5A9"/>
    <w:multiLevelType w:val="hybridMultilevel"/>
    <w:lvl w:ilvl="0">
      <w:lvlJc w:val="left"/>
      <w:lvlText w:val="(%1)"/>
      <w:numFmt w:val="lowerLetter"/>
      <w:start w:val="2"/>
    </w:lvl>
  </w:abstractNum>
  <w:abstractNum w:abstractNumId="92">
    <w:nsid w:val="5D888A08"/>
    <w:multiLevelType w:val="hybridMultilevel"/>
    <w:lvl w:ilvl="0">
      <w:lvlJc w:val="left"/>
      <w:lvlText w:val="(%1)"/>
      <w:numFmt w:val="lowerLetter"/>
      <w:start w:val="1"/>
    </w:lvl>
  </w:abstractNum>
  <w:abstractNum w:abstractNumId="93">
    <w:nsid w:val="2A082C70"/>
    <w:multiLevelType w:val="hybridMultilevel"/>
    <w:lvl w:ilvl="0">
      <w:lvlJc w:val="left"/>
      <w:lvlText w:val="(%1)"/>
      <w:numFmt w:val="lowerLetter"/>
      <w:start w:val="1"/>
    </w:lvl>
  </w:abstractNum>
  <w:abstractNum w:abstractNumId="94">
    <w:nsid w:val="5EC6AFD4"/>
    <w:multiLevelType w:val="hybridMultilevel"/>
    <w:lvl w:ilvl="0">
      <w:lvlJc w:val="left"/>
      <w:lvlText w:val="(%1)"/>
      <w:numFmt w:val="lowerLetter"/>
      <w:start w:val="2"/>
    </w:lvl>
  </w:abstractNum>
  <w:abstractNum w:abstractNumId="95">
    <w:nsid w:val="19E21BB2"/>
    <w:multiLevelType w:val="hybridMultilevel"/>
    <w:lvl w:ilvl="0">
      <w:lvlJc w:val="left"/>
      <w:lvlText w:val="(%1)"/>
      <w:numFmt w:val="lowerLetter"/>
      <w:start w:val="1"/>
    </w:lvl>
  </w:abstractNum>
  <w:abstractNum w:abstractNumId="96">
    <w:nsid w:val="75E0858A"/>
    <w:multiLevelType w:val="hybridMultilevel"/>
    <w:lvl w:ilvl="0">
      <w:lvlJc w:val="left"/>
      <w:lvlText w:val="(%1)"/>
      <w:numFmt w:val="decimal"/>
      <w:start w:val="30"/>
    </w:lvl>
  </w:abstractNum>
  <w:abstractNum w:abstractNumId="97">
    <w:nsid w:val="57A61A29"/>
    <w:multiLevelType w:val="hybridMultilevel"/>
    <w:lvl w:ilvl="0">
      <w:lvlJc w:val="left"/>
      <w:lvlText w:val="(%1)"/>
      <w:numFmt w:val="lowerLetter"/>
      <w:start w:val="1"/>
    </w:lvl>
  </w:abstractNum>
  <w:abstractNum w:abstractNumId="98">
    <w:nsid w:val="5399C654"/>
    <w:multiLevelType w:val="hybridMultilevel"/>
    <w:lvl w:ilvl="0">
      <w:lvlJc w:val="left"/>
      <w:lvlText w:val="(%1)"/>
      <w:numFmt w:val="lowerLetter"/>
      <w:start w:val="3"/>
    </w:lvl>
  </w:abstractNum>
  <w:abstractNum w:abstractNumId="99">
    <w:nsid w:val="20EE1348"/>
    <w:multiLevelType w:val="hybridMultilevel"/>
    <w:lvl w:ilvl="0">
      <w:lvlJc w:val="left"/>
      <w:lvlText w:val="(%1)"/>
      <w:numFmt w:val="lowerLetter"/>
      <w:start w:val="1"/>
    </w:lvl>
  </w:abstractNum>
  <w:abstractNum w:abstractNumId="100">
    <w:nsid w:val="4427069A"/>
    <w:multiLevelType w:val="hybridMultilevel"/>
    <w:lvl w:ilvl="0">
      <w:lvlJc w:val="left"/>
      <w:lvlText w:val="(%1)"/>
      <w:numFmt w:val="lowerLetter"/>
      <w:start w:val="1"/>
    </w:lvl>
  </w:abstractNum>
  <w:abstractNum w:abstractNumId="101">
    <w:nsid w:val="B37E80A"/>
    <w:multiLevelType w:val="hybridMultilevel"/>
    <w:lvl w:ilvl="0">
      <w:lvlJc w:val="left"/>
      <w:lvlText w:val="(%1)"/>
      <w:numFmt w:val="lowerLetter"/>
      <w:start w:val="1"/>
    </w:lvl>
    <w:lvl w:ilvl="1">
      <w:lvlJc w:val="left"/>
      <w:lvlText w:val="(%2)"/>
      <w:numFmt w:val="lowerRoman"/>
      <w:start w:val="1"/>
    </w:lvl>
  </w:abstractNum>
  <w:abstractNum w:abstractNumId="102">
    <w:nsid w:val="2157F6BC"/>
    <w:multiLevelType w:val="hybridMultilevel"/>
    <w:lvl w:ilvl="0">
      <w:lvlJc w:val="left"/>
      <w:lvlText w:val="(%1)"/>
      <w:numFmt w:val="lowerLetter"/>
      <w:start w:val="3"/>
    </w:lvl>
  </w:abstractNum>
  <w:abstractNum w:abstractNumId="103">
    <w:nsid w:val="704E1DD5"/>
    <w:multiLevelType w:val="hybridMultilevel"/>
    <w:lvl w:ilvl="0">
      <w:lvlJc w:val="left"/>
      <w:lvlText w:val="(%1)"/>
      <w:numFmt w:val="upperLetter"/>
      <w:start w:val="4"/>
    </w:lvl>
  </w:abstractNum>
  <w:abstractNum w:abstractNumId="104">
    <w:nsid w:val="57D2F10E"/>
    <w:multiLevelType w:val="hybridMultilevel"/>
    <w:lvl w:ilvl="0">
      <w:lvlJc w:val="left"/>
      <w:lvlText w:val="%1"/>
      <w:numFmt w:val="decimal"/>
      <w:start w:val="1"/>
    </w:lvl>
    <w:lvl w:ilvl="1">
      <w:lvlJc w:val="left"/>
      <w:lvlText w:val="(%2)"/>
      <w:numFmt w:val="lowerLetter"/>
      <w:start w:val="1"/>
    </w:lvl>
  </w:abstractNum>
  <w:abstractNum w:abstractNumId="105">
    <w:nsid w:val="BFFAE18"/>
    <w:multiLevelType w:val="hybridMultilevel"/>
    <w:lvl w:ilvl="0">
      <w:lvlJc w:val="left"/>
      <w:lvlText w:val="%1."/>
      <w:numFmt w:val="decimal"/>
      <w:start w:val="7"/>
    </w:lvl>
    <w:lvl w:ilvl="1">
      <w:lvlJc w:val="left"/>
      <w:lvlText w:val="%2"/>
      <w:numFmt w:val="lowerLetter"/>
      <w:start w:val="1"/>
    </w:lvl>
  </w:abstractNum>
  <w:abstractNum w:abstractNumId="106">
    <w:nsid w:val="E3E47A8"/>
    <w:multiLevelType w:val="hybridMultilevel"/>
    <w:lvl w:ilvl="0">
      <w:lvlJc w:val="left"/>
      <w:lvlText w:val="(%1)"/>
      <w:numFmt w:val="lowerLetter"/>
      <w:start w:val="1"/>
    </w:lvl>
  </w:abstractNum>
  <w:abstractNum w:abstractNumId="107">
    <w:nsid w:val="2E48F044"/>
    <w:multiLevelType w:val="hybridMultilevel"/>
    <w:lvl w:ilvl="0">
      <w:lvlJc w:val="left"/>
      <w:lvlText w:val="(%1)"/>
      <w:numFmt w:val="lowerLetter"/>
      <w:start w:val="2"/>
    </w:lvl>
  </w:abstractNum>
  <w:abstractNum w:abstractNumId="108">
    <w:nsid w:val="49D0FEAC"/>
    <w:multiLevelType w:val="hybridMultilevel"/>
    <w:lvl w:ilvl="0">
      <w:lvlJc w:val="left"/>
      <w:lvlText w:val="(%1)"/>
      <w:numFmt w:val="lowerLetter"/>
      <w:start w:val="1"/>
    </w:lvl>
  </w:abstractNum>
  <w:abstractNum w:abstractNumId="109">
    <w:nsid w:val="4BEE5A5B"/>
    <w:multiLevelType w:val="hybridMultilevel"/>
    <w:lvl w:ilvl="0">
      <w:lvlJc w:val="left"/>
      <w:lvlText w:val="(%1)"/>
      <w:numFmt w:val="lowerLetter"/>
      <w:start w:val="3"/>
    </w:lvl>
  </w:abstractNum>
  <w:abstractNum w:abstractNumId="110">
    <w:nsid w:val="5551B9F3"/>
    <w:multiLevelType w:val="hybridMultilevel"/>
    <w:lvl w:ilvl="0">
      <w:lvlJc w:val="left"/>
      <w:lvlText w:val="(%1)"/>
      <w:numFmt w:val="lowerLetter"/>
      <w:start w:val="1"/>
    </w:lvl>
  </w:abstractNum>
  <w:abstractNum w:abstractNumId="111">
    <w:nsid w:val="24F6AB8E"/>
    <w:multiLevelType w:val="hybridMultilevel"/>
    <w:lvl w:ilvl="0">
      <w:lvlJc w:val="left"/>
      <w:lvlText w:val="(%1)"/>
      <w:numFmt w:val="lowerLetter"/>
      <w:start w:val="3"/>
    </w:lvl>
  </w:abstractNum>
  <w:abstractNum w:abstractNumId="112">
    <w:nsid w:val="634C574C"/>
    <w:multiLevelType w:val="hybridMultilevel"/>
    <w:lvl w:ilvl="0">
      <w:lvlJc w:val="left"/>
      <w:lvlText w:val="(%1)"/>
      <w:numFmt w:val="lowerLetter"/>
      <w:start w:val="14"/>
    </w:lvl>
  </w:abstractNum>
  <w:abstractNum w:abstractNumId="113">
    <w:nsid w:val="24E99DD7"/>
    <w:multiLevelType w:val="hybridMultilevel"/>
    <w:lvl w:ilvl="0">
      <w:lvlJc w:val="left"/>
      <w:lvlText w:val="(%1)"/>
      <w:numFmt w:val="lowerLetter"/>
      <w:start w:val="1"/>
    </w:lvl>
  </w:abstractNum>
  <w:abstractNum w:abstractNumId="114">
    <w:nsid w:val="2A31B62D"/>
    <w:multiLevelType w:val="hybridMultilevel"/>
    <w:lvl w:ilvl="0">
      <w:lvlJc w:val="left"/>
      <w:lvlText w:val="(%1)"/>
      <w:numFmt w:val="lowerLetter"/>
      <w:start w:val="1"/>
    </w:lvl>
  </w:abstractNum>
  <w:abstractNum w:abstractNumId="115">
    <w:nsid w:val="1849C29B"/>
    <w:multiLevelType w:val="hybridMultilevel"/>
    <w:lvl w:ilvl="0">
      <w:lvlJc w:val="left"/>
      <w:lvlText w:val="(%1)"/>
      <w:numFmt w:val="lowerLetter"/>
      <w:start w:val="2"/>
    </w:lvl>
  </w:abstractNum>
  <w:abstractNum w:abstractNumId="116">
    <w:nsid w:val="7DFF9D09"/>
    <w:multiLevelType w:val="hybridMultilevel"/>
    <w:lvl w:ilvl="0">
      <w:lvlJc w:val="left"/>
      <w:lvlText w:val="(%1)"/>
      <w:numFmt w:val="lowerLetter"/>
      <w:start w:val="14"/>
    </w:lvl>
  </w:abstractNum>
  <w:abstractNum w:abstractNumId="117">
    <w:nsid w:val="754342"/>
    <w:multiLevelType w:val="hybridMultilevel"/>
    <w:lvl w:ilvl="0">
      <w:lvlJc w:val="left"/>
      <w:lvlText w:val="(%1)"/>
      <w:numFmt w:val="lowerLetter"/>
      <w:start w:val="25"/>
    </w:lvl>
  </w:abstractNum>
  <w:abstractNum w:abstractNumId="118">
    <w:nsid w:val="69E7F3E5"/>
    <w:multiLevelType w:val="hybridMultilevel"/>
    <w:lvl w:ilvl="0">
      <w:lvlJc w:val="left"/>
      <w:lvlText w:val="(%1)"/>
      <w:numFmt w:val="lowerRoman"/>
      <w:start w:val="2"/>
    </w:lvl>
  </w:abstractNum>
  <w:abstractNum w:abstractNumId="119">
    <w:nsid w:val="2A6DE806"/>
    <w:multiLevelType w:val="hybridMultilevel"/>
    <w:lvl w:ilvl="0">
      <w:lvlJc w:val="left"/>
      <w:lvlText w:val="(%1)"/>
      <w:numFmt w:val="lowerLetter"/>
      <w:start w:val="1"/>
    </w:lvl>
  </w:abstractNum>
  <w:abstractNum w:abstractNumId="120">
    <w:nsid w:val="1816F8C4"/>
    <w:multiLevelType w:val="hybridMultilevel"/>
    <w:lvl w:ilvl="0">
      <w:lvlJc w:val="left"/>
      <w:lvlText w:val="%1."/>
      <w:numFmt w:val="decimal"/>
      <w:start w:val="8"/>
    </w:lvl>
    <w:lvl w:ilvl="1">
      <w:lvlJc w:val="left"/>
      <w:lvlText w:val="(%2)"/>
      <w:numFmt w:val="lowerLetter"/>
      <w:start w:val="1"/>
    </w:lvl>
  </w:abstractNum>
  <w:abstractNum w:abstractNumId="121">
    <w:nsid w:val="37DF2233"/>
    <w:multiLevelType w:val="hybridMultilevel"/>
    <w:lvl w:ilvl="0">
      <w:lvlJc w:val="left"/>
      <w:lvlText w:val="(%1)"/>
      <w:numFmt w:val="lowerLetter"/>
      <w:start w:val="6"/>
    </w:lvl>
  </w:abstractNum>
  <w:abstractNum w:abstractNumId="122">
    <w:nsid w:val="7AB49DAF"/>
    <w:multiLevelType w:val="hybridMultilevel"/>
    <w:lvl w:ilvl="0">
      <w:lvlJc w:val="left"/>
      <w:lvlText w:val="%1"/>
      <w:numFmt w:val="lowerRoman"/>
      <w:start w:val="1"/>
    </w:lvl>
    <w:lvl w:ilvl="1">
      <w:lvlJc w:val="left"/>
      <w:lvlText w:val="(%2)"/>
      <w:numFmt w:val="lowerLetter"/>
      <w:start w:val="12"/>
    </w:lvl>
  </w:abstractNum>
  <w:abstractNum w:abstractNumId="123">
    <w:nsid w:val="759F82CD"/>
    <w:multiLevelType w:val="hybridMultilevel"/>
    <w:lvl w:ilvl="0">
      <w:lvlJc w:val="left"/>
      <w:lvlText w:val="(%1)"/>
      <w:numFmt w:val="lowerRoman"/>
      <w:start w:val="4"/>
    </w:lvl>
    <w:lvl w:ilvl="1">
      <w:lvlJc w:val="left"/>
      <w:lvlText w:val="(%2)"/>
      <w:numFmt w:val="lowerLetter"/>
      <w:start w:val="13"/>
    </w:lvl>
  </w:abstractNum>
  <w:abstractNum w:abstractNumId="124">
    <w:nsid w:val="61E74EA3"/>
    <w:multiLevelType w:val="hybridMultilevel"/>
    <w:lvl w:ilvl="0">
      <w:lvlJc w:val="left"/>
      <w:lvlText w:val="%1."/>
      <w:numFmt w:val="decimal"/>
      <w:start w:val="9"/>
    </w:lvl>
    <w:lvl w:ilvl="1">
      <w:lvlJc w:val="left"/>
      <w:lvlText w:val="(%2)"/>
      <w:numFmt w:val="lowerLetter"/>
      <w:start w:val="1"/>
    </w:lvl>
  </w:abstractNum>
  <w:abstractNum w:abstractNumId="125">
    <w:nsid w:val="597B4D84"/>
    <w:multiLevelType w:val="hybridMultilevel"/>
    <w:lvl w:ilvl="0">
      <w:lvlJc w:val="left"/>
      <w:lvlText w:val="(%1)"/>
      <w:numFmt w:val="lowerLetter"/>
      <w:start w:val="1"/>
    </w:lvl>
  </w:abstractNum>
  <w:abstractNum w:abstractNumId="126">
    <w:nsid w:val="F819E7F"/>
    <w:multiLevelType w:val="hybridMultilevel"/>
    <w:lvl w:ilvl="0">
      <w:lvlJc w:val="left"/>
      <w:lvlText w:val="(%1)"/>
      <w:numFmt w:val="lowerLetter"/>
      <w:start w:val="2"/>
    </w:lvl>
  </w:abstractNum>
  <w:abstractNum w:abstractNumId="127">
    <w:nsid w:val="57C7D42D"/>
    <w:multiLevelType w:val="hybridMultilevel"/>
    <w:lvl w:ilvl="0">
      <w:lvlJc w:val="left"/>
      <w:lvlText w:val="%1"/>
      <w:numFmt w:val="decimal"/>
      <w:start w:val="1"/>
    </w:lvl>
    <w:lvl w:ilvl="1">
      <w:lvlJc w:val="left"/>
      <w:lvlText w:val="(%2)"/>
      <w:numFmt w:val="lowerLetter"/>
      <w:start w:val="1"/>
    </w:lvl>
  </w:abstractNum>
  <w:abstractNum w:abstractNumId="128">
    <w:nsid w:val="312167AD"/>
    <w:multiLevelType w:val="hybridMultilevel"/>
    <w:lvl w:ilvl="0">
      <w:lvlJc w:val="left"/>
      <w:lvlText w:val="%1."/>
      <w:numFmt w:val="decimal"/>
      <w:start w:val="10"/>
    </w:lvl>
    <w:lvl w:ilvl="1">
      <w:lvlJc w:val="left"/>
      <w:lvlText w:val="%2"/>
      <w:numFmt w:val="lowerLetter"/>
      <w:start w:val="1"/>
    </w:lvl>
  </w:abstractNum>
  <w:abstractNum w:abstractNumId="129">
    <w:nsid w:val="631B64D4"/>
    <w:multiLevelType w:val="hybridMultilevel"/>
    <w:lvl w:ilvl="0">
      <w:lvlJc w:val="left"/>
      <w:lvlText w:val="(%1)"/>
      <w:numFmt w:val="lowerLetter"/>
      <w:start w:val="26"/>
    </w:lvl>
  </w:abstractNum>
  <w:abstractNum w:abstractNumId="130">
    <w:nsid w:val="78B5E776"/>
    <w:multiLevelType w:val="hybridMultilevel"/>
    <w:lvl w:ilvl="0">
      <w:lvlJc w:val="left"/>
      <w:lvlText w:val="(%1)"/>
      <w:numFmt w:val="lowerLetter"/>
      <w:start w:val="1"/>
    </w:lvl>
  </w:abstractNum>
  <w:abstractNum w:abstractNumId="131">
    <w:nsid w:val="75486E47"/>
    <w:multiLevelType w:val="hybridMultilevel"/>
    <w:lvl w:ilvl="0">
      <w:lvlJc w:val="left"/>
      <w:lvlText w:val="(%1)"/>
      <w:numFmt w:val="lowerLetter"/>
      <w:start w:val="3"/>
    </w:lvl>
  </w:abstractNum>
  <w:abstractNum w:abstractNumId="132">
    <w:nsid w:val="6E534CDE"/>
    <w:multiLevelType w:val="hybridMultilevel"/>
    <w:lvl w:ilvl="0">
      <w:lvlJc w:val="left"/>
      <w:lvlText w:val="%1"/>
      <w:numFmt w:val="decimal"/>
      <w:start w:val="1"/>
    </w:lvl>
    <w:lvl w:ilvl="1">
      <w:lvlJc w:val="left"/>
      <w:lvlText w:val="(%2)"/>
      <w:numFmt w:val="lowerLetter"/>
      <w:start w:val="8"/>
    </w:lvl>
  </w:abstractNum>
  <w:abstractNum w:abstractNumId="133">
    <w:nsid w:val="1A0DDE32"/>
    <w:multiLevelType w:val="hybridMultilevel"/>
    <w:lvl w:ilvl="0">
      <w:lvlJc w:val="left"/>
      <w:lvlText w:val="%1."/>
      <w:numFmt w:val="decimal"/>
      <w:start w:val="11"/>
    </w:lvl>
    <w:lvl w:ilvl="1">
      <w:lvlJc w:val="left"/>
      <w:lvlText w:val="%2"/>
      <w:numFmt w:val="lowerLetter"/>
      <w:start w:val="1"/>
    </w:lvl>
  </w:abstractNum>
  <w:abstractNum w:abstractNumId="134">
    <w:nsid w:val="65968C1C"/>
    <w:multiLevelType w:val="hybridMultilevel"/>
    <w:lvl w:ilvl="0">
      <w:lvlJc w:val="left"/>
      <w:lvlText w:val="(%1)"/>
      <w:numFmt w:val="lowerRoman"/>
      <w:start w:val="1"/>
    </w:lvl>
  </w:abstractNum>
  <w:abstractNum w:abstractNumId="135">
    <w:nsid w:val="46263DEC"/>
    <w:multiLevelType w:val="hybridMultilevel"/>
    <w:lvl w:ilvl="0">
      <w:lvlJc w:val="left"/>
      <w:lvlText w:val="(%1)"/>
      <w:numFmt w:val="lowerLetter"/>
      <w:start w:val="1"/>
    </w:lvl>
  </w:abstractNum>
  <w:abstractNum w:abstractNumId="136">
    <w:nsid w:val="260D8C4A"/>
    <w:multiLevelType w:val="hybridMultilevel"/>
    <w:lvl w:ilvl="0">
      <w:lvlJc w:val="left"/>
      <w:lvlText w:val="%1"/>
      <w:numFmt w:val="lowerLetter"/>
      <w:start w:val="1"/>
    </w:lvl>
    <w:lvl w:ilvl="1">
      <w:lvlJc w:val="left"/>
      <w:lvlText w:val="(%2)"/>
      <w:numFmt w:val="lowerLetter"/>
      <w:start w:val="1"/>
    </w:lvl>
  </w:abstractNum>
  <w:abstractNum w:abstractNumId="137">
    <w:nsid w:val="73D4D3C4"/>
    <w:multiLevelType w:val="hybridMultilevel"/>
    <w:lvl w:ilvl="0">
      <w:lvlJc w:val="left"/>
      <w:lvlText w:val="(%1)"/>
      <w:numFmt w:val="lowerLetter"/>
      <w:start w:val="4"/>
    </w:lvl>
    <w:lvl w:ilvl="1">
      <w:lvlJc w:val="left"/>
      <w:lvlText w:val="%2"/>
      <w:numFmt w:val="lowerLetter"/>
      <w:start w:val="1"/>
    </w:lvl>
  </w:abstractNum>
  <w:abstractNum w:abstractNumId="138">
    <w:nsid w:val="746F2E30"/>
    <w:multiLevelType w:val="hybridMultilevel"/>
    <w:lvl w:ilvl="0">
      <w:lvlJc w:val="left"/>
      <w:lvlText w:val="(%1)"/>
      <w:numFmt w:val="lowerLetter"/>
      <w:start w:val="1"/>
    </w:lvl>
  </w:abstractNum>
  <w:abstractNum w:abstractNumId="139">
    <w:nsid w:val="6FDE8AF6"/>
    <w:multiLevelType w:val="hybridMultilevel"/>
    <w:lvl w:ilvl="0">
      <w:lvlJc w:val="left"/>
      <w:lvlText w:val="%1."/>
      <w:numFmt w:val="decimal"/>
      <w:start w:val="12"/>
    </w:lvl>
  </w:abstractNum>
  <w:abstractNum w:abstractNumId="140">
    <w:nsid w:val="3FC32E20"/>
    <w:multiLevelType w:val="hybridMultilevel"/>
    <w:lvl w:ilvl="0">
      <w:lvlJc w:val="left"/>
      <w:lvlText w:val="(%1)"/>
      <w:numFmt w:val="lowerLetter"/>
      <w:start w:val="1"/>
    </w:lvl>
  </w:abstractNum>
  <w:abstractNum w:abstractNumId="141">
    <w:nsid w:val="49C0E823"/>
    <w:multiLevelType w:val="hybridMultilevel"/>
    <w:lvl w:ilvl="0">
      <w:lvlJc w:val="left"/>
      <w:lvlText w:val="(%1)"/>
      <w:numFmt w:val="lowerLetter"/>
      <w:start w:val="2"/>
    </w:lvl>
  </w:abstractNum>
  <w:abstractNum w:abstractNumId="142">
    <w:nsid w:val="14D53685"/>
    <w:multiLevelType w:val="hybridMultilevel"/>
    <w:lvl w:ilvl="0">
      <w:lvlJc w:val="left"/>
      <w:lvlText w:val="(%1)"/>
      <w:numFmt w:val="lowerLetter"/>
      <w:start w:val="1"/>
    </w:lvl>
  </w:abstractNum>
  <w:abstractNum w:abstractNumId="143">
    <w:nsid w:val="230F856C"/>
    <w:multiLevelType w:val="hybridMultilevel"/>
    <w:lvl w:ilvl="0">
      <w:lvlJc w:val="left"/>
      <w:lvlText w:val="(%1)"/>
      <w:numFmt w:val="lowerLetter"/>
      <w:start w:val="1"/>
    </w:lvl>
  </w:abstractNum>
  <w:abstractNum w:abstractNumId="144">
    <w:nsid w:val="6EAA85FB"/>
    <w:multiLevelType w:val="hybridMultilevel"/>
    <w:lvl w:ilvl="0">
      <w:lvlJc w:val="left"/>
      <w:lvlText w:val="(%1)"/>
      <w:numFmt w:val="lowerLetter"/>
      <w:start w:val="2"/>
    </w:lvl>
    <w:lvl w:ilvl="1">
      <w:lvlJc w:val="left"/>
      <w:lvlText w:val="(%2)"/>
      <w:numFmt w:val="lowerRoman"/>
      <w:start w:val="1"/>
    </w:lvl>
  </w:abstractNum>
  <w:abstractNum w:abstractNumId="145">
    <w:nsid w:val="3F06ECB2"/>
    <w:multiLevelType w:val="hybridMultilevel"/>
    <w:lvl w:ilvl="0">
      <w:lvlJc w:val="left"/>
      <w:lvlText w:val="(%1)"/>
      <w:numFmt w:val="lowerLetter"/>
      <w:start w:val="5"/>
    </w:lvl>
    <w:lvl w:ilvl="1">
      <w:lvlJc w:val="left"/>
      <w:lvlText w:val="(%2)"/>
      <w:numFmt w:val="lowerRoman"/>
      <w:start w:val="1"/>
    </w:lvl>
  </w:abstractNum>
  <w:abstractNum w:abstractNumId="146">
    <w:nsid w:val="3B594807"/>
    <w:multiLevelType w:val="hybridMultilevel"/>
    <w:lvl w:ilvl="0">
      <w:lvlJc w:val="left"/>
      <w:lvlText w:val="(%1)"/>
      <w:numFmt w:val="lowerLetter"/>
      <w:start w:val="7"/>
    </w:lvl>
  </w:abstractNum>
  <w:abstractNum w:abstractNumId="147">
    <w:nsid w:val="6CAA2304"/>
    <w:multiLevelType w:val="hybridMultilevel"/>
    <w:lvl w:ilvl="0">
      <w:lvlJc w:val="left"/>
      <w:lvlText w:val="(%1)"/>
      <w:numFmt w:val="lowerLetter"/>
      <w:start w:val="8"/>
    </w:lvl>
  </w:abstractNum>
  <w:abstractNum w:abstractNumId="148">
    <w:nsid w:val="3F7C2FF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9">
    <w:nsid w:val="25413BE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150">
    <w:nsid w:val="17180B0B"/>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151">
    <w:nsid w:val="579328B9"/>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152">
    <w:nsid w:val="5D205E20"/>
    <w:multiLevelType w:val="hybridMultilevel"/>
    <w:lvl w:ilvl="0">
      <w:lvlJc w:val="left"/>
      <w:lvlText w:val="(%1)"/>
      <w:numFmt w:val="lowerLetter"/>
      <w:start w:val="5"/>
    </w:lvl>
  </w:abstractNum>
  <w:abstractNum w:abstractNumId="153">
    <w:nsid w:val="11CCA8BA"/>
    <w:multiLevelType w:val="hybridMultilevel"/>
    <w:lvl w:ilvl="0">
      <w:lvlJc w:val="left"/>
      <w:lvlText w:val="(%1)"/>
      <w:numFmt w:val="decimal"/>
      <w:start w:val="1"/>
    </w:lvl>
  </w:abstractNum>
  <w:abstractNum w:abstractNumId="154">
    <w:nsid w:val="4D32AB86"/>
    <w:multiLevelType w:val="hybridMultilevel"/>
    <w:lvl w:ilvl="0">
      <w:lvlJc w:val="left"/>
      <w:lvlText w:val="(%1)"/>
      <w:numFmt w:val="lowerLetter"/>
      <w:start w:val="1"/>
    </w:lvl>
  </w:abstractNum>
  <w:abstractNum w:abstractNumId="155">
    <w:nsid w:val="3F07ACC3"/>
    <w:multiLevelType w:val="hybridMultilevel"/>
    <w:lvl w:ilvl="0">
      <w:lvlJc w:val="left"/>
      <w:lvlText w:val="(%1)"/>
      <w:numFmt w:val="upperLetter"/>
      <w:start w:val="1"/>
    </w:lvl>
    <w:lvl w:ilvl="1">
      <w:lvlJc w:val="left"/>
      <w:lvlText w:val="(%2)"/>
      <w:numFmt w:val="lowerRoman"/>
      <w:start w:val="1"/>
    </w:lvl>
  </w:abstractNum>
  <w:abstractNum w:abstractNumId="156">
    <w:nsid w:val="6B47F63E"/>
    <w:multiLevelType w:val="hybridMultilevel"/>
    <w:lvl w:ilvl="0">
      <w:lvlJc w:val="left"/>
      <w:lvlText w:val="(%1)"/>
      <w:numFmt w:val="upperLetter"/>
      <w:start w:val="4"/>
    </w:lvl>
  </w:abstractNum>
  <w:abstractNum w:abstractNumId="157">
    <w:nsid w:val="5CB44A05"/>
    <w:multiLevelType w:val="hybridMultilevel"/>
    <w:lvl w:ilvl="0">
      <w:lvlJc w:val="left"/>
      <w:lvlText w:val="(%1)"/>
      <w:numFmt w:val="lowerLetter"/>
      <w:start w:val="2"/>
    </w:lvl>
  </w:abstractNum>
  <w:abstractNum w:abstractNumId="158">
    <w:nsid w:val="16CF80F1"/>
    <w:multiLevelType w:val="hybridMultilevel"/>
    <w:lvl w:ilvl="0">
      <w:lvlJc w:val="left"/>
      <w:lvlText w:val="(%1)"/>
      <w:numFmt w:val="lowerLetter"/>
      <w:start w:val="1"/>
    </w:lvl>
  </w:abstractNum>
  <w:abstractNum w:abstractNumId="159">
    <w:nsid w:val="1C695DEC"/>
    <w:multiLevelType w:val="hybridMultilevel"/>
    <w:lvl w:ilvl="0">
      <w:lvlJc w:val="left"/>
      <w:lvlText w:val="(%1)"/>
      <w:numFmt w:val="lowerLetter"/>
      <w:start w:val="2"/>
    </w:lvl>
  </w:abstractNum>
  <w:abstractNum w:abstractNumId="160">
    <w:nsid w:val="3FCFAED9"/>
    <w:multiLevelType w:val="hybridMultilevel"/>
    <w:lvl w:ilvl="0">
      <w:lvlJc w:val="left"/>
      <w:lvlText w:val="(%1)"/>
      <w:numFmt w:val="lowerLetter"/>
      <w:start w:val="1"/>
    </w:lvl>
    <w:lvl w:ilvl="1">
      <w:lvlJc w:val="left"/>
      <w:lvlText w:val="(%2)"/>
      <w:numFmt w:val="lowerRoman"/>
      <w:start w:val="1"/>
    </w:lvl>
  </w:abstractNum>
  <w:abstractNum w:abstractNumId="161">
    <w:nsid w:val="F856867"/>
    <w:multiLevelType w:val="hybridMultilevel"/>
    <w:lvl w:ilvl="0">
      <w:lvlJc w:val="left"/>
      <w:lvlText w:val="(%1)"/>
      <w:numFmt w:val="lowerLetter"/>
      <w:start w:val="1"/>
    </w:lvl>
  </w:abstractNum>
  <w:abstractNum w:abstractNumId="162">
    <w:nsid w:val="11B1CC33"/>
    <w:multiLevelType w:val="hybridMultilevel"/>
    <w:lvl w:ilvl="0">
      <w:lvlJc w:val="left"/>
      <w:lvlText w:val="%1."/>
      <w:numFmt w:val="decimal"/>
      <w:start w:val="2"/>
    </w:lvl>
  </w:abstractNum>
  <w:abstractNum w:abstractNumId="163">
    <w:nsid w:val="2E22FBB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2025-10-29T05:28:54Z</dcterms:created>
  <dcterms:modified xsi:type="dcterms:W3CDTF">2025-10-29T05:28:54Z</dcterms:modified>
</cp:coreProperties>
</file>