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40" w:right="100"/>
        <w:spacing w:after="0" w:line="254" w:lineRule="auto"/>
        <w:rPr>
          <w:sz w:val="20"/>
          <w:szCs w:val="20"/>
          <w:color w:val="auto"/>
        </w:rPr>
      </w:pPr>
      <w:r>
        <w:rPr>
          <w:rFonts w:ascii="Arial" w:cs="Arial" w:eastAsia="Arial" w:hAnsi="Arial"/>
          <w:sz w:val="14"/>
          <w:szCs w:val="14"/>
          <w:b w:val="1"/>
          <w:bCs w:val="1"/>
          <w:color w:val="auto"/>
        </w:rPr>
        <w:t>As confidentially submitted to the Securities and Exchange Commission on July 16, 2021.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0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RENT THE RUNWAY, INC.</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7389</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80-0376379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10 Jay Street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Brooklyn, New York 11201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(646) 832-3582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9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Jennifer Y. Hyman, Co-Founder, Chief Executive Officer and Chair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Rent the Runway,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10 Jay Street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Brooklyn, New York 11201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(646) 832-3582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20" w:type="dxa"/>
            <w:vAlign w:val="bottom"/>
          </w:tcPr>
          <w:p>
            <w:pPr>
              <w:ind w:left="820"/>
              <w:spacing w:after="0"/>
              <w:rPr>
                <w:sz w:val="20"/>
                <w:szCs w:val="20"/>
                <w:color w:val="auto"/>
              </w:rPr>
            </w:pPr>
            <w:r>
              <w:rPr>
                <w:rFonts w:ascii="Arial" w:cs="Arial" w:eastAsia="Arial" w:hAnsi="Arial"/>
                <w:sz w:val="14"/>
                <w:szCs w:val="14"/>
                <w:b w:val="1"/>
                <w:bCs w:val="1"/>
                <w:i w:val="1"/>
                <w:iCs w:val="1"/>
                <w:color w:val="auto"/>
              </w:rPr>
              <w:t>Copies to:</w:t>
            </w:r>
          </w:p>
        </w:tc>
        <w:tc>
          <w:tcPr>
            <w:tcW w:w="362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3120" w:type="dxa"/>
            <w:vAlign w:val="bottom"/>
          </w:tcPr>
          <w:p>
            <w:pPr>
              <w:jc w:val="center"/>
              <w:ind w:right="1748"/>
              <w:spacing w:after="0"/>
              <w:rPr>
                <w:sz w:val="20"/>
                <w:szCs w:val="20"/>
                <w:color w:val="auto"/>
              </w:rPr>
            </w:pPr>
            <w:r>
              <w:rPr>
                <w:rFonts w:ascii="Arial" w:cs="Arial" w:eastAsia="Arial" w:hAnsi="Arial"/>
                <w:sz w:val="14"/>
                <w:szCs w:val="14"/>
                <w:b w:val="1"/>
                <w:bCs w:val="1"/>
                <w:color w:val="auto"/>
              </w:rPr>
              <w:t>Marc D. Jaffe</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Scarlett O’Sullivan</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Nicole Brookshire</w:t>
            </w:r>
          </w:p>
        </w:tc>
      </w:tr>
      <w:tr>
        <w:trPr>
          <w:trHeight w:val="162"/>
        </w:trPr>
        <w:tc>
          <w:tcPr>
            <w:tcW w:w="1220" w:type="dxa"/>
            <w:vAlign w:val="bottom"/>
          </w:tcPr>
          <w:p>
            <w:pPr>
              <w:spacing w:after="0"/>
              <w:rPr>
                <w:sz w:val="14"/>
                <w:szCs w:val="14"/>
                <w:color w:val="auto"/>
              </w:rPr>
            </w:pPr>
          </w:p>
        </w:tc>
        <w:tc>
          <w:tcPr>
            <w:tcW w:w="3120" w:type="dxa"/>
            <w:vAlign w:val="bottom"/>
          </w:tcPr>
          <w:p>
            <w:pPr>
              <w:jc w:val="center"/>
              <w:ind w:right="1748"/>
              <w:spacing w:after="0"/>
              <w:rPr>
                <w:sz w:val="20"/>
                <w:szCs w:val="20"/>
                <w:color w:val="auto"/>
              </w:rPr>
            </w:pPr>
            <w:r>
              <w:rPr>
                <w:rFonts w:ascii="Arial" w:cs="Arial" w:eastAsia="Arial" w:hAnsi="Arial"/>
                <w:sz w:val="14"/>
                <w:szCs w:val="14"/>
                <w:b w:val="1"/>
                <w:bCs w:val="1"/>
                <w:color w:val="auto"/>
              </w:rPr>
              <w:t>Emily E. Taylor</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Cara Schembri</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Christina T. Roupas</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Rent the Runway, Inc.</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1271 Avenue of the Americas</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10 Jay Street</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500 Boylston Street</w:t>
            </w:r>
          </w:p>
        </w:tc>
      </w:tr>
      <w:tr>
        <w:trPr>
          <w:trHeight w:val="162"/>
        </w:trPr>
        <w:tc>
          <w:tcPr>
            <w:tcW w:w="434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New York, New York 10020</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Brooklyn, New York 11201</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Boston, Massachusetts 02116</w:t>
            </w:r>
          </w:p>
        </w:tc>
      </w:tr>
      <w:tr>
        <w:trPr>
          <w:trHeight w:val="190"/>
        </w:trPr>
        <w:tc>
          <w:tcPr>
            <w:tcW w:w="434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rPr>
              <w:t>(212) 906-1200</w:t>
            </w:r>
          </w:p>
        </w:tc>
        <w:tc>
          <w:tcPr>
            <w:tcW w:w="2320" w:type="dxa"/>
            <w:vAlign w:val="bottom"/>
          </w:tcPr>
          <w:p>
            <w:pPr>
              <w:jc w:val="center"/>
              <w:ind w:left="168"/>
              <w:spacing w:after="0"/>
              <w:rPr>
                <w:sz w:val="20"/>
                <w:szCs w:val="20"/>
                <w:color w:val="auto"/>
              </w:rPr>
            </w:pPr>
            <w:r>
              <w:rPr>
                <w:rFonts w:ascii="Arial" w:cs="Arial" w:eastAsia="Arial" w:hAnsi="Arial"/>
                <w:sz w:val="14"/>
                <w:szCs w:val="14"/>
                <w:b w:val="1"/>
                <w:bCs w:val="1"/>
                <w:color w:val="auto"/>
              </w:rPr>
              <w:t>(646) 832-3582</w:t>
            </w:r>
          </w:p>
        </w:tc>
        <w:tc>
          <w:tcPr>
            <w:tcW w:w="3620" w:type="dxa"/>
            <w:vAlign w:val="bottom"/>
          </w:tcPr>
          <w:p>
            <w:pPr>
              <w:jc w:val="center"/>
              <w:ind w:left="1488"/>
              <w:spacing w:after="0"/>
              <w:rPr>
                <w:sz w:val="20"/>
                <w:szCs w:val="20"/>
                <w:color w:val="auto"/>
              </w:rPr>
            </w:pPr>
            <w:r>
              <w:rPr>
                <w:rFonts w:ascii="Arial" w:cs="Arial" w:eastAsia="Arial" w:hAnsi="Arial"/>
                <w:sz w:val="14"/>
                <w:szCs w:val="14"/>
                <w:b w:val="1"/>
                <w:bCs w:val="1"/>
                <w:color w:val="auto"/>
              </w:rPr>
              <w:t>(617) 937-2300</w:t>
            </w:r>
          </w:p>
        </w:tc>
      </w:tr>
      <w:tr>
        <w:trPr>
          <w:trHeight w:val="133"/>
        </w:trPr>
        <w:tc>
          <w:tcPr>
            <w:tcW w:w="122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620" w:type="dxa"/>
            <w:vAlign w:val="bottom"/>
          </w:tcPr>
          <w:p>
            <w:pPr>
              <w:spacing w:after="0"/>
              <w:rPr>
                <w:sz w:val="11"/>
                <w:szCs w:val="11"/>
                <w:color w:val="auto"/>
              </w:rPr>
            </w:pPr>
          </w:p>
        </w:tc>
      </w:tr>
      <w:tr>
        <w:trPr>
          <w:trHeight w:val="223"/>
        </w:trPr>
        <w:tc>
          <w:tcPr>
            <w:tcW w:w="1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620" w:type="dxa"/>
            <w:vAlign w:val="bottom"/>
          </w:tcPr>
          <w:p>
            <w:pPr>
              <w:spacing w:after="0"/>
              <w:rPr>
                <w:sz w:val="19"/>
                <w:szCs w:val="19"/>
                <w:color w:val="auto"/>
              </w:rPr>
            </w:pPr>
          </w:p>
        </w:tc>
      </w:tr>
    </w:tbl>
    <w:p>
      <w:pPr>
        <w:spacing w:after="0" w:line="54" w:lineRule="exact"/>
        <w:rPr>
          <w:sz w:val="24"/>
          <w:szCs w:val="24"/>
          <w:color w:val="auto"/>
        </w:rPr>
      </w:pPr>
    </w:p>
    <w:p>
      <w:pPr>
        <w:ind w:left="6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127" w:lineRule="exact"/>
        <w:rPr>
          <w:sz w:val="24"/>
          <w:szCs w:val="24"/>
          <w:color w:val="auto"/>
        </w:rPr>
      </w:pPr>
    </w:p>
    <w:p>
      <w:pPr>
        <w:ind w:left="120" w:right="60" w:firstLine="551"/>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100" w:firstLine="55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46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44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95" w:lineRule="exact"/>
        <w:rPr>
          <w:sz w:val="24"/>
          <w:szCs w:val="24"/>
          <w:color w:val="auto"/>
        </w:rPr>
      </w:pPr>
    </w:p>
    <w:p>
      <w:pPr>
        <w:ind w:left="120" w:right="220" w:firstLine="551"/>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6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36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5" w:lineRule="exact"/>
        <w:rPr>
          <w:sz w:val="24"/>
          <w:szCs w:val="24"/>
          <w:color w:val="auto"/>
        </w:rPr>
      </w:pPr>
    </w:p>
    <w:p>
      <w:pPr>
        <w:ind w:left="120" w:right="1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4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29"/>
        </w:trPr>
        <w:tc>
          <w:tcPr>
            <w:tcW w:w="74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jc w:val="center"/>
              <w:ind w:left="8"/>
              <w:spacing w:after="0" w:line="129" w:lineRule="exact"/>
              <w:rPr>
                <w:sz w:val="20"/>
                <w:szCs w:val="20"/>
                <w:color w:val="auto"/>
              </w:rPr>
            </w:pPr>
            <w:r>
              <w:rPr>
                <w:rFonts w:ascii="Arial" w:cs="Arial" w:eastAsia="Arial" w:hAnsi="Arial"/>
                <w:sz w:val="14"/>
                <w:szCs w:val="14"/>
                <w:b w:val="1"/>
                <w:bCs w:val="1"/>
                <w:color w:val="auto"/>
              </w:rPr>
              <w:t>Proposed</w:t>
            </w:r>
          </w:p>
        </w:tc>
        <w:tc>
          <w:tcPr>
            <w:tcW w:w="1740" w:type="dxa"/>
            <w:vAlign w:val="bottom"/>
          </w:tcPr>
          <w:p>
            <w:pPr>
              <w:spacing w:after="0"/>
              <w:rPr>
                <w:sz w:val="11"/>
                <w:szCs w:val="11"/>
                <w:color w:val="auto"/>
              </w:rPr>
            </w:pPr>
          </w:p>
        </w:tc>
      </w:tr>
      <w:tr>
        <w:trPr>
          <w:trHeight w:val="162"/>
        </w:trPr>
        <w:tc>
          <w:tcPr>
            <w:tcW w:w="740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Maximum Aggregate</w:t>
            </w:r>
          </w:p>
        </w:tc>
        <w:tc>
          <w:tcPr>
            <w:tcW w:w="1740" w:type="dxa"/>
            <w:vAlign w:val="bottom"/>
          </w:tcPr>
          <w:p>
            <w:pPr>
              <w:ind w:left="540"/>
              <w:spacing w:after="0"/>
              <w:rPr>
                <w:sz w:val="20"/>
                <w:szCs w:val="20"/>
                <w:color w:val="auto"/>
              </w:rPr>
            </w:pPr>
            <w:r>
              <w:rPr>
                <w:rFonts w:ascii="Arial" w:cs="Arial" w:eastAsia="Arial" w:hAnsi="Arial"/>
                <w:sz w:val="14"/>
                <w:szCs w:val="14"/>
                <w:b w:val="1"/>
                <w:bCs w:val="1"/>
                <w:color w:val="auto"/>
              </w:rPr>
              <w:t>Amount of</w:t>
            </w:r>
          </w:p>
        </w:tc>
      </w:tr>
      <w:tr>
        <w:trPr>
          <w:trHeight w:val="175"/>
        </w:trPr>
        <w:tc>
          <w:tcPr>
            <w:tcW w:w="740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Offering Price(1)(2)</w:t>
            </w: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Registration Fee(3)</w:t>
            </w:r>
          </w:p>
        </w:tc>
      </w:tr>
      <w:tr>
        <w:trPr>
          <w:trHeight w:val="155"/>
        </w:trPr>
        <w:tc>
          <w:tcPr>
            <w:tcW w:w="74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Class A common stock, $ par value per share</w:t>
            </w:r>
          </w:p>
        </w:tc>
        <w:tc>
          <w:tcPr>
            <w:tcW w:w="1880" w:type="dxa"/>
            <w:vAlign w:val="bottom"/>
            <w:tcBorders>
              <w:bottom w:val="single" w:sz="8" w:color="auto"/>
              <w:right w:val="single" w:sz="8" w:color="auto"/>
            </w:tcBorders>
          </w:tcPr>
          <w:p>
            <w:pPr>
              <w:jc w:val="right"/>
              <w:ind w:right="1108"/>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the underwriters have the option to purchase. See “Underwriting.”</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public filing of the registration statement.</w:t>
      </w:r>
    </w:p>
    <w:p>
      <w:pPr>
        <w:spacing w:after="0" w:line="109" w:lineRule="exact"/>
        <w:rPr>
          <w:sz w:val="24"/>
          <w:szCs w:val="24"/>
          <w:color w:val="auto"/>
        </w:rPr>
      </w:pPr>
    </w:p>
    <w:p>
      <w:pPr>
        <w:jc w:val="both"/>
        <w:ind w:left="120" w:right="420"/>
        <w:spacing w:after="0" w:line="249"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08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0" w:lineRule="exact"/>
        <w:rPr>
          <w:sz w:val="20"/>
          <w:szCs w:val="20"/>
          <w:color w:val="auto"/>
        </w:rPr>
      </w:pPr>
    </w:p>
    <w:tbl>
      <w:tblPr>
        <w:tblLayout w:type="fixed"/>
        <w:tblInd w:w="378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color w:val="DE1A1E"/>
              </w:rPr>
              <w:t>, 2021.</w:t>
            </w:r>
          </w:p>
        </w:tc>
      </w:tr>
    </w:tbl>
    <w:p>
      <w:pPr>
        <w:spacing w:after="0" w:line="312" w:lineRule="exact"/>
        <w:rPr>
          <w:sz w:val="20"/>
          <w:szCs w:val="20"/>
          <w:color w:val="auto"/>
        </w:rPr>
      </w:pPr>
    </w:p>
    <w:p>
      <w:pPr>
        <w:ind w:left="56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159385</wp:posOffset>
            </wp:positionV>
            <wp:extent cx="1062990" cy="1457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Rent the Runway, Inc.</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60"/>
        <w:spacing w:after="0"/>
        <w:tabs>
          <w:tab w:leader="none" w:pos="8080" w:val="left"/>
        </w:tabs>
        <w:rPr>
          <w:sz w:val="20"/>
          <w:szCs w:val="20"/>
          <w:color w:val="auto"/>
        </w:rPr>
      </w:pPr>
      <w:r>
        <w:rPr>
          <w:rFonts w:ascii="Arial" w:cs="Arial" w:eastAsia="Arial" w:hAnsi="Arial"/>
          <w:sz w:val="14"/>
          <w:szCs w:val="14"/>
          <w:color w:val="auto"/>
        </w:rPr>
        <w:t>This is an initial public offering of shares of Class A common stock of Rent the Runway, Inc. We are selling</w:t>
      </w:r>
      <w:r>
        <w:rPr>
          <w:sz w:val="20"/>
          <w:szCs w:val="20"/>
          <w:color w:val="auto"/>
        </w:rPr>
        <w:tab/>
      </w:r>
      <w:r>
        <w:rPr>
          <w:rFonts w:ascii="Arial" w:cs="Arial" w:eastAsia="Arial" w:hAnsi="Arial"/>
          <w:sz w:val="14"/>
          <w:szCs w:val="14"/>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4"/>
          <w:szCs w:val="14"/>
          <w:color w:val="auto"/>
        </w:rPr>
        <w:t>We will have two classes of common stock outstanding after this offering: Class A common stock and Class B common stock. The rights of the holders of Class A common stock and Class B common stock are identical, except with respect to voting and conversion rights. Each share of Class A common stock is entitled to one vote per</w:t>
      </w:r>
    </w:p>
    <w:p>
      <w:pPr>
        <w:spacing w:after="0" w:line="1" w:lineRule="exact"/>
        <w:rPr>
          <w:sz w:val="20"/>
          <w:szCs w:val="20"/>
          <w:color w:val="auto"/>
        </w:rPr>
      </w:pPr>
    </w:p>
    <w:p>
      <w:pPr>
        <w:ind w:left="120" w:right="40"/>
        <w:spacing w:after="0" w:line="241" w:lineRule="auto"/>
        <w:rPr>
          <w:sz w:val="20"/>
          <w:szCs w:val="20"/>
          <w:color w:val="auto"/>
        </w:rPr>
      </w:pPr>
      <w:r>
        <w:rPr>
          <w:rFonts w:ascii="Arial" w:cs="Arial" w:eastAsia="Arial" w:hAnsi="Arial"/>
          <w:sz w:val="14"/>
          <w:szCs w:val="14"/>
          <w:color w:val="auto"/>
        </w:rPr>
        <w:t>share. Each share of Class B common stock is entitled to votes per share and is convertible into one share of Class A common stock at any time. Holders of shares of our Class A common stock and Class B common stock will vote together as a single class on all matters (including the election of directors) submitted to a vote of stockholders except as otherwise provided in our amended and restated certificate of incorporation or as required by applicable law. After giving effect to the sale of the</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940" w:type="dxa"/>
            <w:vAlign w:val="bottom"/>
            <w:gridSpan w:val="5"/>
          </w:tcPr>
          <w:p>
            <w:pPr>
              <w:spacing w:after="0"/>
              <w:rPr>
                <w:sz w:val="20"/>
                <w:szCs w:val="20"/>
                <w:color w:val="auto"/>
              </w:rPr>
            </w:pPr>
            <w:r>
              <w:rPr>
                <w:rFonts w:ascii="Arial" w:cs="Arial" w:eastAsia="Arial" w:hAnsi="Arial"/>
                <w:sz w:val="14"/>
                <w:szCs w:val="14"/>
                <w:color w:val="auto"/>
              </w:rPr>
              <w:t>shares of Class A common stock offered hereby, shares of Class A common stock will collectively represent approximately</w:t>
            </w:r>
          </w:p>
        </w:tc>
        <w:tc>
          <w:tcPr>
            <w:tcW w:w="3000" w:type="dxa"/>
            <w:vAlign w:val="bottom"/>
            <w:gridSpan w:val="2"/>
          </w:tcPr>
          <w:p>
            <w:pPr>
              <w:ind w:left="460"/>
              <w:spacing w:after="0"/>
              <w:rPr>
                <w:sz w:val="20"/>
                <w:szCs w:val="20"/>
                <w:color w:val="auto"/>
              </w:rPr>
            </w:pPr>
            <w:r>
              <w:rPr>
                <w:rFonts w:ascii="Arial" w:cs="Arial" w:eastAsia="Arial" w:hAnsi="Arial"/>
                <w:sz w:val="14"/>
                <w:szCs w:val="14"/>
                <w:color w:val="auto"/>
              </w:rPr>
              <w:t>% of our total issued and outstanding</w:t>
            </w:r>
          </w:p>
        </w:tc>
      </w:t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shares and</w:t>
            </w:r>
          </w:p>
        </w:tc>
        <w:tc>
          <w:tcPr>
            <w:tcW w:w="5580" w:type="dxa"/>
            <w:vAlign w:val="bottom"/>
            <w:gridSpan w:val="3"/>
          </w:tcPr>
          <w:p>
            <w:pPr>
              <w:ind w:left="320"/>
              <w:spacing w:after="0"/>
              <w:rPr>
                <w:sz w:val="20"/>
                <w:szCs w:val="20"/>
                <w:color w:val="auto"/>
              </w:rPr>
            </w:pPr>
            <w:r>
              <w:rPr>
                <w:rFonts w:ascii="Arial" w:cs="Arial" w:eastAsia="Arial" w:hAnsi="Arial"/>
                <w:sz w:val="14"/>
                <w:szCs w:val="14"/>
                <w:color w:val="auto"/>
              </w:rPr>
              <w:t>% of the voting power attached to all of our issued and outstanding shares (or</w:t>
            </w:r>
          </w:p>
        </w:tc>
        <w:tc>
          <w:tcPr>
            <w:tcW w:w="1340" w:type="dxa"/>
            <w:vAlign w:val="bottom"/>
          </w:tcPr>
          <w:p>
            <w:pPr>
              <w:ind w:left="320"/>
              <w:spacing w:after="0"/>
              <w:rPr>
                <w:sz w:val="20"/>
                <w:szCs w:val="20"/>
                <w:color w:val="auto"/>
              </w:rPr>
            </w:pPr>
            <w:r>
              <w:rPr>
                <w:rFonts w:ascii="Arial" w:cs="Arial" w:eastAsia="Arial" w:hAnsi="Arial"/>
                <w:sz w:val="14"/>
                <w:szCs w:val="14"/>
                <w:color w:val="auto"/>
              </w:rPr>
              <w:t>% and</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 respectively, if the underwriters’ exercise in</w:t>
            </w:r>
          </w:p>
        </w:tc>
      </w:tr>
      <w:tr>
        <w:trPr>
          <w:trHeight w:val="162"/>
        </w:trPr>
        <w:tc>
          <w:tcPr>
            <w:tcW w:w="7940" w:type="dxa"/>
            <w:vAlign w:val="bottom"/>
            <w:gridSpan w:val="5"/>
          </w:tcPr>
          <w:p>
            <w:pPr>
              <w:spacing w:after="0"/>
              <w:rPr>
                <w:sz w:val="20"/>
                <w:szCs w:val="20"/>
                <w:color w:val="auto"/>
              </w:rPr>
            </w:pPr>
            <w:r>
              <w:rPr>
                <w:rFonts w:ascii="Arial" w:cs="Arial" w:eastAsia="Arial" w:hAnsi="Arial"/>
                <w:sz w:val="14"/>
                <w:szCs w:val="14"/>
                <w:color w:val="auto"/>
              </w:rPr>
              <w:t>full their option to purchase additional shares), and shares of Class B common stock will collectively represent approximately</w:t>
            </w:r>
          </w:p>
        </w:tc>
        <w:tc>
          <w:tcPr>
            <w:tcW w:w="3000" w:type="dxa"/>
            <w:vAlign w:val="bottom"/>
            <w:gridSpan w:val="2"/>
          </w:tcPr>
          <w:p>
            <w:pPr>
              <w:ind w:left="620"/>
              <w:spacing w:after="0"/>
              <w:rPr>
                <w:sz w:val="20"/>
                <w:szCs w:val="20"/>
                <w:color w:val="auto"/>
              </w:rPr>
            </w:pPr>
            <w:r>
              <w:rPr>
                <w:rFonts w:ascii="Arial" w:cs="Arial" w:eastAsia="Arial" w:hAnsi="Arial"/>
                <w:sz w:val="14"/>
                <w:szCs w:val="14"/>
                <w:color w:val="auto"/>
              </w:rPr>
              <w:t>% of our total issued and outstanding</w:t>
            </w:r>
          </w:p>
        </w:tc>
      </w:t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shares and</w:t>
            </w:r>
          </w:p>
        </w:tc>
        <w:tc>
          <w:tcPr>
            <w:tcW w:w="5580" w:type="dxa"/>
            <w:vAlign w:val="bottom"/>
            <w:gridSpan w:val="3"/>
          </w:tcPr>
          <w:p>
            <w:pPr>
              <w:ind w:left="320"/>
              <w:spacing w:after="0"/>
              <w:rPr>
                <w:sz w:val="20"/>
                <w:szCs w:val="20"/>
                <w:color w:val="auto"/>
              </w:rPr>
            </w:pPr>
            <w:r>
              <w:rPr>
                <w:rFonts w:ascii="Arial" w:cs="Arial" w:eastAsia="Arial" w:hAnsi="Arial"/>
                <w:sz w:val="14"/>
                <w:szCs w:val="14"/>
                <w:color w:val="auto"/>
              </w:rPr>
              <w:t>% of the voting power attached to all of our issued and outstanding shares (or</w:t>
            </w:r>
          </w:p>
        </w:tc>
        <w:tc>
          <w:tcPr>
            <w:tcW w:w="1340" w:type="dxa"/>
            <w:vAlign w:val="bottom"/>
          </w:tcPr>
          <w:p>
            <w:pPr>
              <w:ind w:left="320"/>
              <w:spacing w:after="0"/>
              <w:rPr>
                <w:sz w:val="20"/>
                <w:szCs w:val="20"/>
                <w:color w:val="auto"/>
              </w:rPr>
            </w:pPr>
            <w:r>
              <w:rPr>
                <w:rFonts w:ascii="Arial" w:cs="Arial" w:eastAsia="Arial" w:hAnsi="Arial"/>
                <w:sz w:val="14"/>
                <w:szCs w:val="14"/>
                <w:color w:val="auto"/>
              </w:rPr>
              <w:t>% and</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 respectively, if the underwriters’ exercise in</w:t>
            </w:r>
          </w:p>
        </w:tc>
      </w:tr>
      <w:tr>
        <w:trPr>
          <w:trHeight w:val="172"/>
        </w:trPr>
        <w:tc>
          <w:tcPr>
            <w:tcW w:w="3380" w:type="dxa"/>
            <w:vAlign w:val="bottom"/>
            <w:gridSpan w:val="3"/>
          </w:tcPr>
          <w:p>
            <w:pPr>
              <w:spacing w:after="0"/>
              <w:rPr>
                <w:sz w:val="20"/>
                <w:szCs w:val="20"/>
                <w:color w:val="auto"/>
              </w:rPr>
            </w:pPr>
            <w:r>
              <w:rPr>
                <w:rFonts w:ascii="Arial" w:cs="Arial" w:eastAsia="Arial" w:hAnsi="Arial"/>
                <w:sz w:val="14"/>
                <w:szCs w:val="14"/>
                <w:color w:val="auto"/>
              </w:rPr>
              <w:t>full their option to purchase additional shares).</w:t>
            </w:r>
          </w:p>
        </w:tc>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6"/>
        </w:trPr>
        <w:tc>
          <w:tcPr>
            <w:tcW w:w="10940" w:type="dxa"/>
            <w:vAlign w:val="bottom"/>
            <w:gridSpan w:val="7"/>
          </w:tcPr>
          <w:p>
            <w:pPr>
              <w:ind w:left="540"/>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per share of Class A</w:t>
            </w:r>
          </w:p>
        </w:tc>
      </w:tr>
      <w:tr>
        <w:trPr>
          <w:trHeight w:val="172"/>
        </w:trPr>
        <w:tc>
          <w:tcPr>
            <w:tcW w:w="2380" w:type="dxa"/>
            <w:vAlign w:val="bottom"/>
            <w:gridSpan w:val="2"/>
          </w:tcPr>
          <w:p>
            <w:pPr>
              <w:spacing w:after="0"/>
              <w:rPr>
                <w:sz w:val="20"/>
                <w:szCs w:val="20"/>
                <w:color w:val="auto"/>
              </w:rPr>
            </w:pPr>
            <w:r>
              <w:rPr>
                <w:rFonts w:ascii="Arial" w:cs="Arial" w:eastAsia="Arial" w:hAnsi="Arial"/>
                <w:sz w:val="14"/>
                <w:szCs w:val="14"/>
                <w:color w:val="auto"/>
              </w:rPr>
              <w:t>common stock will be between $</w:t>
            </w:r>
          </w:p>
        </w:tc>
        <w:tc>
          <w:tcPr>
            <w:tcW w:w="1000" w:type="dxa"/>
            <w:vAlign w:val="bottom"/>
          </w:tcPr>
          <w:p>
            <w:pPr>
              <w:ind w:left="320"/>
              <w:spacing w:after="0"/>
              <w:rPr>
                <w:sz w:val="20"/>
                <w:szCs w:val="20"/>
                <w:color w:val="auto"/>
              </w:rPr>
            </w:pPr>
            <w:r>
              <w:rPr>
                <w:rFonts w:ascii="Arial" w:cs="Arial" w:eastAsia="Arial" w:hAnsi="Arial"/>
                <w:sz w:val="14"/>
                <w:szCs w:val="14"/>
                <w:color w:val="auto"/>
              </w:rPr>
              <w:t>and $</w:t>
            </w:r>
          </w:p>
        </w:tc>
        <w:tc>
          <w:tcPr>
            <w:tcW w:w="4560" w:type="dxa"/>
            <w:vAlign w:val="bottom"/>
            <w:gridSpan w:val="2"/>
          </w:tcPr>
          <w:p>
            <w:pPr>
              <w:ind w:left="320"/>
              <w:spacing w:after="0"/>
              <w:rPr>
                <w:sz w:val="20"/>
                <w:szCs w:val="20"/>
                <w:color w:val="auto"/>
              </w:rPr>
            </w:pPr>
            <w:r>
              <w:rPr>
                <w:rFonts w:ascii="Arial" w:cs="Arial" w:eastAsia="Arial" w:hAnsi="Arial"/>
                <w:sz w:val="14"/>
                <w:szCs w:val="14"/>
                <w:color w:val="auto"/>
              </w:rPr>
              <w:t>. We intend to apply to list our Class A common stock on the</w:t>
            </w:r>
          </w:p>
        </w:tc>
        <w:tc>
          <w:tcPr>
            <w:tcW w:w="1780" w:type="dxa"/>
            <w:vAlign w:val="bottom"/>
          </w:tcPr>
          <w:p>
            <w:pPr>
              <w:ind w:left="280"/>
              <w:spacing w:after="0"/>
              <w:rPr>
                <w:sz w:val="20"/>
                <w:szCs w:val="20"/>
                <w:color w:val="auto"/>
              </w:rPr>
            </w:pPr>
            <w:r>
              <w:rPr>
                <w:rFonts w:ascii="Arial" w:cs="Arial" w:eastAsia="Arial" w:hAnsi="Arial"/>
                <w:sz w:val="14"/>
                <w:szCs w:val="14"/>
                <w:color w:val="auto"/>
              </w:rPr>
              <w:t>under the symbol “</w:t>
            </w:r>
          </w:p>
        </w:tc>
        <w:tc>
          <w:tcPr>
            <w:tcW w:w="1220" w:type="dxa"/>
            <w:vAlign w:val="bottom"/>
          </w:tcPr>
          <w:p>
            <w:pPr>
              <w:ind w:left="320"/>
              <w:spacing w:after="0"/>
              <w:rPr>
                <w:sz w:val="20"/>
                <w:szCs w:val="20"/>
                <w:color w:val="auto"/>
              </w:rPr>
            </w:pPr>
            <w:r>
              <w:rPr>
                <w:rFonts w:ascii="Arial" w:cs="Arial" w:eastAsia="Arial" w:hAnsi="Arial"/>
                <w:sz w:val="14"/>
                <w:szCs w:val="14"/>
                <w:color w:val="auto"/>
              </w:rPr>
              <w:t>.”</w:t>
            </w:r>
          </w:p>
        </w:tc>
      </w:tr>
    </w:tbl>
    <w:p>
      <w:pPr>
        <w:spacing w:after="0" w:line="44" w:lineRule="exact"/>
        <w:rPr>
          <w:sz w:val="20"/>
          <w:szCs w:val="20"/>
          <w:color w:val="auto"/>
        </w:rPr>
      </w:pPr>
    </w:p>
    <w:p>
      <w:pPr>
        <w:jc w:val="both"/>
        <w:ind w:left="120" w:right="200" w:firstLine="551"/>
        <w:spacing w:after="0" w:line="249"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6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See “</w:t>
      </w:r>
      <w:hyperlink w:anchor="page24">
        <w:r>
          <w:rPr>
            <w:rFonts w:ascii="Arial" w:cs="Arial" w:eastAsia="Arial" w:hAnsi="Arial"/>
            <w:sz w:val="14"/>
            <w:szCs w:val="14"/>
            <w:i w:val="1"/>
            <w:iCs w:val="1"/>
            <w:u w:val="single" w:color="auto"/>
            <w:color w:val="0000EE"/>
          </w:rPr>
          <w:t>Risk Factors</w:t>
        </w:r>
      </w:hyperlink>
      <w:r>
        <w:rPr>
          <w:rFonts w:ascii="Arial" w:cs="Arial" w:eastAsia="Arial" w:hAnsi="Arial"/>
          <w:sz w:val="14"/>
          <w:szCs w:val="14"/>
          <w:i w:val="1"/>
          <w:iCs w:val="1"/>
          <w:color w:val="auto"/>
        </w:rPr>
        <w:t>” beginning on page 20 to read about factors you should consider before buying shares of our Class A common stock.</w:t>
      </w:r>
    </w:p>
    <w:p>
      <w:pPr>
        <w:spacing w:after="0" w:line="51" w:lineRule="exact"/>
        <w:rPr>
          <w:sz w:val="20"/>
          <w:szCs w:val="20"/>
          <w:color w:val="auto"/>
        </w:rPr>
      </w:pPr>
    </w:p>
    <w:p>
      <w:pPr>
        <w:ind w:left="120" w:right="260" w:firstLine="551"/>
        <w:spacing w:after="0" w:line="285" w:lineRule="auto"/>
        <w:rPr>
          <w:sz w:val="20"/>
          <w:szCs w:val="20"/>
          <w:color w:val="auto"/>
        </w:rPr>
      </w:pPr>
      <w:r>
        <w:rPr>
          <w:rFonts w:ascii="Arial" w:cs="Arial" w:eastAsia="Arial" w:hAnsi="Arial"/>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177165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Per Share</w:t>
            </w: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tcPr>
          <w:p>
            <w:pPr>
              <w:spacing w:after="0"/>
              <w:rPr>
                <w:sz w:val="14"/>
                <w:szCs w:val="14"/>
                <w:color w:val="auto"/>
              </w:rPr>
            </w:pPr>
          </w:p>
        </w:tc>
      </w:tr>
      <w:tr>
        <w:trPr>
          <w:trHeight w:val="155"/>
        </w:trPr>
        <w:tc>
          <w:tcPr>
            <w:tcW w:w="6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Initial public offering price</w:t>
            </w:r>
          </w:p>
        </w:tc>
        <w:tc>
          <w:tcPr>
            <w:tcW w:w="3940" w:type="dxa"/>
            <w:vAlign w:val="bottom"/>
            <w:gridSpan w:val="2"/>
            <w:shd w:val="clear" w:color="auto" w:fill="CCEEFF"/>
          </w:tcPr>
          <w:p>
            <w:pPr>
              <w:ind w:left="330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68"/>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3"/>
                <w:szCs w:val="13"/>
                <w:color w:val="auto"/>
              </w:rPr>
            </w:pPr>
          </w:p>
        </w:tc>
      </w:tr>
      <w:tr>
        <w:trPr>
          <w:trHeight w:val="162"/>
        </w:trPr>
        <w:tc>
          <w:tcPr>
            <w:tcW w:w="6060" w:type="dxa"/>
            <w:vAlign w:val="bottom"/>
          </w:tcPr>
          <w:p>
            <w:pPr>
              <w:spacing w:after="0"/>
              <w:rPr>
                <w:sz w:val="20"/>
                <w:szCs w:val="20"/>
                <w:color w:val="auto"/>
              </w:rPr>
            </w:pPr>
            <w:r>
              <w:rPr>
                <w:rFonts w:ascii="Arial" w:cs="Arial" w:eastAsia="Arial" w:hAnsi="Arial"/>
                <w:sz w:val="14"/>
                <w:szCs w:val="14"/>
                <w:color w:val="auto"/>
              </w:rPr>
              <w:t>Underwriting discounts and commissions(1)</w:t>
            </w:r>
          </w:p>
        </w:tc>
        <w:tc>
          <w:tcPr>
            <w:tcW w:w="3940" w:type="dxa"/>
            <w:vAlign w:val="bottom"/>
            <w:gridSpan w:val="2"/>
          </w:tcPr>
          <w:p>
            <w:pPr>
              <w:ind w:left="3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4"/>
                <w:szCs w:val="14"/>
                <w:color w:val="auto"/>
              </w:rPr>
            </w:pPr>
          </w:p>
        </w:tc>
      </w:tr>
      <w:tr>
        <w:trPr>
          <w:trHeight w:val="16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3940" w:type="dxa"/>
            <w:vAlign w:val="bottom"/>
            <w:gridSpan w:val="2"/>
            <w:shd w:val="clear" w:color="auto" w:fill="CCEEFF"/>
          </w:tcPr>
          <w:p>
            <w:pPr>
              <w:ind w:left="3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underwriter compensation.</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40" w:type="dxa"/>
            <w:vAlign w:val="bottom"/>
            <w:gridSpan w:val="4"/>
          </w:tcPr>
          <w:p>
            <w:pPr>
              <w:ind w:left="540"/>
              <w:spacing w:after="0"/>
              <w:rPr>
                <w:sz w:val="20"/>
                <w:szCs w:val="20"/>
                <w:color w:val="auto"/>
              </w:rPr>
            </w:pPr>
            <w:r>
              <w:rPr>
                <w:rFonts w:ascii="Arial" w:cs="Arial" w:eastAsia="Arial" w:hAnsi="Arial"/>
                <w:sz w:val="14"/>
                <w:szCs w:val="14"/>
                <w:color w:val="auto"/>
              </w:rPr>
              <w:t>To the extent the underwriters sell more than ____ shares of Class A common stock, the underwriters the option to purchase up to an additional</w:t>
            </w:r>
          </w:p>
        </w:tc>
        <w:tc>
          <w:tcPr>
            <w:tcW w:w="1180" w:type="dxa"/>
            <w:vAlign w:val="bottom"/>
          </w:tcPr>
          <w:p>
            <w:pPr>
              <w:ind w:left="460"/>
              <w:spacing w:after="0"/>
              <w:rPr>
                <w:sz w:val="20"/>
                <w:szCs w:val="20"/>
                <w:color w:val="auto"/>
              </w:rPr>
            </w:pPr>
            <w:r>
              <w:rPr>
                <w:rFonts w:ascii="Arial" w:cs="Arial" w:eastAsia="Arial" w:hAnsi="Arial"/>
                <w:sz w:val="14"/>
                <w:szCs w:val="14"/>
                <w:color w:val="auto"/>
              </w:rPr>
              <w:t>shares of</w:t>
            </w:r>
          </w:p>
        </w:tc>
      </w:tr>
      <w:tr>
        <w:trPr>
          <w:trHeight w:val="172"/>
        </w:trPr>
        <w:tc>
          <w:tcPr>
            <w:tcW w:w="8180" w:type="dxa"/>
            <w:vAlign w:val="bottom"/>
            <w:gridSpan w:val="3"/>
          </w:tcPr>
          <w:p>
            <w:pPr>
              <w:spacing w:after="0"/>
              <w:rPr>
                <w:sz w:val="20"/>
                <w:szCs w:val="20"/>
                <w:color w:val="auto"/>
              </w:rPr>
            </w:pPr>
            <w:r>
              <w:rPr>
                <w:rFonts w:ascii="Arial" w:cs="Arial" w:eastAsia="Arial" w:hAnsi="Arial"/>
                <w:sz w:val="14"/>
                <w:szCs w:val="14"/>
                <w:color w:val="auto"/>
              </w:rPr>
              <w:t>Class A common stock from us at the initial public offering price less the underwriting discounts and commissions.</w:t>
            </w: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16"/>
        </w:trPr>
        <w:tc>
          <w:tcPr>
            <w:tcW w:w="8180" w:type="dxa"/>
            <w:vAlign w:val="bottom"/>
            <w:gridSpan w:val="3"/>
          </w:tcPr>
          <w:p>
            <w:pPr>
              <w:ind w:left="540"/>
              <w:spacing w:after="0"/>
              <w:rPr>
                <w:sz w:val="20"/>
                <w:szCs w:val="20"/>
                <w:color w:val="auto"/>
              </w:rPr>
            </w:pPr>
            <w:r>
              <w:rPr>
                <w:rFonts w:ascii="Arial" w:cs="Arial" w:eastAsia="Arial" w:hAnsi="Arial"/>
                <w:sz w:val="14"/>
                <w:szCs w:val="14"/>
                <w:color w:val="auto"/>
              </w:rPr>
              <w:t>The underwriters expect to deliver the shares of Class A common stock against payment in New York, New York on</w:t>
            </w:r>
          </w:p>
        </w:tc>
        <w:tc>
          <w:tcPr>
            <w:tcW w:w="1660" w:type="dxa"/>
            <w:vAlign w:val="bottom"/>
          </w:tcPr>
          <w:p>
            <w:pPr>
              <w:jc w:val="right"/>
              <w:ind w:right="828"/>
              <w:spacing w:after="0"/>
              <w:rPr>
                <w:sz w:val="20"/>
                <w:szCs w:val="20"/>
                <w:color w:val="auto"/>
              </w:rPr>
            </w:pPr>
            <w:r>
              <w:rPr>
                <w:rFonts w:ascii="Arial" w:cs="Arial" w:eastAsia="Arial" w:hAnsi="Arial"/>
                <w:sz w:val="14"/>
                <w:szCs w:val="14"/>
                <w:color w:val="auto"/>
              </w:rPr>
              <w:t>, 2021.</w:t>
            </w:r>
          </w:p>
        </w:tc>
        <w:tc>
          <w:tcPr>
            <w:tcW w:w="1180" w:type="dxa"/>
            <w:vAlign w:val="bottom"/>
          </w:tcPr>
          <w:p>
            <w:pPr>
              <w:spacing w:after="0"/>
              <w:rPr>
                <w:sz w:val="18"/>
                <w:szCs w:val="18"/>
                <w:color w:val="auto"/>
              </w:rPr>
            </w:pPr>
          </w:p>
        </w:tc>
      </w:tr>
      <w:tr>
        <w:trPr>
          <w:trHeight w:val="174"/>
        </w:trPr>
        <w:tc>
          <w:tcPr>
            <w:tcW w:w="434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74"/>
        </w:trPr>
        <w:tc>
          <w:tcPr>
            <w:tcW w:w="434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3840" w:type="dxa"/>
            <w:vAlign w:val="bottom"/>
            <w:gridSpan w:val="2"/>
          </w:tcPr>
          <w:p>
            <w:pPr>
              <w:ind w:left="1620"/>
              <w:spacing w:after="0"/>
              <w:rPr>
                <w:sz w:val="20"/>
                <w:szCs w:val="20"/>
                <w:color w:val="auto"/>
              </w:rPr>
            </w:pPr>
            <w:r>
              <w:rPr>
                <w:rFonts w:ascii="Arial" w:cs="Arial" w:eastAsia="Arial" w:hAnsi="Arial"/>
                <w:sz w:val="23"/>
                <w:szCs w:val="23"/>
                <w:b w:val="1"/>
                <w:bCs w:val="1"/>
                <w:color w:val="auto"/>
              </w:rPr>
              <w:t>Morgan Stanley</w:t>
            </w:r>
          </w:p>
        </w:tc>
        <w:tc>
          <w:tcPr>
            <w:tcW w:w="166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Arial" w:cs="Arial" w:eastAsia="Arial" w:hAnsi="Arial"/>
                <w:sz w:val="23"/>
                <w:szCs w:val="23"/>
                <w:b w:val="1"/>
                <w:bCs w:val="1"/>
                <w:color w:val="auto"/>
              </w:rPr>
              <w:t>Barclays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4380"/>
        <w:spacing w:after="0"/>
        <w:tabs>
          <w:tab w:leader="none" w:pos="634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TABLE OF CONTENTS</w:t>
      </w:r>
    </w:p>
    <w:p>
      <w:pPr>
        <w:jc w:val="center"/>
        <w:ind w:left="140"/>
        <w:spacing w:after="0"/>
        <w:rPr>
          <w:sz w:val="20"/>
          <w:szCs w:val="20"/>
          <w:color w:val="auto"/>
        </w:rPr>
      </w:pPr>
      <w:r>
        <w:rPr>
          <w:rFonts w:ascii="Arial" w:cs="Arial" w:eastAsia="Arial" w:hAnsi="Arial"/>
          <w:sz w:val="18"/>
          <w:szCs w:val="18"/>
          <w:color w:val="auto"/>
        </w:rPr>
        <w:t>Prospectus</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2520" w:type="dxa"/>
            <w:vAlign w:val="bottom"/>
            <w:gridSpan w:val="19"/>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6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RISK FACTORS</w:t>
              </w:r>
            </w:hyperlink>
          </w:p>
        </w:tc>
        <w:tc>
          <w:tcPr>
            <w:tcW w:w="880" w:type="dxa"/>
            <w:vAlign w:val="bottom"/>
            <w:tcBorders>
              <w:top w:val="single" w:sz="8" w:color="0000EE"/>
            </w:tcBorders>
            <w:gridSpan w:val="8"/>
          </w:tcPr>
          <w:p>
            <w:pPr>
              <w:spacing w:after="0"/>
              <w:rPr>
                <w:sz w:val="15"/>
                <w:szCs w:val="15"/>
                <w:color w:val="auto"/>
              </w:rPr>
            </w:pPr>
          </w:p>
        </w:tc>
        <w:tc>
          <w:tcPr>
            <w:tcW w:w="32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SPECIAL NOTE REGARDING FORWARD-LOOKING</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3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STATEMENTS</w:t>
              </w:r>
            </w:hyperlink>
          </w:p>
        </w:tc>
        <w:tc>
          <w:tcPr>
            <w:tcW w:w="4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MARKET, INDUSTRY AND OTHER DATA</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25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4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DIVIDEND POLICY</w:t>
              </w:r>
            </w:hyperlink>
          </w:p>
        </w:tc>
        <w:tc>
          <w:tcPr>
            <w:tcW w:w="140" w:type="dxa"/>
            <w:vAlign w:val="bottom"/>
            <w:tcBorders>
              <w:top w:val="single" w:sz="8" w:color="0000EE"/>
            </w:tcBorders>
            <w:gridSpan w:val="2"/>
          </w:tcPr>
          <w:p>
            <w:pPr>
              <w:spacing w:after="0"/>
              <w:rPr>
                <w:sz w:val="15"/>
                <w:szCs w:val="15"/>
                <w:color w:val="auto"/>
              </w:rPr>
            </w:pPr>
          </w:p>
        </w:tc>
        <w:tc>
          <w:tcPr>
            <w:tcW w:w="80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4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CAPITALIZATION</w:t>
              </w:r>
            </w:hyperlink>
          </w:p>
        </w:tc>
        <w:tc>
          <w:tcPr>
            <w:tcW w:w="1080" w:type="dxa"/>
            <w:vAlign w:val="bottom"/>
            <w:gridSpan w:val="10"/>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DILUTION</w:t>
              </w:r>
            </w:hyperlink>
          </w:p>
        </w:tc>
        <w:tc>
          <w:tcPr>
            <w:tcW w:w="1660" w:type="dxa"/>
            <w:vAlign w:val="bottom"/>
            <w:gridSpan w:val="16"/>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0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FINANCIAL CONDITION AND RESULTS OF</w:t>
              </w:r>
            </w:hyperlink>
          </w:p>
        </w:tc>
        <w:tc>
          <w:tcPr>
            <w:tcW w:w="60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3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OPERATIONS</w:t>
              </w:r>
            </w:hyperlink>
          </w:p>
        </w:tc>
        <w:tc>
          <w:tcPr>
            <w:tcW w:w="4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06">
              <w:r>
                <w:rPr>
                  <w:rFonts w:ascii="Arial" w:cs="Arial" w:eastAsia="Arial" w:hAnsi="Arial"/>
                  <w:sz w:val="18"/>
                  <w:szCs w:val="18"/>
                  <w:color w:val="0000EE"/>
                  <w:w w:val="98"/>
                </w:rPr>
                <w:t>BUSINESS</w:t>
              </w:r>
            </w:hyperlink>
          </w:p>
        </w:tc>
        <w:tc>
          <w:tcPr>
            <w:tcW w:w="1600" w:type="dxa"/>
            <w:vAlign w:val="bottom"/>
            <w:gridSpan w:val="15"/>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35">
              <w:r>
                <w:rPr>
                  <w:rFonts w:ascii="Arial" w:cs="Arial" w:eastAsia="Arial" w:hAnsi="Arial"/>
                  <w:sz w:val="18"/>
                  <w:szCs w:val="18"/>
                  <w:color w:val="0000EE"/>
                  <w:w w:val="99"/>
                </w:rPr>
                <w:t>MANAGEMENT</w:t>
              </w:r>
            </w:hyperlink>
          </w:p>
        </w:tc>
        <w:tc>
          <w:tcPr>
            <w:tcW w:w="1220" w:type="dxa"/>
            <w:vAlign w:val="bottom"/>
            <w:gridSpan w:val="14"/>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0000EE"/>
            </w:tcBorders>
            <w:gridSpan w:val="19"/>
          </w:tcPr>
          <w:p>
            <w:pPr>
              <w:spacing w:after="0" w:line="182"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EXECUTIVE COMPENSATION</w:t>
              </w:r>
            </w:hyperlink>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153">
              <w:r>
                <w:rPr>
                  <w:rFonts w:ascii="Arial" w:cs="Arial" w:eastAsia="Arial" w:hAnsi="Arial"/>
                  <w:sz w:val="18"/>
                  <w:szCs w:val="18"/>
                  <w:color w:val="0000EE"/>
                </w:rPr>
                <w:t>CERTAIN RELATIONSHIPS AND RELATED PARTY</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153">
              <w:r>
                <w:rPr>
                  <w:rFonts w:ascii="Arial" w:cs="Arial" w:eastAsia="Arial" w:hAnsi="Arial"/>
                  <w:sz w:val="18"/>
                  <w:szCs w:val="18"/>
                  <w:color w:val="0000EE"/>
                  <w:w w:val="99"/>
                </w:rPr>
                <w:t>TRANSACTIONS</w:t>
              </w:r>
            </w:hyperlink>
          </w:p>
        </w:tc>
        <w:tc>
          <w:tcPr>
            <w:tcW w:w="920" w:type="dxa"/>
            <w:vAlign w:val="bottom"/>
            <w:tcBorders>
              <w:top w:val="single" w:sz="8" w:color="0000EE"/>
            </w:tcBorders>
            <w:gridSpan w:val="7"/>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0000EE"/>
            </w:tcBorders>
            <w:gridSpan w:val="17"/>
          </w:tcPr>
          <w:p>
            <w:pPr>
              <w:spacing w:after="0" w:line="182" w:lineRule="exact"/>
              <w:rPr>
                <w:rFonts w:ascii="Arial" w:cs="Arial" w:eastAsia="Arial" w:hAnsi="Arial"/>
                <w:sz w:val="18"/>
                <w:szCs w:val="18"/>
                <w:color w:val="0000EE"/>
                <w:w w:val="98"/>
              </w:rPr>
            </w:pPr>
            <w:hyperlink w:anchor="page157">
              <w:r>
                <w:rPr>
                  <w:rFonts w:ascii="Arial" w:cs="Arial" w:eastAsia="Arial" w:hAnsi="Arial"/>
                  <w:sz w:val="18"/>
                  <w:szCs w:val="18"/>
                  <w:color w:val="0000EE"/>
                  <w:w w:val="98"/>
                </w:rPr>
                <w:t>PRINCIPAL STOCKHOLDERS</w:t>
              </w:r>
            </w:hyperlink>
          </w:p>
        </w:tc>
        <w:tc>
          <w:tcPr>
            <w:tcW w:w="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CAPITAL STOCK</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67">
              <w:r>
                <w:rPr>
                  <w:rFonts w:ascii="Arial" w:cs="Arial" w:eastAsia="Arial" w:hAnsi="Arial"/>
                  <w:sz w:val="18"/>
                  <w:szCs w:val="18"/>
                  <w:color w:val="0000EE"/>
                  <w:w w:val="99"/>
                </w:rPr>
                <w:t>SHARES ELIGIBLE FOR FUTURE SALE</w:t>
              </w:r>
            </w:hyperlink>
          </w:p>
        </w:tc>
        <w:tc>
          <w:tcPr>
            <w:tcW w:w="1540" w:type="dxa"/>
            <w:vAlign w:val="bottom"/>
            <w:gridSpan w:val="9"/>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MATERIAL U.S. FEDERAL INCOME TAX</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80" w:type="dxa"/>
            <w:vAlign w:val="bottom"/>
            <w:gridSpan w:val="30"/>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CONSEQUENCES TO NON-U.S. HOLDERS OF OUR</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CLASS A COMMON STOCK</w:t>
              </w:r>
            </w:hyperlink>
          </w:p>
        </w:tc>
        <w:tc>
          <w:tcPr>
            <w:tcW w:w="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74">
              <w:r>
                <w:rPr>
                  <w:rFonts w:ascii="Arial" w:cs="Arial" w:eastAsia="Arial" w:hAnsi="Arial"/>
                  <w:sz w:val="18"/>
                  <w:szCs w:val="18"/>
                  <w:color w:val="0000EE"/>
                  <w:w w:val="98"/>
                </w:rPr>
                <w:t>UNDERWRITING</w:t>
              </w:r>
            </w:hyperlink>
          </w:p>
        </w:tc>
        <w:tc>
          <w:tcPr>
            <w:tcW w:w="1100" w:type="dxa"/>
            <w:vAlign w:val="bottom"/>
            <w:gridSpan w:val="11"/>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82"/>
        </w:trPr>
        <w:tc>
          <w:tcPr>
            <w:tcW w:w="14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80">
              <w:r>
                <w:rPr>
                  <w:rFonts w:ascii="Arial" w:cs="Arial" w:eastAsia="Arial" w:hAnsi="Arial"/>
                  <w:sz w:val="18"/>
                  <w:szCs w:val="18"/>
                  <w:color w:val="0000EE"/>
                  <w:w w:val="97"/>
                </w:rPr>
                <w:t>LEGAL MATTERS</w:t>
              </w:r>
            </w:hyperlink>
          </w:p>
        </w:tc>
        <w:tc>
          <w:tcPr>
            <w:tcW w:w="1040" w:type="dxa"/>
            <w:vAlign w:val="bottom"/>
            <w:gridSpan w:val="9"/>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8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80">
              <w:r>
                <w:rPr>
                  <w:rFonts w:ascii="Arial" w:cs="Arial" w:eastAsia="Arial" w:hAnsi="Arial"/>
                  <w:sz w:val="18"/>
                  <w:szCs w:val="18"/>
                  <w:color w:val="0000EE"/>
                  <w:w w:val="97"/>
                </w:rPr>
                <w:t>EXPERTS</w:t>
              </w:r>
            </w:hyperlink>
          </w:p>
        </w:tc>
        <w:tc>
          <w:tcPr>
            <w:tcW w:w="1680" w:type="dxa"/>
            <w:vAlign w:val="bottom"/>
            <w:gridSpan w:val="17"/>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WHERE YOU CAN FIND ADDITIONAL INFORMATION</w:t>
              </w:r>
            </w:hyperlink>
          </w:p>
        </w:tc>
        <w:tc>
          <w:tcPr>
            <w:tcW w:w="420" w:type="dxa"/>
            <w:vAlign w:val="bottom"/>
            <w:gridSpan w:val="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83"/>
        </w:trPr>
        <w:tc>
          <w:tcPr>
            <w:tcW w:w="4860" w:type="dxa"/>
            <w:vAlign w:val="bottom"/>
            <w:gridSpan w:val="31"/>
          </w:tcPr>
          <w:p>
            <w:pPr>
              <w:spacing w:after="0" w:line="182" w:lineRule="exact"/>
              <w:rPr>
                <w:sz w:val="20"/>
                <w:szCs w:val="20"/>
                <w:color w:val="auto"/>
              </w:rPr>
            </w:pPr>
            <w:r>
              <w:rPr>
                <w:rFonts w:ascii="Arial" w:cs="Arial" w:eastAsia="Arial" w:hAnsi="Arial"/>
                <w:sz w:val="18"/>
                <w:szCs w:val="18"/>
                <w:color w:val="0000EE"/>
              </w:rPr>
              <w:t>INDEX TO CONSOLIDATED FINANCIAL STATEMENTS</w:t>
            </w: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5"/>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520" w:type="dxa"/>
            <w:vAlign w:val="bottom"/>
            <w:gridSpan w:val="19"/>
          </w:tcPr>
          <w:p>
            <w:pPr>
              <w:spacing w:after="0"/>
              <w:rPr>
                <w:sz w:val="20"/>
                <w:szCs w:val="20"/>
                <w:color w:val="auto"/>
              </w:rPr>
            </w:pPr>
            <w:r>
              <w:rPr>
                <w:rFonts w:ascii="Arial" w:cs="Arial" w:eastAsia="Arial" w:hAnsi="Arial"/>
                <w:sz w:val="18"/>
                <w:szCs w:val="18"/>
                <w:b w:val="1"/>
                <w:bCs w:val="1"/>
                <w:color w:val="auto"/>
              </w:rPr>
              <w:t>Through and including</w:t>
            </w:r>
          </w:p>
        </w:tc>
        <w:tc>
          <w:tcPr>
            <w:tcW w:w="2720" w:type="dxa"/>
            <w:vAlign w:val="bottom"/>
            <w:gridSpan w:val="14"/>
          </w:tcPr>
          <w:p>
            <w:pPr>
              <w:jc w:val="right"/>
              <w:ind w:right="80"/>
              <w:spacing w:after="0"/>
              <w:rPr>
                <w:sz w:val="20"/>
                <w:szCs w:val="20"/>
                <w:color w:val="auto"/>
              </w:rPr>
            </w:pPr>
            <w:r>
              <w:rPr>
                <w:rFonts w:ascii="Arial" w:cs="Arial" w:eastAsia="Arial" w:hAnsi="Arial"/>
                <w:sz w:val="18"/>
                <w:szCs w:val="18"/>
                <w:b w:val="1"/>
                <w:bCs w:val="1"/>
                <w:color w:val="auto"/>
              </w:rPr>
              <w:t>, 2021 (the 25th day after the</w:t>
            </w:r>
          </w:p>
        </w:tc>
        <w:tc>
          <w:tcPr>
            <w:tcW w:w="0" w:type="dxa"/>
            <w:vAlign w:val="bottom"/>
          </w:tcPr>
          <w:p>
            <w:pPr>
              <w:spacing w:after="0"/>
              <w:rPr>
                <w:sz w:val="1"/>
                <w:szCs w:val="1"/>
                <w:color w:val="auto"/>
              </w:rPr>
            </w:pPr>
          </w:p>
        </w:tc>
      </w:tr>
    </w:tbl>
    <w:p>
      <w:pPr>
        <w:ind w:left="120"/>
        <w:spacing w:after="0" w:line="237" w:lineRule="auto"/>
        <w:rPr>
          <w:sz w:val="20"/>
          <w:szCs w:val="20"/>
          <w:color w:val="auto"/>
        </w:rPr>
      </w:pPr>
      <w:r>
        <w:rPr>
          <w:rFonts w:ascii="Arial" w:cs="Arial" w:eastAsia="Arial" w:hAnsi="Arial"/>
          <w:sz w:val="18"/>
          <w:szCs w:val="18"/>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3360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33604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04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3217545</wp:posOffset>
            </wp:positionV>
            <wp:extent cx="3429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3277235</wp:posOffset>
            </wp:positionV>
            <wp:extent cx="34290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25400"/>
                    </a:xfrm>
                    <a:prstGeom prst="rect">
                      <a:avLst/>
                    </a:prstGeom>
                    <a:noFill/>
                  </pic:spPr>
                </pic:pic>
              </a:graphicData>
            </a:graphic>
          </wp:anchor>
        </w:drawing>
      </w:r>
    </w:p>
    <w:p>
      <w:pPr>
        <w:sectPr>
          <w:pgSz w:w="11900" w:h="16838" w:orient="portrait"/>
          <w:cols w:equalWidth="0" w:num="2">
            <w:col w:w="5380" w:space="360"/>
            <w:col w:w="5360"/>
          </w:cols>
          <w:pgMar w:left="320" w:top="459" w:right="4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8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212" w:lineRule="exact"/>
        <w:rPr>
          <w:sz w:val="20"/>
          <w:szCs w:val="20"/>
          <w:color w:val="auto"/>
        </w:rPr>
      </w:pPr>
    </w:p>
    <w:p>
      <w:pPr>
        <w:ind w:left="300" w:right="100" w:firstLine="532"/>
        <w:spacing w:after="0"/>
        <w:rPr>
          <w:sz w:val="20"/>
          <w:szCs w:val="20"/>
          <w:color w:val="auto"/>
        </w:rPr>
      </w:pPr>
      <w:r>
        <w:rPr>
          <w:rFonts w:ascii="Arial" w:cs="Arial" w:eastAsia="Arial" w:hAnsi="Arial"/>
          <w:sz w:val="18"/>
          <w:szCs w:val="18"/>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300" w:firstLine="532"/>
        <w:spacing w:after="0" w:line="248" w:lineRule="auto"/>
        <w:rPr>
          <w:sz w:val="20"/>
          <w:szCs w:val="20"/>
          <w:color w:val="auto"/>
        </w:rPr>
      </w:pPr>
      <w:r>
        <w:rPr>
          <w:rFonts w:ascii="Arial" w:cs="Arial" w:eastAsia="Arial" w:hAnsi="Arial"/>
          <w:sz w:val="17"/>
          <w:szCs w:val="17"/>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w:t>
      </w:r>
    </w:p>
    <w:p>
      <w:pPr>
        <w:spacing w:after="0" w:line="3" w:lineRule="exact"/>
        <w:rPr>
          <w:sz w:val="20"/>
          <w:szCs w:val="20"/>
          <w:color w:val="auto"/>
        </w:rPr>
      </w:pPr>
    </w:p>
    <w:p>
      <w:pPr>
        <w:ind w:left="300" w:right="640"/>
        <w:spacing w:after="0" w:line="246" w:lineRule="auto"/>
        <w:rPr>
          <w:sz w:val="20"/>
          <w:szCs w:val="20"/>
          <w:color w:val="auto"/>
        </w:rPr>
      </w:pPr>
      <w:r>
        <w:rPr>
          <w:rFonts w:ascii="Arial" w:cs="Arial" w:eastAsia="Arial" w:hAnsi="Arial"/>
          <w:sz w:val="18"/>
          <w:szCs w:val="18"/>
          <w:color w:val="auto"/>
        </w:rPr>
        <w:t>total subscribers (active and paused) as of , 2021. In the first six months of fiscal year 2021, % of our total revenue was generated by subscribers.</w:t>
      </w:r>
    </w:p>
    <w:p>
      <w:pPr>
        <w:spacing w:after="0" w:line="197" w:lineRule="exact"/>
        <w:rPr>
          <w:sz w:val="20"/>
          <w:szCs w:val="20"/>
          <w:color w:val="auto"/>
        </w:rPr>
      </w:pPr>
    </w:p>
    <w:p>
      <w:pPr>
        <w:ind w:left="300" w:right="180" w:firstLine="532"/>
        <w:spacing w:after="0" w:line="238" w:lineRule="auto"/>
        <w:rPr>
          <w:sz w:val="20"/>
          <w:szCs w:val="20"/>
          <w:color w:val="auto"/>
        </w:rPr>
      </w:pPr>
      <w:r>
        <w:rPr>
          <w:rFonts w:ascii="Arial" w:cs="Arial" w:eastAsia="Arial" w:hAnsi="Arial"/>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w:t>
      </w:r>
    </w:p>
    <w:p>
      <w:pPr>
        <w:spacing w:after="0" w:line="205"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(approximately $ 47,000 and $37,000 in designer retail value on an annualized basis in fiscal year 2019 and for the first five months of fiscal year 2021, respectively).</w:t>
      </w:r>
      <w:r>
        <w:rPr>
          <w:rFonts w:ascii="Arial" w:cs="Arial" w:eastAsia="Arial" w:hAnsi="Arial"/>
          <w:sz w:val="15"/>
          <w:szCs w:val="15"/>
          <w:color w:val="auto"/>
        </w:rPr>
        <w:t>1</w:t>
      </w:r>
      <w:r>
        <w:rPr>
          <w:rFonts w:ascii="Arial" w:cs="Arial" w:eastAsia="Arial" w:hAnsi="Arial"/>
          <w:sz w:val="18"/>
          <w:szCs w:val="18"/>
          <w:color w:val="auto"/>
        </w:rPr>
        <w:t xml:space="preserve"> We have become an everyday utility; our most engaged subscribers</w:t>
      </w:r>
    </w:p>
    <w:p>
      <w:pPr>
        <w:spacing w:after="0" w:line="181" w:lineRule="exact"/>
        <w:rPr>
          <w:sz w:val="20"/>
          <w:szCs w:val="20"/>
          <w:color w:val="auto"/>
        </w:rPr>
      </w:pPr>
    </w:p>
    <w:p>
      <w:pPr>
        <w:ind w:left="600" w:right="220" w:hanging="302"/>
        <w:spacing w:after="0" w:line="199" w:lineRule="auto"/>
        <w:tabs>
          <w:tab w:leader="none" w:pos="60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8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46" w:lineRule="auto"/>
        <w:rPr>
          <w:sz w:val="20"/>
          <w:szCs w:val="20"/>
          <w:color w:val="auto"/>
        </w:rPr>
      </w:pPr>
      <w:r>
        <w:rPr>
          <w:rFonts w:ascii="Arial" w:cs="Arial" w:eastAsia="Arial" w:hAnsi="Arial"/>
          <w:sz w:val="18"/>
          <w:szCs w:val="18"/>
          <w:color w:val="auto"/>
        </w:rPr>
        <w:t>wear Rent the Runway more than 100 days per year. We believe that the convenience and access to a broad assortment of designer brands, categories and styles helps drive our strong customer engagement.</w:t>
      </w:r>
    </w:p>
    <w:p>
      <w:pPr>
        <w:spacing w:after="0" w:line="197"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3" w:lineRule="exact"/>
        <w:rPr>
          <w:sz w:val="20"/>
          <w:szCs w:val="20"/>
          <w:color w:val="auto"/>
        </w:rPr>
      </w:pPr>
    </w:p>
    <w:p>
      <w:pPr>
        <w:ind w:left="300" w:right="140" w:firstLine="532"/>
        <w:spacing w:after="0" w:line="246" w:lineRule="auto"/>
        <w:rPr>
          <w:sz w:val="20"/>
          <w:szCs w:val="20"/>
          <w:color w:val="auto"/>
        </w:rPr>
      </w:pPr>
      <w:r>
        <w:rPr>
          <w:rFonts w:ascii="Arial" w:cs="Arial" w:eastAsia="Arial" w:hAnsi="Arial"/>
          <w:sz w:val="18"/>
          <w:szCs w:val="18"/>
          <w:color w:val="auto"/>
        </w:rPr>
        <w:t>Our Closet in the Cloud connects our deeply engaged customers and our differentiated brand partners on a powerful platform built around our brand, data, logistics and technology advantages.</w:t>
      </w:r>
    </w:p>
    <w:p>
      <w:pPr>
        <w:spacing w:after="0" w:line="84" w:lineRule="exact"/>
        <w:rPr>
          <w:sz w:val="20"/>
          <w:szCs w:val="20"/>
          <w:color w:val="auto"/>
        </w:rPr>
      </w:pPr>
    </w:p>
    <w:p>
      <w:pPr>
        <w:ind w:left="1020" w:right="60" w:hanging="195"/>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Brand Partner Advantage. </w:t>
      </w:r>
      <w:r>
        <w:rPr>
          <w:rFonts w:ascii="Arial" w:cs="Arial" w:eastAsia="Arial" w:hAnsi="Arial"/>
          <w:sz w:val="18"/>
          <w:szCs w:val="18"/>
          <w:color w:val="auto"/>
        </w:rPr>
        <w:t>Our assortment contains thousands of new, current season styles procured from our brand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8"/>
          <w:szCs w:val="18"/>
          <w:i w:val="1"/>
          <w:iCs w:val="1"/>
          <w:color w:val="auto"/>
        </w:rPr>
        <w:t>.</w:t>
      </w:r>
      <w:r>
        <w:rPr>
          <w:rFonts w:ascii="Arial" w:cs="Arial" w:eastAsia="Arial" w:hAnsi="Arial"/>
          <w:sz w:val="18"/>
          <w:szCs w:val="18"/>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w:t>
      </w:r>
    </w:p>
    <w:p>
      <w:pPr>
        <w:spacing w:after="0" w:line="91" w:lineRule="exact"/>
        <w:rPr>
          <w:rFonts w:ascii="Arial" w:cs="Arial" w:eastAsia="Arial" w:hAnsi="Arial"/>
          <w:sz w:val="18"/>
          <w:szCs w:val="18"/>
          <w:color w:val="auto"/>
        </w:rPr>
      </w:pPr>
    </w:p>
    <w:p>
      <w:pPr>
        <w:ind w:left="1020" w:right="80" w:hanging="195"/>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w:t>
      </w:r>
      <w:r>
        <w:rPr>
          <w:rFonts w:ascii="Arial" w:cs="Arial" w:eastAsia="Arial" w:hAnsi="Arial"/>
          <w:sz w:val="18"/>
          <w:szCs w:val="18"/>
          <w:color w:val="auto"/>
        </w:rPr>
        <w:t>We capture a vast amount of quality, actionable data on our customers and products. We leverage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86" w:lineRule="exact"/>
        <w:rPr>
          <w:rFonts w:ascii="Arial" w:cs="Arial" w:eastAsia="Arial" w:hAnsi="Arial"/>
          <w:sz w:val="18"/>
          <w:szCs w:val="18"/>
          <w:color w:val="auto"/>
        </w:rPr>
      </w:pPr>
    </w:p>
    <w:p>
      <w:pPr>
        <w:ind w:left="1020" w:right="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Logistics Advantage. </w:t>
      </w:r>
      <w:r>
        <w:rPr>
          <w:rFonts w:ascii="Arial" w:cs="Arial" w:eastAsia="Arial" w:hAnsi="Arial"/>
          <w:sz w:val="18"/>
          <w:szCs w:val="18"/>
          <w:color w:val="auto"/>
        </w:rPr>
        <w:t>We have developed a proprietary operating system for the sharing economy of</w:t>
      </w:r>
      <w:r>
        <w:rPr>
          <w:rFonts w:ascii="Arial" w:cs="Arial" w:eastAsia="Arial" w:hAnsi="Arial"/>
          <w:sz w:val="18"/>
          <w:szCs w:val="18"/>
          <w:i w:val="1"/>
          <w:iCs w:val="1"/>
          <w:color w:val="auto"/>
        </w:rPr>
        <w:t xml:space="preserve"> </w:t>
      </w:r>
      <w:r>
        <w:rPr>
          <w:rFonts w:ascii="Arial" w:cs="Arial" w:eastAsia="Arial" w:hAnsi="Arial"/>
          <w:sz w:val="18"/>
          <w:szCs w:val="18"/>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203"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Since our inception, organic growth, or word-of-mouth marketing, has been a key advantage for RTR. Many of our customers publicly share their love of the Rent the Runway experience on social media and in their personal lives, which helps drive brand awareness and new customer acquisition. Because of how customers use Rent the Runway, renting bold dynamic pieces, and the confidence they feel, our clothing becomes a visual billboard and advertising for the platform. As a result, since our founding, we have spent less than 10% of total revenue on marketing, and our growth has been mostly organic.</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500"/>
        <w:spacing w:after="0" w:line="246" w:lineRule="auto"/>
        <w:rPr>
          <w:sz w:val="20"/>
          <w:szCs w:val="20"/>
          <w:color w:val="auto"/>
        </w:rPr>
      </w:pPr>
      <w:r>
        <w:rPr>
          <w:rFonts w:ascii="Arial" w:cs="Arial" w:eastAsia="Arial" w:hAnsi="Arial"/>
          <w:sz w:val="18"/>
          <w:szCs w:val="18"/>
          <w:color w:val="auto"/>
        </w:rPr>
        <w:t>More than 88% of our customers over the last 12 years have been acquired via word-of-mouth. Our brand and deeply engaged community have allowed us to acquire customers efficiently even as we have scaled.</w:t>
      </w:r>
    </w:p>
    <w:p>
      <w:pPr>
        <w:spacing w:after="0" w:line="197" w:lineRule="exact"/>
        <w:rPr>
          <w:sz w:val="20"/>
          <w:szCs w:val="20"/>
          <w:color w:val="auto"/>
        </w:rPr>
      </w:pPr>
    </w:p>
    <w:p>
      <w:pPr>
        <w:ind w:left="300" w:right="820" w:firstLine="532"/>
        <w:spacing w:after="0" w:line="246" w:lineRule="auto"/>
        <w:rPr>
          <w:sz w:val="20"/>
          <w:szCs w:val="20"/>
          <w:color w:val="auto"/>
        </w:rPr>
      </w:pPr>
      <w:r>
        <w:rPr>
          <w:rFonts w:ascii="Arial" w:cs="Arial" w:eastAsia="Arial" w:hAnsi="Arial"/>
          <w:sz w:val="18"/>
          <w:szCs w:val="18"/>
          <w:color w:val="auto"/>
        </w:rPr>
        <w:t>We generate revenue from our Subscription, Reserve and Resale offerings. The majority of revenue comes from our Subscription offering, which is highly recurring and drives customer engagement.</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7" w:lineRule="exact"/>
        <w:rPr>
          <w:sz w:val="20"/>
          <w:szCs w:val="20"/>
          <w:color w:val="auto"/>
        </w:rPr>
      </w:pPr>
    </w:p>
    <w:p>
      <w:pPr>
        <w:ind w:left="1020" w:right="100" w:hanging="195"/>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was $53.6 million and $15.6 million in fiscal year 2019 and fiscal year 2020, respectively;</w:t>
      </w:r>
    </w:p>
    <w:p>
      <w:pPr>
        <w:spacing w:after="0" w:line="117" w:lineRule="exact"/>
        <w:rPr>
          <w:rFonts w:ascii="Arial" w:cs="Arial" w:eastAsia="Arial" w:hAnsi="Arial"/>
          <w:sz w:val="18"/>
          <w:szCs w:val="18"/>
          <w:color w:val="auto"/>
        </w:rPr>
      </w:pPr>
    </w:p>
    <w:p>
      <w:pPr>
        <w:ind w:left="1020" w:right="220" w:hanging="195"/>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$129.2 million and $85.4 million in fiscal year 2019 and fiscal year 2020, respectively;</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was $(154.0) million and $(171.1) million in fiscal year 2019 and fiscal year 2020, respectively;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was $(18.0) million and $(20.3) million in fiscal year 2019 and fiscal year 2020, respectively.</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Trends in Our Favor</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witnessing trends that are driving consumer and brand behavior in our favor.</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Consumer Trends</w:t>
      </w:r>
    </w:p>
    <w:p>
      <w:pPr>
        <w:spacing w:after="0" w:line="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Some of the key trends impacting consumers in our industry include:</w:t>
      </w:r>
    </w:p>
    <w:p>
      <w:pPr>
        <w:spacing w:after="0" w:line="55" w:lineRule="exact"/>
        <w:rPr>
          <w:sz w:val="20"/>
          <w:szCs w:val="20"/>
          <w:color w:val="auto"/>
        </w:rPr>
      </w:pPr>
    </w:p>
    <w:p>
      <w:pPr>
        <w:ind w:left="10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from Ownership to Access: </w:t>
      </w:r>
      <w:r>
        <w:rPr>
          <w:rFonts w:ascii="Arial" w:cs="Arial" w:eastAsia="Arial" w:hAnsi="Arial"/>
          <w:sz w:val="18"/>
          <w:szCs w:val="18"/>
          <w:color w:val="auto"/>
        </w:rPr>
        <w:t>In 2020, access models represented 64% of the U.S. recorded music market, 71%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home entertainment market and 17% of the U.S. hospitality market.</w:t>
      </w:r>
      <w:r>
        <w:rPr>
          <w:rFonts w:ascii="Arial" w:cs="Arial" w:eastAsia="Arial" w:hAnsi="Arial"/>
          <w:sz w:val="15"/>
          <w:szCs w:val="15"/>
          <w:color w:val="auto"/>
        </w:rPr>
        <w:t>2</w:t>
      </w:r>
      <w:r>
        <w:rPr>
          <w:rFonts w:ascii="Arial" w:cs="Arial" w:eastAsia="Arial" w:hAnsi="Arial"/>
          <w:sz w:val="18"/>
          <w:szCs w:val="18"/>
          <w:color w:val="auto"/>
        </w:rPr>
        <w:t xml:space="preserve"> Businesses such as Spotify, Netflix and Airbnb have been built in the transition to access and we believe that the apparel industry is ripe for this same disruption.</w:t>
      </w:r>
    </w:p>
    <w:p>
      <w:pPr>
        <w:spacing w:after="0" w:line="33" w:lineRule="exact"/>
        <w:rPr>
          <w:rFonts w:ascii="Arial" w:cs="Arial" w:eastAsia="Arial" w:hAnsi="Arial"/>
          <w:sz w:val="18"/>
          <w:szCs w:val="18"/>
          <w:color w:val="auto"/>
        </w:rPr>
      </w:pPr>
    </w:p>
    <w:p>
      <w:pPr>
        <w:ind w:left="1020" w:right="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Desire for Variety and Newness: </w:t>
      </w:r>
      <w:r>
        <w:rPr>
          <w:rFonts w:ascii="Arial" w:cs="Arial" w:eastAsia="Arial" w:hAnsi="Arial"/>
          <w:sz w:val="18"/>
          <w:szCs w:val="18"/>
          <w:color w:val="auto"/>
        </w:rPr>
        <w:t>Consumers are increasingly seeking variety and newness in their wardrobes. Closets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and, according to the Wall Street Journal, the average consumer buys approximately 70 items of clothing per year as compared to 40 items per year in 1990.</w:t>
      </w:r>
      <w:r>
        <w:rPr>
          <w:rFonts w:ascii="Arial" w:cs="Arial" w:eastAsia="Arial" w:hAnsi="Arial"/>
          <w:sz w:val="15"/>
          <w:szCs w:val="15"/>
          <w:color w:val="auto"/>
        </w:rPr>
        <w:t>3</w:t>
      </w:r>
    </w:p>
    <w:p>
      <w:pPr>
        <w:spacing w:after="0" w:line="170" w:lineRule="exact"/>
        <w:rPr>
          <w:sz w:val="20"/>
          <w:szCs w:val="20"/>
          <w:color w:val="auto"/>
        </w:rPr>
      </w:pPr>
    </w:p>
    <w:p>
      <w:pPr>
        <w:ind w:left="820" w:right="220" w:hanging="522"/>
        <w:spacing w:after="0" w:line="192" w:lineRule="auto"/>
        <w:tabs>
          <w:tab w:leader="none" w:pos="8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 Access models within the hospitality market according to Euromonitor International Ltd.</w:t>
      </w:r>
    </w:p>
    <w:p>
      <w:pPr>
        <w:ind w:left="820" w:hanging="522"/>
        <w:spacing w:after="0" w:line="187" w:lineRule="auto"/>
        <w:tabs>
          <w:tab w:leader="none" w:pos="82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Wall Street Journal, Ups and Downs of U.S. Clothes Shopping, September 2014.</w:t>
      </w:r>
    </w:p>
    <w:p>
      <w:pPr>
        <w:spacing w:after="0" w:line="3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24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of Online Shopping: </w:t>
      </w:r>
      <w:r>
        <w:rPr>
          <w:rFonts w:ascii="Arial" w:cs="Arial" w:eastAsia="Arial" w:hAnsi="Arial"/>
          <w:sz w:val="18"/>
          <w:szCs w:val="18"/>
          <w:color w:val="auto"/>
        </w:rPr>
        <w:t>Despite the fact that closets are growing, online sales represent the fastest growing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apparel market. U.S. online apparel grew at a 17% CAGR between 2015 and 2020 while the broader apparel sector declined, according to Euromonitor.</w:t>
      </w:r>
      <w:r>
        <w:rPr>
          <w:rFonts w:ascii="Arial" w:cs="Arial" w:eastAsia="Arial" w:hAnsi="Arial"/>
          <w:sz w:val="15"/>
          <w:szCs w:val="15"/>
          <w:color w:val="auto"/>
        </w:rPr>
        <w:t>4</w:t>
      </w:r>
    </w:p>
    <w:p>
      <w:pPr>
        <w:spacing w:after="0" w:line="33" w:lineRule="exact"/>
        <w:rPr>
          <w:rFonts w:ascii="Arial" w:cs="Arial" w:eastAsia="Arial" w:hAnsi="Arial"/>
          <w:sz w:val="18"/>
          <w:szCs w:val="18"/>
          <w:color w:val="auto"/>
        </w:rPr>
      </w:pPr>
    </w:p>
    <w:p>
      <w:pPr>
        <w:ind w:left="1020" w:right="8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Driving Fashion: </w:t>
      </w:r>
      <w:r>
        <w:rPr>
          <w:rFonts w:ascii="Arial" w:cs="Arial" w:eastAsia="Arial" w:hAnsi="Arial"/>
          <w:sz w:val="18"/>
          <w:szCs w:val="18"/>
          <w:color w:val="auto"/>
        </w:rPr>
        <w:t>Millennials post nine selfies a week on social media, according to Now Sourcing.</w:t>
      </w:r>
      <w:r>
        <w:rPr>
          <w:rFonts w:ascii="Arial" w:cs="Arial" w:eastAsia="Arial" w:hAnsi="Arial"/>
          <w:sz w:val="15"/>
          <w:szCs w:val="15"/>
          <w:color w:val="auto"/>
        </w:rPr>
        <w:t>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ubiquity of fashion on social media has meant that consumers have a higher awareness of aspirational brands outside their income level.</w:t>
      </w:r>
    </w:p>
    <w:p>
      <w:pPr>
        <w:spacing w:after="0" w:line="33" w:lineRule="exact"/>
        <w:rPr>
          <w:rFonts w:ascii="Arial" w:cs="Arial" w:eastAsia="Arial" w:hAnsi="Arial"/>
          <w:sz w:val="18"/>
          <w:szCs w:val="18"/>
          <w:color w:val="auto"/>
        </w:rPr>
      </w:pPr>
    </w:p>
    <w:p>
      <w:pPr>
        <w:ind w:left="1020" w:right="100" w:hanging="195"/>
        <w:spacing w:after="0" w:line="24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Increasingly Female Workforce: </w:t>
      </w:r>
      <w:r>
        <w:rPr>
          <w:rFonts w:ascii="Arial" w:cs="Arial" w:eastAsia="Arial" w:hAnsi="Arial"/>
          <w:sz w:val="18"/>
          <w:szCs w:val="18"/>
          <w:color w:val="auto"/>
        </w:rPr>
        <w:t>As of January 2021, women represented 47% of the workforce according to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Bureau for Labor Statistics and U.S. Census.</w:t>
      </w:r>
      <w:r>
        <w:rPr>
          <w:rFonts w:ascii="Arial" w:cs="Arial" w:eastAsia="Arial" w:hAnsi="Arial"/>
          <w:sz w:val="15"/>
          <w:szCs w:val="15"/>
          <w:color w:val="auto"/>
        </w:rPr>
        <w:t>6</w:t>
      </w:r>
      <w:r>
        <w:rPr>
          <w:rFonts w:ascii="Arial" w:cs="Arial" w:eastAsia="Arial" w:hAnsi="Arial"/>
          <w:sz w:val="18"/>
          <w:szCs w:val="18"/>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5"/>
          <w:szCs w:val="15"/>
          <w:color w:val="auto"/>
        </w:rPr>
        <w:t>7</w:t>
      </w:r>
    </w:p>
    <w:p>
      <w:pPr>
        <w:spacing w:after="0" w:line="79" w:lineRule="exact"/>
        <w:rPr>
          <w:rFonts w:ascii="Arial" w:cs="Arial" w:eastAsia="Arial" w:hAnsi="Arial"/>
          <w:sz w:val="18"/>
          <w:szCs w:val="18"/>
          <w:color w:val="auto"/>
        </w:rPr>
      </w:pPr>
    </w:p>
    <w:p>
      <w:pPr>
        <w:ind w:left="1020" w:right="100" w:hanging="195"/>
        <w:spacing w:after="0" w:line="25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Importance of Sustainability: </w:t>
      </w:r>
      <w:r>
        <w:rPr>
          <w:rFonts w:ascii="Arial" w:cs="Arial" w:eastAsia="Arial" w:hAnsi="Arial"/>
          <w:sz w:val="18"/>
          <w:szCs w:val="18"/>
          <w:color w:val="auto"/>
        </w:rPr>
        <w:t>Consumers are increasingly aware of the impact their choices are making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 and seeking more sustainable alternatives. According to McKinsey, internet searches for “sustainable fashion” grew 3x between 2016 and 2019.</w:t>
      </w:r>
      <w:r>
        <w:rPr>
          <w:rFonts w:ascii="Arial" w:cs="Arial" w:eastAsia="Arial" w:hAnsi="Arial"/>
          <w:sz w:val="15"/>
          <w:szCs w:val="15"/>
          <w:color w:val="auto"/>
        </w:rPr>
        <w:t>8</w:t>
      </w:r>
    </w:p>
    <w:p>
      <w:pPr>
        <w:spacing w:after="0" w:line="74" w:lineRule="exact"/>
        <w:rPr>
          <w:rFonts w:ascii="Arial" w:cs="Arial" w:eastAsia="Arial" w:hAnsi="Arial"/>
          <w:sz w:val="18"/>
          <w:szCs w:val="18"/>
          <w:color w:val="auto"/>
        </w:rPr>
      </w:pPr>
    </w:p>
    <w:p>
      <w:pPr>
        <w:ind w:left="1020" w:right="20" w:hanging="195"/>
        <w:spacing w:after="0" w:line="27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Normalization of Secondhand: </w:t>
      </w:r>
      <w:r>
        <w:rPr>
          <w:rFonts w:ascii="Arial" w:cs="Arial" w:eastAsia="Arial" w:hAnsi="Arial"/>
          <w:sz w:val="18"/>
          <w:szCs w:val="18"/>
          <w:color w:val="auto"/>
        </w:rPr>
        <w:t>Secondhand fashion has become more mainstream, driven by its affordability, uniqueness,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and alignment with environmental consciousness.</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All designer brands, whether accessible or prestige, face challenges to grow their businesses and serve their consumers.</w:t>
      </w:r>
    </w:p>
    <w:p>
      <w:pPr>
        <w:ind w:left="300"/>
        <w:spacing w:after="0"/>
        <w:rPr>
          <w:sz w:val="20"/>
          <w:szCs w:val="20"/>
          <w:color w:val="auto"/>
        </w:rPr>
      </w:pPr>
      <w:r>
        <w:rPr>
          <w:rFonts w:ascii="Arial" w:cs="Arial" w:eastAsia="Arial" w:hAnsi="Arial"/>
          <w:sz w:val="18"/>
          <w:szCs w:val="18"/>
          <w:color w:val="auto"/>
        </w:rPr>
        <w:t>Those challenges include:</w:t>
      </w:r>
    </w:p>
    <w:p>
      <w:pPr>
        <w:spacing w:after="0" w:line="95" w:lineRule="exact"/>
        <w:rPr>
          <w:sz w:val="20"/>
          <w:szCs w:val="20"/>
          <w:color w:val="auto"/>
        </w:rPr>
      </w:pPr>
    </w:p>
    <w:p>
      <w:pPr>
        <w:ind w:left="1020" w:right="4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Decline of Traditional Wholesale Channels: </w:t>
      </w:r>
      <w:r>
        <w:rPr>
          <w:rFonts w:ascii="Arial" w:cs="Arial" w:eastAsia="Arial" w:hAnsi="Arial"/>
          <w:sz w:val="18"/>
          <w:szCs w:val="18"/>
          <w:color w:val="auto"/>
        </w:rPr>
        <w:t>It is estimated that 80,000 retailers, or 9% of the 878,000 stores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close their doors in the next five years.</w:t>
      </w:r>
      <w:r>
        <w:rPr>
          <w:rFonts w:ascii="Arial" w:cs="Arial" w:eastAsia="Arial" w:hAnsi="Arial"/>
          <w:sz w:val="15"/>
          <w:szCs w:val="15"/>
          <w:color w:val="auto"/>
        </w:rPr>
        <w:t>9</w:t>
      </w:r>
      <w:r>
        <w:rPr>
          <w:rFonts w:ascii="Arial" w:cs="Arial" w:eastAsia="Arial" w:hAnsi="Arial"/>
          <w:sz w:val="18"/>
          <w:szCs w:val="18"/>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5"/>
          <w:szCs w:val="15"/>
          <w:color w:val="auto"/>
        </w:rPr>
        <w:t>10</w:t>
      </w:r>
    </w:p>
    <w:p>
      <w:pPr>
        <w:spacing w:after="0" w:line="74" w:lineRule="exact"/>
        <w:rPr>
          <w:rFonts w:ascii="Arial" w:cs="Arial" w:eastAsia="Arial" w:hAnsi="Arial"/>
          <w:sz w:val="18"/>
          <w:szCs w:val="18"/>
          <w:color w:val="auto"/>
        </w:rPr>
      </w:pPr>
    </w:p>
    <w:p>
      <w:pPr>
        <w:ind w:left="1020" w:right="20" w:hanging="195"/>
        <w:spacing w:after="0" w:line="25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or DTC, as an Essential Channel for Every Brand: </w:t>
      </w:r>
      <w:r>
        <w:rPr>
          <w:rFonts w:ascii="Arial" w:cs="Arial" w:eastAsia="Arial" w:hAnsi="Arial"/>
          <w:sz w:val="18"/>
          <w:szCs w:val="18"/>
          <w:color w:val="auto"/>
        </w:rPr>
        <w:t>Given the growth in online and the challenges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traditional wholesale channels, brands are increasingly seeking DTC channels but often lack the financial or human capital to build them.</w:t>
      </w:r>
    </w:p>
    <w:p>
      <w:pPr>
        <w:spacing w:after="0" w:line="74" w:lineRule="exact"/>
        <w:rPr>
          <w:rFonts w:ascii="Arial" w:cs="Arial" w:eastAsia="Arial" w:hAnsi="Arial"/>
          <w:sz w:val="18"/>
          <w:szCs w:val="18"/>
          <w:color w:val="auto"/>
        </w:rPr>
      </w:pPr>
    </w:p>
    <w:p>
      <w:pPr>
        <w:ind w:left="1020" w:right="480" w:hanging="195"/>
        <w:spacing w:after="0" w:line="301"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Larger, More Fractured Discovery Landscape: </w:t>
      </w:r>
      <w:r>
        <w:rPr>
          <w:rFonts w:ascii="Arial" w:cs="Arial" w:eastAsia="Arial" w:hAnsi="Arial"/>
          <w:sz w:val="17"/>
          <w:szCs w:val="17"/>
          <w:color w:val="auto"/>
        </w:rPr>
        <w:t>According to Publicis Sapient, 87% of shoppers today begin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searches online, meaning that younger customers are focused on direct search for brands they already know.</w:t>
      </w:r>
      <w:r>
        <w:rPr>
          <w:rFonts w:ascii="Arial" w:cs="Arial" w:eastAsia="Arial" w:hAnsi="Arial"/>
          <w:sz w:val="14"/>
          <w:szCs w:val="14"/>
          <w:color w:val="auto"/>
        </w:rPr>
        <w:t>11</w:t>
      </w:r>
    </w:p>
    <w:p>
      <w:pPr>
        <w:spacing w:after="0" w:line="36" w:lineRule="exact"/>
        <w:rPr>
          <w:rFonts w:ascii="Arial" w:cs="Arial" w:eastAsia="Arial" w:hAnsi="Arial"/>
          <w:sz w:val="17"/>
          <w:szCs w:val="17"/>
          <w:color w:val="auto"/>
        </w:rPr>
      </w:pPr>
    </w:p>
    <w:p>
      <w:pPr>
        <w:ind w:left="102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Consumer Base: </w:t>
      </w:r>
      <w:r>
        <w:rPr>
          <w:rFonts w:ascii="Arial" w:cs="Arial" w:eastAsia="Arial" w:hAnsi="Arial"/>
          <w:sz w:val="18"/>
          <w:szCs w:val="18"/>
          <w:color w:val="auto"/>
        </w:rPr>
        <w:t>The average age of a luxury department store customer is 51 years old, meaning it is more difficult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brand partners to reach younger customers through traditional channels.</w:t>
      </w:r>
      <w:r>
        <w:rPr>
          <w:rFonts w:ascii="Arial" w:cs="Arial" w:eastAsia="Arial" w:hAnsi="Arial"/>
          <w:sz w:val="15"/>
          <w:szCs w:val="15"/>
          <w:color w:val="auto"/>
        </w:rPr>
        <w:t>12</w:t>
      </w:r>
    </w:p>
    <w:p>
      <w:pPr>
        <w:spacing w:after="0" w:line="59" w:lineRule="exact"/>
        <w:rPr>
          <w:rFonts w:ascii="Arial" w:cs="Arial" w:eastAsia="Arial" w:hAnsi="Arial"/>
          <w:sz w:val="18"/>
          <w:szCs w:val="18"/>
          <w:color w:val="auto"/>
        </w:rPr>
      </w:pPr>
    </w:p>
    <w:p>
      <w:pPr>
        <w:ind w:left="1020" w:right="200" w:hanging="195"/>
        <w:spacing w:after="0" w:line="27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Heightened Competition from Mass and Fast Fashion</w:t>
      </w:r>
      <w:r>
        <w:rPr>
          <w:rFonts w:ascii="Arial" w:cs="Arial" w:eastAsia="Arial" w:hAnsi="Arial"/>
          <w:sz w:val="18"/>
          <w:szCs w:val="18"/>
          <w:color w:val="auto"/>
        </w:rPr>
        <w:t>: The desire for newness has led to enormous competition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industry from mass and fast fashion brands who can quickly</w:t>
      </w:r>
    </w:p>
    <w:p>
      <w:pPr>
        <w:spacing w:after="0" w:line="154" w:lineRule="exact"/>
        <w:rPr>
          <w:sz w:val="20"/>
          <w:szCs w:val="20"/>
          <w:color w:val="auto"/>
        </w:rPr>
      </w:pPr>
    </w:p>
    <w:p>
      <w:pPr>
        <w:ind w:left="820" w:right="80" w:hanging="522"/>
        <w:spacing w:after="0" w:line="188" w:lineRule="auto"/>
        <w:tabs>
          <w:tab w:leader="none" w:pos="82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Euromonitor International Ltd, Apparel &amp; Footwear 2021 (“Euromonitor Apparel &amp; Footwear 2021”). Retail Value RSP includes sales tax, current prices, year-over-year exchange rates. Apparel is defined as apparel and footwear.</w:t>
      </w:r>
    </w:p>
    <w:p>
      <w:pPr>
        <w:ind w:left="820" w:hanging="522"/>
        <w:spacing w:after="0" w:line="189" w:lineRule="auto"/>
        <w:tabs>
          <w:tab w:leader="none" w:pos="820"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Now Sourcing, How Augmented Reality Has Changed Selfies Forever.</w:t>
      </w:r>
    </w:p>
    <w:p>
      <w:pPr>
        <w:spacing w:after="0" w:line="8" w:lineRule="exact"/>
        <w:rPr>
          <w:sz w:val="20"/>
          <w:szCs w:val="20"/>
          <w:color w:val="auto"/>
        </w:rPr>
      </w:pPr>
    </w:p>
    <w:p>
      <w:pPr>
        <w:ind w:left="820" w:right="180" w:hanging="522"/>
        <w:spacing w:after="0" w:line="188" w:lineRule="auto"/>
        <w:tabs>
          <w:tab w:leader="none" w:pos="82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U.S. Bureau for Labor Statistics, Labor Force Statistics from the Current Population Survey—Household Data Annual Averages—Employment Status of the Civilian Noninstitutional Population by Age, Sex, and Race, 2020.</w:t>
      </w:r>
    </w:p>
    <w:p>
      <w:pPr>
        <w:ind w:left="820" w:hanging="522"/>
        <w:spacing w:after="0" w:line="187" w:lineRule="auto"/>
        <w:tabs>
          <w:tab w:leader="none" w:pos="82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Triple spend on clothing according to Glamour, The Glass Runway: Our Exclusive Survey on the State of the Fashion Industry, May 2018. 50% of women</w:t>
      </w:r>
    </w:p>
    <w:p>
      <w:pPr>
        <w:ind w:left="820"/>
        <w:spacing w:after="0" w:line="230" w:lineRule="auto"/>
        <w:rPr>
          <w:rFonts w:ascii="Arial" w:cs="Arial" w:eastAsia="Arial" w:hAnsi="Arial"/>
          <w:sz w:val="19"/>
          <w:szCs w:val="19"/>
          <w:color w:val="auto"/>
          <w:vertAlign w:val="superscript"/>
        </w:rPr>
      </w:pPr>
      <w:r>
        <w:rPr>
          <w:rFonts w:ascii="Arial" w:cs="Arial" w:eastAsia="Arial" w:hAnsi="Arial"/>
          <w:sz w:val="14"/>
          <w:szCs w:val="14"/>
          <w:color w:val="auto"/>
        </w:rPr>
        <w:t>according to Refinery29 and Rent the Runway, Self Expression &amp; Dressing: Survey Findings, February 2019 (“Refinery29 Survey”).</w:t>
      </w:r>
    </w:p>
    <w:p>
      <w:pPr>
        <w:ind w:left="820" w:hanging="522"/>
        <w:spacing w:after="0" w:line="188"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McKinsey &amp; Co., Fashion’s New Must-Have: Sustainable Sourcing at Scale, October 2019.</w:t>
      </w:r>
    </w:p>
    <w:p>
      <w:pPr>
        <w:ind w:left="820" w:hanging="522"/>
        <w:spacing w:after="0" w:line="187"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1"/>
          <w:szCs w:val="11"/>
          <w:color w:val="auto"/>
        </w:rPr>
        <w:t>Quartz, What an Estimated 80,000 Store Closings Say About the Future of US Retail, April 2021.</w:t>
      </w:r>
    </w:p>
    <w:p>
      <w:pPr>
        <w:ind w:left="820" w:hanging="522"/>
        <w:spacing w:after="0" w:line="187" w:lineRule="auto"/>
        <w:tabs>
          <w:tab w:leader="none" w:pos="8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Forbes, Unprecedented Decline: One Fifth of All American Department Stores Have Closed Since 2018, July 2020.</w:t>
      </w:r>
    </w:p>
    <w:p>
      <w:pPr>
        <w:ind w:left="820" w:hanging="522"/>
        <w:spacing w:after="0" w:line="187" w:lineRule="auto"/>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1"/>
          <w:szCs w:val="11"/>
          <w:color w:val="auto"/>
        </w:rPr>
        <w:t>Salesforce and Publicis Sapient, Shopper First Retailing, 2018.</w:t>
      </w:r>
    </w:p>
    <w:p>
      <w:pPr>
        <w:ind w:left="820" w:hanging="522"/>
        <w:spacing w:after="0" w:line="189" w:lineRule="auto"/>
        <w:tabs>
          <w:tab w:leader="none" w:pos="820"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Racked, More than 40% of Neiman Marcus Shoppers are Millionaires, August 2015.</w:t>
      </w: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20"/>
        <w:spacing w:after="0" w:line="246" w:lineRule="auto"/>
        <w:rPr>
          <w:sz w:val="20"/>
          <w:szCs w:val="20"/>
          <w:color w:val="auto"/>
        </w:rPr>
      </w:pPr>
      <w:r>
        <w:rPr>
          <w:rFonts w:ascii="Arial" w:cs="Arial" w:eastAsia="Arial" w:hAnsi="Arial"/>
          <w:sz w:val="18"/>
          <w:szCs w:val="18"/>
          <w:color w:val="auto"/>
        </w:rPr>
        <w:t>manufacture and copy styles at lower prices than designer brands. In 2020, mass market and fast fashion comprised 42% of the U.S. apparel market, up from 31% ten years ago.</w:t>
      </w:r>
      <w:r>
        <w:rPr>
          <w:rFonts w:ascii="Arial" w:cs="Arial" w:eastAsia="Arial" w:hAnsi="Arial"/>
          <w:sz w:val="15"/>
          <w:szCs w:val="15"/>
          <w:color w:val="auto"/>
        </w:rPr>
        <w:t>13</w:t>
      </w:r>
    </w:p>
    <w:p>
      <w:pPr>
        <w:spacing w:after="0" w:line="80" w:lineRule="exact"/>
        <w:rPr>
          <w:sz w:val="20"/>
          <w:szCs w:val="20"/>
          <w:color w:val="auto"/>
        </w:rPr>
      </w:pPr>
    </w:p>
    <w:p>
      <w:pPr>
        <w:ind w:left="1020" w:right="280" w:hanging="195"/>
        <w:spacing w:after="0" w:line="25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Growing Importance of Data</w:t>
      </w:r>
      <w:r>
        <w:rPr>
          <w:rFonts w:ascii="Arial" w:cs="Arial" w:eastAsia="Arial" w:hAnsi="Arial"/>
          <w:sz w:val="18"/>
          <w:szCs w:val="18"/>
          <w:color w:val="auto"/>
        </w:rPr>
        <w:t>: Data is critical to helping brands assess their product and efficiently acquire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traditional wholesale channels, brands receive very minimal data, and the data they do receive is often a season old.</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Customer Value Proposition</w:t>
      </w:r>
    </w:p>
    <w:p>
      <w:pPr>
        <w:spacing w:after="0" w:line="234" w:lineRule="exact"/>
        <w:rPr>
          <w:sz w:val="20"/>
          <w:szCs w:val="20"/>
          <w:color w:val="auto"/>
        </w:rPr>
      </w:pPr>
    </w:p>
    <w:p>
      <w:pPr>
        <w:jc w:val="both"/>
        <w:ind w:left="300" w:right="240" w:firstLine="532"/>
        <w:spacing w:after="0"/>
        <w:rPr>
          <w:sz w:val="20"/>
          <w:szCs w:val="20"/>
          <w:color w:val="auto"/>
        </w:rPr>
      </w:pPr>
      <w:r>
        <w:rPr>
          <w:rFonts w:ascii="Arial" w:cs="Arial" w:eastAsia="Arial" w:hAnsi="Arial"/>
          <w:sz w:val="18"/>
          <w:szCs w:val="18"/>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Magic of Rent the Runway</w:t>
      </w:r>
    </w:p>
    <w:p>
      <w:pPr>
        <w:spacing w:after="0" w:line="126"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When our customers use Rent the Runway, they experience the magic of accessing an “Unlimited Closet” of constantly rotating styles while saving money and time and reducing clothing waste.</w:t>
      </w:r>
    </w:p>
    <w:p>
      <w:pPr>
        <w:spacing w:after="0" w:line="80" w:lineRule="exact"/>
        <w:rPr>
          <w:sz w:val="20"/>
          <w:szCs w:val="20"/>
          <w:color w:val="auto"/>
        </w:rPr>
      </w:pPr>
    </w:p>
    <w:p>
      <w:pPr>
        <w:ind w:left="1020" w:right="100" w:hanging="195"/>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Variety and Discovery. </w:t>
      </w:r>
      <w:r>
        <w:rPr>
          <w:rFonts w:ascii="Arial" w:cs="Arial" w:eastAsia="Arial" w:hAnsi="Arial"/>
          <w:sz w:val="18"/>
          <w:szCs w:val="18"/>
          <w:color w:val="auto"/>
        </w:rPr>
        <w:t>With over 18,000 styles across over 750 brands and hundreds of categories available in our Closet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Cloud, Rent the Runway gives customers the ability to always wear something new to them and encourages customers to expand their fashion tastes. We are a brand discovery engine, as our subscribers wear 54 brands in their first year, on average.</w:t>
      </w:r>
    </w:p>
    <w:p>
      <w:pPr>
        <w:spacing w:after="0" w:line="79" w:lineRule="exact"/>
        <w:rPr>
          <w:rFonts w:ascii="Arial" w:cs="Arial" w:eastAsia="Arial" w:hAnsi="Arial"/>
          <w:sz w:val="18"/>
          <w:szCs w:val="18"/>
          <w:color w:val="auto"/>
        </w:rPr>
      </w:pPr>
    </w:p>
    <w:p>
      <w:pPr>
        <w:ind w:left="1020" w:right="100" w:hanging="195"/>
        <w:spacing w:after="0" w:line="24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w:t>
      </w:r>
      <w:r>
        <w:rPr>
          <w:rFonts w:ascii="Arial" w:cs="Arial" w:eastAsia="Arial" w:hAnsi="Arial"/>
          <w:sz w:val="18"/>
          <w:szCs w:val="18"/>
          <w:color w:val="auto"/>
        </w:rPr>
        <w:t>Rent the Runway makes thousands of designer styles accessible to all through our Subscription offering for a flat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 market and fast fashion players while offering access to authentic designer items. Approximately 60% of our subscribers report spending between $100 and $500 less per month on clothes when they have a subscription to RTR.</w:t>
      </w:r>
    </w:p>
    <w:p>
      <w:pPr>
        <w:spacing w:after="0" w:line="84" w:lineRule="exact"/>
        <w:rPr>
          <w:rFonts w:ascii="Arial" w:cs="Arial" w:eastAsia="Arial" w:hAnsi="Arial"/>
          <w:sz w:val="18"/>
          <w:szCs w:val="18"/>
          <w:color w:val="auto"/>
        </w:rPr>
      </w:pPr>
    </w:p>
    <w:p>
      <w:pPr>
        <w:ind w:left="1020" w:right="80" w:hanging="195"/>
        <w:spacing w:after="0" w:line="25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Self-Confidence. </w:t>
      </w:r>
      <w:r>
        <w:rPr>
          <w:rFonts w:ascii="Arial" w:cs="Arial" w:eastAsia="Arial" w:hAnsi="Arial"/>
          <w:sz w:val="18"/>
          <w:szCs w:val="18"/>
          <w:color w:val="auto"/>
        </w:rPr>
        <w:t>83% of our subscribers say RTR makes them the most confident version of themselves at work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 settings. Because there is no commitment to keep an item on RTR, we fuel greater self-expression for our customers. Our average subscriber receives four compliments each time she wears RTR.</w:t>
      </w:r>
    </w:p>
    <w:p>
      <w:pPr>
        <w:spacing w:after="0" w:line="74" w:lineRule="exact"/>
        <w:rPr>
          <w:rFonts w:ascii="Arial" w:cs="Arial" w:eastAsia="Arial" w:hAnsi="Arial"/>
          <w:sz w:val="18"/>
          <w:szCs w:val="18"/>
          <w:color w:val="auto"/>
        </w:rPr>
      </w:pPr>
    </w:p>
    <w:p>
      <w:pPr>
        <w:ind w:left="1020" w:right="40" w:hanging="195"/>
        <w:spacing w:after="0" w:line="24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Personalization and Convenience. </w:t>
      </w:r>
      <w:r>
        <w:rPr>
          <w:rFonts w:ascii="Arial" w:cs="Arial" w:eastAsia="Arial" w:hAnsi="Arial"/>
          <w:sz w:val="18"/>
          <w:szCs w:val="18"/>
          <w:color w:val="auto"/>
        </w:rPr>
        <w:t>We use our rich customer data to create a personalized storefront for customers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their style preferences, browsing history and past rentals. Our understanding of our customer improves with each interaction, and we use our personalization algorithm to continuously tailor style recommendations. In fiscal year 2019, subscribers who used our personalized recommendations had 2.7x longer tenure.</w:t>
      </w:r>
    </w:p>
    <w:p>
      <w:pPr>
        <w:spacing w:after="0" w:line="79" w:lineRule="exact"/>
        <w:rPr>
          <w:rFonts w:ascii="Arial" w:cs="Arial" w:eastAsia="Arial" w:hAnsi="Arial"/>
          <w:sz w:val="18"/>
          <w:szCs w:val="18"/>
          <w:color w:val="auto"/>
        </w:rPr>
      </w:pPr>
    </w:p>
    <w:p>
      <w:pPr>
        <w:ind w:left="1020" w:right="100" w:hanging="195"/>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and Community. </w:t>
      </w:r>
      <w:r>
        <w:rPr>
          <w:rFonts w:ascii="Arial" w:cs="Arial" w:eastAsia="Arial" w:hAnsi="Arial"/>
          <w:sz w:val="18"/>
          <w:szCs w:val="18"/>
          <w:color w:val="auto"/>
        </w:rPr>
        <w:t>Our customers are deeply engaged, as evidenced by the 22 million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73" w:lineRule="exact"/>
        <w:rPr>
          <w:sz w:val="20"/>
          <w:szCs w:val="20"/>
          <w:color w:val="auto"/>
        </w:rPr>
      </w:pPr>
    </w:p>
    <w:p>
      <w:pPr>
        <w:ind w:left="820" w:hanging="522"/>
        <w:spacing w:after="0"/>
        <w:tabs>
          <w:tab w:leader="none" w:pos="82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GlobalData, Resale Report, 2021. Mass market is defined as Amazon, off-price, and value retail.</w:t>
      </w: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95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80" w:hanging="195"/>
        <w:spacing w:after="0" w:line="27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Sustainability. </w:t>
      </w:r>
      <w:r>
        <w:rPr>
          <w:rFonts w:ascii="Arial" w:cs="Arial" w:eastAsia="Arial" w:hAnsi="Arial"/>
          <w:sz w:val="18"/>
          <w:szCs w:val="18"/>
          <w:color w:val="auto"/>
        </w:rPr>
        <w:t>Our success in building a rent versus buy mindset is evidenced by the fact that 83% of our subscribers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bought less fast fashion since using RTR and 89% buy fewer clothes than they used to prior to joining RTR.</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Brand Value Proposition</w:t>
      </w:r>
    </w:p>
    <w:p>
      <w:pPr>
        <w:spacing w:after="0" w:line="234" w:lineRule="exact"/>
        <w:rPr>
          <w:sz w:val="20"/>
          <w:szCs w:val="20"/>
          <w:color w:val="auto"/>
        </w:rPr>
      </w:pPr>
    </w:p>
    <w:p>
      <w:pPr>
        <w:jc w:val="both"/>
        <w:ind w:left="300" w:right="200" w:firstLine="532"/>
        <w:spacing w:after="0" w:line="238" w:lineRule="auto"/>
        <w:rPr>
          <w:sz w:val="20"/>
          <w:szCs w:val="20"/>
          <w:color w:val="auto"/>
        </w:rPr>
      </w:pPr>
      <w:r>
        <w:rPr>
          <w:rFonts w:ascii="Arial" w:cs="Arial" w:eastAsia="Arial" w:hAnsi="Arial"/>
          <w:sz w:val="18"/>
          <w:szCs w:val="18"/>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site.</w:t>
      </w:r>
    </w:p>
    <w:p>
      <w:pPr>
        <w:spacing w:after="0" w:line="205" w:lineRule="exact"/>
        <w:rPr>
          <w:sz w:val="20"/>
          <w:szCs w:val="20"/>
          <w:color w:val="auto"/>
        </w:rPr>
      </w:pPr>
    </w:p>
    <w:p>
      <w:pPr>
        <w:ind w:left="300" w:right="180" w:firstLine="532"/>
        <w:spacing w:after="0" w:line="237" w:lineRule="auto"/>
        <w:rPr>
          <w:sz w:val="20"/>
          <w:szCs w:val="20"/>
          <w:color w:val="auto"/>
        </w:rPr>
      </w:pPr>
      <w:r>
        <w:rPr>
          <w:rFonts w:ascii="Arial" w:cs="Arial" w:eastAsia="Arial" w:hAnsi="Arial"/>
          <w:sz w:val="18"/>
          <w:szCs w:val="18"/>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control how they appear to a new and critical customer segment.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205"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5"/>
          <w:szCs w:val="15"/>
          <w:color w:val="auto"/>
        </w:rPr>
        <w:t>14</w:t>
      </w:r>
      <w:r>
        <w:rPr>
          <w:rFonts w:ascii="Arial" w:cs="Arial" w:eastAsia="Arial" w:hAnsi="Arial"/>
          <w:sz w:val="18"/>
          <w:szCs w:val="18"/>
          <w:color w:val="auto"/>
        </w:rPr>
        <w:t xml:space="preserve"> We are widely recognized by the brand community as an important and growing distribution channel for their businesses.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for Brands</w:t>
      </w:r>
    </w:p>
    <w:p>
      <w:pPr>
        <w:spacing w:after="0" w:line="126" w:lineRule="exact"/>
        <w:rPr>
          <w:sz w:val="20"/>
          <w:szCs w:val="20"/>
          <w:color w:val="auto"/>
        </w:rPr>
      </w:pPr>
    </w:p>
    <w:p>
      <w:pPr>
        <w:ind w:left="300" w:right="400" w:firstLine="532"/>
        <w:spacing w:after="0" w:line="246" w:lineRule="auto"/>
        <w:rPr>
          <w:sz w:val="20"/>
          <w:szCs w:val="20"/>
          <w:color w:val="auto"/>
        </w:rPr>
      </w:pPr>
      <w:r>
        <w:rPr>
          <w:rFonts w:ascii="Arial" w:cs="Arial" w:eastAsia="Arial" w:hAnsi="Arial"/>
          <w:sz w:val="18"/>
          <w:szCs w:val="18"/>
          <w:color w:val="auto"/>
        </w:rPr>
        <w:t>When our brand partners join Rent the Runway, they trust that our platform will grow their customer base, build their brand awareness and enable them to innovate their business.</w:t>
      </w:r>
    </w:p>
    <w:p>
      <w:pPr>
        <w:spacing w:after="0" w:line="80" w:lineRule="exact"/>
        <w:rPr>
          <w:sz w:val="20"/>
          <w:szCs w:val="20"/>
          <w:color w:val="auto"/>
        </w:rPr>
      </w:pPr>
    </w:p>
    <w:p>
      <w:pPr>
        <w:ind w:left="1020" w:right="140" w:hanging="195"/>
        <w:spacing w:after="0" w:line="25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w:t>
      </w:r>
      <w:r>
        <w:rPr>
          <w:rFonts w:ascii="Arial" w:cs="Arial" w:eastAsia="Arial" w:hAnsi="Arial"/>
          <w:sz w:val="18"/>
          <w:szCs w:val="18"/>
          <w:color w:val="auto"/>
        </w:rPr>
        <w:t>Rent the Runway is a trusted platform for discovery and access, and we present our brand partners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74"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Discovery and Acquisition. </w:t>
      </w:r>
      <w:r>
        <w:rPr>
          <w:rFonts w:ascii="Arial" w:cs="Arial" w:eastAsia="Arial" w:hAnsi="Arial"/>
          <w:sz w:val="18"/>
          <w:szCs w:val="18"/>
          <w:color w:val="auto"/>
        </w:rPr>
        <w:t>With over 2.5 million lifetime customers as of June 2021 across all offerings,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our brand partners with a new way to reach both current luxury consumers and aspirational luxury consumers. Approximately 82% of our subscribers purchased one or more brands they discovered on Rent the Runway (either from RTR or elsewhere).</w:t>
      </w:r>
    </w:p>
    <w:p>
      <w:pPr>
        <w:spacing w:after="0" w:line="79" w:lineRule="exact"/>
        <w:rPr>
          <w:rFonts w:ascii="Arial" w:cs="Arial" w:eastAsia="Arial" w:hAnsi="Arial"/>
          <w:sz w:val="18"/>
          <w:szCs w:val="18"/>
          <w:color w:val="auto"/>
        </w:rPr>
      </w:pPr>
    </w:p>
    <w:p>
      <w:pPr>
        <w:ind w:left="1020" w:right="40" w:hanging="195"/>
        <w:spacing w:after="0" w:line="24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Their Business. </w:t>
      </w:r>
      <w:r>
        <w:rPr>
          <w:rFonts w:ascii="Arial" w:cs="Arial" w:eastAsia="Arial" w:hAnsi="Arial"/>
          <w:sz w:val="18"/>
          <w:szCs w:val="18"/>
          <w:color w:val="auto"/>
        </w:rPr>
        <w:t>We serve as an important channel for over 750 brands that see us as essential to their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success.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175" w:lineRule="exact"/>
        <w:rPr>
          <w:sz w:val="20"/>
          <w:szCs w:val="20"/>
          <w:color w:val="auto"/>
        </w:rPr>
      </w:pPr>
    </w:p>
    <w:p>
      <w:pPr>
        <w:ind w:left="820" w:right="40" w:hanging="522"/>
        <w:spacing w:after="0" w:line="199" w:lineRule="auto"/>
        <w:tabs>
          <w:tab w:leader="none" w:pos="82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100" w:hanging="195"/>
        <w:spacing w:after="0" w:line="25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Profitable Partnership. </w:t>
      </w:r>
      <w:r>
        <w:rPr>
          <w:rFonts w:ascii="Arial" w:cs="Arial" w:eastAsia="Arial" w:hAnsi="Arial"/>
          <w:sz w:val="18"/>
          <w:szCs w:val="18"/>
          <w:color w:val="auto"/>
        </w:rPr>
        <w:t>We are a more profitable partner to brands than legacy retailers because we do not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to sign margin agreements with us or return-to-vendor agreements, which have historically levied brands with higher inventory risk than their retail partners.</w:t>
      </w:r>
    </w:p>
    <w:p>
      <w:pPr>
        <w:spacing w:after="0" w:line="74" w:lineRule="exact"/>
        <w:rPr>
          <w:rFonts w:ascii="Arial" w:cs="Arial" w:eastAsia="Arial" w:hAnsi="Arial"/>
          <w:sz w:val="18"/>
          <w:szCs w:val="18"/>
          <w:color w:val="auto"/>
        </w:rPr>
      </w:pPr>
    </w:p>
    <w:p>
      <w:pPr>
        <w:jc w:val="both"/>
        <w:ind w:left="1020" w:right="100" w:hanging="195"/>
        <w:spacing w:after="0" w:line="25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Compete with Mass and Fast Fashion. </w:t>
      </w:r>
      <w:r>
        <w:rPr>
          <w:rFonts w:ascii="Arial" w:cs="Arial" w:eastAsia="Arial" w:hAnsi="Arial"/>
          <w:sz w:val="18"/>
          <w:szCs w:val="18"/>
          <w:color w:val="auto"/>
        </w:rPr>
        <w:t>We enable brands to compete with wear-it-once, mass and fast fashion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offering their premium products at a more accessible price point, enabling brands to connect with a broad customer base without diluting their brand.</w:t>
      </w:r>
    </w:p>
    <w:p>
      <w:pPr>
        <w:spacing w:after="0" w:line="74" w:lineRule="exact"/>
        <w:rPr>
          <w:rFonts w:ascii="Arial" w:cs="Arial" w:eastAsia="Arial" w:hAnsi="Arial"/>
          <w:sz w:val="18"/>
          <w:szCs w:val="18"/>
          <w:color w:val="auto"/>
        </w:rPr>
      </w:pPr>
    </w:p>
    <w:p>
      <w:pPr>
        <w:ind w:left="1020" w:right="280" w:hanging="195"/>
        <w:spacing w:after="0" w:line="24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w:t>
      </w:r>
      <w:r>
        <w:rPr>
          <w:rFonts w:ascii="Arial" w:cs="Arial" w:eastAsia="Arial" w:hAnsi="Arial"/>
          <w:sz w:val="18"/>
          <w:szCs w:val="18"/>
          <w:color w:val="auto"/>
        </w:rPr>
        <w:t>We provide our brand partners with actionable data and customer feedback that is not available via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channels and is differentiated from what they collect through their own DTC channels. This data allows them to adjust their designs in order to grow and optimize their businesses and manufacture styles that last longer and are more sustainable.</w:t>
      </w:r>
    </w:p>
    <w:p>
      <w:pPr>
        <w:spacing w:after="0" w:line="79" w:lineRule="exact"/>
        <w:rPr>
          <w:rFonts w:ascii="Arial" w:cs="Arial" w:eastAsia="Arial" w:hAnsi="Arial"/>
          <w:sz w:val="18"/>
          <w:szCs w:val="18"/>
          <w:color w:val="auto"/>
        </w:rPr>
      </w:pPr>
    </w:p>
    <w:p>
      <w:pPr>
        <w:ind w:left="1020" w:right="20" w:hanging="195"/>
        <w:spacing w:after="0" w:line="25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Sustainability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allows brands to participate in the circular economy and provides a way for them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secondhand market. As of June 2021, 67% of our brand partners believed that RTR is an important part of their business’s sustainability strategy.</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Rent the Runway Virality and Marketing Strategy</w:t>
      </w:r>
    </w:p>
    <w:p>
      <w:pPr>
        <w:spacing w:after="0" w:line="234" w:lineRule="exact"/>
        <w:rPr>
          <w:sz w:val="20"/>
          <w:szCs w:val="20"/>
          <w:color w:val="auto"/>
        </w:rPr>
      </w:pPr>
    </w:p>
    <w:p>
      <w:pPr>
        <w:ind w:left="300" w:firstLine="532"/>
        <w:spacing w:after="0" w:line="237" w:lineRule="auto"/>
        <w:rPr>
          <w:sz w:val="20"/>
          <w:szCs w:val="20"/>
          <w:color w:val="auto"/>
        </w:rPr>
      </w:pPr>
      <w:r>
        <w:rPr>
          <w:rFonts w:ascii="Arial" w:cs="Arial" w:eastAsia="Arial" w:hAnsi="Arial"/>
          <w:sz w:val="18"/>
          <w:szCs w:val="18"/>
          <w:color w:val="auto"/>
        </w:rPr>
        <w:t>Our brand and deeply engaged consumer base have allowed us to acquire customers efficiently. Since our founding, we have spent less than 10% of total revenue on marketing, and our growth has been mostly organic. More than 88% of our customers over the last 12 years have been acquired via word of mouth.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was 20% among U.S. women ages 18 - 45 with a household income of $50,000 or more.</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Total Addressable Market</w:t>
      </w:r>
    </w:p>
    <w:p>
      <w:pPr>
        <w:spacing w:after="0" w:line="234" w:lineRule="exact"/>
        <w:rPr>
          <w:sz w:val="20"/>
          <w:szCs w:val="20"/>
          <w:color w:val="auto"/>
        </w:rPr>
      </w:pPr>
    </w:p>
    <w:p>
      <w:pPr>
        <w:jc w:val="both"/>
        <w:ind w:left="300" w:right="140" w:firstLine="532"/>
        <w:spacing w:after="0" w:line="238" w:lineRule="auto"/>
        <w:rPr>
          <w:sz w:val="20"/>
          <w:szCs w:val="20"/>
          <w:color w:val="auto"/>
        </w:rPr>
      </w:pPr>
      <w:r>
        <w:rPr>
          <w:rFonts w:ascii="Arial" w:cs="Arial" w:eastAsia="Arial" w:hAnsi="Arial"/>
          <w:sz w:val="18"/>
          <w:szCs w:val="18"/>
          <w:color w:val="auto"/>
        </w:rPr>
        <w:t>Apparel is a large market that is rapidly shifting online. According to Euromonitor, the U.S. apparel market was $286 billion in 2020 of which 37% or $107 billion is online. The online U.S. apparel market is expected to grow at a 12% compound annual growth rate, or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5"/>
          <w:szCs w:val="15"/>
          <w:color w:val="auto"/>
        </w:rPr>
        <w:t>15</w:t>
      </w:r>
    </w:p>
    <w:p>
      <w:pPr>
        <w:spacing w:after="0" w:line="205" w:lineRule="exact"/>
        <w:rPr>
          <w:sz w:val="20"/>
          <w:szCs w:val="20"/>
          <w:color w:val="auto"/>
        </w:rPr>
      </w:pPr>
    </w:p>
    <w:p>
      <w:pPr>
        <w:ind w:left="300" w:firstLine="532"/>
        <w:spacing w:after="0" w:line="261" w:lineRule="auto"/>
        <w:rPr>
          <w:sz w:val="20"/>
          <w:szCs w:val="20"/>
          <w:color w:val="auto"/>
        </w:rPr>
      </w:pPr>
      <w:r>
        <w:rPr>
          <w:rFonts w:ascii="Arial" w:cs="Arial" w:eastAsia="Arial" w:hAnsi="Arial"/>
          <w:sz w:val="17"/>
          <w:szCs w:val="17"/>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86" w:lineRule="exact"/>
        <w:rPr>
          <w:sz w:val="20"/>
          <w:szCs w:val="20"/>
          <w:color w:val="auto"/>
        </w:rPr>
      </w:pPr>
    </w:p>
    <w:p>
      <w:pPr>
        <w:ind w:left="300" w:right="420" w:firstLine="532"/>
        <w:spacing w:after="0" w:line="248" w:lineRule="auto"/>
        <w:rPr>
          <w:sz w:val="20"/>
          <w:szCs w:val="20"/>
          <w:color w:val="auto"/>
        </w:rPr>
      </w:pPr>
      <w:r>
        <w:rPr>
          <w:rFonts w:ascii="Arial" w:cs="Arial" w:eastAsia="Arial" w:hAnsi="Arial"/>
          <w:sz w:val="17"/>
          <w:szCs w:val="17"/>
          <w:color w:val="auto"/>
        </w:rPr>
        <w:t>We believe we are in the early innings of this opportunity. As of the end of fiscal year 2019 and 2020, we had 147,866 and 95,245 total subscribers (which includes both active and paused), respectively. Since 2009, we have had over 2.5 million lifetime</w:t>
      </w:r>
    </w:p>
    <w:p>
      <w:pPr>
        <w:spacing w:after="0" w:line="1" w:lineRule="exact"/>
        <w:rPr>
          <w:sz w:val="20"/>
          <w:szCs w:val="20"/>
          <w:color w:val="auto"/>
        </w:rPr>
      </w:pPr>
    </w:p>
    <w:p>
      <w:pPr>
        <w:ind w:left="300" w:right="1140"/>
        <w:spacing w:after="0" w:line="246" w:lineRule="auto"/>
        <w:rPr>
          <w:sz w:val="20"/>
          <w:szCs w:val="20"/>
          <w:color w:val="auto"/>
        </w:rPr>
      </w:pPr>
      <w:r>
        <w:rPr>
          <w:rFonts w:ascii="Arial" w:cs="Arial" w:eastAsia="Arial" w:hAnsi="Arial"/>
          <w:sz w:val="18"/>
          <w:szCs w:val="18"/>
          <w:color w:val="auto"/>
        </w:rPr>
        <w:t>customers across all of our offerings, and as of July 31, 2021, we had over total subscribers, representing less than % of the total population of women aged 18 and above in the U.S.</w:t>
      </w:r>
    </w:p>
    <w:p>
      <w:pPr>
        <w:spacing w:after="0" w:line="175" w:lineRule="exact"/>
        <w:rPr>
          <w:sz w:val="20"/>
          <w:szCs w:val="20"/>
          <w:color w:val="auto"/>
        </w:rPr>
      </w:pPr>
    </w:p>
    <w:p>
      <w:pPr>
        <w:ind w:left="820" w:right="320" w:hanging="522"/>
        <w:spacing w:after="0" w:line="183" w:lineRule="auto"/>
        <w:tabs>
          <w:tab w:leader="none" w:pos="82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Strategies</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key elements of our growth strategy are:</w:t>
      </w:r>
    </w:p>
    <w:p>
      <w:pPr>
        <w:spacing w:after="0" w:line="95" w:lineRule="exact"/>
        <w:rPr>
          <w:sz w:val="20"/>
          <w:szCs w:val="20"/>
          <w:color w:val="auto"/>
        </w:rPr>
      </w:pPr>
    </w:p>
    <w:p>
      <w:pPr>
        <w:ind w:left="1020" w:right="160" w:hanging="195"/>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Subscribers. </w:t>
      </w:r>
      <w:r>
        <w:rPr>
          <w:rFonts w:ascii="Arial" w:cs="Arial" w:eastAsia="Arial" w:hAnsi="Arial"/>
          <w:sz w:val="18"/>
          <w:szCs w:val="18"/>
          <w:color w:val="auto"/>
        </w:rPr>
        <w:t>With our differentiated brand and organic virality, strong funnel of new customers through Reserve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Resale and our continued focus on marketing efficiency, we are focused on growing our subscriber base.</w:t>
      </w:r>
    </w:p>
    <w:p>
      <w:pPr>
        <w:spacing w:after="0" w:line="59" w:lineRule="exact"/>
        <w:rPr>
          <w:rFonts w:ascii="Arial" w:cs="Arial" w:eastAsia="Arial" w:hAnsi="Arial"/>
          <w:sz w:val="18"/>
          <w:szCs w:val="18"/>
          <w:color w:val="auto"/>
        </w:rPr>
      </w:pPr>
    </w:p>
    <w:p>
      <w:pPr>
        <w:ind w:left="1020" w:right="140" w:hanging="195"/>
        <w:spacing w:after="0" w:line="25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Assortment by Adding New Brand Partners and Deepening Existing Brand Partner Relationships.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focused on expanding our product assortment and in particular, we intend to accelerate our capex-light partnerships via Share by RTR and Exclusive Designs.</w:t>
      </w:r>
    </w:p>
    <w:p>
      <w:pPr>
        <w:spacing w:after="0" w:line="74" w:lineRule="exact"/>
        <w:rPr>
          <w:rFonts w:ascii="Arial" w:cs="Arial" w:eastAsia="Arial" w:hAnsi="Arial"/>
          <w:sz w:val="18"/>
          <w:szCs w:val="18"/>
          <w:color w:val="auto"/>
        </w:rPr>
      </w:pPr>
    </w:p>
    <w:p>
      <w:pPr>
        <w:ind w:left="1020" w:right="20" w:hanging="195"/>
        <w:spacing w:after="0" w:line="25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the Customer Experience. </w:t>
      </w:r>
      <w:r>
        <w:rPr>
          <w:rFonts w:ascii="Arial" w:cs="Arial" w:eastAsia="Arial" w:hAnsi="Arial"/>
          <w:sz w:val="18"/>
          <w:szCs w:val="18"/>
          <w:color w:val="auto"/>
        </w:rPr>
        <w:t>Our customer experience includes interactions online and the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offline wearing Rent the Runway. We are focused on driving continuous improvements in both areas, particularly on personalization, social features and transportation innovation.</w:t>
      </w:r>
    </w:p>
    <w:p>
      <w:pPr>
        <w:spacing w:after="0" w:line="74" w:lineRule="exact"/>
        <w:rPr>
          <w:rFonts w:ascii="Arial" w:cs="Arial" w:eastAsia="Arial" w:hAnsi="Arial"/>
          <w:sz w:val="18"/>
          <w:szCs w:val="18"/>
          <w:color w:val="auto"/>
        </w:rPr>
      </w:pPr>
    </w:p>
    <w:p>
      <w:pPr>
        <w:ind w:left="1020" w:right="80" w:hanging="195"/>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Launch New Categories and Offerings. </w:t>
      </w:r>
      <w:r>
        <w:rPr>
          <w:rFonts w:ascii="Arial" w:cs="Arial" w:eastAsia="Arial" w:hAnsi="Arial"/>
          <w:sz w:val="18"/>
          <w:szCs w:val="18"/>
          <w:color w:val="auto"/>
        </w:rPr>
        <w:t>Our flexible membership platform and physical logistical infrastructure means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can launch new categories and offerings that resonate with our customers and their lifestyles.</w:t>
      </w:r>
    </w:p>
    <w:p>
      <w:pPr>
        <w:spacing w:after="0" w:line="59"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Brand Partner Marketplace Enablement Tools. </w:t>
      </w:r>
      <w:r>
        <w:rPr>
          <w:rFonts w:ascii="Arial" w:cs="Arial" w:eastAsia="Arial" w:hAnsi="Arial"/>
          <w:sz w:val="18"/>
          <w:szCs w:val="18"/>
          <w:color w:val="auto"/>
        </w:rPr>
        <w:t>Our goal is to help our brands build bigger businesses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and off our platform. We intend to continue to expand Share by RTR and provide more tools to our brand partners to grow their businesses and assortments across subscription, rental and resale.</w:t>
      </w:r>
    </w:p>
    <w:p>
      <w:pPr>
        <w:spacing w:after="0" w:line="74"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Leverage in Operational Efficiency. </w:t>
      </w:r>
      <w:r>
        <w:rPr>
          <w:rFonts w:ascii="Arial" w:cs="Arial" w:eastAsia="Arial" w:hAnsi="Arial"/>
          <w:sz w:val="18"/>
          <w:szCs w:val="18"/>
          <w:color w:val="auto"/>
        </w:rPr>
        <w:t>We are focused on using our data to drive actionable insights and improve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of our operations.</w:t>
      </w:r>
    </w:p>
    <w:p>
      <w:pPr>
        <w:spacing w:after="0" w:line="59" w:lineRule="exact"/>
        <w:rPr>
          <w:rFonts w:ascii="Arial" w:cs="Arial" w:eastAsia="Arial" w:hAnsi="Arial"/>
          <w:sz w:val="18"/>
          <w:szCs w:val="18"/>
          <w:color w:val="auto"/>
        </w:rPr>
      </w:pPr>
    </w:p>
    <w:p>
      <w:pPr>
        <w:ind w:left="1020" w:right="60" w:hanging="195"/>
        <w:spacing w:after="0" w:line="27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may invest in creating a sharing economy of physical goods around the world. We may choose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do this organically or through partnerships and acquisitions.</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Factors Summary</w:t>
      </w:r>
    </w:p>
    <w:p>
      <w:pPr>
        <w:spacing w:after="0" w:line="234" w:lineRule="exact"/>
        <w:rPr>
          <w:sz w:val="20"/>
          <w:szCs w:val="20"/>
          <w:color w:val="auto"/>
        </w:rPr>
      </w:pPr>
    </w:p>
    <w:p>
      <w:pPr>
        <w:ind w:left="300" w:right="20" w:firstLine="532"/>
        <w:spacing w:after="0" w:line="261" w:lineRule="auto"/>
        <w:rPr>
          <w:sz w:val="20"/>
          <w:szCs w:val="20"/>
          <w:color w:val="auto"/>
        </w:rPr>
      </w:pPr>
      <w:r>
        <w:rPr>
          <w:rFonts w:ascii="Arial" w:cs="Arial" w:eastAsia="Arial" w:hAnsi="Arial"/>
          <w:sz w:val="17"/>
          <w:szCs w:val="17"/>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91" w:lineRule="exact"/>
        <w:rPr>
          <w:sz w:val="20"/>
          <w:szCs w:val="20"/>
          <w:color w:val="auto"/>
        </w:rPr>
      </w:pPr>
    </w:p>
    <w:p>
      <w:pPr>
        <w:ind w:left="1020" w:right="320" w:hanging="195"/>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117" w:lineRule="exact"/>
        <w:rPr>
          <w:rFonts w:ascii="Arial" w:cs="Arial" w:eastAsia="Arial" w:hAnsi="Arial"/>
          <w:sz w:val="18"/>
          <w:szCs w:val="18"/>
          <w:color w:val="auto"/>
        </w:rPr>
      </w:pPr>
    </w:p>
    <w:p>
      <w:pPr>
        <w:ind w:left="1020" w:right="180" w:hanging="19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61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hanging="19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117" w:lineRule="exact"/>
        <w:rPr>
          <w:rFonts w:ascii="Arial" w:cs="Arial" w:eastAsia="Arial" w:hAnsi="Arial"/>
          <w:sz w:val="18"/>
          <w:szCs w:val="18"/>
          <w:color w:val="auto"/>
        </w:rPr>
      </w:pPr>
    </w:p>
    <w:p>
      <w:pPr>
        <w:ind w:left="1020" w:right="4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102"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102"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02" w:lineRule="exact"/>
        <w:rPr>
          <w:rFonts w:ascii="Arial" w:cs="Arial" w:eastAsia="Arial" w:hAnsi="Arial"/>
          <w:sz w:val="18"/>
          <w:szCs w:val="18"/>
          <w:color w:val="auto"/>
        </w:rPr>
      </w:pPr>
    </w:p>
    <w:p>
      <w:pPr>
        <w:ind w:left="1020" w:right="260" w:hanging="195"/>
        <w:spacing w:after="0" w:line="23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107" w:lineRule="exact"/>
        <w:rPr>
          <w:rFonts w:ascii="Arial" w:cs="Arial" w:eastAsia="Arial" w:hAnsi="Arial"/>
          <w:sz w:val="18"/>
          <w:szCs w:val="18"/>
          <w:color w:val="auto"/>
        </w:rPr>
      </w:pPr>
    </w:p>
    <w:p>
      <w:pPr>
        <w:ind w:left="1020" w:hanging="19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117" w:lineRule="exact"/>
        <w:rPr>
          <w:rFonts w:ascii="Arial" w:cs="Arial" w:eastAsia="Arial" w:hAnsi="Arial"/>
          <w:sz w:val="18"/>
          <w:szCs w:val="18"/>
          <w:color w:val="auto"/>
        </w:rPr>
      </w:pPr>
    </w:p>
    <w:p>
      <w:pPr>
        <w:ind w:left="1020" w:right="40" w:hanging="195"/>
        <w:spacing w:after="0" w:line="23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10" w:lineRule="exact"/>
        <w:rPr>
          <w:rFonts w:ascii="Arial" w:cs="Arial" w:eastAsia="Arial" w:hAnsi="Arial"/>
          <w:sz w:val="18"/>
          <w:szCs w:val="18"/>
          <w:color w:val="auto"/>
        </w:rPr>
      </w:pPr>
    </w:p>
    <w:p>
      <w:pPr>
        <w:ind w:left="1020" w:right="8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102" w:lineRule="exact"/>
        <w:rPr>
          <w:rFonts w:ascii="Arial" w:cs="Arial" w:eastAsia="Arial" w:hAnsi="Arial"/>
          <w:sz w:val="18"/>
          <w:szCs w:val="18"/>
          <w:color w:val="auto"/>
        </w:rPr>
      </w:pPr>
    </w:p>
    <w:p>
      <w:pPr>
        <w:ind w:left="1020" w:right="480" w:hanging="195"/>
        <w:spacing w:after="0" w:line="23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10" w:lineRule="exact"/>
        <w:rPr>
          <w:rFonts w:ascii="Arial" w:cs="Arial" w:eastAsia="Arial" w:hAnsi="Arial"/>
          <w:sz w:val="18"/>
          <w:szCs w:val="18"/>
          <w:color w:val="auto"/>
        </w:rPr>
      </w:pPr>
    </w:p>
    <w:p>
      <w:pPr>
        <w:ind w:left="1020" w:hanging="19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117" w:lineRule="exact"/>
        <w:rPr>
          <w:rFonts w:ascii="Arial" w:cs="Arial" w:eastAsia="Arial" w:hAnsi="Arial"/>
          <w:sz w:val="18"/>
          <w:szCs w:val="18"/>
          <w:color w:val="auto"/>
        </w:rPr>
      </w:pPr>
    </w:p>
    <w:p>
      <w:pPr>
        <w:ind w:left="1020" w:right="26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108" w:lineRule="exact"/>
        <w:rPr>
          <w:rFonts w:ascii="Arial" w:cs="Arial" w:eastAsia="Arial" w:hAnsi="Arial"/>
          <w:sz w:val="18"/>
          <w:szCs w:val="18"/>
          <w:color w:val="auto"/>
        </w:rPr>
      </w:pPr>
    </w:p>
    <w:p>
      <w:pPr>
        <w:ind w:left="1020" w:right="240" w:hanging="19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108" w:lineRule="exact"/>
        <w:rPr>
          <w:rFonts w:ascii="Arial" w:cs="Arial" w:eastAsia="Arial" w:hAnsi="Arial"/>
          <w:sz w:val="18"/>
          <w:szCs w:val="18"/>
          <w:color w:val="auto"/>
        </w:rPr>
      </w:pPr>
    </w:p>
    <w:p>
      <w:pPr>
        <w:ind w:left="1020" w:hanging="195"/>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spacing w:after="0" w:line="246" w:lineRule="auto"/>
        <w:rPr>
          <w:sz w:val="20"/>
          <w:szCs w:val="20"/>
          <w:color w:val="auto"/>
        </w:rPr>
      </w:pPr>
      <w:r>
        <w:rPr>
          <w:rFonts w:ascii="Arial" w:cs="Arial" w:eastAsia="Arial" w:hAnsi="Arial"/>
          <w:sz w:val="18"/>
          <w:szCs w:val="18"/>
          <w:color w:val="auto"/>
        </w:rPr>
        <w:t>on , including our founders, directors, executive officers, and their respective affiliates, which will limit your ability to influence the outcome of important transactions, including a change of control.</w:t>
      </w:r>
    </w:p>
    <w:p>
      <w:pPr>
        <w:spacing w:after="0" w:line="102" w:lineRule="exact"/>
        <w:rPr>
          <w:sz w:val="20"/>
          <w:szCs w:val="20"/>
          <w:color w:val="auto"/>
        </w:rPr>
      </w:pPr>
    </w:p>
    <w:p>
      <w:pPr>
        <w:ind w:left="1020" w:right="100" w:hanging="195"/>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share price may be volatile, and you may be unable to sell your shares at or above the offering price.</w:t>
      </w:r>
    </w:p>
    <w:p>
      <w:pPr>
        <w:spacing w:after="0" w:line="117" w:lineRule="exact"/>
        <w:rPr>
          <w:rFonts w:ascii="Arial" w:cs="Arial" w:eastAsia="Arial" w:hAnsi="Arial"/>
          <w:sz w:val="18"/>
          <w:szCs w:val="18"/>
          <w:color w:val="auto"/>
        </w:rPr>
      </w:pPr>
    </w:p>
    <w:p>
      <w:pPr>
        <w:ind w:left="1020" w:right="80" w:hanging="195"/>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this offering, company insiders will continue to have the ability to control or significantly influence all matters submitted to stockholders for approval.</w:t>
      </w:r>
    </w:p>
    <w:p>
      <w:pPr>
        <w:spacing w:after="0" w:line="102" w:lineRule="exact"/>
        <w:rPr>
          <w:rFonts w:ascii="Arial" w:cs="Arial" w:eastAsia="Arial" w:hAnsi="Arial"/>
          <w:sz w:val="18"/>
          <w:szCs w:val="18"/>
          <w:color w:val="auto"/>
        </w:rPr>
      </w:pPr>
    </w:p>
    <w:p>
      <w:pPr>
        <w:ind w:left="1020" w:right="240" w:hanging="195"/>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management has broad discretion in the use of the net proceeds from this offering and may not use the net proceeds effectively.</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were incorporated as Rent the Runway, Inc. in Delaware on March 3, 2009. Our principal executive offices are located at 10 Jay Street, Brooklyn, New York 11201. Our telephone number is (646) 832-3582.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205" w:lineRule="exact"/>
        <w:rPr>
          <w:sz w:val="20"/>
          <w:szCs w:val="20"/>
          <w:color w:val="auto"/>
        </w:rPr>
      </w:pPr>
    </w:p>
    <w:p>
      <w:pPr>
        <w:ind w:left="300" w:right="200" w:firstLine="532"/>
        <w:spacing w:after="0" w:line="237" w:lineRule="auto"/>
        <w:rPr>
          <w:sz w:val="20"/>
          <w:szCs w:val="20"/>
          <w:color w:val="auto"/>
        </w:rPr>
      </w:pPr>
      <w:r>
        <w:rPr>
          <w:rFonts w:ascii="Arial" w:cs="Arial" w:eastAsia="Arial" w:hAnsi="Arial"/>
          <w:sz w:val="18"/>
          <w:szCs w:val="18"/>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08" w:lineRule="exact"/>
        <w:rPr>
          <w:sz w:val="20"/>
          <w:szCs w:val="20"/>
          <w:color w:val="auto"/>
        </w:rPr>
      </w:pPr>
    </w:p>
    <w:p>
      <w:pPr>
        <w:ind w:left="1020" w:right="740" w:hanging="195"/>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102" w:lineRule="exact"/>
        <w:rPr>
          <w:rFonts w:ascii="Arial" w:cs="Arial" w:eastAsia="Arial" w:hAnsi="Arial"/>
          <w:sz w:val="18"/>
          <w:szCs w:val="18"/>
          <w:color w:val="auto"/>
        </w:rPr>
      </w:pPr>
    </w:p>
    <w:p>
      <w:pPr>
        <w:ind w:left="1020" w:right="80" w:hanging="195"/>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as amended, the Sarbanes-Oxley Act;</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93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28930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100" w:hanging="19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108" w:lineRule="exact"/>
        <w:rPr>
          <w:rFonts w:ascii="Arial" w:cs="Arial" w:eastAsia="Arial" w:hAnsi="Arial"/>
          <w:sz w:val="18"/>
          <w:szCs w:val="18"/>
          <w:color w:val="auto"/>
        </w:rPr>
      </w:pPr>
    </w:p>
    <w:p>
      <w:pPr>
        <w:ind w:left="1020" w:right="180" w:hanging="195"/>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102" w:lineRule="exact"/>
        <w:rPr>
          <w:rFonts w:ascii="Arial" w:cs="Arial" w:eastAsia="Arial" w:hAnsi="Arial"/>
          <w:sz w:val="18"/>
          <w:szCs w:val="18"/>
          <w:color w:val="auto"/>
        </w:rPr>
      </w:pPr>
    </w:p>
    <w:p>
      <w:pPr>
        <w:ind w:left="1020" w:right="100" w:hanging="19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203"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of Class A common stock offered by us</w:t>
      </w:r>
    </w:p>
    <w:p>
      <w:pPr>
        <w:spacing w:after="0" w:line="266" w:lineRule="exact"/>
        <w:rPr>
          <w:sz w:val="20"/>
          <w:szCs w:val="20"/>
          <w:color w:val="auto"/>
        </w:rPr>
      </w:pPr>
    </w:p>
    <w:p>
      <w:pPr>
        <w:ind w:left="480" w:right="460" w:hanging="179"/>
        <w:spacing w:after="0" w:line="246" w:lineRule="auto"/>
        <w:rPr>
          <w:sz w:val="20"/>
          <w:szCs w:val="20"/>
          <w:color w:val="auto"/>
        </w:rPr>
      </w:pPr>
      <w:r>
        <w:rPr>
          <w:rFonts w:ascii="Arial" w:cs="Arial" w:eastAsia="Arial" w:hAnsi="Arial"/>
          <w:sz w:val="18"/>
          <w:szCs w:val="18"/>
          <w:color w:val="auto"/>
        </w:rPr>
        <w:t>Shares of Class A common stock to be outstanding after this offering</w:t>
      </w:r>
    </w:p>
    <w:p>
      <w:pPr>
        <w:spacing w:after="0" w:line="251" w:lineRule="exact"/>
        <w:rPr>
          <w:sz w:val="20"/>
          <w:szCs w:val="20"/>
          <w:color w:val="auto"/>
        </w:rPr>
      </w:pPr>
    </w:p>
    <w:p>
      <w:pPr>
        <w:ind w:left="480" w:right="460" w:hanging="179"/>
        <w:spacing w:after="0" w:line="246" w:lineRule="auto"/>
        <w:rPr>
          <w:sz w:val="20"/>
          <w:szCs w:val="20"/>
          <w:color w:val="auto"/>
        </w:rPr>
      </w:pPr>
      <w:r>
        <w:rPr>
          <w:rFonts w:ascii="Arial" w:cs="Arial" w:eastAsia="Arial" w:hAnsi="Arial"/>
          <w:sz w:val="18"/>
          <w:szCs w:val="18"/>
          <w:color w:val="auto"/>
        </w:rPr>
        <w:t>Shares of Class B common stock to be outstanding after this offering</w:t>
      </w:r>
    </w:p>
    <w:p>
      <w:pPr>
        <w:spacing w:after="0" w:line="48" w:lineRule="exact"/>
        <w:rPr>
          <w:sz w:val="20"/>
          <w:szCs w:val="20"/>
          <w:color w:val="auto"/>
        </w:rPr>
      </w:pPr>
    </w:p>
    <w:p>
      <w:pPr>
        <w:ind w:left="480" w:hanging="179"/>
        <w:spacing w:after="0" w:line="246" w:lineRule="auto"/>
        <w:rPr>
          <w:sz w:val="20"/>
          <w:szCs w:val="20"/>
          <w:color w:val="auto"/>
        </w:rPr>
      </w:pPr>
      <w:r>
        <w:rPr>
          <w:rFonts w:ascii="Arial" w:cs="Arial" w:eastAsia="Arial" w:hAnsi="Arial"/>
          <w:sz w:val="18"/>
          <w:szCs w:val="18"/>
          <w:color w:val="auto"/>
        </w:rPr>
        <w:t>Total shares of Class A common stock and Class B common stock to be outstanding after this offering</w:t>
      </w:r>
    </w:p>
    <w:p>
      <w:pPr>
        <w:spacing w:after="0" w:line="200" w:lineRule="exact"/>
        <w:rPr>
          <w:sz w:val="20"/>
          <w:szCs w:val="20"/>
          <w:color w:val="auto"/>
        </w:rPr>
      </w:pPr>
    </w:p>
    <w:p>
      <w:pPr>
        <w:spacing w:after="0" w:line="253" w:lineRule="exact"/>
        <w:rPr>
          <w:sz w:val="20"/>
          <w:szCs w:val="20"/>
          <w:color w:val="auto"/>
        </w:rPr>
      </w:pPr>
    </w:p>
    <w:p>
      <w:pPr>
        <w:ind w:left="480" w:right="300" w:hanging="179"/>
        <w:spacing w:after="0" w:line="246" w:lineRule="auto"/>
        <w:rPr>
          <w:sz w:val="20"/>
          <w:szCs w:val="20"/>
          <w:color w:val="auto"/>
        </w:rPr>
      </w:pPr>
      <w:r>
        <w:rPr>
          <w:rFonts w:ascii="Arial" w:cs="Arial" w:eastAsia="Arial" w:hAnsi="Arial"/>
          <w:sz w:val="18"/>
          <w:szCs w:val="18"/>
          <w:color w:val="auto"/>
        </w:rPr>
        <w:t>Over-allotment option to purchase additional shares of Class A common stock</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800"/>
        <w:spacing w:after="0"/>
        <w:tabs>
          <w:tab w:leader="none" w:pos="2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spacing w:after="0"/>
        <w:rPr>
          <w:sz w:val="20"/>
          <w:szCs w:val="20"/>
          <w:color w:val="auto"/>
        </w:rPr>
      </w:pPr>
      <w:r>
        <w:rPr>
          <w:rFonts w:ascii="Arial" w:cs="Arial" w:eastAsia="Arial" w:hAnsi="Arial"/>
          <w:sz w:val="18"/>
          <w:szCs w:val="18"/>
          <w:color w:val="auto"/>
        </w:rPr>
        <w:t>full their option to purchase additional shares).</w:t>
      </w:r>
    </w:p>
    <w:p>
      <w:pPr>
        <w:spacing w:after="0" w:line="261" w:lineRule="exact"/>
        <w:rPr>
          <w:sz w:val="20"/>
          <w:szCs w:val="20"/>
          <w:color w:val="auto"/>
        </w:rPr>
      </w:pPr>
    </w:p>
    <w:p>
      <w:pPr>
        <w:ind w:left="800"/>
        <w:spacing w:after="0"/>
        <w:tabs>
          <w:tab w:leader="none" w:pos="2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spacing w:after="0"/>
        <w:rPr>
          <w:sz w:val="20"/>
          <w:szCs w:val="20"/>
          <w:color w:val="auto"/>
        </w:rPr>
      </w:pPr>
      <w:r>
        <w:rPr>
          <w:rFonts w:ascii="Arial" w:cs="Arial" w:eastAsia="Arial" w:hAnsi="Arial"/>
          <w:sz w:val="18"/>
          <w:szCs w:val="18"/>
          <w:color w:val="auto"/>
        </w:rPr>
        <w:t>full their option to purchase additional shares).</w:t>
      </w:r>
    </w:p>
    <w:p>
      <w:pPr>
        <w:spacing w:after="0" w:line="2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64" w:lineRule="exact"/>
        <w:rPr>
          <w:sz w:val="20"/>
          <w:szCs w:val="20"/>
          <w:color w:val="auto"/>
        </w:rPr>
      </w:pPr>
    </w:p>
    <w:p>
      <w:pPr>
        <w:ind w:left="800"/>
        <w:spacing w:after="0"/>
        <w:tabs>
          <w:tab w:leader="none" w:pos="2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7"/>
          <w:szCs w:val="17"/>
          <w:color w:val="auto"/>
        </w:rPr>
        <w:t>shares if the underwriters exercise in</w:t>
      </w:r>
    </w:p>
    <w:p>
      <w:pPr>
        <w:spacing w:after="0"/>
        <w:rPr>
          <w:sz w:val="20"/>
          <w:szCs w:val="20"/>
          <w:color w:val="auto"/>
        </w:rPr>
      </w:pPr>
      <w:r>
        <w:rPr>
          <w:rFonts w:ascii="Arial" w:cs="Arial" w:eastAsia="Arial" w:hAnsi="Arial"/>
          <w:sz w:val="18"/>
          <w:szCs w:val="18"/>
          <w:color w:val="auto"/>
        </w:rPr>
        <w:t>full their option to purchase additional shares).</w:t>
      </w:r>
    </w:p>
    <w:p>
      <w:pPr>
        <w:spacing w:after="0" w:line="2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shares.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estimate, based upon an assumed initial public offering</w:t>
      </w:r>
    </w:p>
    <w:p>
      <w:pPr>
        <w:ind w:right="440"/>
        <w:spacing w:after="0" w:line="234" w:lineRule="auto"/>
        <w:rPr>
          <w:sz w:val="20"/>
          <w:szCs w:val="20"/>
          <w:color w:val="auto"/>
        </w:rPr>
      </w:pPr>
      <w:r>
        <w:rPr>
          <w:rFonts w:ascii="Arial" w:cs="Arial" w:eastAsia="Arial" w:hAnsi="Arial"/>
          <w:sz w:val="18"/>
          <w:szCs w:val="18"/>
          <w:color w:val="auto"/>
        </w:rPr>
        <w:t>price of $ per share (which is the midpoint of the price range set forth on the cover page of this prospectus), that we will receive net proceeds from this offering of approximately</w:t>
      </w:r>
    </w:p>
    <w:p>
      <w:pPr>
        <w:spacing w:after="0" w:line="2" w:lineRule="exact"/>
        <w:rPr>
          <w:sz w:val="20"/>
          <w:szCs w:val="20"/>
          <w:color w:val="auto"/>
        </w:rPr>
      </w:pPr>
    </w:p>
    <w:p>
      <w:pPr>
        <w:ind w:right="260"/>
        <w:spacing w:after="0" w:line="236" w:lineRule="auto"/>
        <w:tabs>
          <w:tab w:leader="none" w:pos="5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million (or $ million if the underwriters exercise in full their option to purchase additional shares), after deducting estimated underwriting discounts and commissions and estimated offering expenses payable by us. We intend to use the net proceeds from this offering for working capital, to fund growth and for other general corporate purposes. We will have broad discretion in the way that we use the net proceeds of this offering. See “Use of Proceeds.”</w:t>
      </w:r>
    </w:p>
    <w:p>
      <w:pPr>
        <w:spacing w:after="0" w:line="55" w:lineRule="exact"/>
        <w:rPr>
          <w:sz w:val="20"/>
          <w:szCs w:val="20"/>
          <w:color w:val="auto"/>
        </w:rPr>
      </w:pPr>
    </w:p>
    <w:p>
      <w:pPr>
        <w:sectPr>
          <w:pgSz w:w="11900" w:h="16838" w:orient="portrait"/>
          <w:cols w:equalWidth="0" w:num="2">
            <w:col w:w="5580" w:space="260"/>
            <w:col w:w="53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7740" w:type="dxa"/>
            <w:vAlign w:val="bottom"/>
          </w:tcPr>
          <w:p>
            <w:pPr>
              <w:ind w:left="2440"/>
              <w:spacing w:after="0"/>
              <w:rPr>
                <w:sz w:val="20"/>
                <w:szCs w:val="20"/>
                <w:color w:val="auto"/>
              </w:rPr>
            </w:pPr>
            <w:r>
              <w:rPr>
                <w:rFonts w:ascii="Arial" w:cs="Arial" w:eastAsia="Arial" w:hAnsi="Arial"/>
                <w:sz w:val="18"/>
                <w:szCs w:val="18"/>
                <w:color w:val="auto"/>
              </w:rPr>
              <w:t>Each share of Class A common stock is entitled to one vote per</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share. Each share of Class B common stock is entitled to votes</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per share and is convertible into one share of Class A common</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stock at any time. Holders of shares of our Class A common</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stock and Class B common stock will vote together as a single</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class on all matters (including the election of directors)</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submitted to a vote of stockholders except as otherwise</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provided in our amended and restated certificate of</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incorporation or as required by applicable law. Immediately</w:t>
            </w:r>
          </w:p>
        </w:tc>
      </w:tr>
      <w:tr>
        <w:trPr>
          <w:trHeight w:val="203"/>
        </w:trPr>
        <w:tc>
          <w:tcPr>
            <w:tcW w:w="3280" w:type="dxa"/>
            <w:vAlign w:val="bottom"/>
          </w:tcPr>
          <w:p>
            <w:pPr>
              <w:spacing w:after="0"/>
              <w:rPr>
                <w:sz w:val="17"/>
                <w:szCs w:val="17"/>
                <w:color w:val="auto"/>
              </w:rPr>
            </w:pPr>
          </w:p>
        </w:tc>
        <w:tc>
          <w:tcPr>
            <w:tcW w:w="7740" w:type="dxa"/>
            <w:vAlign w:val="bottom"/>
          </w:tcPr>
          <w:p>
            <w:pPr>
              <w:ind w:left="2440"/>
              <w:spacing w:after="0" w:line="202" w:lineRule="exact"/>
              <w:rPr>
                <w:sz w:val="20"/>
                <w:szCs w:val="20"/>
                <w:color w:val="auto"/>
              </w:rPr>
            </w:pPr>
            <w:r>
              <w:rPr>
                <w:rFonts w:ascii="Arial" w:cs="Arial" w:eastAsia="Arial" w:hAnsi="Arial"/>
                <w:sz w:val="18"/>
                <w:szCs w:val="18"/>
                <w:color w:val="auto"/>
              </w:rPr>
              <w:t>following the completion of this offering, shares of Class A</w:t>
            </w:r>
          </w:p>
        </w:tc>
      </w:tr>
      <w:tr>
        <w:trPr>
          <w:trHeight w:val="217"/>
        </w:trPr>
        <w:tc>
          <w:tcPr>
            <w:tcW w:w="3280" w:type="dxa"/>
            <w:vAlign w:val="bottom"/>
          </w:tcPr>
          <w:p>
            <w:pPr>
              <w:spacing w:after="0"/>
              <w:rPr>
                <w:sz w:val="18"/>
                <w:szCs w:val="18"/>
                <w:color w:val="auto"/>
              </w:rPr>
            </w:pPr>
          </w:p>
        </w:tc>
        <w:tc>
          <w:tcPr>
            <w:tcW w:w="7740" w:type="dxa"/>
            <w:vAlign w:val="bottom"/>
          </w:tcPr>
          <w:p>
            <w:pPr>
              <w:ind w:left="2440"/>
              <w:spacing w:after="0"/>
              <w:rPr>
                <w:sz w:val="20"/>
                <w:szCs w:val="20"/>
                <w:color w:val="auto"/>
              </w:rPr>
            </w:pPr>
            <w:r>
              <w:rPr>
                <w:rFonts w:ascii="Arial" w:cs="Arial" w:eastAsia="Arial" w:hAnsi="Arial"/>
                <w:sz w:val="18"/>
                <w:szCs w:val="18"/>
                <w:color w:val="auto"/>
              </w:rPr>
              <w:t>common stock will collectively represent</w:t>
            </w:r>
          </w:p>
        </w:tc>
      </w:tr>
      <w:tr>
        <w:trPr>
          <w:trHeight w:val="226"/>
        </w:trPr>
        <w:tc>
          <w:tcPr>
            <w:tcW w:w="328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approximately   % of our total issued and outstanding shares</w:t>
            </w:r>
          </w:p>
        </w:tc>
      </w:tr>
      <w:tr>
        <w:trPr>
          <w:trHeight w:val="203"/>
        </w:trPr>
        <w:tc>
          <w:tcPr>
            <w:tcW w:w="3760" w:type="dxa"/>
            <w:vAlign w:val="bottom"/>
          </w:tcPr>
          <w:p>
            <w:pPr>
              <w:spacing w:after="0"/>
              <w:rPr>
                <w:sz w:val="17"/>
                <w:szCs w:val="17"/>
                <w:color w:val="auto"/>
              </w:rPr>
            </w:pPr>
          </w:p>
        </w:tc>
        <w:tc>
          <w:tcPr>
            <w:tcW w:w="2200" w:type="dxa"/>
            <w:vAlign w:val="bottom"/>
          </w:tcPr>
          <w:p>
            <w:pPr>
              <w:ind w:left="1780"/>
              <w:spacing w:after="0" w:line="202" w:lineRule="exact"/>
              <w:rPr>
                <w:sz w:val="20"/>
                <w:szCs w:val="20"/>
                <w:color w:val="auto"/>
              </w:rPr>
            </w:pPr>
            <w:r>
              <w:rPr>
                <w:rFonts w:ascii="Arial" w:cs="Arial" w:eastAsia="Arial" w:hAnsi="Arial"/>
                <w:sz w:val="18"/>
                <w:szCs w:val="18"/>
                <w:color w:val="auto"/>
              </w:rPr>
              <w:t>and</w:t>
            </w:r>
          </w:p>
        </w:tc>
        <w:tc>
          <w:tcPr>
            <w:tcW w:w="46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 of the voting power attached to all of our issued and</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outstanding shares (or   % and   %, respectively, if the</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underwriters exercise in full their option to purchase additional</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shares of Class A common stock), and shares of Class B</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common stock will collectively represent approximately   % of</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our total issued and outstanding shares and   % of the voting</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power attached to all of our issued and outstanding shares (or</w:t>
            </w:r>
          </w:p>
        </w:tc>
      </w:tr>
      <w:tr>
        <w:trPr>
          <w:trHeight w:val="203"/>
        </w:trPr>
        <w:tc>
          <w:tcPr>
            <w:tcW w:w="3760" w:type="dxa"/>
            <w:vAlign w:val="bottom"/>
          </w:tcPr>
          <w:p>
            <w:pPr>
              <w:spacing w:after="0"/>
              <w:rPr>
                <w:sz w:val="17"/>
                <w:szCs w:val="17"/>
                <w:color w:val="auto"/>
              </w:rPr>
            </w:pPr>
          </w:p>
        </w:tc>
        <w:tc>
          <w:tcPr>
            <w:tcW w:w="6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and   %, respectively, if the underwriters exercise in full</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their option to purchase additional shares of Class A common</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stock). See “Description of Capital Stock” for additional</w:t>
            </w:r>
          </w:p>
        </w:tc>
      </w:tr>
      <w:tr>
        <w:trPr>
          <w:trHeight w:val="217"/>
        </w:trPr>
        <w:tc>
          <w:tcPr>
            <w:tcW w:w="3760" w:type="dxa"/>
            <w:vAlign w:val="bottom"/>
          </w:tcPr>
          <w:p>
            <w:pPr>
              <w:spacing w:after="0"/>
              <w:rPr>
                <w:sz w:val="18"/>
                <w:szCs w:val="18"/>
                <w:color w:val="auto"/>
              </w:rPr>
            </w:pP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information.</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Dividend policy</w:t>
            </w: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We do not expect to pay any dividends on our common stock</w:t>
            </w:r>
          </w:p>
        </w:tc>
      </w:tr>
      <w:tr>
        <w:trPr>
          <w:trHeight w:val="217"/>
        </w:trPr>
        <w:tc>
          <w:tcPr>
            <w:tcW w:w="3760" w:type="dxa"/>
            <w:vAlign w:val="bottom"/>
          </w:tcPr>
          <w:p>
            <w:pPr>
              <w:spacing w:after="0"/>
              <w:rPr>
                <w:sz w:val="18"/>
                <w:szCs w:val="18"/>
                <w:color w:val="auto"/>
              </w:rPr>
            </w:pP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for the foreseeable future. See “Dividend Policy.”</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Investing in our common stock involves a high degree of risk.</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w w:val="99"/>
              </w:rPr>
              <w:t>See “Risk Factors” beginning on page 20 and other information</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included in this prospectus for a discussion of factors you</w:t>
            </w:r>
          </w:p>
        </w:tc>
      </w:tr>
      <w:tr>
        <w:trPr>
          <w:trHeight w:val="203"/>
        </w:trPr>
        <w:tc>
          <w:tcPr>
            <w:tcW w:w="3760" w:type="dxa"/>
            <w:vAlign w:val="bottom"/>
          </w:tcPr>
          <w:p>
            <w:pPr>
              <w:spacing w:after="0"/>
              <w:rPr>
                <w:sz w:val="17"/>
                <w:szCs w:val="17"/>
                <w:color w:val="auto"/>
              </w:rPr>
            </w:pPr>
          </w:p>
        </w:tc>
        <w:tc>
          <w:tcPr>
            <w:tcW w:w="680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should carefully consider before investing in our Class A</w:t>
            </w:r>
          </w:p>
        </w:tc>
      </w:tr>
      <w:tr>
        <w:trPr>
          <w:trHeight w:val="217"/>
        </w:trPr>
        <w:tc>
          <w:tcPr>
            <w:tcW w:w="3760" w:type="dxa"/>
            <w:vAlign w:val="bottom"/>
          </w:tcPr>
          <w:p>
            <w:pPr>
              <w:spacing w:after="0"/>
              <w:rPr>
                <w:sz w:val="18"/>
                <w:szCs w:val="18"/>
                <w:color w:val="auto"/>
              </w:rPr>
            </w:pPr>
          </w:p>
        </w:tc>
        <w:tc>
          <w:tcPr>
            <w:tcW w:w="6800" w:type="dxa"/>
            <w:vAlign w:val="bottom"/>
            <w:gridSpan w:val="2"/>
          </w:tcPr>
          <w:p>
            <w:pPr>
              <w:ind w:left="1780"/>
              <w:spacing w:after="0"/>
              <w:rPr>
                <w:sz w:val="20"/>
                <w:szCs w:val="20"/>
                <w:color w:val="auto"/>
              </w:rPr>
            </w:pPr>
            <w:r>
              <w:rPr>
                <w:rFonts w:ascii="Arial" w:cs="Arial" w:eastAsia="Arial" w:hAnsi="Arial"/>
                <w:sz w:val="18"/>
                <w:szCs w:val="18"/>
                <w:color w:val="auto"/>
              </w:rPr>
              <w:t>common stock.</w:t>
            </w: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Proposed trading symbol</w:t>
            </w:r>
          </w:p>
        </w:tc>
        <w:tc>
          <w:tcPr>
            <w:tcW w:w="2200" w:type="dxa"/>
            <w:vAlign w:val="bottom"/>
          </w:tcPr>
          <w:p>
            <w:pPr>
              <w:ind w:left="1780"/>
              <w:spacing w:after="0"/>
              <w:rPr>
                <w:sz w:val="20"/>
                <w:szCs w:val="20"/>
                <w:color w:val="auto"/>
              </w:rPr>
            </w:pPr>
            <w:r>
              <w:rPr>
                <w:rFonts w:ascii="Arial" w:cs="Arial" w:eastAsia="Arial" w:hAnsi="Arial"/>
                <w:sz w:val="18"/>
                <w:szCs w:val="18"/>
                <w:color w:val="auto"/>
              </w:rPr>
              <w:t>“</w:t>
            </w:r>
          </w:p>
        </w:tc>
        <w:tc>
          <w:tcPr>
            <w:tcW w:w="4600" w:type="dxa"/>
            <w:vAlign w:val="bottom"/>
          </w:tcPr>
          <w:p>
            <w:pPr>
              <w:jc w:val="right"/>
              <w:ind w:right="39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number of shares of Class A common stock and Class B common stock to be outstanding after this offering is based</w:t>
      </w:r>
    </w:p>
    <w:p>
      <w:pPr>
        <w:sectPr>
          <w:pgSz w:w="11900" w:h="16838" w:orient="portrait"/>
          <w:cols w:equalWidth="0" w:num="1">
            <w:col w:w="10900"/>
          </w:cols>
          <w:pgMar w:left="320" w:top="459" w:right="679" w:bottom="1440" w:gutter="0" w:footer="0" w:header="0"/>
        </w:sectPr>
      </w:pPr>
    </w:p>
    <w:p>
      <w:pPr>
        <w:spacing w:after="0" w:line="10" w:lineRule="exact"/>
        <w:rPr>
          <w:sz w:val="20"/>
          <w:szCs w:val="20"/>
          <w:color w:val="auto"/>
        </w:rPr>
      </w:pPr>
    </w:p>
    <w:p>
      <w:pPr>
        <w:ind w:left="300"/>
        <w:spacing w:after="0" w:line="234" w:lineRule="auto"/>
        <w:rPr>
          <w:sz w:val="20"/>
          <w:szCs w:val="20"/>
          <w:color w:val="auto"/>
        </w:rPr>
      </w:pPr>
      <w:r>
        <w:rPr>
          <w:rFonts w:ascii="Arial" w:cs="Arial" w:eastAsia="Arial" w:hAnsi="Arial"/>
          <w:sz w:val="18"/>
          <w:szCs w:val="18"/>
          <w:color w:val="auto"/>
        </w:rPr>
        <w:t>on shares of our Class A common stock and shares of our Class B common stock outstanding as of 2021, after giving effect to the automatic conversion of all outstanding shares of our redeemable preferred stock into of our Class A common stock upon closing of this offering, and excludes:</w:t>
      </w:r>
    </w:p>
    <w:p>
      <w:pPr>
        <w:spacing w:after="0" w:line="20" w:lineRule="exact"/>
        <w:rPr>
          <w:sz w:val="20"/>
          <w:szCs w:val="20"/>
          <w:color w:val="auto"/>
        </w:rPr>
      </w:pPr>
      <w:r>
        <w:rPr>
          <w:sz w:val="20"/>
          <w:szCs w:val="20"/>
          <w:color w:val="auto"/>
        </w:rPr>
        <w:br w:type="column"/>
      </w:r>
    </w:p>
    <w:p>
      <w:pPr>
        <w:ind w:left="200"/>
        <w:spacing w:after="0" w:line="229"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326" w:lineRule="exact"/>
        <w:rPr>
          <w:sz w:val="20"/>
          <w:szCs w:val="20"/>
          <w:color w:val="auto"/>
        </w:rPr>
      </w:pPr>
    </w:p>
    <w:p>
      <w:pPr>
        <w:sectPr>
          <w:pgSz w:w="11900" w:h="16838" w:orient="portrait"/>
          <w:cols w:equalWidth="0" w:num="2">
            <w:col w:w="9720" w:space="600"/>
            <w:col w:w="580"/>
          </w:cols>
          <w:pgMar w:left="320" w:top="459" w:right="679" w:bottom="1440" w:gutter="0" w:footer="0" w:header="0"/>
          <w:type w:val="continuous"/>
        </w:sectPr>
      </w:pPr>
    </w:p>
    <w:p>
      <w:pPr>
        <w:ind w:left="82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exercise of stock options outstanding as of</w:t>
      </w:r>
    </w:p>
    <w:p>
      <w:pPr>
        <w:ind w:left="1020"/>
        <w:spacing w:after="0"/>
        <w:rPr>
          <w:sz w:val="20"/>
          <w:szCs w:val="20"/>
          <w:color w:val="auto"/>
        </w:rPr>
      </w:pPr>
      <w:r>
        <w:rPr>
          <w:rFonts w:ascii="Arial" w:cs="Arial" w:eastAsia="Arial" w:hAnsi="Arial"/>
          <w:sz w:val="17"/>
          <w:szCs w:val="17"/>
          <w:color w:val="auto"/>
        </w:rPr>
        <w:t>our 2009 Stock Incentive Plan, as amended, or the 2009 Plan, at a weighted average exercise price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under</w:t>
      </w:r>
    </w:p>
    <w:p>
      <w:pPr>
        <w:ind w:left="480"/>
        <w:spacing w:after="0"/>
        <w:rPr>
          <w:sz w:val="20"/>
          <w:szCs w:val="20"/>
          <w:color w:val="auto"/>
        </w:rPr>
      </w:pPr>
      <w:r>
        <w:rPr>
          <w:rFonts w:ascii="Arial" w:cs="Arial" w:eastAsia="Arial" w:hAnsi="Arial"/>
          <w:sz w:val="17"/>
          <w:szCs w:val="17"/>
          <w:color w:val="auto"/>
        </w:rPr>
        <w:t>per share;</w:t>
      </w:r>
    </w:p>
    <w:p>
      <w:pPr>
        <w:spacing w:after="0" w:line="124" w:lineRule="exact"/>
        <w:rPr>
          <w:sz w:val="20"/>
          <w:szCs w:val="20"/>
          <w:color w:val="auto"/>
        </w:rPr>
      </w:pPr>
    </w:p>
    <w:p>
      <w:pPr>
        <w:sectPr>
          <w:pgSz w:w="11900" w:h="16838" w:orient="portrait"/>
          <w:cols w:equalWidth="0" w:num="2">
            <w:col w:w="9300" w:space="320"/>
            <w:col w:w="1280"/>
          </w:cols>
          <w:pgMar w:left="320" w:top="459" w:right="679" w:bottom="1440" w:gutter="0" w:footer="0" w:header="0"/>
          <w:type w:val="continuous"/>
        </w:sectPr>
      </w:pPr>
    </w:p>
    <w:p>
      <w:pPr>
        <w:ind w:left="82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exercise of stock options outstanding as of</w:t>
      </w:r>
    </w:p>
    <w:p>
      <w:pPr>
        <w:ind w:left="1020"/>
        <w:spacing w:after="0"/>
        <w:rPr>
          <w:sz w:val="20"/>
          <w:szCs w:val="20"/>
          <w:color w:val="auto"/>
        </w:rPr>
      </w:pPr>
      <w:r>
        <w:rPr>
          <w:rFonts w:ascii="Arial" w:cs="Arial" w:eastAsia="Arial" w:hAnsi="Arial"/>
          <w:sz w:val="17"/>
          <w:szCs w:val="17"/>
          <w:color w:val="auto"/>
        </w:rPr>
        <w:t>our 2019 Stock Incentive Plan, as amended, or the 2019 Plan, at a weighted average exercise price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under</w:t>
      </w:r>
    </w:p>
    <w:p>
      <w:pPr>
        <w:ind w:left="480"/>
        <w:spacing w:after="0"/>
        <w:rPr>
          <w:sz w:val="20"/>
          <w:szCs w:val="20"/>
          <w:color w:val="auto"/>
        </w:rPr>
      </w:pPr>
      <w:r>
        <w:rPr>
          <w:rFonts w:ascii="Arial" w:cs="Arial" w:eastAsia="Arial" w:hAnsi="Arial"/>
          <w:sz w:val="17"/>
          <w:szCs w:val="17"/>
          <w:color w:val="auto"/>
        </w:rPr>
        <w:t>per share;</w:t>
      </w:r>
    </w:p>
    <w:p>
      <w:pPr>
        <w:spacing w:after="0" w:line="129" w:lineRule="exact"/>
        <w:rPr>
          <w:sz w:val="20"/>
          <w:szCs w:val="20"/>
          <w:color w:val="auto"/>
        </w:rPr>
      </w:pPr>
    </w:p>
    <w:p>
      <w:pPr>
        <w:sectPr>
          <w:pgSz w:w="11900" w:h="16838" w:orient="portrait"/>
          <w:cols w:equalWidth="0" w:num="2">
            <w:col w:w="9300" w:space="320"/>
            <w:col w:w="1280"/>
          </w:cols>
          <w:pgMar w:left="320" w:top="459" w:right="679" w:bottom="1440" w:gutter="0" w:footer="0" w:header="0"/>
          <w:type w:val="continuous"/>
        </w:sectPr>
      </w:pPr>
    </w:p>
    <w:p>
      <w:pPr>
        <w:ind w:left="1020" w:right="140" w:hanging="188"/>
        <w:spacing w:after="0" w:line="246" w:lineRule="auto"/>
        <w:tabs>
          <w:tab w:leader="none" w:pos="1000" w:val="left"/>
        </w:tabs>
        <w:rPr>
          <w:sz w:val="20"/>
          <w:szCs w:val="20"/>
          <w:color w:val="auto"/>
        </w:rPr>
      </w:pPr>
      <w:r>
        <w:rPr>
          <w:rFonts w:ascii="Arial" w:cs="Arial" w:eastAsia="Arial" w:hAnsi="Arial"/>
          <w:sz w:val="18"/>
          <w:szCs w:val="18"/>
          <w:color w:val="auto"/>
        </w:rPr>
        <w:t>•</w:t>
        <w:tab/>
        <w:t>restricted stock units, or RSUs, covering shares of Class A common stock as of issuable upon satisfaction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w:t>
      </w:r>
    </w:p>
    <w:p>
      <w:pPr>
        <w:spacing w:after="0" w:line="330" w:lineRule="exact"/>
        <w:rPr>
          <w:sz w:val="20"/>
          <w:szCs w:val="20"/>
          <w:color w:val="auto"/>
        </w:rPr>
      </w:pPr>
    </w:p>
    <w:p>
      <w:pPr>
        <w:sectPr>
          <w:pgSz w:w="11900" w:h="16838" w:orient="portrait"/>
          <w:cols w:equalWidth="0" w:num="2">
            <w:col w:w="8800" w:space="720"/>
            <w:col w:w="1380"/>
          </w:cols>
          <w:pgMar w:left="320" w:top="459" w:right="679" w:bottom="1440" w:gutter="0" w:footer="0" w:header="0"/>
          <w:type w:val="continuous"/>
        </w:sectPr>
      </w:pPr>
    </w:p>
    <w:p>
      <w:pPr>
        <w:ind w:left="1020" w:right="60" w:hanging="188"/>
        <w:spacing w:after="0" w:line="243" w:lineRule="auto"/>
        <w:tabs>
          <w:tab w:leader="none" w:pos="1000" w:val="left"/>
        </w:tabs>
        <w:rPr>
          <w:sz w:val="20"/>
          <w:szCs w:val="20"/>
          <w:color w:val="auto"/>
        </w:rPr>
      </w:pPr>
      <w:r>
        <w:rPr>
          <w:rFonts w:ascii="Arial" w:cs="Arial" w:eastAsia="Arial" w:hAnsi="Arial"/>
          <w:sz w:val="18"/>
          <w:szCs w:val="18"/>
          <w:color w:val="auto"/>
        </w:rPr>
        <w:t>•</w:t>
        <w:tab/>
        <w:t>shares of Class A common stock issuable upon exercise of stock options outstanding as of , 2021, granted to early participants of our “designer collective,” or the Designer Collective Grants, at a weighted average exercise price of</w:t>
      </w:r>
    </w:p>
    <w:p>
      <w:pPr>
        <w:sectPr>
          <w:pgSz w:w="11900" w:h="16838" w:orient="portrait"/>
          <w:cols w:equalWidth="0" w:num="1">
            <w:col w:w="10900"/>
          </w:cols>
          <w:pgMar w:left="320" w:top="459" w:right="679" w:bottom="1440" w:gutter="0" w:footer="0" w:header="0"/>
          <w:type w:val="continuous"/>
        </w:sect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per share;</w:t>
      </w:r>
    </w:p>
    <w:p>
      <w:pPr>
        <w:spacing w:after="0" w:line="107" w:lineRule="exact"/>
        <w:rPr>
          <w:sz w:val="20"/>
          <w:szCs w:val="20"/>
          <w:color w:val="auto"/>
        </w:rPr>
      </w:pPr>
    </w:p>
    <w:p>
      <w:pPr>
        <w:ind w:left="1020" w:right="120" w:hanging="195"/>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Incentive Award Plan, or the 2021 Plan, which will become effective on the date immediately prior to the date our registration of which this prospectus forms a part becomes effective, as described in “Executive Compensation—Equity Compensation;”</w:t>
      </w:r>
    </w:p>
    <w:p>
      <w:pPr>
        <w:spacing w:after="0" w:line="3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8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26873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20"/>
        <w:spacing w:after="0"/>
        <w:tabs>
          <w:tab w:leader="none" w:pos="4740" w:val="left"/>
        </w:tabs>
        <w:rPr>
          <w:sz w:val="20"/>
          <w:szCs w:val="20"/>
          <w:color w:val="auto"/>
        </w:rPr>
      </w:pPr>
      <w:r>
        <w:rPr>
          <w:rFonts w:ascii="Arial" w:cs="Arial" w:eastAsia="Arial" w:hAnsi="Arial"/>
          <w:sz w:val="18"/>
          <w:szCs w:val="18"/>
          <w:color w:val="auto"/>
        </w:rPr>
        <w:t>•  the exercise of warrants to purchase</w:t>
      </w:r>
      <w:r>
        <w:rPr>
          <w:sz w:val="20"/>
          <w:szCs w:val="20"/>
          <w:color w:val="auto"/>
        </w:rPr>
        <w:tab/>
      </w:r>
      <w:r>
        <w:rPr>
          <w:rFonts w:ascii="Arial" w:cs="Arial" w:eastAsia="Arial" w:hAnsi="Arial"/>
          <w:sz w:val="17"/>
          <w:szCs w:val="17"/>
          <w:color w:val="auto"/>
        </w:rPr>
        <w:t>shares of Class A common stock, which will result in the net issuance</w:t>
      </w:r>
    </w:p>
    <w:p>
      <w:pPr>
        <w:ind w:left="1020"/>
        <w:spacing w:after="0"/>
        <w:tabs>
          <w:tab w:leader="none" w:pos="20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in connection with this offering; and</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ind w:left="1020" w:right="120" w:hanging="188"/>
        <w:spacing w:after="0" w:line="246" w:lineRule="auto"/>
        <w:tabs>
          <w:tab w:leader="none" w:pos="1000" w:val="left"/>
        </w:tabs>
        <w:rPr>
          <w:sz w:val="20"/>
          <w:szCs w:val="20"/>
          <w:color w:val="auto"/>
        </w:rPr>
      </w:pPr>
      <w:r>
        <w:rPr>
          <w:rFonts w:ascii="Arial" w:cs="Arial" w:eastAsia="Arial" w:hAnsi="Arial"/>
          <w:sz w:val="18"/>
          <w:szCs w:val="18"/>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2021 with an</w:t>
      </w:r>
    </w:p>
    <w:p>
      <w:pPr>
        <w:spacing w:after="0" w:line="425" w:lineRule="exact"/>
        <w:rPr>
          <w:sz w:val="20"/>
          <w:szCs w:val="20"/>
          <w:color w:val="auto"/>
        </w:rPr>
      </w:pPr>
    </w:p>
    <w:p>
      <w:pPr>
        <w:sectPr>
          <w:pgSz w:w="11900" w:h="16838" w:orient="portrait"/>
          <w:cols w:equalWidth="0" w:num="2">
            <w:col w:w="8900" w:space="720"/>
            <w:col w:w="1520"/>
          </w:cols>
          <w:pgMar w:left="320" w:top="459" w:right="439" w:bottom="1440" w:gutter="0" w:footer="0" w:header="0"/>
          <w:type w:val="continuous"/>
        </w:sectPr>
      </w:pPr>
    </w:p>
    <w:p>
      <w:pPr>
        <w:ind w:left="8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 assumes or gives effect to:</w:t>
      </w:r>
    </w:p>
    <w:p>
      <w:pPr>
        <w:spacing w:after="0" w:line="117" w:lineRule="exact"/>
        <w:rPr>
          <w:sz w:val="20"/>
          <w:szCs w:val="20"/>
          <w:color w:val="auto"/>
        </w:rPr>
      </w:pPr>
    </w:p>
    <w:p>
      <w:pPr>
        <w:ind w:left="1020" w:right="380" w:hanging="195"/>
        <w:spacing w:after="0" w:line="24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7800" w:type="dxa"/>
            <w:vAlign w:val="bottom"/>
            <w:gridSpan w:val="3"/>
          </w:tcPr>
          <w:p>
            <w:pPr>
              <w:ind w:left="60"/>
              <w:spacing w:after="0"/>
              <w:rPr>
                <w:sz w:val="20"/>
                <w:szCs w:val="20"/>
                <w:color w:val="auto"/>
              </w:rPr>
            </w:pPr>
            <w:r>
              <w:rPr>
                <w:rFonts w:ascii="Arial" w:cs="Arial" w:eastAsia="Arial" w:hAnsi="Arial"/>
                <w:sz w:val="18"/>
                <w:szCs w:val="18"/>
                <w:color w:val="auto"/>
              </w:rPr>
              <w:t>the automatic conversion of all outstanding shares of our redeemable preferred stock into</w:t>
            </w:r>
          </w:p>
        </w:tc>
        <w:tc>
          <w:tcPr>
            <w:tcW w:w="2380" w:type="dxa"/>
            <w:vAlign w:val="bottom"/>
          </w:tcPr>
          <w:p>
            <w:pPr>
              <w:jc w:val="right"/>
              <w:ind w:right="430"/>
              <w:spacing w:after="0"/>
              <w:rPr>
                <w:sz w:val="20"/>
                <w:szCs w:val="20"/>
                <w:color w:val="auto"/>
              </w:rPr>
            </w:pPr>
            <w:r>
              <w:rPr>
                <w:rFonts w:ascii="Arial" w:cs="Arial" w:eastAsia="Arial" w:hAnsi="Arial"/>
                <w:sz w:val="18"/>
                <w:szCs w:val="18"/>
                <w:color w:val="auto"/>
              </w:rPr>
              <w:t>shares of our Class A</w:t>
            </w:r>
          </w:p>
        </w:tc>
      </w:tr>
      <w:tr>
        <w:trPr>
          <w:trHeight w:val="217"/>
        </w:trPr>
        <w:tc>
          <w:tcPr>
            <w:tcW w:w="840" w:type="dxa"/>
            <w:vAlign w:val="bottom"/>
          </w:tcPr>
          <w:p>
            <w:pPr>
              <w:spacing w:after="0"/>
              <w:rPr>
                <w:sz w:val="18"/>
                <w:szCs w:val="18"/>
                <w:color w:val="auto"/>
              </w:rPr>
            </w:pPr>
          </w:p>
        </w:tc>
        <w:tc>
          <w:tcPr>
            <w:tcW w:w="5540" w:type="dxa"/>
            <w:vAlign w:val="bottom"/>
            <w:gridSpan w:val="2"/>
          </w:tcPr>
          <w:p>
            <w:pPr>
              <w:ind w:left="60"/>
              <w:spacing w:after="0"/>
              <w:rPr>
                <w:sz w:val="20"/>
                <w:szCs w:val="20"/>
                <w:color w:val="auto"/>
              </w:rPr>
            </w:pPr>
            <w:r>
              <w:rPr>
                <w:rFonts w:ascii="Arial" w:cs="Arial" w:eastAsia="Arial" w:hAnsi="Arial"/>
                <w:sz w:val="18"/>
                <w:szCs w:val="18"/>
                <w:color w:val="auto"/>
              </w:rPr>
              <w:t>common stock, upon closing of this offering;</w:t>
            </w:r>
          </w:p>
        </w:tc>
        <w:tc>
          <w:tcPr>
            <w:tcW w:w="22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24"/>
        </w:trPr>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7800" w:type="dxa"/>
            <w:vAlign w:val="bottom"/>
            <w:gridSpan w:val="3"/>
          </w:tcPr>
          <w:p>
            <w:pPr>
              <w:ind w:left="60"/>
              <w:spacing w:after="0"/>
              <w:rPr>
                <w:sz w:val="20"/>
                <w:szCs w:val="20"/>
                <w:color w:val="auto"/>
              </w:rPr>
            </w:pPr>
            <w:r>
              <w:rPr>
                <w:rFonts w:ascii="Arial" w:cs="Arial" w:eastAsia="Arial" w:hAnsi="Arial"/>
                <w:sz w:val="18"/>
                <w:szCs w:val="18"/>
                <w:color w:val="auto"/>
              </w:rPr>
              <w:t>no exercise of the outstanding options or settlement of outstanding RSUs described above after</w:t>
            </w:r>
          </w:p>
        </w:tc>
        <w:tc>
          <w:tcPr>
            <w:tcW w:w="2380" w:type="dxa"/>
            <w:vAlign w:val="bottom"/>
          </w:tcPr>
          <w:p>
            <w:pPr>
              <w:jc w:val="right"/>
              <w:ind w:right="1090"/>
              <w:spacing w:after="0"/>
              <w:rPr>
                <w:sz w:val="20"/>
                <w:szCs w:val="20"/>
                <w:color w:val="auto"/>
              </w:rPr>
            </w:pPr>
            <w:r>
              <w:rPr>
                <w:rFonts w:ascii="Arial" w:cs="Arial" w:eastAsia="Arial" w:hAnsi="Arial"/>
                <w:sz w:val="18"/>
                <w:szCs w:val="18"/>
                <w:color w:val="auto"/>
              </w:rPr>
              <w:t>, 2021;</w:t>
            </w:r>
          </w:p>
        </w:tc>
      </w:tr>
      <w:tr>
        <w:trPr>
          <w:trHeight w:val="310"/>
        </w:trPr>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5540" w:type="dxa"/>
            <w:vAlign w:val="bottom"/>
            <w:gridSpan w:val="2"/>
          </w:tcPr>
          <w:p>
            <w:pPr>
              <w:ind w:left="60"/>
              <w:spacing w:after="0"/>
              <w:rPr>
                <w:sz w:val="20"/>
                <w:szCs w:val="20"/>
                <w:color w:val="auto"/>
              </w:rPr>
            </w:pPr>
            <w:r>
              <w:rPr>
                <w:rFonts w:ascii="Arial" w:cs="Arial" w:eastAsia="Arial" w:hAnsi="Arial"/>
                <w:sz w:val="18"/>
                <w:szCs w:val="18"/>
                <w:color w:val="auto"/>
              </w:rPr>
              <w:t>no exercise by the underwriters of their option to purchase up to</w:t>
            </w:r>
          </w:p>
        </w:tc>
        <w:tc>
          <w:tcPr>
            <w:tcW w:w="4640" w:type="dxa"/>
            <w:vAlign w:val="bottom"/>
            <w:gridSpan w:val="2"/>
          </w:tcPr>
          <w:p>
            <w:pPr>
              <w:jc w:val="right"/>
              <w:ind w:right="310"/>
              <w:spacing w:after="0"/>
              <w:rPr>
                <w:sz w:val="20"/>
                <w:szCs w:val="20"/>
                <w:color w:val="auto"/>
              </w:rPr>
            </w:pPr>
            <w:r>
              <w:rPr>
                <w:rFonts w:ascii="Arial" w:cs="Arial" w:eastAsia="Arial" w:hAnsi="Arial"/>
                <w:sz w:val="18"/>
                <w:szCs w:val="18"/>
                <w:color w:val="auto"/>
              </w:rPr>
              <w:t>additional shares of Class A common stock from</w:t>
            </w:r>
          </w:p>
        </w:tc>
      </w:tr>
      <w:tr>
        <w:trPr>
          <w:trHeight w:val="217"/>
        </w:trPr>
        <w:tc>
          <w:tcPr>
            <w:tcW w:w="84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us; and</w:t>
            </w:r>
          </w:p>
        </w:tc>
        <w:tc>
          <w:tcPr>
            <w:tcW w:w="2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10"/>
        </w:trPr>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3240" w:type="dxa"/>
            <w:vAlign w:val="bottom"/>
          </w:tcPr>
          <w:p>
            <w:pPr>
              <w:ind w:left="60"/>
              <w:spacing w:after="0"/>
              <w:rPr>
                <w:sz w:val="20"/>
                <w:szCs w:val="20"/>
                <w:color w:val="auto"/>
              </w:rPr>
            </w:pPr>
            <w:r>
              <w:rPr>
                <w:rFonts w:ascii="Arial" w:cs="Arial" w:eastAsia="Arial" w:hAnsi="Arial"/>
                <w:sz w:val="18"/>
                <w:szCs w:val="18"/>
                <w:color w:val="auto"/>
              </w:rPr>
              <w:t>an initial public offering price of $</w:t>
            </w:r>
          </w:p>
        </w:tc>
        <w:tc>
          <w:tcPr>
            <w:tcW w:w="6940" w:type="dxa"/>
            <w:vAlign w:val="bottom"/>
            <w:gridSpan w:val="3"/>
          </w:tcPr>
          <w:p>
            <w:pPr>
              <w:jc w:val="right"/>
              <w:ind w:right="310"/>
              <w:spacing w:after="0"/>
              <w:rPr>
                <w:sz w:val="20"/>
                <w:szCs w:val="20"/>
                <w:color w:val="auto"/>
              </w:rPr>
            </w:pPr>
            <w:r>
              <w:rPr>
                <w:rFonts w:ascii="Arial" w:cs="Arial" w:eastAsia="Arial" w:hAnsi="Arial"/>
                <w:sz w:val="18"/>
                <w:szCs w:val="18"/>
                <w:color w:val="auto"/>
              </w:rPr>
              <w:t>per share of Class A common stock, which is the midpoint of the range set forth</w:t>
            </w:r>
          </w:p>
        </w:tc>
      </w:tr>
      <w:tr>
        <w:trPr>
          <w:trHeight w:val="217"/>
        </w:trPr>
        <w:tc>
          <w:tcPr>
            <w:tcW w:w="84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on the cover page of this prospectus.</w:t>
            </w:r>
          </w:p>
        </w:tc>
        <w:tc>
          <w:tcPr>
            <w:tcW w:w="2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6"/>
        </w:trPr>
        <w:tc>
          <w:tcPr>
            <w:tcW w:w="8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r>
      <w:tr>
        <w:trPr>
          <w:trHeight w:val="361"/>
        </w:trPr>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00" w:type="dxa"/>
            <w:vAlign w:val="bottom"/>
          </w:tcPr>
          <w:p>
            <w:pPr>
              <w:jc w:val="right"/>
              <w:ind w:right="690"/>
              <w:spacing w:after="0"/>
              <w:rPr>
                <w:sz w:val="20"/>
                <w:szCs w:val="20"/>
                <w:color w:val="auto"/>
              </w:rPr>
            </w:pPr>
            <w:r>
              <w:rPr>
                <w:rFonts w:ascii="Arial" w:cs="Arial" w:eastAsia="Arial" w:hAnsi="Arial"/>
                <w:sz w:val="18"/>
                <w:szCs w:val="18"/>
                <w:color w:val="auto"/>
              </w:rPr>
              <w:t>14</w:t>
            </w:r>
          </w:p>
        </w:tc>
        <w:tc>
          <w:tcPr>
            <w:tcW w:w="22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16" w:lineRule="exact"/>
        <w:rPr>
          <w:sz w:val="20"/>
          <w:szCs w:val="20"/>
          <w:color w:val="auto"/>
        </w:rPr>
      </w:pPr>
    </w:p>
    <w:p>
      <w:pPr>
        <w:ind w:left="300" w:right="240" w:firstLine="532"/>
        <w:spacing w:after="0" w:line="250" w:lineRule="auto"/>
        <w:rPr>
          <w:sz w:val="20"/>
          <w:szCs w:val="20"/>
          <w:color w:val="auto"/>
        </w:rPr>
      </w:pPr>
      <w:r>
        <w:rPr>
          <w:rFonts w:ascii="Arial" w:cs="Arial" w:eastAsia="Arial" w:hAnsi="Arial"/>
          <w:sz w:val="18"/>
          <w:szCs w:val="18"/>
          <w:i w:val="1"/>
          <w:iCs w:val="1"/>
          <w:color w:val="auto"/>
        </w:rPr>
        <w:t>The summary consolidated statements of operations data for the years ended January 31, 2020 and 2021 and the summary consolidated balance sheet data as of January 31, 2021 have been derived from our audited consolidated financial statements included elsewhere in this prospectus. Our historical results are not necessarily indicative of our results in any future period.</w:t>
      </w:r>
    </w:p>
    <w:p>
      <w:pPr>
        <w:spacing w:after="0" w:line="177" w:lineRule="exact"/>
        <w:rPr>
          <w:sz w:val="20"/>
          <w:szCs w:val="20"/>
          <w:color w:val="auto"/>
        </w:rPr>
      </w:pPr>
    </w:p>
    <w:p>
      <w:pPr>
        <w:ind w:left="300" w:right="160" w:firstLine="532"/>
        <w:spacing w:after="0" w:line="250" w:lineRule="auto"/>
        <w:rPr>
          <w:sz w:val="20"/>
          <w:szCs w:val="20"/>
          <w:color w:val="auto"/>
        </w:rPr>
      </w:pPr>
      <w:r>
        <w:rPr>
          <w:rFonts w:ascii="Arial" w:cs="Arial" w:eastAsia="Arial" w:hAnsi="Arial"/>
          <w:sz w:val="18"/>
          <w:szCs w:val="18"/>
          <w:i w:val="1"/>
          <w:iCs w:val="1"/>
          <w:color w:val="auto"/>
        </w:rPr>
        <w:t>You should read the following summary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4"/>
          </w:tcPr>
          <w:p>
            <w:pPr>
              <w:jc w:val="center"/>
              <w:ind w:right="1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Subscription and Reserve rental revenue</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235,417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Other revenue</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21,449</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revenue, net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256,866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Fulfillment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118,111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Technology</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40,186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37,657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Marketing</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22,913</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98,876</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77,229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Rental product depreciation and revenue share</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85,185</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tcPr>
          <w:p>
            <w:pPr>
              <w:ind w:left="340"/>
              <w:spacing w:after="0" w:line="202" w:lineRule="exact"/>
              <w:rPr>
                <w:sz w:val="20"/>
                <w:szCs w:val="20"/>
                <w:color w:val="auto"/>
              </w:rPr>
            </w:pPr>
            <w:r>
              <w:rPr>
                <w:rFonts w:ascii="Arial" w:cs="Arial" w:eastAsia="Arial" w:hAnsi="Arial"/>
                <w:sz w:val="18"/>
                <w:szCs w:val="18"/>
                <w:color w:val="auto"/>
              </w:rPr>
              <w:t>Other depreciation and amortization</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21,580</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costs and expenses</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386,851</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287,994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1060"/>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(129,985)</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(130,495)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 (expense), net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(24,048)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tcPr>
          <w:p>
            <w:pPr>
              <w:spacing w:after="0" w:line="202" w:lineRule="exact"/>
              <w:rPr>
                <w:sz w:val="20"/>
                <w:szCs w:val="20"/>
                <w:color w:val="auto"/>
              </w:rPr>
            </w:pPr>
            <w:r>
              <w:rPr>
                <w:rFonts w:ascii="Arial" w:cs="Arial" w:eastAsia="Arial" w:hAnsi="Arial"/>
                <w:sz w:val="18"/>
                <w:szCs w:val="18"/>
                <w:color w:val="auto"/>
              </w:rPr>
              <w:t>Other income / (expense), net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loss before benefit from income taxes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(154,107)</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(171,081)</w:t>
            </w:r>
          </w:p>
        </w:tc>
        <w:tc>
          <w:tcPr>
            <w:tcW w:w="0" w:type="dxa"/>
            <w:vAlign w:val="bottom"/>
          </w:tcPr>
          <w:p>
            <w:pPr>
              <w:spacing w:after="0"/>
              <w:rPr>
                <w:sz w:val="1"/>
                <w:szCs w:val="1"/>
                <w:color w:val="auto"/>
              </w:rPr>
            </w:pPr>
          </w:p>
        </w:tc>
      </w:tr>
      <w:tr>
        <w:trPr>
          <w:trHeight w:val="318"/>
        </w:trPr>
        <w:tc>
          <w:tcPr>
            <w:tcW w:w="746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(153,956)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(171,080)</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(1)</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gridSpan w:val="2"/>
            <w:vMerge w:val="continue"/>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(14.04)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4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4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10,964,634</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7"/>
              </w:rPr>
              <w:t>11,138,851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40" w:type="dxa"/>
            <w:vAlign w:val="bottom"/>
          </w:tcPr>
          <w:p>
            <w:pPr>
              <w:ind w:left="16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(2)</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80" w:right="3620" w:hanging="179"/>
        <w:spacing w:after="0" w:line="246" w:lineRule="auto"/>
        <w:rPr>
          <w:sz w:val="20"/>
          <w:szCs w:val="20"/>
          <w:color w:val="auto"/>
        </w:rPr>
      </w:pPr>
      <w:r>
        <w:rPr>
          <w:rFonts w:ascii="Arial" w:cs="Arial" w:eastAsia="Arial" w:hAnsi="Arial"/>
          <w:sz w:val="18"/>
          <w:szCs w:val="18"/>
          <w:color w:val="auto"/>
        </w:rPr>
        <w:t>Weighted-average shares used in computing pro forma net loss per share attributable to common stockholders, basic and diluted (unaudited)</w:t>
      </w:r>
      <w:r>
        <w:rPr>
          <w:rFonts w:ascii="Arial" w:cs="Arial" w:eastAsia="Arial" w:hAnsi="Arial"/>
          <w:sz w:val="15"/>
          <w:szCs w:val="15"/>
          <w:color w:val="auto"/>
        </w:rPr>
        <w:t>(2)</w:t>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58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375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20" w:right="300" w:hanging="422"/>
        <w:spacing w:after="0" w:line="241" w:lineRule="auto"/>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720" w:right="80" w:hanging="422"/>
        <w:spacing w:after="0" w:line="258" w:lineRule="auto"/>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 forma net loss per share gives effect to the automatic conversion of all of our outstanding shares of redeemable preferred stock into an aggregate of shares of Class A common stock.</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January 31, 2021</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50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Pro</w:t>
            </w:r>
          </w:p>
        </w:tc>
        <w:tc>
          <w:tcPr>
            <w:tcW w:w="940" w:type="dxa"/>
            <w:vAlign w:val="bottom"/>
          </w:tcPr>
          <w:p>
            <w:pPr>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79"/>
        </w:trPr>
        <w:tc>
          <w:tcPr>
            <w:tcW w:w="5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620" w:type="dxa"/>
            <w:vAlign w:val="bottom"/>
          </w:tcPr>
          <w:p>
            <w:pPr>
              <w:jc w:val="center"/>
              <w:spacing w:after="0" w:line="179"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(2)</w:t>
            </w:r>
          </w:p>
        </w:tc>
        <w:tc>
          <w:tcPr>
            <w:tcW w:w="1000" w:type="dxa"/>
            <w:vAlign w:val="bottom"/>
            <w:gridSpan w:val="2"/>
          </w:tcPr>
          <w:p>
            <w:pPr>
              <w:ind w:left="2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(2)(3)</w:t>
            </w:r>
          </w:p>
        </w:tc>
      </w:tr>
      <w:tr>
        <w:trPr>
          <w:trHeight w:val="156"/>
        </w:trPr>
        <w:tc>
          <w:tcPr>
            <w:tcW w:w="5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0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  95,260</w:t>
            </w:r>
          </w:p>
        </w:tc>
        <w:tc>
          <w:tcPr>
            <w:tcW w:w="1620" w:type="dxa"/>
            <w:vAlign w:val="bottom"/>
          </w:tcPr>
          <w:p>
            <w:pPr>
              <w:jc w:val="right"/>
              <w:ind w:right="1046"/>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0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62,745</w:t>
            </w: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0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320,768</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preferred stock</w:t>
            </w:r>
          </w:p>
        </w:tc>
        <w:tc>
          <w:tcPr>
            <w:tcW w:w="30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388,072</w:t>
            </w: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(589,373)</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(526,615)</w:t>
            </w: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720" w:hanging="422"/>
        <w:spacing w:after="0"/>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(2)</w:t>
            </w:r>
          </w:p>
        </w:tc>
        <w:tc>
          <w:tcPr>
            <w:tcW w:w="8280" w:type="dxa"/>
            <w:vAlign w:val="bottom"/>
            <w:gridSpan w:val="6"/>
          </w:tcPr>
          <w:p>
            <w:pPr>
              <w:ind w:left="120"/>
              <w:spacing w:after="0"/>
              <w:rPr>
                <w:sz w:val="20"/>
                <w:szCs w:val="20"/>
                <w:color w:val="auto"/>
              </w:rPr>
            </w:pPr>
            <w:r>
              <w:rPr>
                <w:rFonts w:ascii="Arial" w:cs="Arial" w:eastAsia="Arial" w:hAnsi="Arial"/>
                <w:sz w:val="14"/>
                <w:szCs w:val="14"/>
                <w:color w:val="auto"/>
              </w:rPr>
              <w:t>Gives effect to the automatic conversion of all of our outstanding shares of redeemable preferred stock into an aggregate of</w:t>
            </w:r>
          </w:p>
        </w:tc>
        <w:tc>
          <w:tcPr>
            <w:tcW w:w="2040" w:type="dxa"/>
            <w:vAlign w:val="bottom"/>
          </w:tcPr>
          <w:p>
            <w:pPr>
              <w:ind w:left="320"/>
              <w:spacing w:after="0"/>
              <w:rPr>
                <w:sz w:val="20"/>
                <w:szCs w:val="20"/>
                <w:color w:val="auto"/>
              </w:rPr>
            </w:pPr>
            <w:r>
              <w:rPr>
                <w:rFonts w:ascii="Arial" w:cs="Arial" w:eastAsia="Arial" w:hAnsi="Arial"/>
                <w:sz w:val="14"/>
                <w:szCs w:val="14"/>
                <w:color w:val="auto"/>
              </w:rPr>
              <w:t>shares of Class A common</w:t>
            </w:r>
          </w:p>
        </w:tc>
      </w:tr>
      <w:tr>
        <w:trPr>
          <w:trHeight w:val="162"/>
        </w:trPr>
        <w:tc>
          <w:tcPr>
            <w:tcW w:w="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Arial" w:cs="Arial" w:eastAsia="Arial" w:hAnsi="Arial"/>
                <w:sz w:val="14"/>
                <w:szCs w:val="14"/>
                <w:color w:val="auto"/>
              </w:rPr>
              <w:t>stock, upon closing of this offering.</w:t>
            </w:r>
          </w:p>
        </w:tc>
        <w:tc>
          <w:tcPr>
            <w:tcW w:w="1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2"/>
        </w:trPr>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(3)</w:t>
            </w:r>
          </w:p>
        </w:tc>
        <w:tc>
          <w:tcPr>
            <w:tcW w:w="7160" w:type="dxa"/>
            <w:vAlign w:val="bottom"/>
            <w:gridSpan w:val="5"/>
          </w:tcPr>
          <w:p>
            <w:pPr>
              <w:ind w:left="120"/>
              <w:spacing w:after="0"/>
              <w:rPr>
                <w:sz w:val="20"/>
                <w:szCs w:val="20"/>
                <w:color w:val="auto"/>
              </w:rPr>
            </w:pPr>
            <w:r>
              <w:rPr>
                <w:rFonts w:ascii="Arial" w:cs="Arial" w:eastAsia="Arial" w:hAnsi="Arial"/>
                <w:sz w:val="14"/>
                <w:szCs w:val="14"/>
                <w:color w:val="auto"/>
              </w:rPr>
              <w:t>Gives effect to (i) the pro forma adjustments set forth in footnote (2) above and (ii) the issuance and sale of</w:t>
            </w:r>
          </w:p>
        </w:tc>
        <w:tc>
          <w:tcPr>
            <w:tcW w:w="3160" w:type="dxa"/>
            <w:vAlign w:val="bottom"/>
            <w:gridSpan w:val="2"/>
          </w:tcPr>
          <w:p>
            <w:pPr>
              <w:ind w:left="260"/>
              <w:spacing w:after="0"/>
              <w:rPr>
                <w:sz w:val="20"/>
                <w:szCs w:val="20"/>
                <w:color w:val="auto"/>
              </w:rPr>
            </w:pPr>
            <w:r>
              <w:rPr>
                <w:rFonts w:ascii="Arial" w:cs="Arial" w:eastAsia="Arial" w:hAnsi="Arial"/>
                <w:sz w:val="14"/>
                <w:szCs w:val="14"/>
                <w:color w:val="auto"/>
              </w:rPr>
              <w:t>shares of our Class A common stock in this</w:t>
            </w:r>
          </w:p>
        </w:tc>
      </w:tr>
      <w:tr>
        <w:trPr>
          <w:trHeight w:val="162"/>
        </w:trPr>
        <w:tc>
          <w:tcPr>
            <w:tcW w:w="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Arial" w:cs="Arial" w:eastAsia="Arial" w:hAnsi="Arial"/>
                <w:sz w:val="14"/>
                <w:szCs w:val="14"/>
                <w:color w:val="auto"/>
              </w:rPr>
              <w:t>offering at the assumed initial public offering price of $</w:t>
            </w:r>
          </w:p>
        </w:tc>
        <w:tc>
          <w:tcPr>
            <w:tcW w:w="6400" w:type="dxa"/>
            <w:vAlign w:val="bottom"/>
            <w:gridSpan w:val="4"/>
          </w:tcPr>
          <w:p>
            <w:pPr>
              <w:ind w:left="160"/>
              <w:spacing w:after="0"/>
              <w:rPr>
                <w:sz w:val="20"/>
                <w:szCs w:val="20"/>
                <w:color w:val="auto"/>
              </w:rPr>
            </w:pPr>
            <w:r>
              <w:rPr>
                <w:rFonts w:ascii="Arial" w:cs="Arial" w:eastAsia="Arial" w:hAnsi="Arial"/>
                <w:sz w:val="14"/>
                <w:szCs w:val="14"/>
                <w:color w:val="auto"/>
              </w:rPr>
              <w:t>per share, which is the midpoint of the price range set forth on the cover page of this prospectus,</w:t>
            </w:r>
          </w:p>
        </w:tc>
      </w:tr>
      <w:tr>
        <w:trPr>
          <w:trHeight w:val="162"/>
        </w:trPr>
        <w:tc>
          <w:tcPr>
            <w:tcW w:w="300" w:type="dxa"/>
            <w:vAlign w:val="bottom"/>
          </w:tcPr>
          <w:p>
            <w:pPr>
              <w:spacing w:after="0"/>
              <w:rPr>
                <w:sz w:val="14"/>
                <w:szCs w:val="14"/>
                <w:color w:val="auto"/>
              </w:rPr>
            </w:pPr>
          </w:p>
        </w:tc>
        <w:tc>
          <w:tcPr>
            <w:tcW w:w="10320" w:type="dxa"/>
            <w:vAlign w:val="bottom"/>
            <w:gridSpan w:val="7"/>
          </w:tcPr>
          <w:p>
            <w:pPr>
              <w:ind w:left="120"/>
              <w:spacing w:after="0"/>
              <w:rPr>
                <w:sz w:val="20"/>
                <w:szCs w:val="20"/>
                <w:color w:val="auto"/>
              </w:rPr>
            </w:pPr>
            <w:r>
              <w:rPr>
                <w:rFonts w:ascii="Arial" w:cs="Arial" w:eastAsia="Arial" w:hAnsi="Arial"/>
                <w:sz w:val="14"/>
                <w:szCs w:val="14"/>
                <w:color w:val="auto"/>
              </w:rPr>
              <w:t>and after deducting the estimated underwriting discounts and commissions and estimated offering expenses payable by us. A $1.00 increase or decrease, as</w:t>
            </w:r>
          </w:p>
        </w:tc>
      </w:tr>
      <w:tr>
        <w:trPr>
          <w:trHeight w:val="162"/>
        </w:trPr>
        <w:tc>
          <w:tcPr>
            <w:tcW w:w="300" w:type="dxa"/>
            <w:vAlign w:val="bottom"/>
          </w:tcPr>
          <w:p>
            <w:pPr>
              <w:spacing w:after="0"/>
              <w:rPr>
                <w:sz w:val="14"/>
                <w:szCs w:val="14"/>
                <w:color w:val="auto"/>
              </w:rPr>
            </w:pPr>
          </w:p>
        </w:tc>
        <w:tc>
          <w:tcPr>
            <w:tcW w:w="3920" w:type="dxa"/>
            <w:vAlign w:val="bottom"/>
            <w:gridSpan w:val="3"/>
          </w:tcPr>
          <w:p>
            <w:pPr>
              <w:ind w:left="120"/>
              <w:spacing w:after="0"/>
              <w:rPr>
                <w:sz w:val="20"/>
                <w:szCs w:val="20"/>
                <w:color w:val="auto"/>
              </w:rPr>
            </w:pPr>
            <w:r>
              <w:rPr>
                <w:rFonts w:ascii="Arial" w:cs="Arial" w:eastAsia="Arial" w:hAnsi="Arial"/>
                <w:sz w:val="14"/>
                <w:szCs w:val="14"/>
                <w:color w:val="auto"/>
              </w:rPr>
              <w:t>applicable, in the assumed initial public offering price of $</w:t>
            </w:r>
          </w:p>
        </w:tc>
        <w:tc>
          <w:tcPr>
            <w:tcW w:w="6400" w:type="dxa"/>
            <w:vAlign w:val="bottom"/>
            <w:gridSpan w:val="4"/>
          </w:tcPr>
          <w:p>
            <w:pPr>
              <w:ind w:left="360"/>
              <w:spacing w:after="0"/>
              <w:rPr>
                <w:sz w:val="20"/>
                <w:szCs w:val="20"/>
                <w:color w:val="auto"/>
              </w:rPr>
            </w:pPr>
            <w:r>
              <w:rPr>
                <w:rFonts w:ascii="Arial" w:cs="Arial" w:eastAsia="Arial" w:hAnsi="Arial"/>
                <w:sz w:val="14"/>
                <w:szCs w:val="14"/>
                <w:color w:val="auto"/>
              </w:rPr>
              <w:t>per share, which is the midpoint of the price range set forth on the cover page of this</w:t>
            </w:r>
          </w:p>
        </w:tc>
      </w:tr>
      <w:tr>
        <w:trPr>
          <w:trHeight w:val="162"/>
        </w:trPr>
        <w:tc>
          <w:tcPr>
            <w:tcW w:w="300" w:type="dxa"/>
            <w:vAlign w:val="bottom"/>
          </w:tcPr>
          <w:p>
            <w:pPr>
              <w:spacing w:after="0"/>
              <w:rPr>
                <w:sz w:val="14"/>
                <w:szCs w:val="14"/>
                <w:color w:val="auto"/>
              </w:rPr>
            </w:pPr>
          </w:p>
        </w:tc>
        <w:tc>
          <w:tcPr>
            <w:tcW w:w="10320" w:type="dxa"/>
            <w:vAlign w:val="bottom"/>
            <w:gridSpan w:val="7"/>
          </w:tcPr>
          <w:p>
            <w:pPr>
              <w:ind w:left="120"/>
              <w:spacing w:after="0"/>
              <w:rPr>
                <w:sz w:val="20"/>
                <w:szCs w:val="20"/>
                <w:color w:val="auto"/>
              </w:rPr>
            </w:pPr>
            <w:r>
              <w:rPr>
                <w:rFonts w:ascii="Arial" w:cs="Arial" w:eastAsia="Arial" w:hAnsi="Arial"/>
                <w:sz w:val="14"/>
                <w:szCs w:val="14"/>
                <w:color w:val="auto"/>
              </w:rPr>
              <w:t>prospectus, would increase or decrease, as applicable, each of cash and cash equivalents, total assets and total stockholders’ deficit on a pro forma basis by</w:t>
            </w:r>
          </w:p>
        </w:tc>
      </w:tr>
      <w:tr>
        <w:trPr>
          <w:trHeight w:val="162"/>
        </w:trPr>
        <w:tc>
          <w:tcPr>
            <w:tcW w:w="3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approximately $</w:t>
            </w:r>
          </w:p>
        </w:tc>
        <w:tc>
          <w:tcPr>
            <w:tcW w:w="8920" w:type="dxa"/>
            <w:vAlign w:val="bottom"/>
            <w:gridSpan w:val="5"/>
          </w:tcPr>
          <w:p>
            <w:pPr>
              <w:ind w:left="260"/>
              <w:spacing w:after="0"/>
              <w:rPr>
                <w:sz w:val="20"/>
                <w:szCs w:val="20"/>
                <w:color w:val="auto"/>
              </w:rPr>
            </w:pPr>
            <w:r>
              <w:rPr>
                <w:rFonts w:ascii="Arial" w:cs="Arial" w:eastAsia="Arial" w:hAnsi="Arial"/>
                <w:sz w:val="14"/>
                <w:szCs w:val="14"/>
                <w:color w:val="auto"/>
              </w:rPr>
              <w:t>million, assuming the number of shares offered, as set forth on the cover page of this prospectus, remains the same, and after deducting</w:t>
            </w:r>
          </w:p>
        </w:tc>
      </w:tr>
      <w:tr>
        <w:trPr>
          <w:trHeight w:val="162"/>
        </w:trPr>
        <w:tc>
          <w:tcPr>
            <w:tcW w:w="300" w:type="dxa"/>
            <w:vAlign w:val="bottom"/>
          </w:tcPr>
          <w:p>
            <w:pPr>
              <w:spacing w:after="0"/>
              <w:rPr>
                <w:sz w:val="14"/>
                <w:szCs w:val="14"/>
                <w:color w:val="auto"/>
              </w:rPr>
            </w:pPr>
          </w:p>
        </w:tc>
        <w:tc>
          <w:tcPr>
            <w:tcW w:w="10320" w:type="dxa"/>
            <w:vAlign w:val="bottom"/>
            <w:gridSpan w:val="7"/>
          </w:tcPr>
          <w:p>
            <w:pPr>
              <w:ind w:left="120"/>
              <w:spacing w:after="0"/>
              <w:rPr>
                <w:sz w:val="20"/>
                <w:szCs w:val="20"/>
                <w:color w:val="auto"/>
              </w:rPr>
            </w:pPr>
            <w:r>
              <w:rPr>
                <w:rFonts w:ascii="Arial" w:cs="Arial" w:eastAsia="Arial" w:hAnsi="Arial"/>
                <w:sz w:val="14"/>
                <w:szCs w:val="14"/>
                <w:color w:val="auto"/>
              </w:rPr>
              <w:t>the estimated underwriting discounts and commissions and estimated offering expenses payable by us. Each 1,000,000 share increase or decrease, as</w:t>
            </w:r>
          </w:p>
        </w:tc>
      </w:tr>
      <w:tr>
        <w:trPr>
          <w:trHeight w:val="162"/>
        </w:trPr>
        <w:tc>
          <w:tcPr>
            <w:tcW w:w="300" w:type="dxa"/>
            <w:vAlign w:val="bottom"/>
          </w:tcPr>
          <w:p>
            <w:pPr>
              <w:spacing w:after="0"/>
              <w:rPr>
                <w:sz w:val="14"/>
                <w:szCs w:val="14"/>
                <w:color w:val="auto"/>
              </w:rPr>
            </w:pPr>
          </w:p>
        </w:tc>
        <w:tc>
          <w:tcPr>
            <w:tcW w:w="10320" w:type="dxa"/>
            <w:vAlign w:val="bottom"/>
            <w:gridSpan w:val="7"/>
          </w:tcPr>
          <w:p>
            <w:pPr>
              <w:ind w:left="120"/>
              <w:spacing w:after="0"/>
              <w:rPr>
                <w:sz w:val="20"/>
                <w:szCs w:val="20"/>
                <w:color w:val="auto"/>
              </w:rPr>
            </w:pPr>
            <w:r>
              <w:rPr>
                <w:rFonts w:ascii="Arial" w:cs="Arial" w:eastAsia="Arial" w:hAnsi="Arial"/>
                <w:sz w:val="14"/>
                <w:szCs w:val="14"/>
                <w:color w:val="auto"/>
              </w:rPr>
              <w:t>applicable, in the number of shares offered in this offering would increase or decrease, as applicable, the net proceeds to us from this offering by approximately</w:t>
            </w:r>
          </w:p>
        </w:tc>
      </w:tr>
      <w:tr>
        <w:trPr>
          <w:trHeight w:val="162"/>
        </w:trPr>
        <w:tc>
          <w:tcPr>
            <w:tcW w:w="30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color w:val="auto"/>
              </w:rPr>
              <w:t>$</w:t>
            </w:r>
          </w:p>
        </w:tc>
        <w:tc>
          <w:tcPr>
            <w:tcW w:w="4940" w:type="dxa"/>
            <w:vAlign w:val="bottom"/>
            <w:gridSpan w:val="3"/>
          </w:tcPr>
          <w:p>
            <w:pPr>
              <w:ind w:left="260"/>
              <w:spacing w:after="0"/>
              <w:rPr>
                <w:sz w:val="20"/>
                <w:szCs w:val="20"/>
                <w:color w:val="auto"/>
              </w:rPr>
            </w:pPr>
            <w:r>
              <w:rPr>
                <w:rFonts w:ascii="Arial" w:cs="Arial" w:eastAsia="Arial" w:hAnsi="Arial"/>
                <w:sz w:val="14"/>
                <w:szCs w:val="14"/>
                <w:color w:val="auto"/>
              </w:rPr>
              <w:t>million, assuming that the price per share for the offering remains at $</w:t>
            </w:r>
          </w:p>
        </w:tc>
        <w:tc>
          <w:tcPr>
            <w:tcW w:w="4920" w:type="dxa"/>
            <w:vAlign w:val="bottom"/>
            <w:gridSpan w:val="3"/>
          </w:tcPr>
          <w:p>
            <w:pPr>
              <w:ind w:left="260"/>
              <w:spacing w:after="0"/>
              <w:rPr>
                <w:sz w:val="20"/>
                <w:szCs w:val="20"/>
                <w:color w:val="auto"/>
              </w:rPr>
            </w:pPr>
            <w:r>
              <w:rPr>
                <w:rFonts w:ascii="Arial" w:cs="Arial" w:eastAsia="Arial" w:hAnsi="Arial"/>
                <w:sz w:val="14"/>
                <w:szCs w:val="14"/>
                <w:color w:val="auto"/>
              </w:rPr>
              <w:t>(which is the midpoint of the price range set forth on the cover page of</w:t>
            </w:r>
          </w:p>
        </w:tc>
      </w:tr>
    </w:tbl>
    <w:p>
      <w:pPr>
        <w:ind w:left="720"/>
        <w:spacing w:after="0"/>
        <w:rPr>
          <w:sz w:val="20"/>
          <w:szCs w:val="20"/>
          <w:color w:val="auto"/>
        </w:rPr>
      </w:pPr>
      <w:r>
        <w:rPr>
          <w:rFonts w:ascii="Arial" w:cs="Arial" w:eastAsia="Arial" w:hAnsi="Arial"/>
          <w:sz w:val="14"/>
          <w:szCs w:val="14"/>
          <w:color w:val="auto"/>
        </w:rPr>
        <w:t>this prospectus), and after deducting the estimated underwriting discounts and commissions and estimated offering expenses payable by us.</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Business and Financial Metrics</w:t>
      </w:r>
    </w:p>
    <w:p>
      <w:pPr>
        <w:spacing w:after="0" w:line="220"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Each key business and financial metric should be considered in conjunction with other metrics and components of our results of operations, such as each of the other key business and financial metrics and our revenue, fulfillment and net loss.</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60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6"/>
        </w:trPr>
        <w:tc>
          <w:tcPr>
            <w:tcW w:w="60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right"/>
              <w:ind w:right="274"/>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Active subscribers (at the end of period)</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w w:val="98"/>
              </w:rPr>
              <w:t>133,572</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54,797</w:t>
            </w:r>
          </w:p>
        </w:tc>
        <w:tc>
          <w:tcPr>
            <w:tcW w:w="12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53,570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$ 15,573</w:t>
            </w:r>
          </w:p>
        </w:tc>
        <w:tc>
          <w:tcPr>
            <w:tcW w:w="1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excluding product depreciation</w:t>
            </w:r>
          </w:p>
        </w:tc>
        <w:tc>
          <w:tcPr>
            <w:tcW w:w="2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w w:val="98"/>
              </w:rPr>
              <w:t>129,249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$ 85,408</w:t>
            </w:r>
          </w:p>
        </w:tc>
        <w:tc>
          <w:tcPr>
            <w:tcW w:w="120" w:type="dxa"/>
            <w:vAlign w:val="bottom"/>
            <w:shd w:val="clear" w:color="auto" w:fill="CCEEFF"/>
          </w:tcPr>
          <w:p>
            <w:pPr>
              <w:spacing w:after="0"/>
              <w:rPr>
                <w:sz w:val="17"/>
                <w:szCs w:val="17"/>
                <w:color w:val="auto"/>
              </w:rPr>
            </w:pP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(18,033)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$(20,338)</w:t>
            </w:r>
          </w:p>
        </w:tc>
      </w:tr>
    </w:tbl>
    <w:p>
      <w:pPr>
        <w:spacing w:after="0" w:line="201" w:lineRule="exact"/>
        <w:rPr>
          <w:sz w:val="20"/>
          <w:szCs w:val="20"/>
          <w:color w:val="auto"/>
        </w:rPr>
      </w:pPr>
    </w:p>
    <w:p>
      <w:pPr>
        <w:ind w:left="300" w:right="40" w:firstLine="532"/>
        <w:spacing w:after="0" w:line="253" w:lineRule="auto"/>
        <w:rPr>
          <w:sz w:val="20"/>
          <w:szCs w:val="20"/>
          <w:color w:val="auto"/>
        </w:rPr>
      </w:pPr>
      <w:r>
        <w:rPr>
          <w:rFonts w:ascii="Arial" w:cs="Arial" w:eastAsia="Arial" w:hAnsi="Arial"/>
          <w:sz w:val="17"/>
          <w:szCs w:val="17"/>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Non-GAAP Financial Metrics</w:t>
      </w:r>
    </w:p>
    <w:p>
      <w:pPr>
        <w:spacing w:after="0" w:line="234" w:lineRule="exact"/>
        <w:rPr>
          <w:sz w:val="20"/>
          <w:szCs w:val="20"/>
          <w:color w:val="auto"/>
        </w:rPr>
      </w:pPr>
    </w:p>
    <w:p>
      <w:pPr>
        <w:ind w:left="300" w:right="80" w:firstLine="532"/>
        <w:spacing w:after="0" w:line="237"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3" w:lineRule="exact"/>
        <w:rPr>
          <w:sz w:val="20"/>
          <w:szCs w:val="20"/>
          <w:color w:val="auto"/>
        </w:rPr>
      </w:pPr>
    </w:p>
    <w:p>
      <w:pPr>
        <w:ind w:left="300" w:right="80" w:firstLine="532"/>
        <w:spacing w:after="0" w:line="238" w:lineRule="auto"/>
        <w:rPr>
          <w:sz w:val="20"/>
          <w:szCs w:val="20"/>
          <w:color w:val="auto"/>
        </w:rPr>
      </w:pPr>
      <w:r>
        <w:rPr>
          <w:rFonts w:ascii="Arial" w:cs="Arial" w:eastAsia="Arial" w:hAnsi="Arial"/>
          <w:sz w:val="18"/>
          <w:szCs w:val="18"/>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05" w:lineRule="exact"/>
        <w:rPr>
          <w:sz w:val="20"/>
          <w:szCs w:val="20"/>
          <w:color w:val="auto"/>
        </w:rPr>
      </w:pPr>
    </w:p>
    <w:p>
      <w:pPr>
        <w:ind w:left="300" w:right="260" w:firstLine="532"/>
        <w:spacing w:after="0" w:line="246" w:lineRule="auto"/>
        <w:rPr>
          <w:sz w:val="20"/>
          <w:szCs w:val="20"/>
          <w:color w:val="auto"/>
        </w:rPr>
      </w:pPr>
      <w:r>
        <w:rPr>
          <w:rFonts w:ascii="Arial" w:cs="Arial" w:eastAsia="Arial" w:hAnsi="Arial"/>
          <w:sz w:val="18"/>
          <w:szCs w:val="18"/>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197" w:lineRule="exact"/>
        <w:rPr>
          <w:sz w:val="20"/>
          <w:szCs w:val="20"/>
          <w:color w:val="auto"/>
        </w:rPr>
      </w:pPr>
    </w:p>
    <w:p>
      <w:pPr>
        <w:ind w:left="300" w:right="40" w:firstLine="532"/>
        <w:spacing w:after="0" w:line="246" w:lineRule="auto"/>
        <w:rPr>
          <w:sz w:val="20"/>
          <w:szCs w:val="20"/>
          <w:color w:val="auto"/>
        </w:rPr>
      </w:pPr>
      <w:r>
        <w:rPr>
          <w:rFonts w:ascii="Arial" w:cs="Arial" w:eastAsia="Arial" w:hAnsi="Arial"/>
          <w:sz w:val="18"/>
          <w:szCs w:val="18"/>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3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80" w:firstLine="532"/>
        <w:spacing w:after="0"/>
        <w:rPr>
          <w:sz w:val="20"/>
          <w:szCs w:val="20"/>
          <w:color w:val="auto"/>
        </w:rPr>
      </w:pPr>
      <w:r>
        <w:rPr>
          <w:rFonts w:ascii="Arial" w:cs="Arial" w:eastAsia="Arial" w:hAnsi="Arial"/>
          <w:sz w:val="18"/>
          <w:szCs w:val="18"/>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6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r>
      <w:tr>
        <w:trPr>
          <w:trHeight w:val="155"/>
        </w:trPr>
        <w:tc>
          <w:tcPr>
            <w:tcW w:w="6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20" w:type="dxa"/>
            <w:vAlign w:val="bottom"/>
            <w:gridSpan w:val="4"/>
          </w:tcPr>
          <w:p>
            <w:pPr>
              <w:jc w:val="right"/>
              <w:ind w:right="63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 net</w:t>
            </w:r>
          </w:p>
        </w:tc>
        <w:tc>
          <w:tcPr>
            <w:tcW w:w="2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$ 256,866</w:t>
            </w:r>
          </w:p>
        </w:tc>
        <w:tc>
          <w:tcPr>
            <w:tcW w:w="4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$ 157,499</w:t>
            </w:r>
          </w:p>
        </w:tc>
        <w:tc>
          <w:tcPr>
            <w:tcW w:w="140" w:type="dxa"/>
            <w:vAlign w:val="bottom"/>
            <w:shd w:val="clear" w:color="auto" w:fill="CCEEFF"/>
          </w:tcPr>
          <w:p>
            <w:pPr>
              <w:spacing w:after="0"/>
              <w:rPr>
                <w:sz w:val="17"/>
                <w:szCs w:val="17"/>
                <w:color w:val="auto"/>
              </w:rPr>
            </w:pPr>
          </w:p>
        </w:tc>
      </w:tr>
      <w:tr>
        <w:trPr>
          <w:trHeight w:val="209"/>
        </w:trPr>
        <w:tc>
          <w:tcPr>
            <w:tcW w:w="6680" w:type="dxa"/>
            <w:vAlign w:val="bottom"/>
          </w:tcPr>
          <w:p>
            <w:pPr>
              <w:spacing w:after="0" w:line="202" w:lineRule="exact"/>
              <w:rPr>
                <w:sz w:val="20"/>
                <w:szCs w:val="20"/>
                <w:color w:val="auto"/>
              </w:rPr>
            </w:pPr>
            <w:r>
              <w:rPr>
                <w:rFonts w:ascii="Arial" w:cs="Arial" w:eastAsia="Arial" w:hAnsi="Arial"/>
                <w:sz w:val="18"/>
                <w:szCs w:val="18"/>
                <w:color w:val="auto"/>
              </w:rPr>
              <w:t>Fulfillment</w:t>
            </w:r>
          </w:p>
        </w:tc>
        <w:tc>
          <w:tcPr>
            <w:tcW w:w="1400" w:type="dxa"/>
            <w:vAlign w:val="bottom"/>
          </w:tcPr>
          <w:p>
            <w:pPr>
              <w:spacing w:after="0"/>
              <w:rPr>
                <w:sz w:val="18"/>
                <w:szCs w:val="18"/>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118,111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52,951</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Fulfillment profit</w:t>
            </w:r>
          </w:p>
        </w:tc>
        <w:tc>
          <w:tcPr>
            <w:tcW w:w="14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138,755</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104,548</w:t>
            </w:r>
          </w:p>
        </w:tc>
        <w:tc>
          <w:tcPr>
            <w:tcW w:w="140" w:type="dxa"/>
            <w:vAlign w:val="bottom"/>
            <w:shd w:val="clear" w:color="auto" w:fill="CCEEFF"/>
          </w:tcPr>
          <w:p>
            <w:pPr>
              <w:spacing w:after="0"/>
              <w:rPr>
                <w:sz w:val="17"/>
                <w:szCs w:val="17"/>
                <w:color w:val="auto"/>
              </w:rPr>
            </w:pPr>
          </w:p>
        </w:tc>
      </w:tr>
      <w:tr>
        <w:trPr>
          <w:trHeight w:val="311"/>
        </w:trPr>
        <w:tc>
          <w:tcPr>
            <w:tcW w:w="6680" w:type="dxa"/>
            <w:vAlign w:val="bottom"/>
          </w:tcPr>
          <w:p>
            <w:pPr>
              <w:spacing w:after="0"/>
              <w:rPr>
                <w:sz w:val="20"/>
                <w:szCs w:val="20"/>
                <w:color w:val="auto"/>
              </w:rPr>
            </w:pPr>
            <w:r>
              <w:rPr>
                <w:rFonts w:ascii="Arial" w:cs="Arial" w:eastAsia="Arial" w:hAnsi="Arial"/>
                <w:sz w:val="18"/>
                <w:szCs w:val="18"/>
                <w:color w:val="auto"/>
              </w:rPr>
              <w:t>Revenue share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9,506</w:t>
            </w:r>
          </w:p>
        </w:tc>
        <w:tc>
          <w:tcPr>
            <w:tcW w:w="400" w:type="dxa"/>
            <w:vAlign w:val="bottom"/>
          </w:tcPr>
          <w:p>
            <w:pPr>
              <w:spacing w:after="0"/>
              <w:rPr>
                <w:sz w:val="24"/>
                <w:szCs w:val="2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19,140</w:t>
            </w:r>
          </w:p>
        </w:tc>
      </w:tr>
      <w:tr>
        <w:trPr>
          <w:trHeight w:val="34"/>
        </w:trPr>
        <w:tc>
          <w:tcPr>
            <w:tcW w:w="6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profit excluding product depreciation</w:t>
            </w:r>
          </w:p>
        </w:tc>
        <w:tc>
          <w:tcPr>
            <w:tcW w:w="2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129,249</w:t>
            </w:r>
          </w:p>
        </w:tc>
        <w:tc>
          <w:tcPr>
            <w:tcW w:w="40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85,408</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Rental product depreciation</w:t>
            </w:r>
          </w:p>
        </w:tc>
        <w:tc>
          <w:tcPr>
            <w:tcW w:w="1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75,679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69,835</w:t>
            </w:r>
          </w:p>
        </w:tc>
      </w:tr>
      <w:tr>
        <w:trPr>
          <w:trHeight w:val="27"/>
        </w:trPr>
        <w:tc>
          <w:tcPr>
            <w:tcW w:w="6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53,570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15,573</w:t>
            </w:r>
          </w:p>
        </w:tc>
      </w:tr>
      <w:tr>
        <w:trPr>
          <w:trHeight w:val="318"/>
        </w:trPr>
        <w:tc>
          <w:tcPr>
            <w:tcW w:w="6680" w:type="dxa"/>
            <w:vAlign w:val="bottom"/>
          </w:tcPr>
          <w:p>
            <w:pPr>
              <w:spacing w:after="0"/>
              <w:rPr>
                <w:sz w:val="20"/>
                <w:szCs w:val="20"/>
                <w:color w:val="auto"/>
              </w:rPr>
            </w:pPr>
            <w:r>
              <w:rPr>
                <w:rFonts w:ascii="Arial" w:cs="Arial" w:eastAsia="Arial" w:hAnsi="Arial"/>
                <w:sz w:val="18"/>
                <w:szCs w:val="18"/>
                <w:color w:val="auto"/>
              </w:rPr>
              <w:t>Credit card processing fees</w:t>
            </w:r>
          </w:p>
        </w:tc>
        <w:tc>
          <w:tcPr>
            <w:tcW w:w="14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40" w:type="dxa"/>
            <w:vAlign w:val="bottom"/>
          </w:tcPr>
          <w:p>
            <w:pPr>
              <w:spacing w:after="0"/>
              <w:rPr>
                <w:sz w:val="24"/>
                <w:szCs w:val="24"/>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Contribution profit</w:t>
            </w:r>
          </w:p>
        </w:tc>
        <w:tc>
          <w:tcPr>
            <w:tcW w:w="26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45,362</w:t>
            </w:r>
          </w:p>
        </w:tc>
        <w:tc>
          <w:tcPr>
            <w:tcW w:w="13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11,169</w:t>
            </w:r>
          </w:p>
        </w:tc>
      </w:tr>
      <w:tr>
        <w:trPr>
          <w:trHeight w:val="311"/>
        </w:trPr>
        <w:tc>
          <w:tcPr>
            <w:tcW w:w="6680" w:type="dxa"/>
            <w:vAlign w:val="bottom"/>
          </w:tcPr>
          <w:p>
            <w:pPr>
              <w:spacing w:after="0"/>
              <w:rPr>
                <w:sz w:val="20"/>
                <w:szCs w:val="20"/>
                <w:color w:val="auto"/>
              </w:rPr>
            </w:pPr>
            <w:r>
              <w:rPr>
                <w:rFonts w:ascii="Arial" w:cs="Arial" w:eastAsia="Arial" w:hAnsi="Arial"/>
                <w:sz w:val="18"/>
                <w:szCs w:val="18"/>
                <w:color w:val="auto"/>
              </w:rPr>
              <w:t>Technology</w:t>
            </w:r>
          </w:p>
        </w:tc>
        <w:tc>
          <w:tcPr>
            <w:tcW w:w="2640" w:type="dxa"/>
            <w:vAlign w:val="bottom"/>
            <w:gridSpan w:val="3"/>
          </w:tcPr>
          <w:p>
            <w:pPr>
              <w:jc w:val="right"/>
              <w:ind w:right="400"/>
              <w:spacing w:after="0"/>
              <w:rPr>
                <w:sz w:val="20"/>
                <w:szCs w:val="20"/>
                <w:color w:val="auto"/>
              </w:rPr>
            </w:pPr>
            <w:r>
              <w:rPr>
                <w:rFonts w:ascii="Arial" w:cs="Arial" w:eastAsia="Arial" w:hAnsi="Arial"/>
                <w:sz w:val="18"/>
                <w:szCs w:val="18"/>
                <w:color w:val="auto"/>
              </w:rPr>
              <w:t>40,186</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37,657</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w:t>
            </w:r>
          </w:p>
        </w:tc>
        <w:tc>
          <w:tcPr>
            <w:tcW w:w="264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22,913</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8,146</w:t>
            </w:r>
          </w:p>
        </w:tc>
        <w:tc>
          <w:tcPr>
            <w:tcW w:w="140" w:type="dxa"/>
            <w:vAlign w:val="bottom"/>
            <w:shd w:val="clear" w:color="auto" w:fill="CCEEFF"/>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(excluding credit card processing fees)</w:t>
            </w:r>
          </w:p>
        </w:tc>
        <w:tc>
          <w:tcPr>
            <w:tcW w:w="26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90,668</w:t>
            </w:r>
          </w:p>
        </w:tc>
        <w:tc>
          <w:tcPr>
            <w:tcW w:w="13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72,825</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depreciation and amortization</w:t>
            </w:r>
          </w:p>
        </w:tc>
        <w:tc>
          <w:tcPr>
            <w:tcW w:w="1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21,580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23,036</w:t>
            </w:r>
          </w:p>
        </w:tc>
      </w:tr>
      <w:tr>
        <w:trPr>
          <w:trHeight w:val="20"/>
        </w:trPr>
        <w:tc>
          <w:tcPr>
            <w:tcW w:w="6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640" w:type="dxa"/>
            <w:vAlign w:val="bottom"/>
            <w:gridSpan w:val="3"/>
          </w:tcPr>
          <w:p>
            <w:pPr>
              <w:jc w:val="right"/>
              <w:ind w:right="340"/>
              <w:spacing w:after="0"/>
              <w:rPr>
                <w:sz w:val="20"/>
                <w:szCs w:val="20"/>
                <w:color w:val="auto"/>
              </w:rPr>
            </w:pPr>
            <w:r>
              <w:rPr>
                <w:rFonts w:ascii="Arial" w:cs="Arial" w:eastAsia="Arial" w:hAnsi="Arial"/>
                <w:sz w:val="18"/>
                <w:szCs w:val="18"/>
                <w:color w:val="auto"/>
              </w:rPr>
              <w:t>$ (129,985)</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 (130,495)</w:t>
            </w:r>
          </w:p>
        </w:tc>
      </w:tr>
    </w:tbl>
    <w:p>
      <w:pPr>
        <w:spacing w:after="0" w:line="202" w:lineRule="exact"/>
        <w:rPr>
          <w:sz w:val="20"/>
          <w:szCs w:val="20"/>
          <w:color w:val="auto"/>
        </w:rPr>
      </w:pPr>
    </w:p>
    <w:p>
      <w:pPr>
        <w:ind w:left="300" w:right="120" w:firstLine="532"/>
        <w:spacing w:after="0" w:line="246" w:lineRule="auto"/>
        <w:rPr>
          <w:sz w:val="20"/>
          <w:szCs w:val="20"/>
          <w:color w:val="auto"/>
        </w:rPr>
      </w:pPr>
      <w:r>
        <w:rPr>
          <w:rFonts w:ascii="Arial" w:cs="Arial" w:eastAsia="Arial" w:hAnsi="Arial"/>
          <w:sz w:val="18"/>
          <w:szCs w:val="18"/>
          <w:color w:val="auto"/>
        </w:rPr>
        <w:t>Adjusted EBITDA is included in this prospectus because it is a key performance measure used by management to assess our operating performance and the operating leverage of our business.</w:t>
      </w:r>
    </w:p>
    <w:p>
      <w:pPr>
        <w:spacing w:after="0" w:line="197" w:lineRule="exact"/>
        <w:rPr>
          <w:sz w:val="20"/>
          <w:szCs w:val="20"/>
          <w:color w:val="auto"/>
        </w:rPr>
      </w:pPr>
    </w:p>
    <w:p>
      <w:pPr>
        <w:ind w:left="300" w:right="120" w:firstLine="532"/>
        <w:spacing w:after="0" w:line="246"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measures, to Adjusted EBITDA, for the years ended January 31, 2020 and 2021 (amounts in thousands):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(153,956)</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5"/>
              </w:rPr>
              <w:t>(171,080)</w:t>
            </w: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Interest (income) / expense, net</w:t>
            </w:r>
            <w:r>
              <w:rPr>
                <w:rFonts w:ascii="Arial" w:cs="Arial" w:eastAsia="Arial" w:hAnsi="Arial"/>
                <w:sz w:val="15"/>
                <w:szCs w:val="15"/>
                <w:color w:val="auto"/>
              </w:rPr>
              <w:t>(1)</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24,048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46,621</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product depreciation</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75,679</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69,835</w:t>
            </w: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Other depreciation and amortization</w:t>
            </w:r>
            <w:r>
              <w:rPr>
                <w:rFonts w:ascii="Arial" w:cs="Arial" w:eastAsia="Arial" w:hAnsi="Arial"/>
                <w:sz w:val="15"/>
                <w:szCs w:val="15"/>
                <w:color w:val="auto"/>
              </w:rPr>
              <w:t>(2)</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21,580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23,036</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r>
              <w:rPr>
                <w:rFonts w:ascii="Arial" w:cs="Arial" w:eastAsia="Arial" w:hAnsi="Arial"/>
                <w:sz w:val="15"/>
                <w:szCs w:val="15"/>
                <w:color w:val="auto"/>
              </w:rPr>
              <w:t>(3)</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6,766</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Write-off of liquidated assets</w:t>
            </w:r>
            <w:r>
              <w:rPr>
                <w:rFonts w:ascii="Arial" w:cs="Arial" w:eastAsia="Arial" w:hAnsi="Arial"/>
                <w:sz w:val="15"/>
                <w:szCs w:val="15"/>
                <w:color w:val="auto"/>
              </w:rPr>
              <w:t>(4)</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4,121</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3,287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Non-recurring adjustments</w:t>
            </w:r>
            <w:r>
              <w:rPr>
                <w:rFonts w:ascii="Arial" w:cs="Arial" w:eastAsia="Arial" w:hAnsi="Arial"/>
                <w:sz w:val="15"/>
                <w:szCs w:val="15"/>
                <w:color w:val="auto"/>
              </w:rPr>
              <w:t>(5)</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3,781</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 expense, net</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(6,035)</w:t>
            </w:r>
          </w:p>
        </w:tc>
      </w:tr>
      <w:tr>
        <w:trPr>
          <w:trHeight w:val="209"/>
        </w:trPr>
        <w:tc>
          <w:tcPr>
            <w:tcW w:w="20" w:type="dxa"/>
            <w:vAlign w:val="bottom"/>
          </w:tcPr>
          <w:p>
            <w:pPr>
              <w:spacing w:after="0"/>
              <w:rPr>
                <w:sz w:val="18"/>
                <w:szCs w:val="18"/>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Other (gains) / losses</w:t>
            </w:r>
            <w:r>
              <w:rPr>
                <w:rFonts w:ascii="Arial" w:cs="Arial" w:eastAsia="Arial" w:hAnsi="Arial"/>
                <w:sz w:val="15"/>
                <w:szCs w:val="15"/>
                <w:color w:val="auto"/>
              </w:rPr>
              <w:t>(6)</w:t>
            </w:r>
          </w:p>
        </w:tc>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2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(18,033)</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(20,338)</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42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debt discount amortization of $3.2 million in fiscal year 2019 and $5.1 million in fiscal year 2020.</w:t>
      </w:r>
    </w:p>
    <w:p>
      <w:pPr>
        <w:spacing w:after="0" w:line="1" w:lineRule="exact"/>
        <w:rPr>
          <w:rFonts w:ascii="Arial" w:cs="Arial" w:eastAsia="Arial" w:hAnsi="Arial"/>
          <w:sz w:val="14"/>
          <w:szCs w:val="14"/>
          <w:color w:val="auto"/>
        </w:rPr>
      </w:pPr>
    </w:p>
    <w:p>
      <w:pPr>
        <w:ind w:left="720" w:hanging="422"/>
        <w:spacing w:after="0"/>
        <w:tabs>
          <w:tab w:leader="none" w:pos="7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non-rental product depreciation and capitalized software amortization.</w:t>
      </w: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04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20" w:hanging="42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non-cash expense for stock-based compensation.</w:t>
      </w:r>
    </w:p>
    <w:p>
      <w:pPr>
        <w:spacing w:after="0" w:line="1" w:lineRule="exact"/>
        <w:rPr>
          <w:rFonts w:ascii="Arial" w:cs="Arial" w:eastAsia="Arial" w:hAnsi="Arial"/>
          <w:sz w:val="14"/>
          <w:szCs w:val="14"/>
          <w:color w:val="auto"/>
        </w:rPr>
      </w:pPr>
    </w:p>
    <w:p>
      <w:pPr>
        <w:ind w:left="720" w:hanging="42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products that had previously been held for sale.</w:t>
      </w:r>
    </w:p>
    <w:p>
      <w:pPr>
        <w:spacing w:after="0" w:line="1" w:lineRule="exact"/>
        <w:rPr>
          <w:rFonts w:ascii="Arial" w:cs="Arial" w:eastAsia="Arial" w:hAnsi="Arial"/>
          <w:sz w:val="14"/>
          <w:szCs w:val="14"/>
          <w:color w:val="auto"/>
        </w:rPr>
      </w:pPr>
    </w:p>
    <w:p>
      <w:pPr>
        <w:ind w:left="720" w:hanging="422"/>
        <w:spacing w:after="0" w:line="241" w:lineRule="auto"/>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w:t>
      </w:r>
    </w:p>
    <w:p>
      <w:pPr>
        <w:spacing w:after="0" w:line="1" w:lineRule="exact"/>
        <w:rPr>
          <w:rFonts w:ascii="Arial" w:cs="Arial" w:eastAsia="Arial" w:hAnsi="Arial"/>
          <w:sz w:val="14"/>
          <w:szCs w:val="14"/>
          <w:color w:val="auto"/>
        </w:rPr>
      </w:pPr>
    </w:p>
    <w:p>
      <w:pPr>
        <w:ind w:left="720" w:hanging="422"/>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costs associated with the write-off of asset disposals, operating lease termination and foreign exchange.</w:t>
      </w:r>
    </w:p>
    <w:p>
      <w:pPr>
        <w:spacing w:after="0" w:line="40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20"/>
          </w:cols>
          <w:pgMar w:left="320" w:top="459" w:right="8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04"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68"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7"/>
          <w:szCs w:val="17"/>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w:t>
      </w:r>
    </w:p>
    <w:p>
      <w:pPr>
        <w:spacing w:after="0" w:line="2" w:lineRule="exact"/>
        <w:rPr>
          <w:sz w:val="20"/>
          <w:szCs w:val="20"/>
          <w:color w:val="auto"/>
        </w:rPr>
      </w:pPr>
    </w:p>
    <w:p>
      <w:pPr>
        <w:ind w:left="120" w:right="640"/>
        <w:spacing w:after="0" w:line="234" w:lineRule="auto"/>
        <w:rPr>
          <w:sz w:val="20"/>
          <w:szCs w:val="20"/>
          <w:color w:val="auto"/>
        </w:rPr>
      </w:pPr>
      <w:r>
        <w:rPr>
          <w:rFonts w:ascii="Arial" w:cs="Arial" w:eastAsia="Arial" w:hAnsi="Arial"/>
          <w:sz w:val="18"/>
          <w:szCs w:val="18"/>
          <w:color w:val="auto"/>
        </w:rPr>
        <w:t>total revenue decreasing 38.7% from $256.9 million in fiscal year 2019 to $157.5 million, our revenue increased % from $ million for the six months ended July 31, 2020 to $ million for the six months ended July 31, 2021 and we may</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203"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our offerings and technology. For the six months ended July 31, 2021, over % of our total revenue was generated by our subscribers. Our base subscription plans range from $89 to $ 199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 success and may not grow as much or as fast as we expect. If our growth rate declines, investors’ perception of our business, financial condition and results of operations may be adversely affected.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the extent our growth rate slows, our business performance will become increasingly dependent on our ability to retain revenue from existing subscribers and increased sales to existing customers.</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102"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our subscription, a-la-carte and resale offerings so that we are able to attract new customers, and retain and expand our relationships with existing customers;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and operating expenses;</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transition from “unlimited” subscriptions to usage-based subscription plans at different price points;</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880" w:right="20" w:hanging="224"/>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80" w:lineRule="exact"/>
        <w:rPr>
          <w:rFonts w:ascii="Arial" w:cs="Arial" w:eastAsia="Arial" w:hAnsi="Arial"/>
          <w:sz w:val="17"/>
          <w:szCs w:val="17"/>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102"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102"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26" w:lineRule="exact"/>
        <w:rPr>
          <w:sz w:val="20"/>
          <w:szCs w:val="20"/>
          <w:color w:val="auto"/>
        </w:rPr>
      </w:pPr>
    </w:p>
    <w:p>
      <w:pPr>
        <w:ind w:left="120" w:right="280" w:firstLine="551"/>
        <w:spacing w:after="0" w:line="237"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95" w:lineRule="exact"/>
        <w:rPr>
          <w:sz w:val="20"/>
          <w:szCs w:val="20"/>
          <w:color w:val="auto"/>
        </w:rPr>
      </w:pPr>
    </w:p>
    <w:p>
      <w:pPr>
        <w:ind w:left="120" w:right="800" w:firstLine="551"/>
        <w:spacing w:after="0" w:line="246" w:lineRule="auto"/>
        <w:rPr>
          <w:sz w:val="20"/>
          <w:szCs w:val="20"/>
          <w:color w:val="auto"/>
        </w:rPr>
      </w:pPr>
      <w:r>
        <w:rPr>
          <w:rFonts w:ascii="Arial" w:cs="Arial" w:eastAsia="Arial" w:hAnsi="Arial"/>
          <w:sz w:val="18"/>
          <w:szCs w:val="18"/>
          <w:color w:val="auto"/>
        </w:rPr>
        <w:t>The COVID-19 pandemic has materially adversely affected our fiscal year 2020 operating and financial results due to the occurrence of the following events or circumstances, among others:</w:t>
      </w:r>
    </w:p>
    <w:p>
      <w:pPr>
        <w:spacing w:after="0" w:line="102" w:lineRule="exact"/>
        <w:rPr>
          <w:sz w:val="20"/>
          <w:szCs w:val="20"/>
          <w:color w:val="auto"/>
        </w:rPr>
      </w:pPr>
    </w:p>
    <w:p>
      <w:pPr>
        <w:ind w:left="880" w:right="36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102" w:lineRule="exact"/>
        <w:rPr>
          <w:rFonts w:ascii="Arial" w:cs="Arial" w:eastAsia="Arial" w:hAnsi="Arial"/>
          <w:sz w:val="18"/>
          <w:szCs w:val="18"/>
          <w:color w:val="auto"/>
        </w:rPr>
      </w:pPr>
    </w:p>
    <w:p>
      <w:pPr>
        <w:ind w:left="880" w:right="26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108"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212"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As the recovery period continues, particularly in the United States, and shelter-in-place orders and travel advisories are lifted, the effects of the COVID-19 pandemic, including the identification and spread of new variants of the virus, may continue to have a negative impact on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 and long-term financial results of operations due to the occurrence of the following events or circumstances, among others:</w:t>
      </w:r>
    </w:p>
    <w:p>
      <w:pPr>
        <w:spacing w:after="0" w:line="117" w:lineRule="exact"/>
        <w:rPr>
          <w:sz w:val="20"/>
          <w:szCs w:val="20"/>
          <w:color w:val="auto"/>
        </w:rPr>
      </w:pPr>
    </w:p>
    <w:p>
      <w:pPr>
        <w:ind w:left="880" w:right="16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108"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102"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continuing disruptions of the operations of our brand partners, which could impact our ability to acquire an adequate depth and breadth of products at favorable prices in a timely manner to match demand;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efficiently re-start our paid marketing efforts; and</w:t>
      </w:r>
    </w:p>
    <w:p>
      <w:pPr>
        <w:spacing w:after="0" w:line="117" w:lineRule="exact"/>
        <w:rPr>
          <w:rFonts w:ascii="Arial" w:cs="Arial" w:eastAsia="Arial" w:hAnsi="Arial"/>
          <w:sz w:val="18"/>
          <w:szCs w:val="18"/>
          <w:color w:val="auto"/>
        </w:rPr>
      </w:pPr>
    </w:p>
    <w:p>
      <w:pPr>
        <w:ind w:left="880" w:right="60" w:hanging="224"/>
        <w:spacing w:after="0" w:line="274"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possible resurgences of the COVID-19 pandemic, including as a result of new variants of the virus or otherwise, that lead to new or additional shelter-in-place orders and/or travel advisories, which may dampen future demand for our products and offering.</w:t>
      </w:r>
    </w:p>
    <w:p>
      <w:pPr>
        <w:spacing w:after="0" w:line="17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117" w:lineRule="exact"/>
        <w:rPr>
          <w:rFonts w:ascii="Arial" w:cs="Arial" w:eastAsia="Arial" w:hAnsi="Arial"/>
          <w:sz w:val="18"/>
          <w:szCs w:val="18"/>
          <w:color w:val="auto"/>
        </w:rPr>
      </w:pPr>
    </w:p>
    <w:p>
      <w:pPr>
        <w:ind w:left="5520" w:right="2620" w:hanging="4864"/>
        <w:spacing w:after="0" w:line="418" w:lineRule="auto"/>
        <w:tabs>
          <w:tab w:leader="none" w:pos="8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 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to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at which we are able to offer our rental and resale offerings;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12"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205"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181"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unable to cost-effectively grow our customer base, our business, financial condition and results of operations would be harmed</w:t>
      </w:r>
      <w:r>
        <w:rPr>
          <w:rFonts w:ascii="Arial" w:cs="Arial" w:eastAsia="Arial" w:hAnsi="Arial"/>
          <w:sz w:val="18"/>
          <w:szCs w:val="18"/>
          <w:color w:val="auto"/>
        </w:rPr>
        <w: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paused paid marketing as a result of COVID-19, we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high proportion of our revenue comes from highly engaged subscribers. For the six months ended July 31, 2021,</w:t>
      </w:r>
    </w:p>
    <w:p>
      <w:pPr>
        <w:ind w:left="120" w:right="100"/>
        <w:spacing w:after="0" w:line="246" w:lineRule="auto"/>
        <w:rPr>
          <w:sz w:val="20"/>
          <w:szCs w:val="20"/>
          <w:color w:val="auto"/>
        </w:rPr>
      </w:pPr>
      <w:r>
        <w:rPr>
          <w:rFonts w:ascii="Arial" w:cs="Arial" w:eastAsia="Arial" w:hAnsi="Arial"/>
          <w:sz w:val="18"/>
          <w:szCs w:val="18"/>
          <w:color w:val="auto"/>
        </w:rPr>
        <w:t>over % of our total revenue was generated by our subscribers. A decrease in the number of existing customers or a reduction in the amount existing customers spend on our offerings could negatively affect our operating results.</w:t>
      </w:r>
    </w:p>
    <w:p>
      <w:pPr>
        <w:spacing w:after="0" w:line="197"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102"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or ESG, initiatives;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21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83"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208"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had a net loss of $171.1 million for the year ended January 31, 2021 and have in the past had net losses. As of January 31, 2021, we had an accumulated deficit of $ 589.4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205" w:lineRule="exact"/>
        <w:rPr>
          <w:sz w:val="20"/>
          <w:szCs w:val="20"/>
          <w:color w:val="auto"/>
        </w:rPr>
      </w:pPr>
    </w:p>
    <w:p>
      <w:pPr>
        <w:ind w:left="120" w:right="100" w:firstLine="551"/>
        <w:spacing w:after="0" w:line="274" w:lineRule="auto"/>
        <w:rPr>
          <w:sz w:val="20"/>
          <w:szCs w:val="20"/>
          <w:color w:val="auto"/>
        </w:rPr>
      </w:pPr>
      <w:r>
        <w:rPr>
          <w:rFonts w:ascii="Arial" w:cs="Arial" w:eastAsia="Arial" w:hAnsi="Arial"/>
          <w:sz w:val="17"/>
          <w:szCs w:val="17"/>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0"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the engagement of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invest in our operations, including our logistics fulfillment and capacity, to support the growth in our business.</w:t>
      </w:r>
    </w:p>
    <w:p>
      <w:pPr>
        <w:spacing w:after="0" w:line="212"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8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b w:val="1"/>
          <w:bCs w:val="1"/>
          <w:i w:val="1"/>
          <w:iCs w:val="1"/>
          <w:color w:val="auto"/>
        </w:rPr>
        <w:t>If we are unable to accurately forecast customer demand, manage our products effectively and plan for future expenses, our operating results could be adversely affected.</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214" w:lineRule="exact"/>
        <w:rPr>
          <w:sz w:val="20"/>
          <w:szCs w:val="20"/>
          <w:color w:val="auto"/>
        </w:rPr>
      </w:pPr>
    </w:p>
    <w:p>
      <w:pPr>
        <w:ind w:left="120" w:right="120" w:firstLine="551"/>
        <w:spacing w:after="0" w:line="234" w:lineRule="auto"/>
        <w:rPr>
          <w:sz w:val="20"/>
          <w:szCs w:val="20"/>
          <w:color w:val="auto"/>
        </w:rPr>
      </w:pPr>
      <w:r>
        <w:rPr>
          <w:rFonts w:ascii="Arial" w:cs="Arial" w:eastAsia="Arial" w:hAnsi="Arial"/>
          <w:sz w:val="18"/>
          <w:szCs w:val="18"/>
          <w:color w:val="auto"/>
        </w:rPr>
        <w:t>In fiscal years 2019 and 2020,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w:t>
      </w:r>
    </w:p>
    <w:p>
      <w:pPr>
        <w:spacing w:after="0" w:line="5" w:lineRule="exact"/>
        <w:rPr>
          <w:sz w:val="20"/>
          <w:szCs w:val="20"/>
          <w:color w:val="auto"/>
        </w:rPr>
      </w:pPr>
    </w:p>
    <w:p>
      <w:pPr>
        <w:ind w:left="120" w:right="80" w:hanging="4"/>
        <w:spacing w:after="0" w:line="234" w:lineRule="auto"/>
        <w:tabs>
          <w:tab w:leader="none" w:pos="3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w:t>
      </w:r>
    </w:p>
    <w:p>
      <w:pPr>
        <w:spacing w:after="0" w:line="3" w:lineRule="exact"/>
        <w:rPr>
          <w:rFonts w:ascii="Arial" w:cs="Arial" w:eastAsia="Arial" w:hAnsi="Arial"/>
          <w:sz w:val="18"/>
          <w:szCs w:val="18"/>
          <w:color w:val="auto"/>
        </w:rPr>
      </w:pPr>
    </w:p>
    <w:p>
      <w:pPr>
        <w:ind w:left="120" w:right="40"/>
        <w:spacing w:after="0" w:line="246" w:lineRule="auto"/>
        <w:rPr>
          <w:rFonts w:ascii="Arial" w:cs="Arial" w:eastAsia="Arial" w:hAnsi="Arial"/>
          <w:sz w:val="18"/>
          <w:szCs w:val="18"/>
          <w:color w:val="auto"/>
        </w:rPr>
      </w:pPr>
      <w:r>
        <w:rPr>
          <w:rFonts w:ascii="Arial" w:cs="Arial" w:eastAsia="Arial" w:hAnsi="Arial"/>
          <w:sz w:val="18"/>
          <w:szCs w:val="18"/>
          <w:color w:val="auto"/>
        </w:rPr>
        <w:t>products on a timely basis at competitive prices could suffer as a result of any deterioration or change in our brand partner relationships or events that adversely affect our partners.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2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80" w:lineRule="exact"/>
        <w:rPr>
          <w:sz w:val="20"/>
          <w:szCs w:val="20"/>
          <w:color w:val="auto"/>
        </w:rPr>
      </w:pPr>
    </w:p>
    <w:p>
      <w:pPr>
        <w:jc w:val="both"/>
        <w:ind w:left="120" w:right="120" w:firstLine="551"/>
        <w:spacing w:after="0" w:line="301" w:lineRule="auto"/>
        <w:rPr>
          <w:sz w:val="20"/>
          <w:szCs w:val="20"/>
          <w:color w:val="auto"/>
        </w:rPr>
      </w:pPr>
      <w:r>
        <w:rPr>
          <w:rFonts w:ascii="Arial" w:cs="Arial" w:eastAsia="Arial" w:hAnsi="Arial"/>
          <w:sz w:val="17"/>
          <w:szCs w:val="17"/>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7"/>
          <w:szCs w:val="17"/>
          <w:color w:val="auto"/>
        </w:rPr>
        <w:t>.</w:t>
      </w:r>
    </w:p>
    <w:p>
      <w:pPr>
        <w:spacing w:after="0" w:line="4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20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products mix we currently or will offer in the future.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including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91"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20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400" w:firstLine="551"/>
        <w:spacing w:after="0" w:line="301" w:lineRule="auto"/>
        <w:rPr>
          <w:sz w:val="20"/>
          <w:szCs w:val="20"/>
          <w:color w:val="auto"/>
        </w:rPr>
      </w:pPr>
      <w:r>
        <w:rPr>
          <w:rFonts w:ascii="Arial" w:cs="Arial" w:eastAsia="Arial" w:hAnsi="Arial"/>
          <w:sz w:val="17"/>
          <w:szCs w:val="17"/>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4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181"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8"/>
          <w:szCs w:val="18"/>
          <w:color w:val="auto"/>
        </w:rPr>
        <w:t>.</w:t>
      </w:r>
    </w:p>
    <w:p>
      <w:pPr>
        <w:spacing w:after="0" w:line="6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7"/>
          <w:szCs w:val="17"/>
          <w:color w:val="auto"/>
        </w:rPr>
        <w:t>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89"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21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81"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880" w:right="240" w:hanging="224"/>
        <w:spacing w:after="0" w:line="261"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1" w:lineRule="exact"/>
        <w:rPr>
          <w:rFonts w:ascii="Arial" w:cs="Arial" w:eastAsia="Arial" w:hAnsi="Arial"/>
          <w:sz w:val="17"/>
          <w:szCs w:val="17"/>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cybersecurity and consumer privacy concerns and regulation;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80" w:lineRule="exact"/>
        <w:rPr>
          <w:sz w:val="20"/>
          <w:szCs w:val="20"/>
          <w:color w:val="auto"/>
        </w:rPr>
      </w:pPr>
    </w:p>
    <w:p>
      <w:pPr>
        <w:ind w:left="120" w:right="640" w:firstLine="551"/>
        <w:spacing w:after="0" w:line="271"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68"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however a substantial majority of our inbound shipments from customers 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currently returned through a single vendor. 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7"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83" w:lineRule="exact"/>
        <w:rPr>
          <w:sz w:val="20"/>
          <w:szCs w:val="20"/>
          <w:color w:val="auto"/>
        </w:rPr>
      </w:pPr>
    </w:p>
    <w:p>
      <w:pPr>
        <w:ind w:left="120" w:right="1120" w:firstLine="551"/>
        <w:spacing w:after="0" w:line="271" w:lineRule="auto"/>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108"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timing of our fulfillment costs and operating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economic and market conditions, such as those related to the COVID-19 pandemic, and other adverse global events that negatively impact commerce and consumer behavior;</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02"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20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26" w:lineRule="exact"/>
        <w:rPr>
          <w:sz w:val="20"/>
          <w:szCs w:val="20"/>
          <w:color w:val="auto"/>
        </w:rPr>
      </w:pPr>
    </w:p>
    <w:p>
      <w:pPr>
        <w:ind w:left="120" w:right="340" w:firstLine="551"/>
        <w:spacing w:after="0"/>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81"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6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20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laid off 31% of all employees and furloughed 34%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80"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b w:val="1"/>
          <w:bCs w:val="1"/>
          <w:i w:val="1"/>
          <w:iCs w:val="1"/>
          <w:color w:val="auto"/>
        </w:rPr>
        <w:t>Our company culture has contributed to our success and if we cannot maintain this culture as we grow, our business could be harmed.</w:t>
      </w:r>
    </w:p>
    <w:p>
      <w:pPr>
        <w:spacing w:after="0" w:line="68" w:lineRule="exact"/>
        <w:rPr>
          <w:sz w:val="20"/>
          <w:szCs w:val="20"/>
          <w:color w:val="auto"/>
        </w:rPr>
      </w:pPr>
    </w:p>
    <w:p>
      <w:pPr>
        <w:ind w:left="120" w:right="520" w:firstLine="551"/>
        <w:spacing w:after="0"/>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face a number of challenges that may affect our ability to sustain our corporate culture, including:</w:t>
      </w:r>
    </w:p>
    <w:p>
      <w:pPr>
        <w:spacing w:after="0" w:line="117" w:lineRule="exact"/>
        <w:rPr>
          <w:sz w:val="20"/>
          <w:szCs w:val="20"/>
          <w:color w:val="auto"/>
        </w:rPr>
      </w:pPr>
    </w:p>
    <w:p>
      <w:pPr>
        <w:ind w:left="880" w:right="8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102"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83"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208"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affected by seasonality</w:t>
      </w:r>
      <w:r>
        <w:rPr>
          <w:rFonts w:ascii="Arial" w:cs="Arial" w:eastAsia="Arial" w:hAnsi="Arial"/>
          <w:sz w:val="18"/>
          <w:szCs w:val="18"/>
          <w:color w:val="auto"/>
        </w:rPr>
        <w:t>.</w:t>
      </w:r>
    </w:p>
    <w:p>
      <w:pPr>
        <w:spacing w:after="0" w:line="126"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9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20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180" w:lineRule="exact"/>
        <w:rPr>
          <w:sz w:val="20"/>
          <w:szCs w:val="20"/>
          <w:color w:val="auto"/>
        </w:rPr>
      </w:pPr>
    </w:p>
    <w:p>
      <w:pPr>
        <w:jc w:val="both"/>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color w:val="auto"/>
        </w:rPr>
        <w:t>.</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108" w:lineRule="exact"/>
        <w:rPr>
          <w:sz w:val="20"/>
          <w:szCs w:val="20"/>
          <w:color w:val="auto"/>
        </w:rPr>
      </w:pPr>
    </w:p>
    <w:p>
      <w:pPr>
        <w:ind w:left="880" w:right="72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102" w:lineRule="exact"/>
        <w:rPr>
          <w:rFonts w:ascii="Arial" w:cs="Arial" w:eastAsia="Arial" w:hAnsi="Arial"/>
          <w:sz w:val="18"/>
          <w:szCs w:val="18"/>
          <w:color w:val="auto"/>
        </w:rPr>
      </w:pPr>
    </w:p>
    <w:p>
      <w:pPr>
        <w:ind w:left="880" w:right="160" w:hanging="224"/>
        <w:spacing w:after="0" w:line="238"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10"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0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175" w:lineRule="exact"/>
        <w:rPr>
          <w:sz w:val="20"/>
          <w:szCs w:val="20"/>
          <w:color w:val="auto"/>
        </w:rPr>
      </w:pPr>
    </w:p>
    <w:p>
      <w:pPr>
        <w:ind w:left="120" w:right="680" w:firstLine="551"/>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Material changes in the pricing practices of our brand partners could negatively impact our profitability.</w:t>
      </w:r>
    </w:p>
    <w:p>
      <w:pPr>
        <w:spacing w:after="0" w:line="126"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85"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8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As of January 31, 2021, we had $75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 million aggregate principal amount of borrowings under a subordinated, junior lien loan agreement in July 2018, as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subsequently amended in December 2018, April 2019, November 2019, June 2020, August 2020 and October 2020, with Double Helix Pte Ltd. as administrative agent for Temasek Holdings, which we refer to as our Temasek Facility, together, the Credit Agreements.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Resources—Indebtedness.”</w:t>
      </w:r>
    </w:p>
    <w:p>
      <w:pPr>
        <w:spacing w:after="0" w:line="182" w:lineRule="exact"/>
        <w:rPr>
          <w:sz w:val="20"/>
          <w:szCs w:val="20"/>
          <w:color w:val="auto"/>
        </w:rPr>
      </w:pPr>
    </w:p>
    <w:p>
      <w:pPr>
        <w:ind w:left="120" w:right="300" w:firstLine="551"/>
        <w:spacing w:after="0" w:line="271" w:lineRule="auto"/>
        <w:rPr>
          <w:sz w:val="20"/>
          <w:szCs w:val="20"/>
          <w:color w:val="auto"/>
        </w:rPr>
      </w:pPr>
      <w:r>
        <w:rPr>
          <w:rFonts w:ascii="Arial" w:cs="Arial" w:eastAsia="Arial" w:hAnsi="Arial"/>
          <w:sz w:val="18"/>
          <w:szCs w:val="18"/>
          <w:b w:val="1"/>
          <w:bCs w:val="1"/>
          <w:i w:val="1"/>
          <w:iCs w:val="1"/>
          <w:color w:val="auto"/>
        </w:rPr>
        <w:t>Our Credit Agreements contain financial covenants and other restrictions on our actions that may limit our operational flexibility or otherwise adversely affect our business, financial condition and results of operations.</w:t>
      </w:r>
    </w:p>
    <w:p>
      <w:pPr>
        <w:spacing w:after="0" w:line="68"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terms of our Credit Agreements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The terms of our Credit Agreements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failure by us to comply with the covenants specified in the Credit Agreements could result in an event of default under the agreement, which would give the lenders the right to declare all borrowings outstanding, together with accrued and unpaid interest and fees, to be immediately due and payable. If the debt under the Credit Agreements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80" w:lineRule="exact"/>
        <w:rPr>
          <w:sz w:val="20"/>
          <w:szCs w:val="20"/>
          <w:color w:val="auto"/>
        </w:rPr>
      </w:pPr>
    </w:p>
    <w:p>
      <w:pPr>
        <w:ind w:left="120" w:right="180" w:firstLine="551"/>
        <w:spacing w:after="0" w:line="244"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90" w:lineRule="exact"/>
        <w:rPr>
          <w:sz w:val="20"/>
          <w:szCs w:val="20"/>
          <w:color w:val="auto"/>
        </w:rPr>
      </w:pPr>
    </w:p>
    <w:p>
      <w:pPr>
        <w:jc w:val="both"/>
        <w:ind w:left="120" w:right="520" w:firstLine="551"/>
        <w:spacing w:after="0" w:line="238" w:lineRule="auto"/>
        <w:rPr>
          <w:sz w:val="20"/>
          <w:szCs w:val="20"/>
          <w:color w:val="auto"/>
        </w:rPr>
      </w:pPr>
      <w:r>
        <w:rPr>
          <w:rFonts w:ascii="Arial" w:cs="Arial" w:eastAsia="Arial" w:hAnsi="Arial"/>
          <w:sz w:val="18"/>
          <w:szCs w:val="18"/>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 financial reporting. This material weakness contributed to the following additional material weaknesses:</w:t>
      </w:r>
    </w:p>
    <w:p>
      <w:pPr>
        <w:spacing w:after="0" w:line="212"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97"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8"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89" w:lineRule="exact"/>
        <w:rPr>
          <w:sz w:val="20"/>
          <w:szCs w:val="20"/>
          <w:color w:val="auto"/>
        </w:rPr>
      </w:pPr>
    </w:p>
    <w:p>
      <w:pPr>
        <w:ind w:left="120" w:right="580" w:firstLine="551"/>
        <w:spacing w:after="0" w:line="23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21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81" w:lineRule="exact"/>
        <w:rPr>
          <w:sz w:val="20"/>
          <w:szCs w:val="20"/>
          <w:color w:val="auto"/>
        </w:rPr>
      </w:pPr>
    </w:p>
    <w:p>
      <w:pPr>
        <w:ind w:left="120" w:right="420" w:firstLine="551"/>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w:t>
      </w:r>
    </w:p>
    <w:p>
      <w:pPr>
        <w:ind w:left="120" w:right="20"/>
        <w:spacing w:after="0" w:line="236" w:lineRule="auto"/>
        <w:rPr>
          <w:sz w:val="20"/>
          <w:szCs w:val="20"/>
          <w:color w:val="auto"/>
        </w:rPr>
      </w:pPr>
      <w:r>
        <w:rPr>
          <w:rFonts w:ascii="Arial" w:cs="Arial" w:eastAsia="Arial" w:hAnsi="Arial"/>
          <w:sz w:val="18"/>
          <w:szCs w:val="18"/>
          <w:color w:val="auto"/>
        </w:rPr>
        <w:t>Exchange Act, the listing standards of ,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20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183" w:lineRule="exact"/>
        <w:rPr>
          <w:sz w:val="20"/>
          <w:szCs w:val="20"/>
          <w:color w:val="auto"/>
        </w:rPr>
      </w:pPr>
    </w:p>
    <w:p>
      <w:pPr>
        <w:jc w:val="both"/>
        <w:ind w:left="120" w:right="40" w:firstLine="551"/>
        <w:spacing w:after="0" w:line="25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be required, pursuant to Section 404 of the Sarbanes-Oxley Act, or Section 404, to furnish a report by management on,</w:t>
      </w:r>
    </w:p>
    <w:p>
      <w:pPr>
        <w:ind w:left="120"/>
        <w:spacing w:after="0" w:line="237" w:lineRule="auto"/>
        <w:rPr>
          <w:sz w:val="20"/>
          <w:szCs w:val="20"/>
          <w:color w:val="auto"/>
        </w:rPr>
      </w:pPr>
      <w:r>
        <w:rPr>
          <w:rFonts w:ascii="Arial" w:cs="Arial" w:eastAsia="Arial" w:hAnsi="Arial"/>
          <w:sz w:val="18"/>
          <w:szCs w:val="18"/>
          <w:color w:val="auto"/>
        </w:rPr>
        <w:t>among other things, the effectiveness of our internal control over financial reporting as of .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3"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8"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102"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9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7"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86" w:lineRule="exact"/>
        <w:rPr>
          <w:sz w:val="20"/>
          <w:szCs w:val="20"/>
          <w:color w:val="auto"/>
        </w:rPr>
      </w:pPr>
    </w:p>
    <w:p>
      <w:pPr>
        <w:ind w:left="120" w:right="260" w:firstLine="551"/>
        <w:spacing w:after="0" w:line="27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 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ind w:left="120" w:right="540" w:firstLine="551"/>
        <w:spacing w:after="0" w:line="253" w:lineRule="auto"/>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i w:val="1"/>
          <w:iCs w:val="1"/>
          <w:color w:val="auto"/>
        </w:rPr>
        <w:t>he estimates of market opportunity and forecasts of market growth included in this prospectus may prove to be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inaccurate, and even if the markets in which we compete achieve the forecasted growth, our business could fail to grow at similar rates, or at all.</w:t>
      </w:r>
    </w:p>
    <w:p>
      <w:pPr>
        <w:spacing w:after="0" w:line="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6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110" w:lineRule="exact"/>
        <w:rPr>
          <w:sz w:val="20"/>
          <w:szCs w:val="20"/>
          <w:color w:val="auto"/>
        </w:rPr>
      </w:pPr>
    </w:p>
    <w:p>
      <w:pPr>
        <w:ind w:left="880" w:right="460" w:hanging="224"/>
        <w:spacing w:after="0" w:line="24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1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2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9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83"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color w:val="auto"/>
        </w:rPr>
        <w:t>.</w:t>
      </w:r>
    </w:p>
    <w:p>
      <w:pPr>
        <w:spacing w:after="0" w:line="68"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175"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68"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13"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proceedings could result in revocation of our patents, ,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91"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8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82" w:lineRule="exact"/>
        <w:rPr>
          <w:sz w:val="20"/>
          <w:szCs w:val="20"/>
          <w:color w:val="auto"/>
        </w:rPr>
      </w:pPr>
    </w:p>
    <w:p>
      <w:pPr>
        <w:ind w:left="120" w:right="460" w:firstLine="551"/>
        <w:spacing w:after="0" w:line="271"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color w:val="auto"/>
        </w:rPr>
        <w:t>.</w:t>
      </w:r>
    </w:p>
    <w:p>
      <w:pPr>
        <w:spacing w:after="0" w:line="68"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 -party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81"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8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We do not “sell” personal information within the meaning of the CCPA; however, our practices may change in the future and we may face additional</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CCPA compliance costs or could be adversely affected by the CCPA’s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21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the Telephone Consumer Protection Act, or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0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22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82"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6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chemicals, cleaning supplies, and handling instructions that comply with applicable health, safety and environmental regulations. A failure of such suppliers to abide by applicable regulations may subject us to material liabilities.</w:t>
      </w:r>
    </w:p>
    <w:p>
      <w:pPr>
        <w:spacing w:after="0" w:line="175"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83"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1"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80"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As of January 31, 2021, we had federal net operating loss carryforwards of $459 million, $152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are subject to income taxes in the United States and in various states within the United States. Our effective tax rate could be adversely affected due to several factors, including:</w:t>
      </w:r>
    </w:p>
    <w:p>
      <w:pPr>
        <w:spacing w:after="0" w:line="102" w:lineRule="exact"/>
        <w:rPr>
          <w:sz w:val="20"/>
          <w:szCs w:val="20"/>
          <w:color w:val="auto"/>
        </w:rPr>
      </w:pPr>
    </w:p>
    <w:p>
      <w:pPr>
        <w:ind w:left="880" w:right="600" w:hanging="224"/>
        <w:spacing w:after="0" w:line="24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ind w:left="880" w:right="14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1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97" w:lineRule="exact"/>
        <w:rPr>
          <w:sz w:val="20"/>
          <w:szCs w:val="20"/>
          <w:color w:val="auto"/>
        </w:rPr>
      </w:pPr>
    </w:p>
    <w:p>
      <w:pPr>
        <w:ind w:left="120" w:right="40" w:firstLine="551"/>
        <w:spacing w:after="0" w:line="251" w:lineRule="auto"/>
        <w:rPr>
          <w:sz w:val="20"/>
          <w:szCs w:val="20"/>
          <w:color w:val="auto"/>
        </w:rPr>
      </w:pPr>
      <w:r>
        <w:rPr>
          <w:rFonts w:ascii="Arial" w:cs="Arial" w:eastAsia="Arial" w:hAnsi="Arial"/>
          <w:sz w:val="17"/>
          <w:szCs w:val="17"/>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risks associated with brand partners from whom our products are sourced or co-manufactured.</w:t>
      </w:r>
    </w:p>
    <w:p>
      <w:pPr>
        <w:spacing w:after="0" w:line="126"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108"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discontinue selling products to us;</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1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81" w:lineRule="exact"/>
        <w:rPr>
          <w:sz w:val="20"/>
          <w:szCs w:val="20"/>
          <w:color w:val="auto"/>
        </w:rPr>
      </w:pPr>
    </w:p>
    <w:p>
      <w:pPr>
        <w:ind w:left="120" w:right="400" w:firstLine="551"/>
        <w:spacing w:after="0" w:line="271"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68"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convenient customer payment mechanisms provided by our business are key factors contributing to the development of our business. We rely on third parties, including for our payment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0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183"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14"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205"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Our third -party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69"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208"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91" w:lineRule="exact"/>
        <w:rPr>
          <w:sz w:val="20"/>
          <w:szCs w:val="20"/>
          <w:color w:val="auto"/>
        </w:rPr>
      </w:pPr>
    </w:p>
    <w:p>
      <w:pPr>
        <w:ind w:left="120" w:right="100" w:firstLine="551"/>
        <w:spacing w:after="0" w:line="252" w:lineRule="auto"/>
        <w:rPr>
          <w:sz w:val="20"/>
          <w:szCs w:val="20"/>
          <w:color w:val="auto"/>
        </w:rPr>
      </w:pPr>
      <w:r>
        <w:rPr>
          <w:rFonts w:ascii="Arial" w:cs="Arial" w:eastAsia="Arial" w:hAnsi="Arial"/>
          <w:sz w:val="17"/>
          <w:szCs w:val="17"/>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72" w:lineRule="exact"/>
        <w:rPr>
          <w:sz w:val="20"/>
          <w:szCs w:val="20"/>
          <w:color w:val="auto"/>
        </w:rPr>
      </w:pPr>
    </w:p>
    <w:p>
      <w:pPr>
        <w:ind w:left="120" w:right="500" w:firstLine="551"/>
        <w:spacing w:after="0" w:line="253"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83"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86"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firstLine="551"/>
        <w:spacing w:after="0" w:line="238"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185"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7"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this Offering and Ownership of Our Class A Common Stock</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w:t>
      </w:r>
    </w:p>
    <w:p>
      <w:pPr>
        <w:spacing w:after="0" w:line="1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b w:val="1"/>
          <w:bCs w:val="1"/>
          <w:i w:val="1"/>
          <w:iCs w:val="1"/>
          <w:color w:val="auto"/>
        </w:rPr>
        <w:t>held our capital stock prior to the listing of our Class A common stock on , including our founders, directors, executive officers, and their respective affiliates, which will limit your ability to influence the outcome of important transactions, including a change of control</w:t>
      </w:r>
      <w:r>
        <w:rPr>
          <w:rFonts w:ascii="Arial" w:cs="Arial" w:eastAsia="Arial" w:hAnsi="Arial"/>
          <w:sz w:val="18"/>
          <w:szCs w:val="18"/>
          <w:color w:val="auto"/>
        </w:rPr>
        <w:t>.</w:t>
      </w:r>
    </w:p>
    <w:p>
      <w:pPr>
        <w:spacing w:after="0" w:line="90" w:lineRule="exact"/>
        <w:rPr>
          <w:sz w:val="20"/>
          <w:szCs w:val="20"/>
          <w:color w:val="auto"/>
        </w:rPr>
      </w:pPr>
    </w:p>
    <w:p>
      <w:pPr>
        <w:ind w:left="660"/>
        <w:spacing w:after="0"/>
        <w:tabs>
          <w:tab w:leader="none" w:pos="3960" w:val="left"/>
        </w:tabs>
        <w:rPr>
          <w:sz w:val="20"/>
          <w:szCs w:val="20"/>
          <w:color w:val="auto"/>
        </w:rPr>
      </w:pPr>
      <w:r>
        <w:rPr>
          <w:rFonts w:ascii="Arial" w:cs="Arial" w:eastAsia="Arial" w:hAnsi="Arial"/>
          <w:sz w:val="18"/>
          <w:szCs w:val="18"/>
          <w:color w:val="auto"/>
        </w:rPr>
        <w:t>Our Class B common stock has</w:t>
      </w:r>
      <w:r>
        <w:rPr>
          <w:sz w:val="20"/>
          <w:szCs w:val="20"/>
          <w:color w:val="auto"/>
        </w:rPr>
        <w:tab/>
      </w:r>
      <w:r>
        <w:rPr>
          <w:rFonts w:ascii="Arial" w:cs="Arial" w:eastAsia="Arial" w:hAnsi="Arial"/>
          <w:sz w:val="17"/>
          <w:szCs w:val="17"/>
          <w:color w:val="auto"/>
        </w:rPr>
        <w:t>votes per share, and our Class A common stock, which is the stock we are listing</w:t>
      </w:r>
    </w:p>
    <w:p>
      <w:pPr>
        <w:ind w:left="120"/>
        <w:spacing w:after="0" w:line="234" w:lineRule="auto"/>
        <w:tabs>
          <w:tab w:leader="none" w:pos="11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and is being registered pursuant to the registration statement of which this prospectus forms a part, has one vote per share.</w:t>
      </w:r>
    </w:p>
    <w:p>
      <w:pPr>
        <w:ind w:left="120"/>
        <w:spacing w:after="0"/>
        <w:tabs>
          <w:tab w:leader="none" w:pos="1300" w:val="left"/>
          <w:tab w:leader="none" w:pos="87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our founders, directors, executive officers, and their affiliates held in the aggregate</w:t>
      </w:r>
      <w:r>
        <w:rPr>
          <w:sz w:val="20"/>
          <w:szCs w:val="20"/>
          <w:color w:val="auto"/>
        </w:rPr>
        <w:tab/>
      </w:r>
      <w:r>
        <w:rPr>
          <w:rFonts w:ascii="Arial" w:cs="Arial" w:eastAsia="Arial" w:hAnsi="Arial"/>
          <w:sz w:val="17"/>
          <w:szCs w:val="17"/>
          <w:color w:val="auto"/>
        </w:rPr>
        <w:t>% of the voting power of our</w:t>
      </w:r>
    </w:p>
    <w:p>
      <w:pPr>
        <w:ind w:left="120"/>
        <w:spacing w:after="0"/>
        <w:tabs>
          <w:tab w:leader="none" w:pos="3240" w:val="left"/>
          <w:tab w:leader="none" w:pos="4300" w:val="left"/>
        </w:tabs>
        <w:rPr>
          <w:sz w:val="20"/>
          <w:szCs w:val="20"/>
          <w:color w:val="auto"/>
        </w:rPr>
      </w:pPr>
      <w:r>
        <w:rPr>
          <w:rFonts w:ascii="Arial" w:cs="Arial" w:eastAsia="Arial" w:hAnsi="Arial"/>
          <w:sz w:val="18"/>
          <w:szCs w:val="18"/>
          <w:color w:val="auto"/>
        </w:rPr>
        <w:t>capital stock. Because of the</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7"/>
          <w:szCs w:val="17"/>
          <w:color w:val="auto"/>
        </w:rPr>
        <w:t>voting ratio between our Class B and Class A common stock, the holders of our</w:t>
      </w:r>
    </w:p>
    <w:p>
      <w:pPr>
        <w:ind w:left="120" w:right="20"/>
        <w:spacing w:after="0" w:line="236" w:lineRule="auto"/>
        <w:rPr>
          <w:sz w:val="20"/>
          <w:szCs w:val="20"/>
          <w:color w:val="auto"/>
        </w:rPr>
      </w:pPr>
      <w:r>
        <w:rPr>
          <w:rFonts w:ascii="Arial" w:cs="Arial" w:eastAsia="Arial" w:hAnsi="Arial"/>
          <w:sz w:val="18"/>
          <w:szCs w:val="18"/>
          <w:color w:val="auto"/>
        </w:rPr>
        <w:t>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8" w:lineRule="exact"/>
        <w:rPr>
          <w:sz w:val="20"/>
          <w:szCs w:val="20"/>
          <w:color w:val="auto"/>
        </w:rPr>
      </w:pPr>
    </w:p>
    <w:p>
      <w:pPr>
        <w:jc w:val="both"/>
        <w:ind w:left="120" w:right="100" w:firstLine="551"/>
        <w:spacing w:after="0" w:line="248"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stock will convert automatically into one share of Class A common stock upon the date that is the earlier of . The conversion of Class B common stock to Class A common stock will have the effect, over time, of increasing the relative voting power of those holders of</w:t>
      </w:r>
    </w:p>
    <w:p>
      <w:pPr>
        <w:spacing w:after="0" w:line="1"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Class B common stock who retain their shares over the long term. As a result, it is possible that, in addition to , one or more of the persons or entities holding our Class B common stock could gain significant voting control as other holders of Class B common stock sell or otherwise convert their shares into Class A common stock.</w:t>
      </w:r>
    </w:p>
    <w:p>
      <w:pPr>
        <w:spacing w:after="0" w:line="181"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You may be unable to sell your shares of Class A common stock at or above the price at which you purchased them.</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expect our Class A common stock to be listed and traded on . Prior to listing on ,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r>
        <w:rPr>
          <w:rFonts w:ascii="Arial" w:cs="Arial" w:eastAsia="Arial" w:hAnsi="Arial"/>
          <w:sz w:val="18"/>
          <w:szCs w:val="18"/>
          <w:color w:val="auto"/>
        </w:rPr>
        <w:t>.</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prospectus, and others beyond our control, including:</w:t>
      </w:r>
    </w:p>
    <w:p>
      <w:pPr>
        <w:spacing w:after="0" w:line="102" w:lineRule="exact"/>
        <w:rPr>
          <w:sz w:val="20"/>
          <w:szCs w:val="20"/>
          <w:color w:val="auto"/>
        </w:rPr>
      </w:pPr>
    </w:p>
    <w:p>
      <w:pPr>
        <w:ind w:left="5520" w:right="4260" w:hanging="4864"/>
        <w:spacing w:after="0" w:line="418" w:lineRule="auto"/>
        <w:tabs>
          <w:tab w:leader="none" w:pos="8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 58</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02" w:lineRule="exact"/>
        <w:rPr>
          <w:rFonts w:ascii="Arial" w:cs="Arial" w:eastAsia="Arial" w:hAnsi="Arial"/>
          <w:sz w:val="18"/>
          <w:szCs w:val="18"/>
          <w:color w:val="auto"/>
        </w:rPr>
      </w:pPr>
    </w:p>
    <w:p>
      <w:pPr>
        <w:ind w:left="880" w:right="54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12" w:lineRule="exact"/>
        <w:rPr>
          <w:sz w:val="20"/>
          <w:szCs w:val="20"/>
          <w:color w:val="auto"/>
        </w:rPr>
      </w:pPr>
    </w:p>
    <w:p>
      <w:pPr>
        <w:ind w:left="120" w:right="160" w:firstLine="551"/>
        <w:spacing w:after="0" w:line="234" w:lineRule="auto"/>
        <w:rPr>
          <w:sz w:val="20"/>
          <w:szCs w:val="20"/>
          <w:color w:val="auto"/>
        </w:rPr>
      </w:pPr>
      <w:r>
        <w:rPr>
          <w:rFonts w:ascii="Arial" w:cs="Arial" w:eastAsia="Arial" w:hAnsi="Arial"/>
          <w:sz w:val="18"/>
          <w:szCs w:val="18"/>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w:t>
      </w:r>
    </w:p>
    <w:p>
      <w:pPr>
        <w:spacing w:after="0" w:line="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83"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b w:val="1"/>
          <w:bCs w:val="1"/>
          <w:i w:val="1"/>
          <w:iCs w:val="1"/>
          <w:color w:val="auto"/>
        </w:rPr>
        <w:t>After this offering, company insiders will continue to have the ability to control or significantly influence all matters submitted to stockholders for approval.</w:t>
      </w:r>
    </w:p>
    <w:p>
      <w:pPr>
        <w:spacing w:after="0" w:line="6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beneficially own approximately % of our outstanding common stock. In addition, if any of our executive officers, directors, and greater than 5% stockholders purchase shares in this offering, or if any of our other current investors purchase shares in this offering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3"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r>
        <w:rPr>
          <w:rFonts w:ascii="Arial" w:cs="Arial" w:eastAsia="Arial" w:hAnsi="Arial"/>
          <w:sz w:val="18"/>
          <w:szCs w:val="18"/>
          <w:color w:val="auto"/>
        </w:rPr>
        <w:t>.</w:t>
      </w:r>
    </w:p>
    <w:p>
      <w:pPr>
        <w:spacing w:after="0" w:line="6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9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68"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83"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68"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7"/>
          <w:szCs w:val="17"/>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on .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26"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202"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Upon closing of this offering, based on the shares outstanding as of , 2021, we will have shares of Class A common stock outstanding, assuming no exercise of the underwriters’ option to purchase additional shares and shares of Class B common stock outstanding. Of the outstanding shares, the shares of Class A common stock sold or issued in this offering</w:t>
      </w: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(or shares if the underwriters exercise their over-allotment option in full) will be freely tradable without restriction or 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200" w:lineRule="exact"/>
        <w:rPr>
          <w:sz w:val="20"/>
          <w:szCs w:val="20"/>
          <w:color w:val="auto"/>
        </w:rPr>
      </w:pPr>
    </w:p>
    <w:p>
      <w:pPr>
        <w:spacing w:after="0" w:line="205"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7"/>
          <w:szCs w:val="17"/>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 subject to certain customary exceptions, restrict the sale of the shares of our common stock</w:t>
      </w:r>
    </w:p>
    <w:p>
      <w:pPr>
        <w:spacing w:after="0" w:line="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and certain other securities held by them for days following the date of this prospectus. and may, in their sole discretion and at any time without notice, release all or any portion of the shares or securities subject to any such lock-up agreements. See “Underwriting” for a description of these lock-up agreements.</w:t>
      </w:r>
    </w:p>
    <w:p>
      <w:pPr>
        <w:spacing w:after="0" w:line="203" w:lineRule="exact"/>
        <w:rPr>
          <w:sz w:val="20"/>
          <w:szCs w:val="20"/>
          <w:color w:val="auto"/>
        </w:rPr>
      </w:pPr>
    </w:p>
    <w:p>
      <w:pPr>
        <w:jc w:val="both"/>
        <w:ind w:left="120" w:right="360" w:firstLine="551"/>
        <w:spacing w:after="0" w:line="274"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75"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81"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Credit Agreements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you purchase shares of our Class A common stock in this offering, you will incur immediate and substantial dilution</w:t>
      </w:r>
      <w:r>
        <w:rPr>
          <w:rFonts w:ascii="Arial" w:cs="Arial" w:eastAsia="Arial" w:hAnsi="Arial"/>
          <w:sz w:val="18"/>
          <w:szCs w:val="18"/>
          <w:color w:val="auto"/>
        </w:rPr>
        <w:t>.</w:t>
      </w:r>
    </w:p>
    <w:p>
      <w:pPr>
        <w:spacing w:after="0" w:line="126" w:lineRule="exact"/>
        <w:rPr>
          <w:sz w:val="20"/>
          <w:szCs w:val="20"/>
          <w:color w:val="auto"/>
        </w:rPr>
      </w:pPr>
    </w:p>
    <w:p>
      <w:pPr>
        <w:ind w:left="120" w:right="280" w:firstLine="551"/>
        <w:spacing w:after="0" w:line="234" w:lineRule="auto"/>
        <w:rPr>
          <w:sz w:val="20"/>
          <w:szCs w:val="20"/>
          <w:color w:val="auto"/>
        </w:rPr>
      </w:pPr>
      <w:r>
        <w:rPr>
          <w:rFonts w:ascii="Arial" w:cs="Arial" w:eastAsia="Arial" w:hAnsi="Arial"/>
          <w:sz w:val="18"/>
          <w:szCs w:val="18"/>
          <w:color w:val="auto"/>
        </w:rPr>
        <w:t>The initial public offering price of $ per share of our Class A common stock is substantially higher than the net tangible book value per share of our Class A common stock, which on a pro forma as adjusted basis was $ per share of our common stock as of , 2021. As a result, you will incur immediate and substantial dilution in net tangible book value when you buy our</w:t>
      </w:r>
    </w:p>
    <w:p>
      <w:pPr>
        <w:spacing w:after="0" w:line="2"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83"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There are provisions in our Amended Charter and Amended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91" w:lineRule="exact"/>
        <w:rPr>
          <w:sz w:val="20"/>
          <w:szCs w:val="20"/>
          <w:color w:val="auto"/>
        </w:rPr>
      </w:pPr>
    </w:p>
    <w:p>
      <w:pPr>
        <w:ind w:left="880" w:right="260" w:hanging="224"/>
        <w:spacing w:after="0" w:line="24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102" w:lineRule="exact"/>
        <w:rPr>
          <w:sz w:val="20"/>
          <w:szCs w:val="20"/>
          <w:color w:val="auto"/>
        </w:rPr>
      </w:pPr>
    </w:p>
    <w:p>
      <w:pPr>
        <w:ind w:left="880" w:right="60" w:hanging="219"/>
        <w:spacing w:after="0" w:line="238" w:lineRule="auto"/>
        <w:tabs>
          <w:tab w:leader="none" w:pos="860" w:val="left"/>
        </w:tabs>
        <w:rPr>
          <w:sz w:val="20"/>
          <w:szCs w:val="20"/>
          <w:color w:val="auto"/>
        </w:rPr>
      </w:pPr>
      <w:r>
        <w:rPr>
          <w:rFonts w:ascii="Arial" w:cs="Arial" w:eastAsia="Arial" w:hAnsi="Arial"/>
          <w:sz w:val="18"/>
          <w:szCs w:val="18"/>
          <w:color w:val="auto"/>
        </w:rPr>
        <w:t>•</w:t>
        <w:tab/>
        <w:t>provide for a dual class common stock structure in which holders of our Class B common stock, which has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10"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1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08"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0" w:firstLine="551"/>
        <w:spacing w:after="0" w:line="275" w:lineRule="auto"/>
        <w:rPr>
          <w:sz w:val="20"/>
          <w:szCs w:val="20"/>
          <w:color w:val="auto"/>
        </w:rPr>
      </w:pPr>
      <w:r>
        <w:rPr>
          <w:rFonts w:ascii="Arial" w:cs="Arial" w:eastAsia="Arial" w:hAnsi="Arial"/>
          <w:sz w:val="17"/>
          <w:szCs w:val="17"/>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7"/>
          <w:szCs w:val="17"/>
          <w:color w:val="auto"/>
        </w:rPr>
        <w:t>.</w:t>
      </w:r>
    </w:p>
    <w:p>
      <w:pPr>
        <w:spacing w:after="0" w:line="6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and any action asserting a claim against us that is governed by the internal affairs doctrine.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21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108"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manage our future growth effectively;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acquire and drive return on investment of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manage operating and capital efficiencies in our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accurately estimate our market opportunity and forecast market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anticipate and respond successfully to changing fashion trends and consumer preferences;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receive inbound products from brand partners and ship products to and from customers efficiently;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of our brand partners to adequately and timely deliver products to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remain in compliance with extensive laws and regulations that apply to our business and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adequately maintain and protect our intellectual property and proprietary rights;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 and</w:t>
      </w:r>
    </w:p>
    <w:p>
      <w:pPr>
        <w:spacing w:after="0" w:line="117"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in the sections titled “Risk Factors” and “Management’s Discussion and Analysis of Financial Condition and Results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1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You should not rely on forward -looking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 “Risk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 predict all risks and uncertainties that could have an impact on the forward-looking statements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320" w:top="459" w:right="6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5"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205"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20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202" w:lineRule="exact"/>
        <w:rPr>
          <w:sz w:val="20"/>
          <w:szCs w:val="20"/>
          <w:color w:val="auto"/>
        </w:rPr>
      </w:pPr>
    </w:p>
    <w:p>
      <w:pPr>
        <w:ind w:left="120" w:firstLine="551"/>
        <w:spacing w:after="0" w:line="252" w:lineRule="auto"/>
        <w:rPr>
          <w:sz w:val="20"/>
          <w:szCs w:val="20"/>
          <w:color w:val="auto"/>
        </w:rPr>
      </w:pPr>
      <w:r>
        <w:rPr>
          <w:rFonts w:ascii="Arial" w:cs="Arial" w:eastAsia="Arial" w:hAnsi="Arial"/>
          <w:sz w:val="17"/>
          <w:szCs w:val="17"/>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94" w:lineRule="exact"/>
        <w:rPr>
          <w:sz w:val="20"/>
          <w:szCs w:val="20"/>
          <w:color w:val="auto"/>
        </w:rPr>
      </w:pPr>
    </w:p>
    <w:p>
      <w:pPr>
        <w:ind w:left="120" w:right="140" w:firstLine="551"/>
        <w:spacing w:after="0" w:line="261" w:lineRule="auto"/>
        <w:rPr>
          <w:sz w:val="20"/>
          <w:szCs w:val="20"/>
          <w:color w:val="auto"/>
        </w:rPr>
      </w:pPr>
      <w:r>
        <w:rPr>
          <w:rFonts w:ascii="Arial" w:cs="Arial" w:eastAsia="Arial" w:hAnsi="Arial"/>
          <w:sz w:val="17"/>
          <w:szCs w:val="17"/>
          <w:color w:val="auto"/>
        </w:rPr>
        <w:t>This prospectus also includes references to our June 2021 Rent the Runway Brand Survey, which we use to measure brand partner engagement. Our methodology of conducting the Brand Survey measures responses from a pool of respondents we actively partnered with for the Spring 2021 season. Brand partners responded to the survey questions from June 24, 2021 through July 12, 2021.</w:t>
      </w:r>
    </w:p>
    <w:p>
      <w:pPr>
        <w:spacing w:after="0" w:line="18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Arial" w:cs="Arial" w:eastAsia="Arial" w:hAnsi="Arial"/>
                <w:sz w:val="18"/>
                <w:szCs w:val="18"/>
                <w:b w:val="1"/>
                <w:bCs w:val="1"/>
                <w:color w:val="auto"/>
              </w:rPr>
              <w:t>USE OF PROCEEDS</w:t>
            </w:r>
          </w:p>
        </w:tc>
        <w:tc>
          <w:tcPr>
            <w:tcW w:w="2440" w:type="dxa"/>
            <w:vAlign w:val="bottom"/>
          </w:tcPr>
          <w:p>
            <w:pPr>
              <w:spacing w:after="0"/>
              <w:rPr>
                <w:sz w:val="24"/>
                <w:szCs w:val="24"/>
                <w:color w:val="auto"/>
              </w:rPr>
            </w:pPr>
          </w:p>
        </w:tc>
      </w:tr>
      <w:tr>
        <w:trPr>
          <w:trHeight w:val="404"/>
        </w:trPr>
        <w:tc>
          <w:tcPr>
            <w:tcW w:w="4660" w:type="dxa"/>
            <w:vAlign w:val="bottom"/>
            <w:gridSpan w:val="3"/>
          </w:tcPr>
          <w:p>
            <w:pPr>
              <w:ind w:left="660"/>
              <w:spacing w:after="0"/>
              <w:rPr>
                <w:sz w:val="20"/>
                <w:szCs w:val="20"/>
                <w:color w:val="auto"/>
              </w:rPr>
            </w:pPr>
            <w:r>
              <w:rPr>
                <w:rFonts w:ascii="Arial" w:cs="Arial" w:eastAsia="Arial" w:hAnsi="Arial"/>
                <w:sz w:val="18"/>
                <w:szCs w:val="18"/>
                <w:color w:val="auto"/>
              </w:rPr>
              <w:t>We estimate that we will receive approximately $</w:t>
            </w: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million from the sale of   shares of Class A common stock in this</w:t>
            </w:r>
          </w:p>
        </w:tc>
      </w:tr>
      <w:tr>
        <w:trPr>
          <w:trHeight w:val="203"/>
        </w:trPr>
        <w:tc>
          <w:tcPr>
            <w:tcW w:w="2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offering, or approximately $</w:t>
            </w:r>
          </w:p>
        </w:tc>
        <w:tc>
          <w:tcPr>
            <w:tcW w:w="82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million if the underwriters exercise in full their option to purchase additional shares, assuming an</w:t>
            </w:r>
          </w:p>
        </w:tc>
      </w:tr>
      <w:tr>
        <w:trPr>
          <w:trHeight w:val="203"/>
        </w:trPr>
        <w:tc>
          <w:tcPr>
            <w:tcW w:w="2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initial public offering price of $</w:t>
            </w:r>
          </w:p>
        </w:tc>
        <w:tc>
          <w:tcPr>
            <w:tcW w:w="8260" w:type="dxa"/>
            <w:vAlign w:val="bottom"/>
            <w:gridSpan w:val="3"/>
          </w:tcPr>
          <w:p>
            <w:pPr>
              <w:ind w:left="500"/>
              <w:spacing w:after="0" w:line="202" w:lineRule="exact"/>
              <w:rPr>
                <w:sz w:val="20"/>
                <w:szCs w:val="20"/>
                <w:color w:val="auto"/>
              </w:rPr>
            </w:pPr>
            <w:r>
              <w:rPr>
                <w:rFonts w:ascii="Arial" w:cs="Arial" w:eastAsia="Arial" w:hAnsi="Arial"/>
                <w:sz w:val="18"/>
                <w:szCs w:val="18"/>
                <w:color w:val="auto"/>
                <w:w w:val="99"/>
              </w:rPr>
              <w:t>per share (which is the midpoint of the price range set forth on the cover page of this prospectus),</w:t>
            </w:r>
          </w:p>
        </w:tc>
      </w:tr>
      <w:tr>
        <w:trPr>
          <w:trHeight w:val="217"/>
        </w:trPr>
        <w:tc>
          <w:tcPr>
            <w:tcW w:w="11040" w:type="dxa"/>
            <w:vAlign w:val="bottom"/>
            <w:gridSpan w:val="5"/>
          </w:tcPr>
          <w:p>
            <w:pPr>
              <w:ind w:left="120"/>
              <w:spacing w:after="0"/>
              <w:rPr>
                <w:sz w:val="20"/>
                <w:szCs w:val="20"/>
                <w:color w:val="auto"/>
              </w:rPr>
            </w:pPr>
            <w:r>
              <w:rPr>
                <w:rFonts w:ascii="Arial" w:cs="Arial" w:eastAsia="Arial" w:hAnsi="Arial"/>
                <w:sz w:val="18"/>
                <w:szCs w:val="18"/>
                <w:color w:val="auto"/>
              </w:rPr>
              <w:t>after deducting estimated underwriting discounts and commissions and estimated offering expenses payable by us.</w:t>
            </w:r>
          </w:p>
        </w:tc>
      </w:tr>
      <w:tr>
        <w:trPr>
          <w:trHeight w:val="404"/>
        </w:trPr>
        <w:tc>
          <w:tcPr>
            <w:tcW w:w="8600" w:type="dxa"/>
            <w:vAlign w:val="bottom"/>
            <w:gridSpan w:val="4"/>
          </w:tcPr>
          <w:p>
            <w:pPr>
              <w:ind w:left="660"/>
              <w:spacing w:after="0"/>
              <w:rPr>
                <w:sz w:val="20"/>
                <w:szCs w:val="20"/>
                <w:color w:val="auto"/>
              </w:rPr>
            </w:pPr>
            <w:r>
              <w:rPr>
                <w:rFonts w:ascii="Arial" w:cs="Arial" w:eastAsia="Arial" w:hAnsi="Arial"/>
                <w:sz w:val="18"/>
                <w:szCs w:val="18"/>
                <w:color w:val="auto"/>
              </w:rPr>
              <w:t>Each $1.00 increase or decrease, as applicable, in the assumed initial public offering price of $</w:t>
            </w:r>
          </w:p>
        </w:tc>
        <w:tc>
          <w:tcPr>
            <w:tcW w:w="2440" w:type="dxa"/>
            <w:vAlign w:val="bottom"/>
          </w:tcPr>
          <w:p>
            <w:pPr>
              <w:ind w:left="400"/>
              <w:spacing w:after="0"/>
              <w:rPr>
                <w:sz w:val="20"/>
                <w:szCs w:val="20"/>
                <w:color w:val="auto"/>
              </w:rPr>
            </w:pPr>
            <w:r>
              <w:rPr>
                <w:rFonts w:ascii="Arial" w:cs="Arial" w:eastAsia="Arial" w:hAnsi="Arial"/>
                <w:sz w:val="18"/>
                <w:szCs w:val="18"/>
                <w:color w:val="auto"/>
              </w:rPr>
              <w:t>per share (which is the</w:t>
            </w:r>
          </w:p>
        </w:tc>
      </w:tr>
    </w:tbl>
    <w:p>
      <w:pPr>
        <w:ind w:left="1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midpoint of the price range set forth on the cover page of this prospectus) would increase or decrease, as applicable, the net proceeds to</w:t>
      </w:r>
    </w:p>
    <w:p>
      <w:pPr>
        <w:spacing w:after="0" w:line="1"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us from this offering by approximately $ million, assuming the number of shares offered, as set forth on the cover page of this prospectus, remains the same, and after deducting estimated underwriting discounts and commissions and estimated offering expenses payable by us.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each 1,000,000 share increase or decrease, as applicable, in the number of shares offered in this offering would increase</w:t>
      </w:r>
    </w:p>
    <w:p>
      <w:pPr>
        <w:ind w:left="120"/>
        <w:spacing w:after="0" w:line="234" w:lineRule="auto"/>
        <w:rPr>
          <w:sz w:val="20"/>
          <w:szCs w:val="20"/>
          <w:color w:val="auto"/>
        </w:rPr>
      </w:pPr>
      <w:r>
        <w:rPr>
          <w:rFonts w:ascii="Arial" w:cs="Arial" w:eastAsia="Arial" w:hAnsi="Arial"/>
          <w:sz w:val="18"/>
          <w:szCs w:val="18"/>
          <w:color w:val="auto"/>
        </w:rPr>
        <w:t>or decrease, as applicable, the net proceeds to us from this offering by approximately $ million, assuming that the price per share for the offering remains at $ (which is the midpoint of the price range set forth on the cover page of this prospectus), and after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deducting the estimated underwriting discounts and commissions and estimated offering expenses payable by us.</w:t>
      </w:r>
    </w:p>
    <w:p>
      <w:pPr>
        <w:spacing w:after="0" w:line="212"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We intend to use the net proceeds from this offering for working capital, to fund growth and for other general corporate purposes.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4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202" w:lineRule="exact"/>
        <w:rPr>
          <w:sz w:val="20"/>
          <w:szCs w:val="20"/>
          <w:color w:val="auto"/>
        </w:rPr>
      </w:pPr>
    </w:p>
    <w:p>
      <w:pPr>
        <w:ind w:left="120" w:right="520" w:firstLine="551"/>
        <w:spacing w:after="0"/>
        <w:rPr>
          <w:sz w:val="20"/>
          <w:szCs w:val="20"/>
          <w:color w:val="auto"/>
        </w:rPr>
      </w:pPr>
      <w:r>
        <w:rPr>
          <w:rFonts w:ascii="Arial" w:cs="Arial" w:eastAsia="Arial" w:hAnsi="Arial"/>
          <w:sz w:val="18"/>
          <w:szCs w:val="18"/>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January 31, 2021 as follows:</w:t>
      </w:r>
    </w:p>
    <w:p>
      <w:pPr>
        <w:spacing w:after="0" w:line="117"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redeemable preferred stock</w:t>
      </w:r>
    </w:p>
    <w:p>
      <w:pPr>
        <w:ind w:left="880" w:right="260"/>
        <w:spacing w:after="0"/>
        <w:rPr>
          <w:sz w:val="20"/>
          <w:szCs w:val="20"/>
          <w:color w:val="auto"/>
        </w:rPr>
      </w:pPr>
      <w:r>
        <w:rPr>
          <w:rFonts w:ascii="Arial" w:cs="Arial" w:eastAsia="Arial" w:hAnsi="Arial"/>
          <w:sz w:val="18"/>
          <w:szCs w:val="18"/>
          <w:color w:val="auto"/>
        </w:rPr>
        <w:t>into shares of our Class A common stock, upon closing of this offering and (ii) the filing and effectiveness of our Amended Charter and the adoption of our Amended Bylaws, in each case as if such event had occurred on January 31, 2021; and</w:t>
      </w:r>
    </w:p>
    <w:p>
      <w:pPr>
        <w:spacing w:after="0" w:line="31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to give effect to (1) the pro forma adjustments described in the preceding clause and (2) the</w:t>
      </w:r>
    </w:p>
    <w:p>
      <w:pPr>
        <w:ind w:left="880" w:right="240"/>
        <w:spacing w:after="0" w:line="238" w:lineRule="auto"/>
        <w:rPr>
          <w:sz w:val="20"/>
          <w:szCs w:val="20"/>
          <w:color w:val="auto"/>
        </w:rPr>
      </w:pPr>
      <w:r>
        <w:rPr>
          <w:rFonts w:ascii="Arial" w:cs="Arial" w:eastAsia="Arial" w:hAnsi="Arial"/>
          <w:sz w:val="18"/>
          <w:szCs w:val="18"/>
          <w:color w:val="auto"/>
        </w:rPr>
        <w:t>issuance and sale of Class A common stock in this offering at an assumed initial public offering price of $ per share (which is the midpoint of the range set forth on the cover page of this prospectus), after deducting the estimated underwriting discounts and commissions and estimated offering expenses payable by us, and the application of the net proceeds therefrom as described under “Use of Proceeds.”</w:t>
      </w:r>
    </w:p>
    <w:p>
      <w:pPr>
        <w:spacing w:after="0" w:line="205"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January 31 , 2021</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Pro</w:t>
            </w:r>
          </w:p>
        </w:tc>
        <w:tc>
          <w:tcPr>
            <w:tcW w:w="940" w:type="dxa"/>
            <w:vAlign w:val="bottom"/>
          </w:tcPr>
          <w:p>
            <w:pPr>
              <w:spacing w:after="0" w:line="143"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Forma</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6"/>
          </w:tcPr>
          <w:p>
            <w:pPr>
              <w:jc w:val="center"/>
              <w:ind w:right="36"/>
              <w:spacing w:after="0" w:line="143" w:lineRule="exact"/>
              <w:rPr>
                <w:sz w:val="20"/>
                <w:szCs w:val="20"/>
                <w:color w:val="auto"/>
              </w:rPr>
            </w:pPr>
            <w:r>
              <w:rPr>
                <w:rFonts w:ascii="Arial" w:cs="Arial" w:eastAsia="Arial" w:hAnsi="Arial"/>
                <w:sz w:val="14"/>
                <w:szCs w:val="14"/>
                <w:b w:val="1"/>
                <w:bCs w:val="1"/>
                <w:color w:val="auto"/>
              </w:rPr>
              <w:t>(in thousands, except share 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 share data)</w:t>
            </w: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4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95,260</w:t>
            </w:r>
          </w:p>
        </w:tc>
        <w:tc>
          <w:tcPr>
            <w:tcW w:w="12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rPr>
              <w:t>Indebtedness:</w:t>
            </w: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vMerge w:val="continue"/>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w:t>
            </w:r>
            <w:r>
              <w:rPr>
                <w:rFonts w:ascii="Arial" w:cs="Arial" w:eastAsia="Arial" w:hAnsi="Arial"/>
                <w:sz w:val="15"/>
                <w:szCs w:val="15"/>
                <w:color w:val="auto"/>
              </w:rPr>
              <w:t>(2)</w:t>
            </w:r>
          </w:p>
        </w:tc>
        <w:tc>
          <w:tcPr>
            <w:tcW w:w="4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355,068</w:t>
            </w:r>
          </w:p>
        </w:tc>
        <w:tc>
          <w:tcPr>
            <w:tcW w:w="12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gridSpan w:val="2"/>
          </w:tcPr>
          <w:p>
            <w:pPr>
              <w:spacing w:after="0" w:line="201" w:lineRule="exact"/>
              <w:rPr>
                <w:sz w:val="20"/>
                <w:szCs w:val="20"/>
                <w:color w:val="auto"/>
              </w:rPr>
            </w:pPr>
            <w:r>
              <w:rPr>
                <w:rFonts w:ascii="Arial" w:cs="Arial" w:eastAsia="Arial" w:hAnsi="Arial"/>
                <w:sz w:val="18"/>
                <w:szCs w:val="18"/>
                <w:color w:val="auto"/>
              </w:rPr>
              <w:t>Redeemable preferred stock, $0.001 par value per share; 35,236,646 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authorized, 31,137,921 shares issued and outstanding, actual; no shares authorized,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issued and outstanding, pro forma</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388,072</w:t>
            </w:r>
          </w:p>
        </w:tc>
        <w:tc>
          <w:tcPr>
            <w:tcW w:w="1200" w:type="dxa"/>
            <w:vAlign w:val="bottom"/>
            <w:gridSpan w:val="2"/>
          </w:tcPr>
          <w:p>
            <w:pPr>
              <w:jc w:val="right"/>
              <w:ind w:right="588"/>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deficit:</w:t>
            </w:r>
          </w:p>
        </w:tc>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per share; 60,000,000 shares authorized,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10,456,521 shares issued and outstanding, actual; no shares authorized, issued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and outstanding, pro forma</w:t>
            </w:r>
          </w:p>
        </w:tc>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w:t>
            </w:r>
          </w:p>
        </w:tc>
        <w:tc>
          <w:tcPr>
            <w:tcW w:w="4440" w:type="dxa"/>
            <w:vAlign w:val="bottom"/>
          </w:tcPr>
          <w:p>
            <w:pPr>
              <w:ind w:left="60"/>
              <w:spacing w:after="0" w:line="201" w:lineRule="exact"/>
              <w:rPr>
                <w:sz w:val="20"/>
                <w:szCs w:val="20"/>
                <w:color w:val="auto"/>
              </w:rPr>
            </w:pPr>
            <w:r>
              <w:rPr>
                <w:rFonts w:ascii="Arial" w:cs="Arial" w:eastAsia="Arial" w:hAnsi="Arial"/>
                <w:sz w:val="18"/>
                <w:szCs w:val="18"/>
                <w:color w:val="auto"/>
              </w:rPr>
              <w:t>par value per share; no shares authorized, issued 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ind w:left="540"/>
              <w:spacing w:after="0" w:line="203" w:lineRule="exact"/>
              <w:rPr>
                <w:sz w:val="20"/>
                <w:szCs w:val="20"/>
                <w:color w:val="auto"/>
              </w:rPr>
            </w:pPr>
            <w:r>
              <w:rPr>
                <w:rFonts w:ascii="Arial" w:cs="Arial" w:eastAsia="Arial" w:hAnsi="Arial"/>
                <w:sz w:val="18"/>
                <w:szCs w:val="18"/>
                <w:color w:val="auto"/>
              </w:rPr>
              <w:t>outstanding, actual; shares authorized, shares issued and outstanding, pro forma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w:t>
            </w:r>
          </w:p>
        </w:tc>
        <w:tc>
          <w:tcPr>
            <w:tcW w:w="44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par value per share; no shares authorized, issued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or outstanding, actual; shares authorized, shares issued and outstanding, pro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forma</w:t>
            </w:r>
          </w:p>
        </w:tc>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62,748</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(589,373)</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(526,615)</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4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216,525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Excluding restricted cash, current, which was $3.4 million at January 31, 2021.</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80" w:hanging="424"/>
        <w:spacing w:after="0" w:line="249"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our Ares Facility, which had an outstanding balance as of January 31, 2021 of $74.1 million of outstanding long-term principal, $1.6 million of payment-in-kind interest, netted with $11.0 million of unamortized debt discount, and our Temasek Facility, which had an outstanding balance as of January 31, 2021 of $230.0 million of outstanding principal, $62.2 million of payment-in-kind interest, netted with $1.9 million of unamortized debt discount.</w:t>
      </w:r>
    </w:p>
    <w:p>
      <w:pPr>
        <w:spacing w:after="0" w:line="195" w:lineRule="exact"/>
        <w:rPr>
          <w:sz w:val="20"/>
          <w:szCs w:val="20"/>
          <w:color w:val="auto"/>
        </w:rPr>
      </w:pPr>
    </w:p>
    <w:p>
      <w:pPr>
        <w:jc w:val="both"/>
        <w:ind w:left="120" w:right="280" w:firstLine="551"/>
        <w:spacing w:after="0" w:line="234" w:lineRule="auto"/>
        <w:rPr>
          <w:sz w:val="20"/>
          <w:szCs w:val="20"/>
          <w:color w:val="auto"/>
        </w:rPr>
      </w:pPr>
      <w:r>
        <w:rPr>
          <w:rFonts w:ascii="Arial" w:cs="Arial" w:eastAsia="Arial" w:hAnsi="Arial"/>
          <w:sz w:val="18"/>
          <w:szCs w:val="18"/>
          <w:color w:val="auto"/>
        </w:rPr>
        <w:t>Each $1.00 increase or decrease, as applicable, in the assumed initial public offering price of $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w:t>
      </w:r>
    </w:p>
    <w:p>
      <w:pPr>
        <w:spacing w:after="0" w:line="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approximately $ million, assuming the number of shares offered, as set forth on the cover page of this prospectus, remains the same, and after deducting the estimated underwriting discounts and commissions and estimated offering expenses payable by us.</w:t>
      </w:r>
    </w:p>
    <w:p>
      <w:pPr>
        <w:spacing w:after="0" w:line="197"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w:t>
      </w:r>
    </w:p>
    <w:p>
      <w:pPr>
        <w:ind w:left="120"/>
        <w:spacing w:after="0"/>
        <w:tabs>
          <w:tab w:leader="none" w:pos="5060" w:val="left"/>
        </w:tabs>
        <w:rPr>
          <w:sz w:val="20"/>
          <w:szCs w:val="20"/>
          <w:color w:val="auto"/>
        </w:rPr>
      </w:pPr>
      <w:r>
        <w:rPr>
          <w:rFonts w:ascii="Arial" w:cs="Arial" w:eastAsia="Arial" w:hAnsi="Arial"/>
          <w:sz w:val="18"/>
          <w:szCs w:val="18"/>
          <w:color w:val="auto"/>
        </w:rPr>
        <w:t>on a pro forma as adjusted basis by approximately $</w:t>
      </w:r>
      <w:r>
        <w:rPr>
          <w:sz w:val="20"/>
          <w:szCs w:val="20"/>
          <w:color w:val="auto"/>
        </w:rPr>
        <w:tab/>
      </w:r>
      <w:r>
        <w:rPr>
          <w:rFonts w:ascii="Arial" w:cs="Arial" w:eastAsia="Arial" w:hAnsi="Arial"/>
          <w:sz w:val="17"/>
          <w:szCs w:val="17"/>
          <w:color w:val="auto"/>
        </w:rPr>
        <w:t>million, assuming that the price per share for the offering remains at</w:t>
      </w:r>
    </w:p>
    <w:p>
      <w:pPr>
        <w:spacing w:after="0" w:line="1" w:lineRule="exact"/>
        <w:rPr>
          <w:sz w:val="20"/>
          <w:szCs w:val="20"/>
          <w:color w:val="auto"/>
        </w:rPr>
      </w:pPr>
    </w:p>
    <w:p>
      <w:pPr>
        <w:ind w:left="120" w:right="420" w:hanging="4"/>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(which is the midpoint of the price range set forth on the cover page of this prospectus), and after deducting the estimated underwriting discounts and commissions and estimated offering expenses payable by us.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Class A common stock and Class B common stock to be outstanding after this offering is based</w:t>
      </w:r>
    </w:p>
    <w:p>
      <w:pPr>
        <w:ind w:left="120"/>
        <w:spacing w:after="0"/>
        <w:tabs>
          <w:tab w:leader="none" w:pos="1300" w:val="left"/>
          <w:tab w:leader="none" w:pos="5360" w:val="left"/>
          <w:tab w:leader="none" w:pos="1052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 common stock outstanding as of</w:t>
      </w:r>
      <w:r>
        <w:rPr>
          <w:sz w:val="20"/>
          <w:szCs w:val="20"/>
          <w:color w:val="auto"/>
        </w:rPr>
        <w:tab/>
      </w:r>
      <w:r>
        <w:rPr>
          <w:rFonts w:ascii="Arial" w:cs="Arial" w:eastAsia="Arial" w:hAnsi="Arial"/>
          <w:sz w:val="17"/>
          <w:szCs w:val="17"/>
          <w:color w:val="auto"/>
        </w:rPr>
        <w:t>, 2021,</w:t>
      </w:r>
    </w:p>
    <w:p>
      <w:pPr>
        <w:ind w:left="120"/>
        <w:spacing w:after="0"/>
        <w:tabs>
          <w:tab w:leader="none" w:pos="9620" w:val="left"/>
        </w:tabs>
        <w:rPr>
          <w:sz w:val="20"/>
          <w:szCs w:val="20"/>
          <w:color w:val="auto"/>
        </w:rPr>
      </w:pPr>
      <w:r>
        <w:rPr>
          <w:rFonts w:ascii="Arial" w:cs="Arial" w:eastAsia="Arial" w:hAnsi="Arial"/>
          <w:sz w:val="18"/>
          <w:szCs w:val="18"/>
          <w:color w:val="auto"/>
        </w:rPr>
        <w:t>after giving effect to the automatic conversion of all outstanding shares of our redeemable preferred stock into</w:t>
      </w:r>
      <w:r>
        <w:rPr>
          <w:sz w:val="20"/>
          <w:szCs w:val="20"/>
          <w:color w:val="auto"/>
        </w:rPr>
        <w:tab/>
      </w:r>
      <w:r>
        <w:rPr>
          <w:rFonts w:ascii="Arial" w:cs="Arial" w:eastAsia="Arial" w:hAnsi="Arial"/>
          <w:sz w:val="17"/>
          <w:szCs w:val="17"/>
          <w:color w:val="auto"/>
        </w:rPr>
        <w:t>shares of 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common stock upon closing of this offering, and excludes:</w:t>
      </w:r>
    </w:p>
    <w:p>
      <w:pPr>
        <w:sectPr>
          <w:pgSz w:w="11900" w:h="16838" w:orient="portrait"/>
          <w:cols w:equalWidth="0" w:num="1">
            <w:col w:w="11100"/>
          </w:cols>
          <w:pgMar w:left="320" w:top="459" w:right="479" w:bottom="1440" w:gutter="0" w:footer="0" w:header="0"/>
        </w:sectPr>
      </w:pPr>
    </w:p>
    <w:p>
      <w:pPr>
        <w:spacing w:after="0" w:line="117"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7" w:lineRule="exact"/>
        <w:rPr>
          <w:sz w:val="20"/>
          <w:szCs w:val="20"/>
          <w:color w:val="auto"/>
        </w:rPr>
      </w:pPr>
    </w:p>
    <w:p>
      <w:pPr>
        <w:ind w:left="880"/>
        <w:spacing w:after="0"/>
        <w:tabs>
          <w:tab w:leader="none" w:pos="5840" w:val="left"/>
        </w:tabs>
        <w:rPr>
          <w:sz w:val="20"/>
          <w:szCs w:val="20"/>
          <w:color w:val="auto"/>
        </w:rPr>
      </w:pPr>
      <w:r>
        <w:rPr>
          <w:rFonts w:ascii="Arial" w:cs="Arial" w:eastAsia="Arial" w:hAnsi="Arial"/>
          <w:sz w:val="18"/>
          <w:szCs w:val="18"/>
          <w:color w:val="auto"/>
        </w:rPr>
        <w:t>2009 Plan, at a weighted average exercise price of $</w:t>
      </w:r>
      <w:r>
        <w:rPr>
          <w:sz w:val="20"/>
          <w:szCs w:val="20"/>
          <w:color w:val="auto"/>
        </w:rPr>
        <w:tab/>
      </w: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2021 under our</w:t>
      </w:r>
    </w:p>
    <w:p>
      <w:pPr>
        <w:spacing w:after="0" w:line="331" w:lineRule="exact"/>
        <w:rPr>
          <w:sz w:val="20"/>
          <w:szCs w:val="20"/>
          <w:color w:val="auto"/>
        </w:rPr>
      </w:pPr>
    </w:p>
    <w:p>
      <w:pPr>
        <w:sectPr>
          <w:pgSz w:w="11900" w:h="16838" w:orient="portrait"/>
          <w:cols w:equalWidth="0" w:num="2">
            <w:col w:w="8760" w:space="720"/>
            <w:col w:w="1620"/>
          </w:cols>
          <w:pgMar w:left="320" w:top="459" w:right="47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7" w:lineRule="exact"/>
        <w:rPr>
          <w:sz w:val="20"/>
          <w:szCs w:val="20"/>
          <w:color w:val="auto"/>
        </w:rPr>
      </w:pPr>
    </w:p>
    <w:p>
      <w:pPr>
        <w:ind w:left="880"/>
        <w:spacing w:after="0"/>
        <w:tabs>
          <w:tab w:leader="none" w:pos="5840" w:val="left"/>
        </w:tabs>
        <w:rPr>
          <w:sz w:val="20"/>
          <w:szCs w:val="20"/>
          <w:color w:val="auto"/>
        </w:rPr>
      </w:pPr>
      <w:r>
        <w:rPr>
          <w:rFonts w:ascii="Arial" w:cs="Arial" w:eastAsia="Arial" w:hAnsi="Arial"/>
          <w:sz w:val="18"/>
          <w:szCs w:val="18"/>
          <w:color w:val="auto"/>
        </w:rPr>
        <w:t>2019 Plan, at a weighted average exercise price of $</w:t>
      </w:r>
      <w:r>
        <w:rPr>
          <w:sz w:val="20"/>
          <w:szCs w:val="20"/>
          <w:color w:val="auto"/>
        </w:rPr>
        <w:tab/>
      </w: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under our</w:t>
      </w:r>
    </w:p>
    <w:p>
      <w:pPr>
        <w:spacing w:after="0" w:line="331" w:lineRule="exact"/>
        <w:rPr>
          <w:sz w:val="20"/>
          <w:szCs w:val="20"/>
          <w:color w:val="auto"/>
        </w:rPr>
      </w:pPr>
    </w:p>
    <w:p>
      <w:pPr>
        <w:sectPr>
          <w:pgSz w:w="11900" w:h="16838" w:orient="portrait"/>
          <w:cols w:equalWidth="0" w:num="2">
            <w:col w:w="8760" w:space="720"/>
            <w:col w:w="1620"/>
          </w:cols>
          <w:pgMar w:left="320" w:top="459" w:right="479" w:bottom="1440" w:gutter="0" w:footer="0" w:header="0"/>
          <w:type w:val="continuous"/>
        </w:sectPr>
      </w:pPr>
    </w:p>
    <w:p>
      <w:pPr>
        <w:ind w:left="880" w:right="120" w:hanging="215"/>
        <w:spacing w:after="0" w:line="246" w:lineRule="auto"/>
        <w:tabs>
          <w:tab w:leader="none" w:pos="860" w:val="left"/>
        </w:tabs>
        <w:rPr>
          <w:sz w:val="20"/>
          <w:szCs w:val="20"/>
          <w:color w:val="auto"/>
        </w:rPr>
      </w:pPr>
      <w:r>
        <w:rPr>
          <w:rFonts w:ascii="Arial" w:cs="Arial" w:eastAsia="Arial" w:hAnsi="Arial"/>
          <w:sz w:val="18"/>
          <w:szCs w:val="18"/>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 issuable upon satisfaction of</w:t>
      </w:r>
    </w:p>
    <w:p>
      <w:pPr>
        <w:spacing w:after="0" w:line="330" w:lineRule="exact"/>
        <w:rPr>
          <w:sz w:val="20"/>
          <w:szCs w:val="20"/>
          <w:color w:val="auto"/>
        </w:rPr>
      </w:pPr>
    </w:p>
    <w:p>
      <w:pPr>
        <w:sectPr>
          <w:pgSz w:w="11900" w:h="16838" w:orient="portrait"/>
          <w:cols w:equalWidth="0" w:num="2">
            <w:col w:w="6700" w:space="720"/>
            <w:col w:w="3680"/>
          </w:cols>
          <w:pgMar w:left="320" w:top="459" w:right="47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7" w:lineRule="exact"/>
        <w:rPr>
          <w:sz w:val="20"/>
          <w:szCs w:val="20"/>
          <w:color w:val="auto"/>
        </w:rPr>
      </w:pPr>
    </w:p>
    <w:p>
      <w:pPr>
        <w:ind w:left="880"/>
        <w:spacing w:after="0"/>
        <w:tabs>
          <w:tab w:leader="none" w:pos="7180" w:val="left"/>
        </w:tabs>
        <w:rPr>
          <w:sz w:val="20"/>
          <w:szCs w:val="20"/>
          <w:color w:val="auto"/>
        </w:rPr>
      </w:pPr>
      <w:r>
        <w:rPr>
          <w:rFonts w:ascii="Arial" w:cs="Arial" w:eastAsia="Arial" w:hAnsi="Arial"/>
          <w:sz w:val="18"/>
          <w:szCs w:val="18"/>
          <w:color w:val="auto"/>
        </w:rPr>
        <w:t>Designer Collective Grants, at a weighted average exercise price of $</w:t>
      </w:r>
      <w:r>
        <w:rPr>
          <w:sz w:val="20"/>
          <w:szCs w:val="20"/>
          <w:color w:val="auto"/>
        </w:rPr>
        <w:tab/>
      </w: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granted as</w:t>
      </w:r>
    </w:p>
    <w:p>
      <w:pPr>
        <w:spacing w:after="0" w:line="319" w:lineRule="exact"/>
        <w:rPr>
          <w:sz w:val="20"/>
          <w:szCs w:val="20"/>
          <w:color w:val="auto"/>
        </w:rPr>
      </w:pPr>
    </w:p>
    <w:p>
      <w:pPr>
        <w:sectPr>
          <w:pgSz w:w="11900" w:h="16838" w:orient="portrait"/>
          <w:cols w:equalWidth="0" w:num="2">
            <w:col w:w="8760" w:space="720"/>
            <w:col w:w="1620"/>
          </w:cols>
          <w:pgMar w:left="320" w:top="459" w:right="479" w:bottom="1440" w:gutter="0" w:footer="0" w:header="0"/>
          <w:type w:val="continuous"/>
        </w:sectPr>
      </w:pPr>
    </w:p>
    <w:p>
      <w:pPr>
        <w:ind w:left="880" w:right="200" w:hanging="224"/>
        <w:spacing w:after="0"/>
        <w:tabs>
          <w:tab w:leader="none" w:pos="15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108" w:lineRule="exact"/>
        <w:rPr>
          <w:sz w:val="20"/>
          <w:szCs w:val="20"/>
          <w:color w:val="auto"/>
        </w:rPr>
      </w:pPr>
    </w:p>
    <w:p>
      <w:pPr>
        <w:ind w:left="880" w:right="760" w:hanging="219"/>
        <w:spacing w:after="0" w:line="246" w:lineRule="auto"/>
        <w:tabs>
          <w:tab w:leader="none" w:pos="860" w:val="left"/>
        </w:tabs>
        <w:rPr>
          <w:sz w:val="20"/>
          <w:szCs w:val="20"/>
          <w:color w:val="auto"/>
        </w:rPr>
      </w:pPr>
      <w:r>
        <w:rPr>
          <w:rFonts w:ascii="Arial" w:cs="Arial" w:eastAsia="Arial" w:hAnsi="Arial"/>
          <w:sz w:val="18"/>
          <w:szCs w:val="18"/>
          <w:color w:val="auto"/>
        </w:rPr>
        <w:t>•</w:t>
        <w:tab/>
        <w:t>the exercise of warrants to purchase shares of Class A common stock, which will result in the net issuance of shares of Class A common stock in connection with this offering; and</w:t>
      </w:r>
    </w:p>
    <w:p>
      <w:pPr>
        <w:sectPr>
          <w:pgSz w:w="11900" w:h="16838" w:orient="portrait"/>
          <w:cols w:equalWidth="0" w:num="1">
            <w:col w:w="11100"/>
          </w:cols>
          <w:pgMar w:left="320" w:top="459" w:right="479" w:bottom="1440" w:gutter="0" w:footer="0" w:header="0"/>
          <w:type w:val="continuous"/>
        </w:sectPr>
      </w:pPr>
    </w:p>
    <w:p>
      <w:pPr>
        <w:spacing w:after="0" w:line="102" w:lineRule="exact"/>
        <w:rPr>
          <w:sz w:val="20"/>
          <w:szCs w:val="20"/>
          <w:color w:val="auto"/>
        </w:rPr>
      </w:pPr>
    </w:p>
    <w:p>
      <w:pPr>
        <w:ind w:left="880" w:right="120" w:hanging="215"/>
        <w:spacing w:after="0" w:line="246" w:lineRule="auto"/>
        <w:tabs>
          <w:tab w:leader="none" w:pos="860" w:val="left"/>
        </w:tabs>
        <w:rPr>
          <w:sz w:val="20"/>
          <w:szCs w:val="20"/>
          <w:color w:val="auto"/>
        </w:rPr>
      </w:pPr>
      <w:r>
        <w:rPr>
          <w:rFonts w:ascii="Arial" w:cs="Arial" w:eastAsia="Arial" w:hAnsi="Arial"/>
          <w:sz w:val="18"/>
          <w:szCs w:val="18"/>
          <w:color w:val="auto"/>
        </w:rPr>
        <w:t>•</w:t>
        <w:tab/>
        <w:t>shares of Class A common stock issuable upon the exercise of warrants outstanding as of exercise price of $ per share.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 2021 with an</w:t>
      </w:r>
    </w:p>
    <w:p>
      <w:pPr>
        <w:spacing w:after="0" w:line="357" w:lineRule="exact"/>
        <w:rPr>
          <w:sz w:val="20"/>
          <w:szCs w:val="20"/>
          <w:color w:val="auto"/>
        </w:rPr>
      </w:pPr>
    </w:p>
    <w:p>
      <w:pPr>
        <w:sectPr>
          <w:pgSz w:w="11900" w:h="16838" w:orient="portrait"/>
          <w:cols w:equalWidth="0" w:num="2">
            <w:col w:w="8760" w:space="720"/>
            <w:col w:w="162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100"/>
          </w:cols>
          <w:pgMar w:left="320" w:top="459" w:right="47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pro forma net tangible book value as of , 2021 was $ million, or $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automatic conversion of all outstanding shares of our redeemable preferred stock, in each case upon closing of this offering.</w:t>
      </w:r>
    </w:p>
    <w:p>
      <w:pPr>
        <w:spacing w:after="0" w:line="205" w:lineRule="exact"/>
        <w:rPr>
          <w:sz w:val="20"/>
          <w:szCs w:val="20"/>
          <w:color w:val="auto"/>
        </w:rPr>
      </w:pPr>
    </w:p>
    <w:p>
      <w:pPr>
        <w:jc w:val="both"/>
        <w:ind w:left="120" w:right="60" w:firstLine="551"/>
        <w:spacing w:after="0" w:line="234" w:lineRule="auto"/>
        <w:rPr>
          <w:sz w:val="20"/>
          <w:szCs w:val="20"/>
          <w:color w:val="auto"/>
        </w:rPr>
      </w:pPr>
      <w:r>
        <w:rPr>
          <w:rFonts w:ascii="Arial" w:cs="Arial" w:eastAsia="Arial" w:hAnsi="Arial"/>
          <w:sz w:val="18"/>
          <w:szCs w:val="18"/>
          <w:color w:val="auto"/>
        </w:rPr>
        <w:t>Our pro forma as adjusted net tangible book value as of , 2021, after giving effect to this offering would have been approximately $ million, or $ per share of Class A common stock. This amount represents an immediate increase in pro forma as adjusted net tangible book value of $ per share to our existing stockholders and an immediate dilution in pro forma as adjusted net tangible book value of approximately $ per share to new investors purchasing shares of Class A common stock in</w:t>
      </w:r>
    </w:p>
    <w:p>
      <w:pPr>
        <w:spacing w:after="0" w:line="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440" w:type="dxa"/>
            <w:vAlign w:val="bottom"/>
            <w:gridSpan w:val="4"/>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8520" w:type="dxa"/>
            <w:vAlign w:val="bottom"/>
          </w:tcPr>
          <w:p>
            <w:pPr>
              <w:spacing w:after="0" w:line="202" w:lineRule="exact"/>
              <w:rPr>
                <w:sz w:val="20"/>
                <w:szCs w:val="20"/>
                <w:color w:val="auto"/>
              </w:rPr>
            </w:pPr>
            <w:r>
              <w:rPr>
                <w:rFonts w:ascii="Arial" w:cs="Arial" w:eastAsia="Arial" w:hAnsi="Arial"/>
                <w:sz w:val="18"/>
                <w:szCs w:val="18"/>
                <w:color w:val="auto"/>
              </w:rPr>
              <w:t>Pro forma net tangible book value per share as of , 2021 before this offering</w:t>
            </w:r>
          </w:p>
        </w:tc>
        <w:tc>
          <w:tcPr>
            <w:tcW w:w="13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pro forma as adjusted net tangible book value per share attributable to investors in this offering</w:t>
            </w:r>
          </w:p>
        </w:tc>
        <w:tc>
          <w:tcPr>
            <w:tcW w:w="5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8520" w:type="dxa"/>
            <w:vAlign w:val="bottom"/>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1660" w:type="dxa"/>
            <w:vAlign w:val="bottom"/>
            <w:gridSpan w:val="3"/>
          </w:tcPr>
          <w:p>
            <w:pPr>
              <w:spacing w:after="0"/>
              <w:rPr>
                <w:sz w:val="18"/>
                <w:szCs w:val="18"/>
                <w:color w:val="auto"/>
              </w:rPr>
            </w:pPr>
          </w:p>
        </w:tc>
        <w:tc>
          <w:tcPr>
            <w:tcW w:w="78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2"/>
        </w:trPr>
        <w:tc>
          <w:tcPr>
            <w:tcW w:w="110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Dilution in pro forma as adjusted net tangible book value per share to new Class A common stock investors in</w:t>
            </w:r>
          </w:p>
        </w:tc>
      </w:tr>
      <w:tr>
        <w:trPr>
          <w:trHeight w:val="203"/>
        </w:trPr>
        <w:tc>
          <w:tcPr>
            <w:tcW w:w="85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this offering</w:t>
            </w:r>
          </w:p>
        </w:tc>
        <w:tc>
          <w:tcPr>
            <w:tcW w:w="1660" w:type="dxa"/>
            <w:vAlign w:val="bottom"/>
            <w:gridSpan w:val="3"/>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0"/>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425"/>
        </w:trPr>
        <w:tc>
          <w:tcPr>
            <w:tcW w:w="8520" w:type="dxa"/>
            <w:vAlign w:val="bottom"/>
          </w:tcPr>
          <w:p>
            <w:pPr>
              <w:ind w:left="540"/>
              <w:spacing w:after="0"/>
              <w:rPr>
                <w:sz w:val="20"/>
                <w:szCs w:val="20"/>
                <w:color w:val="auto"/>
              </w:rPr>
            </w:pPr>
            <w:r>
              <w:rPr>
                <w:rFonts w:ascii="Arial" w:cs="Arial" w:eastAsia="Arial" w:hAnsi="Arial"/>
                <w:sz w:val="18"/>
                <w:szCs w:val="18"/>
                <w:color w:val="auto"/>
              </w:rPr>
              <w:t>A $1.00 increase or decrease, as applicable, in the assumed initial public offering price of $</w:t>
            </w:r>
          </w:p>
        </w:tc>
        <w:tc>
          <w:tcPr>
            <w:tcW w:w="2500" w:type="dxa"/>
            <w:vAlign w:val="bottom"/>
            <w:gridSpan w:val="5"/>
          </w:tcPr>
          <w:p>
            <w:pPr>
              <w:ind w:left="60"/>
              <w:spacing w:after="0"/>
              <w:rPr>
                <w:sz w:val="20"/>
                <w:szCs w:val="20"/>
                <w:color w:val="auto"/>
              </w:rPr>
            </w:pPr>
            <w:r>
              <w:rPr>
                <w:rFonts w:ascii="Arial" w:cs="Arial" w:eastAsia="Arial" w:hAnsi="Arial"/>
                <w:sz w:val="18"/>
                <w:szCs w:val="18"/>
                <w:color w:val="auto"/>
              </w:rPr>
              <w:t>per share, which is the</w:t>
            </w:r>
          </w:p>
        </w:tc>
      </w:tr>
    </w:tbl>
    <w:p>
      <w:pPr>
        <w:ind w:left="120"/>
        <w:spacing w:after="0" w:line="234" w:lineRule="auto"/>
        <w:rPr>
          <w:sz w:val="20"/>
          <w:szCs w:val="20"/>
          <w:color w:val="auto"/>
        </w:rPr>
      </w:pPr>
      <w:r>
        <w:rPr>
          <w:rFonts w:ascii="Arial" w:cs="Arial" w:eastAsia="Arial" w:hAnsi="Arial"/>
          <w:sz w:val="18"/>
          <w:szCs w:val="18"/>
          <w:color w:val="auto"/>
        </w:rPr>
        <w:t>midpoint of the price range listed on the cover page of this prospectus, would increase or decrease, as applicable, the pro forma as</w:t>
      </w:r>
    </w:p>
    <w:p>
      <w:pPr>
        <w:spacing w:after="0" w:line="200" w:lineRule="exact"/>
        <w:rPr>
          <w:sz w:val="20"/>
          <w:szCs w:val="20"/>
          <w:color w:val="auto"/>
        </w:rPr>
      </w:pPr>
    </w:p>
    <w:p>
      <w:pPr>
        <w:spacing w:after="0" w:line="204" w:lineRule="exact"/>
        <w:rPr>
          <w:sz w:val="20"/>
          <w:szCs w:val="20"/>
          <w:color w:val="auto"/>
        </w:rPr>
      </w:pPr>
    </w:p>
    <w:p>
      <w:pPr>
        <w:ind w:left="120" w:right="320"/>
        <w:spacing w:after="0" w:line="234" w:lineRule="auto"/>
        <w:rPr>
          <w:sz w:val="20"/>
          <w:szCs w:val="20"/>
          <w:color w:val="auto"/>
        </w:rPr>
      </w:pPr>
      <w:r>
        <w:rPr>
          <w:rFonts w:ascii="Arial" w:cs="Arial" w:eastAsia="Arial" w:hAnsi="Arial"/>
          <w:sz w:val="18"/>
          <w:szCs w:val="18"/>
          <w:color w:val="auto"/>
        </w:rPr>
        <w:t>adjusted net tangible book value per share after this offering by approximately $ , and dilution in pro forma as adjusted net tangible book value per share to new investors by approximately $ , assuming that the number of shares offered by us, as set</w:t>
      </w:r>
    </w:p>
    <w:p>
      <w:pPr>
        <w:spacing w:after="0" w:line="1" w:lineRule="exact"/>
        <w:rPr>
          <w:sz w:val="20"/>
          <w:szCs w:val="20"/>
          <w:color w:val="auto"/>
        </w:rPr>
      </w:pPr>
    </w:p>
    <w:p>
      <w:pPr>
        <w:ind w:left="120" w:right="140"/>
        <w:spacing w:after="0" w:line="497" w:lineRule="auto"/>
        <w:rPr>
          <w:sz w:val="20"/>
          <w:szCs w:val="20"/>
          <w:color w:val="auto"/>
        </w:rPr>
      </w:pPr>
      <w:r>
        <w:rPr>
          <w:rFonts w:ascii="Arial" w:cs="Arial" w:eastAsia="Arial" w:hAnsi="Arial"/>
          <w:sz w:val="17"/>
          <w:szCs w:val="17"/>
          <w:color w:val="auto"/>
        </w:rPr>
        <w:t>forth on the cover page of this prospectus, remains the same and after deducting estimated underwriting discounts and commissions and estimated offering expenses payable by us. Similarly, each increase or decrease, as applicable, of 1,000,000 shares in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shares of Class A common stock offered by us would increase our pro forma as adjusted net tangible book value by $ per share and decrease the immediate dilution to new investors by $ per share, in each case assuming the assumed initial public offering price of $ per share of Class A common stock remains the same, and after deducting estimated underwriting discounts and commissions and estimated offering expenses payable by us.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 the pro forma as adjusted net tangible book value after the offering would be $ per share, the increase in pro forma as adjusted net tangible book value per share to existing stockholders would be $ per share and the dilution in pro forma as adjusted net tangible book value to new investors would be $ per share, in each case assuming an initial public offering price of $ per share, which is the midpoint of the price range listed on the cover page of this prospectus.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tabs>
          <w:tab w:leader="none" w:pos="446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7"/>
          <w:szCs w:val="17"/>
          <w:color w:val="auto"/>
        </w:rPr>
        <w:t>, 2021, after giving effect to this offering, the number of shares of Class A common</w:t>
      </w:r>
    </w:p>
    <w:p>
      <w:pPr>
        <w:ind w:left="120"/>
        <w:spacing w:after="0" w:line="234" w:lineRule="auto"/>
        <w:rPr>
          <w:sz w:val="20"/>
          <w:szCs w:val="20"/>
          <w:color w:val="auto"/>
        </w:rPr>
      </w:pPr>
      <w:r>
        <w:rPr>
          <w:rFonts w:ascii="Arial" w:cs="Arial" w:eastAsia="Arial" w:hAnsi="Arial"/>
          <w:sz w:val="18"/>
          <w:szCs w:val="18"/>
          <w:color w:val="auto"/>
        </w:rPr>
        <w:t>stock purchased from us, the total consideration paid, or to be paid, to us and the average price per share paid, or to be paid, by existing</w:t>
      </w:r>
    </w:p>
    <w:p>
      <w:pPr>
        <w:spacing w:after="0" w:line="1" w:lineRule="exact"/>
        <w:rPr>
          <w:sz w:val="20"/>
          <w:szCs w:val="20"/>
          <w:color w:val="auto"/>
        </w:rPr>
      </w:pPr>
    </w:p>
    <w:p>
      <w:pPr>
        <w:jc w:val="both"/>
        <w:ind w:left="120" w:right="80"/>
        <w:spacing w:after="0"/>
        <w:rPr>
          <w:sz w:val="20"/>
          <w:szCs w:val="20"/>
          <w:color w:val="auto"/>
        </w:rPr>
      </w:pPr>
      <w:r>
        <w:rPr>
          <w:rFonts w:ascii="Arial" w:cs="Arial" w:eastAsia="Arial" w:hAnsi="Arial"/>
          <w:sz w:val="18"/>
          <w:szCs w:val="18"/>
          <w:color w:val="auto"/>
        </w:rPr>
        <w:t>stockholders and by the new investors. The calculation below is based on an assumed initial public offering price of $ per share, which is the midpoint of the price range listed on the cover page of this prospectus, before deducting the estimated underwriting discounts and commissions and estimated offering expenses payable by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b w:val="1"/>
                <w:bCs w:val="1"/>
                <w:color w:val="auto"/>
                <w:w w:val="98"/>
              </w:rPr>
              <w:t>Shares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4"/>
          </w:tcPr>
          <w:p>
            <w:pPr>
              <w:jc w:val="right"/>
              <w:ind w:right="89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360" w:type="dxa"/>
            <w:vAlign w:val="bottom"/>
          </w:tcPr>
          <w:p>
            <w:pPr>
              <w:spacing w:after="0"/>
              <w:rPr>
                <w:sz w:val="15"/>
                <w:szCs w:val="15"/>
                <w:color w:val="auto"/>
              </w:rPr>
            </w:pPr>
          </w:p>
        </w:tc>
        <w:tc>
          <w:tcPr>
            <w:tcW w:w="198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5"/>
                <w:szCs w:val="15"/>
                <w:color w:val="auto"/>
              </w:rPr>
            </w:pPr>
          </w:p>
        </w:tc>
        <w:tc>
          <w:tcPr>
            <w:tcW w:w="206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Consideration</w:t>
            </w:r>
          </w:p>
        </w:tc>
        <w:tc>
          <w:tcPr>
            <w:tcW w:w="3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r>
      <w:tr>
        <w:trPr>
          <w:trHeight w:val="156"/>
        </w:trPr>
        <w:tc>
          <w:tcPr>
            <w:tcW w:w="536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Percent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2"/>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5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100%</w:t>
            </w:r>
          </w:p>
        </w:tc>
        <w:tc>
          <w:tcPr>
            <w:tcW w:w="920" w:type="dxa"/>
            <w:vAlign w:val="bottom"/>
            <w:gridSpan w:val="2"/>
            <w:shd w:val="clear" w:color="auto" w:fill="CCEEFF"/>
          </w:tcPr>
          <w:p>
            <w:pPr>
              <w:jc w:val="right"/>
              <w:ind w:right="522"/>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100%</w:t>
            </w:r>
          </w:p>
        </w:tc>
        <w:tc>
          <w:tcPr>
            <w:tcW w:w="13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8260" w:type="dxa"/>
            <w:vAlign w:val="bottom"/>
            <w:gridSpan w:val="7"/>
          </w:tcPr>
          <w:p>
            <w:pPr>
              <w:ind w:left="540"/>
              <w:spacing w:after="0"/>
              <w:rPr>
                <w:sz w:val="20"/>
                <w:szCs w:val="20"/>
                <w:color w:val="auto"/>
              </w:rPr>
            </w:pPr>
            <w:r>
              <w:rPr>
                <w:rFonts w:ascii="Arial" w:cs="Arial" w:eastAsia="Arial" w:hAnsi="Arial"/>
                <w:sz w:val="18"/>
                <w:szCs w:val="18"/>
                <w:color w:val="auto"/>
              </w:rPr>
              <w:t>Each $1.00 increase or decrease, as applicable, in the assumed initial public offering price of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5"/>
          </w:tcPr>
          <w:p>
            <w:pPr>
              <w:ind w:left="60"/>
              <w:spacing w:after="0"/>
              <w:rPr>
                <w:sz w:val="20"/>
                <w:szCs w:val="20"/>
                <w:color w:val="auto"/>
              </w:rPr>
            </w:pPr>
            <w:r>
              <w:rPr>
                <w:rFonts w:ascii="Arial" w:cs="Arial" w:eastAsia="Arial" w:hAnsi="Arial"/>
                <w:sz w:val="18"/>
                <w:szCs w:val="18"/>
                <w:color w:val="auto"/>
              </w:rPr>
              <w:t>per share would increase</w:t>
            </w:r>
          </w:p>
        </w:tc>
      </w:tr>
      <w:tr>
        <w:trPr>
          <w:trHeight w:val="203"/>
        </w:trPr>
        <w:tc>
          <w:tcPr>
            <w:tcW w:w="9620" w:type="dxa"/>
            <w:vAlign w:val="bottom"/>
            <w:gridSpan w:val="11"/>
          </w:tcPr>
          <w:p>
            <w:pPr>
              <w:spacing w:after="0" w:line="202" w:lineRule="exact"/>
              <w:rPr>
                <w:sz w:val="20"/>
                <w:szCs w:val="20"/>
                <w:color w:val="auto"/>
              </w:rPr>
            </w:pPr>
            <w:r>
              <w:rPr>
                <w:rFonts w:ascii="Arial" w:cs="Arial" w:eastAsia="Arial" w:hAnsi="Arial"/>
                <w:sz w:val="18"/>
                <w:szCs w:val="18"/>
                <w:color w:val="auto"/>
              </w:rPr>
              <w:t>(decrease) the total consideration paid by new investors and the total consideration paid by all stockholders by $</w:t>
            </w:r>
          </w:p>
        </w:tc>
        <w:tc>
          <w:tcPr>
            <w:tcW w:w="14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million,</w:t>
            </w:r>
          </w:p>
        </w:tc>
      </w:tr>
    </w:tbl>
    <w:p>
      <w:pPr>
        <w:ind w:left="120" w:right="140"/>
        <w:spacing w:after="0" w:line="187" w:lineRule="auto"/>
        <w:rPr>
          <w:sz w:val="20"/>
          <w:szCs w:val="20"/>
          <w:color w:val="auto"/>
        </w:rPr>
      </w:pPr>
      <w:r>
        <w:rPr>
          <w:rFonts w:ascii="Arial" w:cs="Arial" w:eastAsia="Arial" w:hAnsi="Arial"/>
          <w:sz w:val="15"/>
          <w:szCs w:val="15"/>
          <w:color w:val="auto"/>
        </w:rPr>
        <w:t>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consideration paid by all stockholders by $ million, assuming the assumed initial public offering price of $ per share of Class A common stock remains the same, and after deducting estimated underwriting discounts and commissions.</w:t>
      </w:r>
    </w:p>
    <w:p>
      <w:pPr>
        <w:spacing w:after="0" w:line="197"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7"/>
          <w:szCs w:val="17"/>
          <w:color w:val="auto"/>
        </w:rPr>
        <w:t>Except as otherwise indicated, the discussion and the tables above assume no exercise by the underwriters’ of their option to purchase additional shares of Class A common stock from us. The number of shares of our Class A common stock outstanding after this</w:t>
      </w:r>
    </w:p>
    <w:p>
      <w:pPr>
        <w:spacing w:after="0" w:line="1"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offering as shown in the tables above is based on the number of shares outstanding as of , 2021, after giving effect to the automatic conversion of all outstanding shares of our redeemable preferred stock, in each case upon closing of this offering, and excludes:</w:t>
      </w:r>
    </w:p>
    <w:p>
      <w:pPr>
        <w:sectPr>
          <w:pgSz w:w="11900" w:h="16838" w:orient="portrait"/>
          <w:cols w:equalWidth="0" w:num="1">
            <w:col w:w="11140"/>
          </w:cols>
          <w:pgMar w:left="320" w:top="459" w:right="439" w:bottom="1440" w:gutter="0" w:footer="0" w:header="0"/>
        </w:sectPr>
      </w:pPr>
    </w:p>
    <w:p>
      <w:pPr>
        <w:spacing w:after="0" w:line="31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7" w:lineRule="exact"/>
        <w:rPr>
          <w:sz w:val="20"/>
          <w:szCs w:val="20"/>
          <w:color w:val="auto"/>
        </w:rPr>
      </w:pPr>
    </w:p>
    <w:p>
      <w:pPr>
        <w:ind w:left="880"/>
        <w:spacing w:after="0"/>
        <w:tabs>
          <w:tab w:leader="none" w:pos="5840" w:val="left"/>
        </w:tabs>
        <w:rPr>
          <w:sz w:val="20"/>
          <w:szCs w:val="20"/>
          <w:color w:val="auto"/>
        </w:rPr>
      </w:pPr>
      <w:r>
        <w:rPr>
          <w:rFonts w:ascii="Arial" w:cs="Arial" w:eastAsia="Arial" w:hAnsi="Arial"/>
          <w:sz w:val="18"/>
          <w:szCs w:val="18"/>
          <w:color w:val="auto"/>
        </w:rPr>
        <w:t>2009 Plan, at a weighted average exercise price of $</w:t>
      </w:r>
      <w:r>
        <w:rPr>
          <w:sz w:val="20"/>
          <w:szCs w:val="20"/>
          <w:color w:val="auto"/>
        </w:rPr>
        <w:tab/>
      </w: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 2021 under our</w:t>
      </w:r>
    </w:p>
    <w:p>
      <w:pPr>
        <w:spacing w:after="0" w:line="331" w:lineRule="exact"/>
        <w:rPr>
          <w:sz w:val="20"/>
          <w:szCs w:val="20"/>
          <w:color w:val="auto"/>
        </w:rPr>
      </w:pPr>
    </w:p>
    <w:p>
      <w:pPr>
        <w:sectPr>
          <w:pgSz w:w="11900" w:h="16838" w:orient="portrait"/>
          <w:cols w:equalWidth="0" w:num="2">
            <w:col w:w="9020" w:space="720"/>
            <w:col w:w="1400"/>
          </w:cols>
          <w:pgMar w:left="320" w:top="459" w:right="439" w:bottom="1440" w:gutter="0" w:footer="0" w:header="0"/>
          <w:type w:val="continuous"/>
        </w:sectPr>
      </w:pPr>
    </w:p>
    <w:p>
      <w:pPr>
        <w:ind w:left="660"/>
        <w:spacing w:after="0"/>
        <w:tabs>
          <w:tab w:leader="none" w:pos="1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A common stock issuable upon exercise of stock options outstanding as of</w:t>
      </w:r>
    </w:p>
    <w:p>
      <w:pPr>
        <w:spacing w:after="0" w:line="7" w:lineRule="exact"/>
        <w:rPr>
          <w:sz w:val="20"/>
          <w:szCs w:val="20"/>
          <w:color w:val="auto"/>
        </w:rPr>
      </w:pPr>
    </w:p>
    <w:p>
      <w:pPr>
        <w:ind w:left="880"/>
        <w:spacing w:after="0"/>
        <w:tabs>
          <w:tab w:leader="none" w:pos="5840" w:val="left"/>
        </w:tabs>
        <w:rPr>
          <w:sz w:val="20"/>
          <w:szCs w:val="20"/>
          <w:color w:val="auto"/>
        </w:rPr>
      </w:pPr>
      <w:r>
        <w:rPr>
          <w:rFonts w:ascii="Arial" w:cs="Arial" w:eastAsia="Arial" w:hAnsi="Arial"/>
          <w:sz w:val="18"/>
          <w:szCs w:val="18"/>
          <w:color w:val="auto"/>
        </w:rPr>
        <w:t>2019 Plan, at a weighted average exercise price of $</w:t>
      </w:r>
      <w:r>
        <w:rPr>
          <w:sz w:val="20"/>
          <w:szCs w:val="20"/>
          <w:color w:val="auto"/>
        </w:rPr>
        <w:tab/>
      </w: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under our</w:t>
      </w:r>
    </w:p>
    <w:p>
      <w:pPr>
        <w:spacing w:after="0" w:line="331" w:lineRule="exact"/>
        <w:rPr>
          <w:sz w:val="20"/>
          <w:szCs w:val="20"/>
          <w:color w:val="auto"/>
        </w:rPr>
      </w:pPr>
    </w:p>
    <w:p>
      <w:pPr>
        <w:sectPr>
          <w:pgSz w:w="11900" w:h="16838" w:orient="portrait"/>
          <w:cols w:equalWidth="0" w:num="2">
            <w:col w:w="8960" w:space="720"/>
            <w:col w:w="1460"/>
          </w:cols>
          <w:pgMar w:left="320" w:top="459" w:right="439" w:bottom="1440" w:gutter="0" w:footer="0" w:header="0"/>
          <w:type w:val="continuous"/>
        </w:sectPr>
      </w:pPr>
    </w:p>
    <w:p>
      <w:pPr>
        <w:ind w:left="880" w:right="120" w:hanging="215"/>
        <w:spacing w:after="0" w:line="246" w:lineRule="auto"/>
        <w:tabs>
          <w:tab w:leader="none" w:pos="860" w:val="left"/>
        </w:tabs>
        <w:rPr>
          <w:sz w:val="20"/>
          <w:szCs w:val="20"/>
          <w:color w:val="auto"/>
        </w:rPr>
      </w:pPr>
      <w:r>
        <w:rPr>
          <w:rFonts w:ascii="Arial" w:cs="Arial" w:eastAsia="Arial" w:hAnsi="Arial"/>
          <w:sz w:val="18"/>
          <w:szCs w:val="18"/>
          <w:color w:val="auto"/>
        </w:rPr>
        <w:t>•</w:t>
        <w:tab/>
        <w:t>RSUs, covering shares of Class A common stock as of service-based and liquidity-based vesting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which are issuable upon satisfaction of</w:t>
      </w:r>
    </w:p>
    <w:p>
      <w:pPr>
        <w:spacing w:after="0" w:line="330" w:lineRule="exact"/>
        <w:rPr>
          <w:sz w:val="20"/>
          <w:szCs w:val="20"/>
          <w:color w:val="auto"/>
        </w:rPr>
      </w:pPr>
    </w:p>
    <w:p>
      <w:pPr>
        <w:sectPr>
          <w:pgSz w:w="11900" w:h="16838" w:orient="portrait"/>
          <w:cols w:equalWidth="0" w:num="2">
            <w:col w:w="6700" w:space="720"/>
            <w:col w:w="3720"/>
          </w:cols>
          <w:pgMar w:left="320" w:top="459" w:right="439" w:bottom="1440" w:gutter="0" w:footer="0" w:header="0"/>
          <w:type w:val="continuous"/>
        </w:sectPr>
      </w:pPr>
    </w:p>
    <w:p>
      <w:pPr>
        <w:ind w:left="880" w:right="280" w:hanging="215"/>
        <w:spacing w:after="0" w:line="246" w:lineRule="auto"/>
        <w:tabs>
          <w:tab w:leader="none" w:pos="860" w:val="left"/>
        </w:tabs>
        <w:rPr>
          <w:sz w:val="20"/>
          <w:szCs w:val="20"/>
          <w:color w:val="auto"/>
        </w:rPr>
      </w:pPr>
      <w:r>
        <w:rPr>
          <w:rFonts w:ascii="Arial" w:cs="Arial" w:eastAsia="Arial" w:hAnsi="Arial"/>
          <w:sz w:val="18"/>
          <w:szCs w:val="18"/>
          <w:color w:val="auto"/>
        </w:rPr>
        <w:t>•</w:t>
        <w:tab/>
        <w:t>shares of Class A common stock issuable upon exercise of stock options outstanding as of as Designer Collective Grants, at a weighted average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2021, granted</w:t>
      </w:r>
    </w:p>
    <w:p>
      <w:pPr>
        <w:spacing w:after="0" w:line="319" w:lineRule="exact"/>
        <w:rPr>
          <w:sz w:val="20"/>
          <w:szCs w:val="20"/>
          <w:color w:val="auto"/>
        </w:rPr>
      </w:pPr>
    </w:p>
    <w:p>
      <w:pPr>
        <w:sectPr>
          <w:pgSz w:w="11900" w:h="16838" w:orient="portrait"/>
          <w:cols w:equalWidth="0" w:num="2">
            <w:col w:w="8960" w:space="720"/>
            <w:col w:w="1460"/>
          </w:cols>
          <w:pgMar w:left="320" w:top="459" w:right="439" w:bottom="1440" w:gutter="0" w:footer="0" w:header="0"/>
          <w:type w:val="continuous"/>
        </w:sectPr>
      </w:pPr>
    </w:p>
    <w:p>
      <w:pPr>
        <w:ind w:left="880" w:right="280" w:hanging="224"/>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on the date immediately prior to the date our registration of which this prospectus forms a part becomes effective, as described in “Executive Compensation—Equity Compensation;”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19"/>
        </w:trPr>
        <w:tc>
          <w:tcPr>
            <w:tcW w:w="4240" w:type="dxa"/>
            <w:vAlign w:val="bottom"/>
            <w:gridSpan w:val="4"/>
          </w:tcPr>
          <w:p>
            <w:pPr>
              <w:ind w:left="660"/>
              <w:spacing w:after="0"/>
              <w:rPr>
                <w:sz w:val="20"/>
                <w:szCs w:val="20"/>
                <w:color w:val="auto"/>
              </w:rPr>
            </w:pPr>
            <w:r>
              <w:rPr>
                <w:rFonts w:ascii="Arial" w:cs="Arial" w:eastAsia="Arial" w:hAnsi="Arial"/>
                <w:sz w:val="18"/>
                <w:szCs w:val="18"/>
                <w:color w:val="auto"/>
              </w:rPr>
              <w:t>•  the exercise of warrants to purchase</w:t>
            </w:r>
          </w:p>
        </w:tc>
        <w:tc>
          <w:tcPr>
            <w:tcW w:w="6820" w:type="dxa"/>
            <w:vAlign w:val="bottom"/>
            <w:gridSpan w:val="3"/>
          </w:tcPr>
          <w:p>
            <w:pPr>
              <w:ind w:left="240"/>
              <w:spacing w:after="0"/>
              <w:rPr>
                <w:sz w:val="20"/>
                <w:szCs w:val="20"/>
                <w:color w:val="auto"/>
              </w:rPr>
            </w:pPr>
            <w:r>
              <w:rPr>
                <w:rFonts w:ascii="Arial" w:cs="Arial" w:eastAsia="Arial" w:hAnsi="Arial"/>
                <w:sz w:val="18"/>
                <w:szCs w:val="18"/>
                <w:color w:val="auto"/>
              </w:rPr>
              <w:t>shares of Class A common stock, which will result in the net issuance of</w:t>
            </w:r>
          </w:p>
        </w:tc>
      </w:tr>
      <w:tr>
        <w:trPr>
          <w:trHeight w:val="217"/>
        </w:trPr>
        <w:tc>
          <w:tcPr>
            <w:tcW w:w="800" w:type="dxa"/>
            <w:vAlign w:val="bottom"/>
          </w:tcPr>
          <w:p>
            <w:pPr>
              <w:spacing w:after="0"/>
              <w:rPr>
                <w:sz w:val="18"/>
                <w:szCs w:val="18"/>
                <w:color w:val="auto"/>
              </w:rPr>
            </w:pPr>
          </w:p>
        </w:tc>
        <w:tc>
          <w:tcPr>
            <w:tcW w:w="6520" w:type="dxa"/>
            <w:vAlign w:val="bottom"/>
            <w:gridSpan w:val="4"/>
          </w:tcPr>
          <w:p>
            <w:pPr>
              <w:ind w:left="80"/>
              <w:spacing w:after="0"/>
              <w:rPr>
                <w:sz w:val="20"/>
                <w:szCs w:val="20"/>
                <w:color w:val="auto"/>
              </w:rPr>
            </w:pPr>
            <w:r>
              <w:rPr>
                <w:rFonts w:ascii="Arial" w:cs="Arial" w:eastAsia="Arial" w:hAnsi="Arial"/>
                <w:sz w:val="18"/>
                <w:szCs w:val="18"/>
                <w:color w:val="auto"/>
              </w:rPr>
              <w:t>shares of Class A common stock in connection with this offering; and</w:t>
            </w:r>
          </w:p>
        </w:tc>
        <w:tc>
          <w:tcPr>
            <w:tcW w:w="17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10"/>
        </w:trPr>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700" w:type="dxa"/>
            <w:vAlign w:val="bottom"/>
            <w:gridSpan w:val="4"/>
          </w:tcPr>
          <w:p>
            <w:pPr>
              <w:jc w:val="right"/>
              <w:ind w:right="330"/>
              <w:spacing w:after="0"/>
              <w:rPr>
                <w:sz w:val="20"/>
                <w:szCs w:val="20"/>
                <w:color w:val="auto"/>
              </w:rPr>
            </w:pPr>
            <w:r>
              <w:rPr>
                <w:rFonts w:ascii="Arial" w:cs="Arial" w:eastAsia="Arial" w:hAnsi="Arial"/>
                <w:sz w:val="18"/>
                <w:szCs w:val="18"/>
                <w:color w:val="auto"/>
              </w:rPr>
              <w:t>shares of Class A common stock issuable upon the exercise of warrants outstanding as of</w:t>
            </w:r>
          </w:p>
        </w:tc>
        <w:tc>
          <w:tcPr>
            <w:tcW w:w="2000" w:type="dxa"/>
            <w:vAlign w:val="bottom"/>
          </w:tcPr>
          <w:p>
            <w:pPr>
              <w:ind w:left="420"/>
              <w:spacing w:after="0"/>
              <w:rPr>
                <w:sz w:val="20"/>
                <w:szCs w:val="20"/>
                <w:color w:val="auto"/>
              </w:rPr>
            </w:pPr>
            <w:r>
              <w:rPr>
                <w:rFonts w:ascii="Arial" w:cs="Arial" w:eastAsia="Arial" w:hAnsi="Arial"/>
                <w:sz w:val="18"/>
                <w:szCs w:val="18"/>
                <w:color w:val="auto"/>
              </w:rPr>
              <w:t>, 2021 with an</w:t>
            </w:r>
          </w:p>
        </w:tc>
      </w:tr>
      <w:tr>
        <w:trPr>
          <w:trHeight w:val="217"/>
        </w:trPr>
        <w:tc>
          <w:tcPr>
            <w:tcW w:w="8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exercise price of $</w:t>
            </w:r>
          </w:p>
        </w:tc>
        <w:tc>
          <w:tcPr>
            <w:tcW w:w="1860" w:type="dxa"/>
            <w:vAlign w:val="bottom"/>
          </w:tcPr>
          <w:p>
            <w:pPr>
              <w:ind w:left="800"/>
              <w:spacing w:after="0"/>
              <w:rPr>
                <w:sz w:val="20"/>
                <w:szCs w:val="20"/>
                <w:color w:val="auto"/>
              </w:rPr>
            </w:pPr>
            <w:r>
              <w:rPr>
                <w:rFonts w:ascii="Arial" w:cs="Arial" w:eastAsia="Arial" w:hAnsi="Arial"/>
                <w:sz w:val="18"/>
                <w:szCs w:val="18"/>
                <w:color w:val="auto"/>
              </w:rPr>
              <w:t>per share.</w:t>
            </w: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04"/>
        </w:trPr>
        <w:tc>
          <w:tcPr>
            <w:tcW w:w="11060" w:type="dxa"/>
            <w:vAlign w:val="bottom"/>
            <w:gridSpan w:val="7"/>
          </w:tcPr>
          <w:p>
            <w:pPr>
              <w:ind w:left="660"/>
              <w:spacing w:after="0"/>
              <w:rPr>
                <w:sz w:val="20"/>
                <w:szCs w:val="20"/>
                <w:color w:val="auto"/>
              </w:rPr>
            </w:pPr>
            <w:r>
              <w:rPr>
                <w:rFonts w:ascii="Arial" w:cs="Arial" w:eastAsia="Arial" w:hAnsi="Arial"/>
                <w:sz w:val="18"/>
                <w:szCs w:val="18"/>
                <w:color w:val="auto"/>
                <w:w w:val="99"/>
              </w:rPr>
              <w:t>To the extent any of these outstanding options are exercised, there will be further dilution to new investors. To the extent all of such</w:t>
            </w:r>
          </w:p>
        </w:tc>
      </w:tr>
      <w:tr>
        <w:trPr>
          <w:trHeight w:val="203"/>
        </w:trPr>
        <w:tc>
          <w:tcPr>
            <w:tcW w:w="42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outstanding options had been exercised as of</w:t>
            </w:r>
          </w:p>
        </w:tc>
        <w:tc>
          <w:tcPr>
            <w:tcW w:w="682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 2021, the pro forma as adjusted net tangible book value per share after this</w:t>
            </w:r>
          </w:p>
        </w:tc>
      </w:tr>
      <w:tr>
        <w:trPr>
          <w:trHeight w:val="217"/>
        </w:trPr>
        <w:tc>
          <w:tcPr>
            <w:tcW w:w="2380" w:type="dxa"/>
            <w:vAlign w:val="bottom"/>
            <w:gridSpan w:val="3"/>
          </w:tcPr>
          <w:p>
            <w:pPr>
              <w:ind w:left="120"/>
              <w:spacing w:after="0"/>
              <w:rPr>
                <w:sz w:val="20"/>
                <w:szCs w:val="20"/>
                <w:color w:val="auto"/>
              </w:rPr>
            </w:pPr>
            <w:r>
              <w:rPr>
                <w:rFonts w:ascii="Arial" w:cs="Arial" w:eastAsia="Arial" w:hAnsi="Arial"/>
                <w:sz w:val="18"/>
                <w:szCs w:val="18"/>
                <w:color w:val="auto"/>
              </w:rPr>
              <w:t>offering would be $</w:t>
            </w:r>
          </w:p>
        </w:tc>
        <w:tc>
          <w:tcPr>
            <w:tcW w:w="4940" w:type="dxa"/>
            <w:vAlign w:val="bottom"/>
            <w:gridSpan w:val="2"/>
          </w:tcPr>
          <w:p>
            <w:pPr>
              <w:jc w:val="right"/>
              <w:ind w:right="310"/>
              <w:spacing w:after="0"/>
              <w:rPr>
                <w:sz w:val="20"/>
                <w:szCs w:val="20"/>
                <w:color w:val="auto"/>
              </w:rPr>
            </w:pPr>
            <w:r>
              <w:rPr>
                <w:rFonts w:ascii="Arial" w:cs="Arial" w:eastAsia="Arial" w:hAnsi="Arial"/>
                <w:sz w:val="18"/>
                <w:szCs w:val="18"/>
                <w:color w:val="auto"/>
              </w:rPr>
              <w:t>, and total dilution per share to new investors would be $</w:t>
            </w:r>
          </w:p>
        </w:tc>
        <w:tc>
          <w:tcPr>
            <w:tcW w:w="174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351"/>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80" w:type="dxa"/>
            <w:vAlign w:val="bottom"/>
          </w:tcPr>
          <w:p>
            <w:pPr>
              <w:jc w:val="right"/>
              <w:ind w:right="1510"/>
              <w:spacing w:after="0"/>
              <w:rPr>
                <w:sz w:val="20"/>
                <w:szCs w:val="20"/>
                <w:color w:val="auto"/>
              </w:rPr>
            </w:pPr>
            <w:r>
              <w:rPr>
                <w:rFonts w:ascii="Arial" w:cs="Arial" w:eastAsia="Arial" w:hAnsi="Arial"/>
                <w:sz w:val="18"/>
                <w:szCs w:val="18"/>
                <w:color w:val="auto"/>
              </w:rPr>
              <w:t>74</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total subscribers (active</w:t>
      </w:r>
    </w:p>
    <w:p>
      <w:pPr>
        <w:spacing w:after="0" w:line="3" w:lineRule="exact"/>
        <w:rPr>
          <w:sz w:val="20"/>
          <w:szCs w:val="20"/>
          <w:color w:val="auto"/>
        </w:rPr>
      </w:pPr>
    </w:p>
    <w:p>
      <w:pPr>
        <w:ind w:left="120"/>
        <w:spacing w:after="0"/>
        <w:tabs>
          <w:tab w:leader="none" w:pos="1980" w:val="left"/>
          <w:tab w:leader="none" w:pos="6640" w:val="left"/>
        </w:tabs>
        <w:rPr>
          <w:sz w:val="20"/>
          <w:szCs w:val="20"/>
          <w:color w:val="auto"/>
        </w:rPr>
      </w:pPr>
      <w:r>
        <w:rPr>
          <w:rFonts w:ascii="Arial" w:cs="Arial" w:eastAsia="Arial" w:hAnsi="Arial"/>
          <w:sz w:val="18"/>
          <w:szCs w:val="18"/>
          <w:color w:val="auto"/>
        </w:rPr>
        <w:t>and paused) as of</w:t>
      </w:r>
      <w:r>
        <w:rPr>
          <w:sz w:val="20"/>
          <w:szCs w:val="20"/>
          <w:color w:val="auto"/>
        </w:rPr>
        <w:tab/>
      </w:r>
      <w:r>
        <w:rPr>
          <w:rFonts w:ascii="Arial" w:cs="Arial" w:eastAsia="Arial" w:hAnsi="Arial"/>
          <w:sz w:val="18"/>
          <w:szCs w:val="18"/>
          <w:color w:val="auto"/>
        </w:rPr>
        <w:t>, 2021. In the first six months of fiscal year 2021,</w:t>
      </w:r>
      <w:r>
        <w:rPr>
          <w:sz w:val="20"/>
          <w:szCs w:val="20"/>
          <w:color w:val="auto"/>
        </w:rPr>
        <w:tab/>
      </w:r>
      <w:r>
        <w:rPr>
          <w:rFonts w:ascii="Arial" w:cs="Arial" w:eastAsia="Arial" w:hAnsi="Arial"/>
          <w:sz w:val="18"/>
          <w:szCs w:val="18"/>
          <w:color w:val="auto"/>
        </w:rPr>
        <w:t>% of our total revenue was generated by subscribers.</w:t>
      </w:r>
    </w:p>
    <w:p>
      <w:pPr>
        <w:spacing w:after="0" w:line="21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cost-effective acquisition of a high volume of items every year. We have successfully disproved the misconception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7" w:lineRule="exact"/>
        <w:rPr>
          <w:sz w:val="20"/>
          <w:szCs w:val="20"/>
          <w:color w:val="auto"/>
        </w:rPr>
      </w:pPr>
    </w:p>
    <w:p>
      <w:pPr>
        <w:ind w:left="880" w:right="140" w:hanging="224"/>
        <w:spacing w:after="0" w:line="24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Profit was $53.6 million and $15.6 million in fiscal year 2019 and fiscal year 2020, respectively;</w:t>
      </w:r>
    </w:p>
    <w:p>
      <w:pPr>
        <w:spacing w:after="0" w:line="11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$129.2 million and $85.4 million in fiscal year 2019 and fiscal year 2020, respectively;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Loss was $(154.0) million and $(171.1) million in fiscal year 2019 and fiscal year 2020, respectively;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Adjusted EBITDA was $(18.0) million and $(20.3) million in fiscal year 2019 and fiscal year 2020, respectively.</w:t>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Business Model</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Power of Subscription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an innovative subscription model with the following attributes:</w:t>
      </w:r>
    </w:p>
    <w:p>
      <w:pPr>
        <w:spacing w:after="0" w:line="117"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monetize our products over multiple years;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acquire a large and broad assortment of products to provide variety to subscribers and customers;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incur fulfillment expense to ship items to/from subscribers and customers and restore products to excellent condition.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model aligns the success and engagement of our subscribers, our customers, our brand partners and our business.</w:t>
      </w:r>
    </w:p>
    <w:p>
      <w:pPr>
        <w:ind w:left="120"/>
        <w:spacing w:after="0"/>
        <w:rPr>
          <w:sz w:val="20"/>
          <w:szCs w:val="20"/>
          <w:color w:val="auto"/>
        </w:rPr>
      </w:pPr>
      <w:r>
        <w:rPr>
          <w:rFonts w:ascii="Arial" w:cs="Arial" w:eastAsia="Arial" w:hAnsi="Arial"/>
          <w:sz w:val="18"/>
          <w:szCs w:val="18"/>
          <w:color w:val="auto"/>
        </w:rPr>
        <w:t>Our success is a function of:</w:t>
      </w:r>
    </w:p>
    <w:p>
      <w:pPr>
        <w:spacing w:after="0" w:line="117"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grow revenue through growth and loyalty of subscribers and customers;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acquire and drive return on investment of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manage operating and capital efficiencies in our business,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We Make Money</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generate revenue when subscribers and customers access our Closet in the Cloud across subscription, a-la-carte rentals and resale. The majority of revenue is highly recurring and is generated by our subscribers, representing %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83" w:lineRule="exact"/>
        <w:rPr>
          <w:sz w:val="20"/>
          <w:szCs w:val="20"/>
          <w:color w:val="auto"/>
        </w:rPr>
      </w:pPr>
    </w:p>
    <w:p>
      <w:pPr>
        <w:ind w:left="120" w:right="280" w:firstLine="551"/>
        <w:spacing w:after="0" w:line="271" w:lineRule="auto"/>
        <w:rPr>
          <w:sz w:val="20"/>
          <w:szCs w:val="20"/>
          <w:color w:val="auto"/>
        </w:rPr>
      </w:pPr>
      <w:r>
        <w:rPr>
          <w:rFonts w:ascii="Arial" w:cs="Arial" w:eastAsia="Arial" w:hAnsi="Arial"/>
          <w:sz w:val="18"/>
          <w:szCs w:val="18"/>
          <w:b w:val="1"/>
          <w:bCs w:val="1"/>
          <w:color w:val="auto"/>
        </w:rPr>
        <w:t xml:space="preserve">Subscription and Reserve Rental Revenue: </w:t>
      </w:r>
      <w:r>
        <w:rPr>
          <w:rFonts w:ascii="Arial" w:cs="Arial" w:eastAsia="Arial" w:hAnsi="Arial"/>
          <w:sz w:val="18"/>
          <w:szCs w:val="18"/>
          <w:color w:val="auto"/>
        </w:rPr>
        <w:t>Subscription and Reserve rental revenue was $135.9 million in fiscal year 2020,</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86.3% of total revenue.</w:t>
      </w:r>
    </w:p>
    <w:p>
      <w:pPr>
        <w:spacing w:after="0" w:line="59"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Subscription</w:t>
      </w:r>
    </w:p>
    <w:p>
      <w:pPr>
        <w:spacing w:after="0" w:line="126" w:lineRule="exact"/>
        <w:rPr>
          <w:sz w:val="20"/>
          <w:szCs w:val="20"/>
          <w:color w:val="auto"/>
        </w:rPr>
      </w:pPr>
    </w:p>
    <w:p>
      <w:pPr>
        <w:ind w:left="560" w:right="60"/>
        <w:spacing w:after="0"/>
        <w:rPr>
          <w:sz w:val="20"/>
          <w:szCs w:val="20"/>
          <w:color w:val="auto"/>
        </w:rPr>
      </w:pPr>
      <w:r>
        <w:rPr>
          <w:rFonts w:ascii="Arial" w:cs="Arial" w:eastAsia="Arial" w:hAnsi="Arial"/>
          <w:sz w:val="18"/>
          <w:szCs w:val="18"/>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108"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$89 for 4 items per month (max 1 swap, up to 4 spots; more limited assortment)</w:t>
      </w:r>
    </w:p>
    <w:p>
      <w:pPr>
        <w:spacing w:after="0" w:line="99"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$135 for 8 items per month (max 2 swaps, up to 4 spots each) </w:t>
      </w:r>
      <w:r>
        <w:rPr>
          <w:rFonts w:ascii="Arial" w:cs="Arial" w:eastAsia="Arial" w:hAnsi="Arial"/>
          <w:sz w:val="18"/>
          <w:szCs w:val="18"/>
          <w:i w:val="1"/>
          <w:iCs w:val="1"/>
          <w:color w:val="auto"/>
        </w:rPr>
        <w:t>(our most popular plan)</w:t>
      </w:r>
    </w:p>
    <w:p>
      <w:pPr>
        <w:spacing w:after="0" w:line="135"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$174 for 12 items per month (max 3 swaps, up to 4 spots each)</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$199 for 16 items per month (max 4 swaps, up to 4 spots each)</w:t>
      </w:r>
    </w:p>
    <w:p>
      <w:pPr>
        <w:spacing w:after="0" w:line="104"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88"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Reserve</w:t>
      </w:r>
    </w:p>
    <w:p>
      <w:pPr>
        <w:spacing w:after="0" w:line="126"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83"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18"/>
          <w:szCs w:val="18"/>
          <w:color w:val="auto"/>
        </w:rPr>
        <w:t>Through our Resale offering, subscribers and customers can purchase pre-worn items they love from our closet—</w:t>
      </w:r>
      <w:r>
        <w:rPr>
          <w:rFonts w:ascii="Arial" w:cs="Arial" w:eastAsia="Arial" w:hAnsi="Arial"/>
          <w:sz w:val="18"/>
          <w:szCs w:val="18"/>
          <w:b w:val="1"/>
          <w:bCs w:val="1"/>
          <w:color w:val="auto"/>
        </w:rPr>
        <w:t xml:space="preserve"> </w:t>
      </w:r>
      <w:r>
        <w:rPr>
          <w:rFonts w:ascii="Arial" w:cs="Arial" w:eastAsia="Arial" w:hAnsi="Arial"/>
          <w:sz w:val="18"/>
          <w:szCs w:val="18"/>
          <w:color w:val="auto"/>
        </w:rPr>
        <w:t>no subscription is required. Our Other revenue was $21.6 million in fiscal year 2020, representing 13.7% of total revenue.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 Acquisition Strategy</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ability to serve our subscribers and customers depends on the quantity and quality of our products. We acquire and monetize products in three ways: Wholesale, Share by RTR and Exclusive Designs, as described in the table below.</w:t>
      </w:r>
    </w:p>
    <w:p>
      <w:pPr>
        <w:spacing w:after="0" w:line="19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80" w:type="dxa"/>
            <w:vAlign w:val="bottom"/>
            <w:vMerge w:val="restart"/>
          </w:tcPr>
          <w:p>
            <w:pPr>
              <w:spacing w:after="0"/>
              <w:rPr>
                <w:sz w:val="20"/>
                <w:szCs w:val="20"/>
                <w:color w:val="auto"/>
              </w:rPr>
            </w:pPr>
            <w:r>
              <w:rPr>
                <w:rFonts w:ascii="Arial" w:cs="Arial" w:eastAsia="Arial" w:hAnsi="Arial"/>
                <w:sz w:val="15"/>
                <w:szCs w:val="15"/>
                <w:b w:val="1"/>
                <w:bCs w:val="1"/>
                <w:color w:val="auto"/>
              </w:rPr>
              <w:t>Wholesale</w:t>
            </w:r>
          </w:p>
        </w:tc>
        <w:tc>
          <w:tcPr>
            <w:tcW w:w="240" w:type="dxa"/>
            <w:vAlign w:val="bottom"/>
          </w:tcPr>
          <w:p>
            <w:pPr>
              <w:spacing w:after="0"/>
              <w:rPr>
                <w:sz w:val="16"/>
                <w:szCs w:val="16"/>
                <w:color w:val="auto"/>
              </w:rPr>
            </w:pPr>
          </w:p>
        </w:tc>
        <w:tc>
          <w:tcPr>
            <w:tcW w:w="19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2"/>
        </w:trPr>
        <w:tc>
          <w:tcPr>
            <w:tcW w:w="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tcPr>
          <w:p>
            <w:pPr>
              <w:spacing w:after="0" w:line="152" w:lineRule="exact"/>
              <w:rPr>
                <w:sz w:val="20"/>
                <w:szCs w:val="20"/>
                <w:color w:val="auto"/>
              </w:rPr>
            </w:pPr>
            <w:r>
              <w:rPr>
                <w:rFonts w:ascii="Arial" w:cs="Arial" w:eastAsia="Arial" w:hAnsi="Arial"/>
                <w:sz w:val="15"/>
                <w:szCs w:val="15"/>
                <w:color w:val="auto"/>
              </w:rPr>
              <w:t>Items are acquired directly</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gridSpan w:val="2"/>
          </w:tcPr>
          <w:p>
            <w:pPr>
              <w:ind w:left="240"/>
              <w:spacing w:after="0" w:line="162" w:lineRule="exact"/>
              <w:rPr>
                <w:sz w:val="20"/>
                <w:szCs w:val="20"/>
                <w:color w:val="auto"/>
              </w:rPr>
            </w:pPr>
            <w:r>
              <w:rPr>
                <w:rFonts w:ascii="Arial" w:cs="Arial" w:eastAsia="Arial" w:hAnsi="Arial"/>
                <w:sz w:val="15"/>
                <w:szCs w:val="15"/>
                <w:color w:val="auto"/>
              </w:rPr>
              <w:t>from brand partners, typically</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gridSpan w:val="2"/>
          </w:tcPr>
          <w:p>
            <w:pPr>
              <w:ind w:left="240"/>
              <w:spacing w:after="0" w:line="162" w:lineRule="exact"/>
              <w:rPr>
                <w:sz w:val="20"/>
                <w:szCs w:val="20"/>
                <w:color w:val="auto"/>
              </w:rPr>
            </w:pPr>
            <w:r>
              <w:rPr>
                <w:rFonts w:ascii="Arial" w:cs="Arial" w:eastAsia="Arial" w:hAnsi="Arial"/>
                <w:sz w:val="15"/>
                <w:szCs w:val="15"/>
                <w:color w:val="auto"/>
              </w:rPr>
              <w:t>at a discount to wholesale</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2220" w:type="dxa"/>
            <w:vAlign w:val="bottom"/>
            <w:gridSpan w:val="2"/>
          </w:tcPr>
          <w:p>
            <w:pPr>
              <w:ind w:left="240"/>
              <w:spacing w:after="0"/>
              <w:rPr>
                <w:sz w:val="20"/>
                <w:szCs w:val="20"/>
                <w:color w:val="auto"/>
              </w:rPr>
            </w:pPr>
            <w:r>
              <w:rPr>
                <w:rFonts w:ascii="Arial" w:cs="Arial" w:eastAsia="Arial" w:hAnsi="Arial"/>
                <w:sz w:val="15"/>
                <w:szCs w:val="15"/>
                <w:color w:val="auto"/>
              </w:rPr>
              <w:t>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Consolidated</w:t>
      </w:r>
    </w:p>
    <w:p>
      <w:pPr>
        <w:spacing w:after="0" w:line="1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Statements of</w:t>
      </w:r>
    </w:p>
    <w:p>
      <w:pPr>
        <w:spacing w:after="0" w:line="1"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1912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5"/>
          <w:szCs w:val="15"/>
          <w:color w:val="auto"/>
        </w:rPr>
        <w:t>Cost is recognized through straight-line depreciation, with a three-year useful life and 20% salvage value, in the “Rental Product Depreciation and Revenue Share” line</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Consolidated</w:t>
      </w:r>
    </w:p>
    <w:p>
      <w:pPr>
        <w:spacing w:after="0" w:line="19"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1830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jc w:val="both"/>
        <w:spacing w:after="0" w:line="235" w:lineRule="auto"/>
        <w:rPr>
          <w:sz w:val="20"/>
          <w:szCs w:val="20"/>
          <w:color w:val="auto"/>
        </w:rPr>
      </w:pPr>
      <w:r>
        <w:rPr>
          <w:rFonts w:ascii="Arial" w:cs="Arial" w:eastAsia="Arial" w:hAnsi="Arial"/>
          <w:sz w:val="15"/>
          <w:szCs w:val="15"/>
          <w:color w:val="auto"/>
        </w:rPr>
        <w:t>Total cost is capitalized as “Rental Products” in long-term assets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r>
      <w:tr>
        <w:trPr>
          <w:trHeight w:val="162"/>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Items</w:t>
            </w:r>
          </w:p>
        </w:tc>
      </w:tr>
      <w:tr>
        <w:trPr>
          <w:trHeight w:val="162"/>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r>
      <w:tr>
        <w:trPr>
          <w:trHeight w:val="162"/>
        </w:trPr>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Consolidated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 Fiscal Year</w:t>
            </w:r>
          </w:p>
        </w:tc>
      </w:tr>
      <w:tr>
        <w:trPr>
          <w:trHeight w:val="162"/>
        </w:trPr>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Statements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2019 / Fiscal</w:t>
            </w:r>
          </w:p>
        </w:tc>
      </w:tr>
      <w:tr>
        <w:trPr>
          <w:trHeight w:val="189"/>
        </w:trPr>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Cash Flows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Year 2020</w:t>
            </w:r>
          </w:p>
        </w:tc>
      </w:tr>
      <w:tr>
        <w:trPr>
          <w:trHeight w:val="152"/>
        </w:trPr>
        <w:tc>
          <w:tcPr>
            <w:tcW w:w="1880" w:type="dxa"/>
            <w:vAlign w:val="bottom"/>
            <w:tcBorders>
              <w:top w:val="single" w:sz="8" w:color="auto"/>
            </w:tcBorders>
          </w:tcPr>
          <w:p>
            <w:pPr>
              <w:ind w:left="20"/>
              <w:spacing w:after="0" w:line="152" w:lineRule="exact"/>
              <w:rPr>
                <w:sz w:val="20"/>
                <w:szCs w:val="20"/>
                <w:color w:val="auto"/>
              </w:rPr>
            </w:pPr>
            <w:r>
              <w:rPr>
                <w:rFonts w:ascii="Arial" w:cs="Arial" w:eastAsia="Arial" w:hAnsi="Arial"/>
                <w:sz w:val="15"/>
                <w:szCs w:val="15"/>
                <w:color w:val="auto"/>
              </w:rPr>
              <w:t>Total cost is recognized as</w:t>
            </w:r>
          </w:p>
        </w:tc>
        <w:tc>
          <w:tcPr>
            <w:tcW w:w="200" w:type="dxa"/>
            <w:vAlign w:val="bottom"/>
          </w:tcPr>
          <w:p>
            <w:pPr>
              <w:spacing w:after="0"/>
              <w:rPr>
                <w:sz w:val="13"/>
                <w:szCs w:val="13"/>
                <w:color w:val="auto"/>
              </w:rPr>
            </w:pPr>
          </w:p>
        </w:tc>
        <w:tc>
          <w:tcPr>
            <w:tcW w:w="1340" w:type="dxa"/>
            <w:vAlign w:val="bottom"/>
            <w:tcBorders>
              <w:top w:val="single" w:sz="8" w:color="auto"/>
            </w:tcBorders>
          </w:tcPr>
          <w:p>
            <w:pPr>
              <w:jc w:val="right"/>
              <w:ind w:right="567"/>
              <w:spacing w:after="0" w:line="152" w:lineRule="exact"/>
              <w:rPr>
                <w:sz w:val="20"/>
                <w:szCs w:val="20"/>
                <w:color w:val="auto"/>
              </w:rPr>
            </w:pPr>
            <w:r>
              <w:rPr>
                <w:rFonts w:ascii="Arial" w:cs="Arial" w:eastAsia="Arial" w:hAnsi="Arial"/>
                <w:sz w:val="15"/>
                <w:szCs w:val="15"/>
                <w:color w:val="auto"/>
                <w:w w:val="99"/>
              </w:rPr>
              <w:t>74% /46%</w:t>
            </w:r>
          </w:p>
        </w:tc>
      </w:tr>
      <w:tr>
        <w:trPr>
          <w:trHeight w:val="162"/>
        </w:trPr>
        <w:tc>
          <w:tcPr>
            <w:tcW w:w="20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 capital expenditure</w:t>
            </w:r>
          </w:p>
        </w:tc>
        <w:tc>
          <w:tcPr>
            <w:tcW w:w="1340" w:type="dxa"/>
            <w:vAlign w:val="bottom"/>
          </w:tcPr>
          <w:p>
            <w:pPr>
              <w:spacing w:after="0"/>
              <w:rPr>
                <w:sz w:val="14"/>
                <w:szCs w:val="14"/>
                <w:color w:val="auto"/>
              </w:rPr>
            </w:pPr>
          </w:p>
        </w:tc>
      </w:tr>
      <w:tr>
        <w:trPr>
          <w:trHeight w:val="162"/>
        </w:trPr>
        <w:tc>
          <w:tcPr>
            <w:tcW w:w="20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(“Purchases of Rental</w:t>
            </w:r>
          </w:p>
        </w:tc>
        <w:tc>
          <w:tcPr>
            <w:tcW w:w="1340" w:type="dxa"/>
            <w:vAlign w:val="bottom"/>
          </w:tcPr>
          <w:p>
            <w:pPr>
              <w:spacing w:after="0"/>
              <w:rPr>
                <w:sz w:val="14"/>
                <w:szCs w:val="14"/>
                <w:color w:val="auto"/>
              </w:rPr>
            </w:pPr>
          </w:p>
        </w:tc>
      </w:tr>
      <w:tr>
        <w:trPr>
          <w:trHeight w:val="162"/>
        </w:trPr>
        <w:tc>
          <w:tcPr>
            <w:tcW w:w="20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Product”) at time of</w:t>
            </w:r>
          </w:p>
        </w:tc>
        <w:tc>
          <w:tcPr>
            <w:tcW w:w="1340" w:type="dxa"/>
            <w:vAlign w:val="bottom"/>
          </w:tcPr>
          <w:p>
            <w:pPr>
              <w:spacing w:after="0"/>
              <w:rPr>
                <w:sz w:val="14"/>
                <w:szCs w:val="14"/>
                <w:color w:val="auto"/>
              </w:rPr>
            </w:pPr>
          </w:p>
        </w:tc>
      </w:tr>
      <w:tr>
        <w:trPr>
          <w:trHeight w:val="184"/>
        </w:trPr>
        <w:tc>
          <w:tcPr>
            <w:tcW w:w="2080" w:type="dxa"/>
            <w:vAlign w:val="bottom"/>
            <w:gridSpan w:val="2"/>
          </w:tcPr>
          <w:p>
            <w:pPr>
              <w:ind w:left="20"/>
              <w:spacing w:after="0"/>
              <w:rPr>
                <w:sz w:val="20"/>
                <w:szCs w:val="20"/>
                <w:color w:val="auto"/>
              </w:rPr>
            </w:pPr>
            <w:r>
              <w:rPr>
                <w:rFonts w:ascii="Arial" w:cs="Arial" w:eastAsia="Arial" w:hAnsi="Arial"/>
                <w:sz w:val="15"/>
                <w:szCs w:val="15"/>
                <w:color w:val="auto"/>
              </w:rPr>
              <w:t>acquisition</w:t>
            </w:r>
          </w:p>
        </w:tc>
        <w:tc>
          <w:tcPr>
            <w:tcW w:w="1340" w:type="dxa"/>
            <w:vAlign w:val="bottom"/>
          </w:tcPr>
          <w:p>
            <w:pPr>
              <w:spacing w:after="0"/>
              <w:rPr>
                <w:sz w:val="16"/>
                <w:szCs w:val="16"/>
                <w:color w:val="auto"/>
              </w:rPr>
            </w:pPr>
          </w:p>
        </w:tc>
      </w:tr>
    </w:tbl>
    <w:p>
      <w:pPr>
        <w:spacing w:after="0" w:line="380" w:lineRule="exact"/>
        <w:rPr>
          <w:sz w:val="20"/>
          <w:szCs w:val="20"/>
          <w:color w:val="auto"/>
        </w:rPr>
      </w:pPr>
    </w:p>
    <w:p>
      <w:pPr>
        <w:sectPr>
          <w:pgSz w:w="11900" w:h="16838" w:orient="portrait"/>
          <w:cols w:equalWidth="0" w:num="4">
            <w:col w:w="3320" w:space="240"/>
            <w:col w:w="1820" w:space="280"/>
            <w:col w:w="1760" w:space="300"/>
            <w:col w:w="34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2"/>
        </w:trPr>
        <w:tc>
          <w:tcPr>
            <w:tcW w:w="980" w:type="dxa"/>
            <w:vAlign w:val="bottom"/>
          </w:tcPr>
          <w:p>
            <w:pPr>
              <w:spacing w:after="0"/>
              <w:rPr>
                <w:sz w:val="20"/>
                <w:szCs w:val="20"/>
                <w:color w:val="auto"/>
              </w:rPr>
            </w:pPr>
            <w:r>
              <w:rPr>
                <w:rFonts w:ascii="Arial" w:cs="Arial" w:eastAsia="Arial" w:hAnsi="Arial"/>
                <w:sz w:val="15"/>
                <w:szCs w:val="15"/>
                <w:b w:val="1"/>
                <w:bCs w:val="1"/>
                <w:color w:val="auto"/>
              </w:rPr>
              <w:t>Share by</w:t>
            </w:r>
          </w:p>
        </w:tc>
        <w:tc>
          <w:tcPr>
            <w:tcW w:w="2220" w:type="dxa"/>
            <w:vAlign w:val="bottom"/>
          </w:tcPr>
          <w:p>
            <w:pPr>
              <w:ind w:left="240"/>
              <w:spacing w:after="0"/>
              <w:rPr>
                <w:sz w:val="20"/>
                <w:szCs w:val="20"/>
                <w:color w:val="auto"/>
              </w:rPr>
            </w:pPr>
            <w:r>
              <w:rPr>
                <w:rFonts w:ascii="Arial" w:cs="Arial" w:eastAsia="Arial" w:hAnsi="Arial"/>
                <w:sz w:val="15"/>
                <w:szCs w:val="15"/>
                <w:color w:val="auto"/>
              </w:rPr>
              <w:t>Items are acquired directly</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20"/>
                <w:szCs w:val="20"/>
                <w:color w:val="auto"/>
              </w:rPr>
            </w:pPr>
            <w:r>
              <w:rPr>
                <w:rFonts w:ascii="Arial" w:cs="Arial" w:eastAsia="Arial" w:hAnsi="Arial"/>
                <w:sz w:val="15"/>
                <w:szCs w:val="15"/>
                <w:b w:val="1"/>
                <w:bCs w:val="1"/>
                <w:color w:val="auto"/>
              </w:rPr>
              <w:t>RTR</w:t>
            </w:r>
          </w:p>
        </w:tc>
        <w:tc>
          <w:tcPr>
            <w:tcW w:w="2220" w:type="dxa"/>
            <w:vAlign w:val="bottom"/>
          </w:tcPr>
          <w:p>
            <w:pPr>
              <w:ind w:left="240"/>
              <w:spacing w:after="0"/>
              <w:rPr>
                <w:sz w:val="20"/>
                <w:szCs w:val="20"/>
                <w:color w:val="auto"/>
              </w:rPr>
            </w:pPr>
            <w:r>
              <w:rPr>
                <w:rFonts w:ascii="Arial" w:cs="Arial" w:eastAsia="Arial" w:hAnsi="Arial"/>
                <w:sz w:val="15"/>
                <w:szCs w:val="15"/>
                <w:color w:val="auto"/>
              </w:rPr>
              <w:t>from brand partners on</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consignment, at zero to low</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upfront cost, with</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performance- based revenue</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share payments to our brand</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2220" w:type="dxa"/>
            <w:vAlign w:val="bottom"/>
          </w:tcPr>
          <w:p>
            <w:pPr>
              <w:ind w:left="240"/>
              <w:spacing w:after="0"/>
              <w:rPr>
                <w:sz w:val="20"/>
                <w:szCs w:val="20"/>
                <w:color w:val="auto"/>
              </w:rPr>
            </w:pPr>
            <w:r>
              <w:rPr>
                <w:rFonts w:ascii="Arial" w:cs="Arial" w:eastAsia="Arial" w:hAnsi="Arial"/>
                <w:sz w:val="15"/>
                <w:szCs w:val="15"/>
                <w:color w:val="auto"/>
              </w:rPr>
              <w:t>partners over time</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r>
              <w:rPr>
                <w:rFonts w:ascii="Arial" w:cs="Arial" w:eastAsia="Arial" w:hAnsi="Arial"/>
                <w:sz w:val="15"/>
                <w:szCs w:val="15"/>
                <w:b w:val="1"/>
                <w:bCs w:val="1"/>
                <w:color w:val="auto"/>
              </w:rPr>
              <w:t>Exclusive</w:t>
            </w:r>
          </w:p>
        </w:tc>
        <w:tc>
          <w:tcPr>
            <w:tcW w:w="2220" w:type="dxa"/>
            <w:vAlign w:val="bottom"/>
          </w:tcPr>
          <w:p>
            <w:pPr>
              <w:ind w:left="240"/>
              <w:spacing w:after="0"/>
              <w:rPr>
                <w:sz w:val="20"/>
                <w:szCs w:val="20"/>
                <w:color w:val="auto"/>
              </w:rPr>
            </w:pPr>
            <w:r>
              <w:rPr>
                <w:rFonts w:ascii="Arial" w:cs="Arial" w:eastAsia="Arial" w:hAnsi="Arial"/>
                <w:sz w:val="15"/>
                <w:szCs w:val="15"/>
                <w:color w:val="auto"/>
              </w:rPr>
              <w:t>Items are designed using our</w:t>
            </w:r>
          </w:p>
        </w:tc>
        <w:tc>
          <w:tcPr>
            <w:tcW w:w="0" w:type="dxa"/>
            <w:vAlign w:val="bottom"/>
          </w:tcPr>
          <w:p>
            <w:pPr>
              <w:spacing w:after="0"/>
              <w:rPr>
                <w:sz w:val="1"/>
                <w:szCs w:val="1"/>
                <w:color w:val="auto"/>
              </w:rPr>
            </w:pPr>
          </w:p>
        </w:tc>
      </w:tr>
      <w:tr>
        <w:trPr>
          <w:trHeight w:val="134"/>
        </w:trPr>
        <w:tc>
          <w:tcPr>
            <w:tcW w:w="980" w:type="dxa"/>
            <w:vAlign w:val="bottom"/>
          </w:tcPr>
          <w:p>
            <w:pPr>
              <w:ind w:left="600"/>
              <w:spacing w:after="0" w:line="134" w:lineRule="exact"/>
              <w:rPr>
                <w:sz w:val="20"/>
                <w:szCs w:val="20"/>
                <w:color w:val="auto"/>
              </w:rPr>
            </w:pPr>
            <w:r>
              <w:rPr>
                <w:rFonts w:ascii="Arial" w:cs="Arial" w:eastAsia="Arial" w:hAnsi="Arial"/>
                <w:sz w:val="13"/>
                <w:szCs w:val="13"/>
                <w:b w:val="1"/>
                <w:bCs w:val="1"/>
                <w:color w:val="auto"/>
              </w:rPr>
              <w:t>(2)</w:t>
            </w:r>
          </w:p>
        </w:tc>
        <w:tc>
          <w:tcPr>
            <w:tcW w:w="2220" w:type="dxa"/>
            <w:vAlign w:val="bottom"/>
            <w:vMerge w:val="restart"/>
          </w:tcPr>
          <w:p>
            <w:pPr>
              <w:ind w:left="240"/>
              <w:spacing w:after="0" w:line="171" w:lineRule="exact"/>
              <w:rPr>
                <w:sz w:val="20"/>
                <w:szCs w:val="20"/>
                <w:color w:val="auto"/>
              </w:rPr>
            </w:pPr>
            <w:r>
              <w:rPr>
                <w:rFonts w:ascii="Arial" w:cs="Arial" w:eastAsia="Arial" w:hAnsi="Arial"/>
                <w:sz w:val="15"/>
                <w:szCs w:val="15"/>
                <w:color w:val="auto"/>
              </w:rPr>
              <w:t>data in collaboration with our</w:t>
            </w:r>
          </w:p>
        </w:tc>
        <w:tc>
          <w:tcPr>
            <w:tcW w:w="0" w:type="dxa"/>
            <w:vAlign w:val="bottom"/>
          </w:tcPr>
          <w:p>
            <w:pPr>
              <w:spacing w:after="0"/>
              <w:rPr>
                <w:sz w:val="1"/>
                <w:szCs w:val="1"/>
                <w:color w:val="auto"/>
              </w:rPr>
            </w:pPr>
          </w:p>
        </w:tc>
      </w:tr>
      <w:tr>
        <w:trPr>
          <w:trHeight w:val="37"/>
        </w:trPr>
        <w:tc>
          <w:tcPr>
            <w:tcW w:w="980" w:type="dxa"/>
            <w:vAlign w:val="bottom"/>
          </w:tcPr>
          <w:p>
            <w:pPr>
              <w:spacing w:after="0" w:line="37" w:lineRule="exact"/>
              <w:rPr>
                <w:sz w:val="20"/>
                <w:szCs w:val="20"/>
                <w:color w:val="auto"/>
              </w:rPr>
            </w:pPr>
            <w:r>
              <w:rPr>
                <w:rFonts w:ascii="Arial" w:cs="Arial" w:eastAsia="Arial" w:hAnsi="Arial"/>
                <w:sz w:val="4"/>
                <w:szCs w:val="4"/>
                <w:b w:val="1"/>
                <w:bCs w:val="1"/>
                <w:color w:val="auto"/>
              </w:rPr>
              <w:t>Designs</w:t>
            </w: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tcPr>
          <w:p>
            <w:pPr>
              <w:spacing w:after="0"/>
              <w:rPr>
                <w:sz w:val="16"/>
                <w:szCs w:val="16"/>
                <w:color w:val="auto"/>
              </w:rPr>
            </w:pPr>
          </w:p>
        </w:tc>
        <w:tc>
          <w:tcPr>
            <w:tcW w:w="2220" w:type="dxa"/>
            <w:vAlign w:val="bottom"/>
          </w:tcPr>
          <w:p>
            <w:pPr>
              <w:ind w:left="240"/>
              <w:spacing w:after="0"/>
              <w:rPr>
                <w:sz w:val="20"/>
                <w:szCs w:val="20"/>
                <w:color w:val="auto"/>
              </w:rPr>
            </w:pPr>
            <w:r>
              <w:rPr>
                <w:rFonts w:ascii="Arial" w:cs="Arial" w:eastAsia="Arial" w:hAnsi="Arial"/>
                <w:sz w:val="15"/>
                <w:szCs w:val="15"/>
                <w:color w:val="auto"/>
              </w:rPr>
              <w:t>brand partners</w:t>
            </w: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2220" w:type="dxa"/>
            <w:vAlign w:val="bottom"/>
          </w:tcPr>
          <w:p>
            <w:pPr>
              <w:ind w:left="240"/>
              <w:spacing w:after="0"/>
              <w:rPr>
                <w:sz w:val="20"/>
                <w:szCs w:val="20"/>
                <w:color w:val="auto"/>
              </w:rPr>
            </w:pPr>
            <w:r>
              <w:rPr>
                <w:rFonts w:ascii="Arial" w:cs="Arial" w:eastAsia="Arial" w:hAnsi="Arial"/>
                <w:sz w:val="15"/>
                <w:szCs w:val="15"/>
                <w:color w:val="auto"/>
              </w:rPr>
              <w:t>We manufacture items</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through third-party partners</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and pay the brand partner an</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220" w:type="dxa"/>
            <w:vAlign w:val="bottom"/>
          </w:tcPr>
          <w:p>
            <w:pPr>
              <w:ind w:left="240"/>
              <w:spacing w:after="0" w:line="162" w:lineRule="exact"/>
              <w:rPr>
                <w:sz w:val="20"/>
                <w:szCs w:val="20"/>
                <w:color w:val="auto"/>
              </w:rPr>
            </w:pPr>
            <w:r>
              <w:rPr>
                <w:rFonts w:ascii="Arial" w:cs="Arial" w:eastAsia="Arial" w:hAnsi="Arial"/>
                <w:sz w:val="15"/>
                <w:szCs w:val="15"/>
                <w:color w:val="auto"/>
              </w:rPr>
              <w:t>upfront fee and minimal</w:t>
            </w: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2220" w:type="dxa"/>
            <w:vAlign w:val="bottom"/>
          </w:tcPr>
          <w:p>
            <w:pPr>
              <w:ind w:left="240"/>
              <w:spacing w:after="0"/>
              <w:rPr>
                <w:sz w:val="20"/>
                <w:szCs w:val="20"/>
                <w:color w:val="auto"/>
              </w:rPr>
            </w:pPr>
            <w:r>
              <w:rPr>
                <w:rFonts w:ascii="Arial" w:cs="Arial" w:eastAsia="Arial" w:hAnsi="Arial"/>
                <w:sz w:val="15"/>
                <w:szCs w:val="15"/>
                <w:color w:val="auto"/>
              </w:rPr>
              <w:t>revenue share payments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Upfront and performance-based revenue share payments are expensed as incurred in the “Rental Product Depreciation and Revenue Share” line</w:t>
      </w:r>
    </w:p>
    <w:p>
      <w:pPr>
        <w:spacing w:after="0" w:line="250"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Upfront and performance-based revenue share payments are expensed as incurred in the “Rental Product Depreciation and Revenue Share” line</w:t>
      </w:r>
    </w:p>
    <w:p>
      <w:pPr>
        <w:spacing w:after="0" w:line="102"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Manufacturing cost is recognized through straight-line depreciation, with a three-year useful life and 20% salvage value, in the “Rental Product Depreciation and Revenue Share” line</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Items are not capitalized on the balance sheet as we do not own them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360"/>
        <w:spacing w:after="0" w:line="233" w:lineRule="auto"/>
        <w:rPr>
          <w:sz w:val="20"/>
          <w:szCs w:val="20"/>
          <w:color w:val="auto"/>
        </w:rPr>
      </w:pPr>
      <w:r>
        <w:rPr>
          <w:rFonts w:ascii="Arial" w:cs="Arial" w:eastAsia="Arial" w:hAnsi="Arial"/>
          <w:sz w:val="15"/>
          <w:szCs w:val="15"/>
          <w:color w:val="auto"/>
        </w:rPr>
        <w:t>Manufacturing cost is capitalized as “Rental Products” in long-term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color w:val="auto"/>
              </w:rPr>
              <w:t>Upfront and revenue share</w:t>
            </w:r>
          </w:p>
        </w:tc>
        <w:tc>
          <w:tcPr>
            <w:tcW w:w="820" w:type="dxa"/>
            <w:vAlign w:val="bottom"/>
          </w:tcPr>
          <w:p>
            <w:pPr>
              <w:jc w:val="right"/>
              <w:spacing w:after="0"/>
              <w:rPr>
                <w:sz w:val="20"/>
                <w:szCs w:val="20"/>
                <w:color w:val="auto"/>
              </w:rPr>
            </w:pPr>
            <w:r>
              <w:rPr>
                <w:rFonts w:ascii="Arial" w:cs="Arial" w:eastAsia="Arial" w:hAnsi="Arial"/>
                <w:sz w:val="15"/>
                <w:szCs w:val="15"/>
                <w:color w:val="auto"/>
              </w:rPr>
              <w:t>15% /36%</w:t>
            </w:r>
          </w:p>
        </w:tc>
      </w:tr>
      <w:tr>
        <w:trPr>
          <w:trHeight w:val="162"/>
        </w:trPr>
        <w:tc>
          <w:tcPr>
            <w:tcW w:w="1940" w:type="dxa"/>
            <w:vAlign w:val="bottom"/>
          </w:tcPr>
          <w:p>
            <w:pPr>
              <w:spacing w:after="0" w:line="162" w:lineRule="exact"/>
              <w:rPr>
                <w:sz w:val="20"/>
                <w:szCs w:val="20"/>
                <w:color w:val="auto"/>
              </w:rPr>
            </w:pPr>
            <w:r>
              <w:rPr>
                <w:rFonts w:ascii="Arial" w:cs="Arial" w:eastAsia="Arial" w:hAnsi="Arial"/>
                <w:sz w:val="15"/>
                <w:szCs w:val="15"/>
                <w:color w:val="auto"/>
              </w:rPr>
              <w:t>payments flow through Net</w:t>
            </w:r>
          </w:p>
        </w:tc>
        <w:tc>
          <w:tcPr>
            <w:tcW w:w="820" w:type="dxa"/>
            <w:vAlign w:val="bottom"/>
          </w:tcPr>
          <w:p>
            <w:pPr>
              <w:spacing w:after="0"/>
              <w:rPr>
                <w:sz w:val="14"/>
                <w:szCs w:val="14"/>
                <w:color w:val="auto"/>
              </w:rPr>
            </w:pPr>
          </w:p>
        </w:tc>
      </w:tr>
      <w:tr>
        <w:trPr>
          <w:trHeight w:val="184"/>
        </w:trPr>
        <w:tc>
          <w:tcPr>
            <w:tcW w:w="1940" w:type="dxa"/>
            <w:vAlign w:val="bottom"/>
          </w:tcPr>
          <w:p>
            <w:pPr>
              <w:spacing w:after="0"/>
              <w:rPr>
                <w:sz w:val="20"/>
                <w:szCs w:val="20"/>
                <w:color w:val="auto"/>
              </w:rPr>
            </w:pPr>
            <w:r>
              <w:rPr>
                <w:rFonts w:ascii="Arial" w:cs="Arial" w:eastAsia="Arial" w:hAnsi="Arial"/>
                <w:sz w:val="15"/>
                <w:szCs w:val="15"/>
                <w:color w:val="auto"/>
              </w:rPr>
              <w:t>Income as incurred</w:t>
            </w:r>
          </w:p>
        </w:tc>
        <w:tc>
          <w:tcPr>
            <w:tcW w:w="820" w:type="dxa"/>
            <w:vAlign w:val="bottom"/>
          </w:tcPr>
          <w:p>
            <w:pPr>
              <w:spacing w:after="0"/>
              <w:rPr>
                <w:sz w:val="16"/>
                <w:szCs w:val="16"/>
                <w:color w:val="auto"/>
              </w:rPr>
            </w:pPr>
          </w:p>
        </w:tc>
      </w:tr>
      <w:tr>
        <w:trPr>
          <w:trHeight w:val="896"/>
        </w:trPr>
        <w:tc>
          <w:tcPr>
            <w:tcW w:w="1940" w:type="dxa"/>
            <w:vAlign w:val="bottom"/>
          </w:tcPr>
          <w:p>
            <w:pPr>
              <w:spacing w:after="0"/>
              <w:rPr>
                <w:sz w:val="20"/>
                <w:szCs w:val="20"/>
                <w:color w:val="auto"/>
              </w:rPr>
            </w:pPr>
            <w:r>
              <w:rPr>
                <w:rFonts w:ascii="Arial" w:cs="Arial" w:eastAsia="Arial" w:hAnsi="Arial"/>
                <w:sz w:val="15"/>
                <w:szCs w:val="15"/>
                <w:color w:val="auto"/>
              </w:rPr>
              <w:t>Upfront and revenue share</w:t>
            </w:r>
          </w:p>
        </w:tc>
        <w:tc>
          <w:tcPr>
            <w:tcW w:w="820" w:type="dxa"/>
            <w:vAlign w:val="bottom"/>
          </w:tcPr>
          <w:p>
            <w:pPr>
              <w:jc w:val="right"/>
              <w:spacing w:after="0"/>
              <w:rPr>
                <w:sz w:val="20"/>
                <w:szCs w:val="20"/>
                <w:color w:val="auto"/>
              </w:rPr>
            </w:pPr>
            <w:r>
              <w:rPr>
                <w:rFonts w:ascii="Arial" w:cs="Arial" w:eastAsia="Arial" w:hAnsi="Arial"/>
                <w:sz w:val="15"/>
                <w:szCs w:val="15"/>
                <w:color w:val="auto"/>
              </w:rPr>
              <w:t>11% /18%</w:t>
            </w:r>
          </w:p>
        </w:tc>
      </w:tr>
    </w:tbl>
    <w:p>
      <w:pPr>
        <w:ind w:right="1600"/>
        <w:spacing w:after="0" w:line="242" w:lineRule="auto"/>
        <w:rPr>
          <w:sz w:val="20"/>
          <w:szCs w:val="20"/>
          <w:color w:val="auto"/>
        </w:rPr>
      </w:pPr>
      <w:r>
        <w:rPr>
          <w:rFonts w:ascii="Arial" w:cs="Arial" w:eastAsia="Arial" w:hAnsi="Arial"/>
          <w:sz w:val="15"/>
          <w:szCs w:val="15"/>
          <w:color w:val="auto"/>
        </w:rPr>
        <w:t>payments flow through Net Income as incurred</w:t>
      </w:r>
    </w:p>
    <w:p>
      <w:pPr>
        <w:spacing w:after="0" w:line="98" w:lineRule="exact"/>
        <w:rPr>
          <w:sz w:val="20"/>
          <w:szCs w:val="20"/>
          <w:color w:val="auto"/>
        </w:rPr>
      </w:pPr>
    </w:p>
    <w:p>
      <w:pPr>
        <w:ind w:right="1580"/>
        <w:spacing w:after="0" w:line="231" w:lineRule="auto"/>
        <w:rPr>
          <w:sz w:val="20"/>
          <w:szCs w:val="20"/>
          <w:color w:val="auto"/>
        </w:rPr>
      </w:pPr>
      <w:r>
        <w:rPr>
          <w:rFonts w:ascii="Arial" w:cs="Arial" w:eastAsia="Arial" w:hAnsi="Arial"/>
          <w:sz w:val="15"/>
          <w:szCs w:val="15"/>
          <w:color w:val="auto"/>
        </w:rPr>
        <w:t>Manufacturing cost is recognized as a capital expenditure (“Purchases of Rental Product”) at time of acquisition</w:t>
      </w:r>
    </w:p>
    <w:p>
      <w:pPr>
        <w:spacing w:after="0" w:line="1075" w:lineRule="exact"/>
        <w:rPr>
          <w:sz w:val="20"/>
          <w:szCs w:val="20"/>
          <w:color w:val="auto"/>
        </w:rPr>
      </w:pPr>
    </w:p>
    <w:p>
      <w:pPr>
        <w:sectPr>
          <w:pgSz w:w="11900" w:h="16838" w:orient="portrait"/>
          <w:cols w:equalWidth="0" w:num="4">
            <w:col w:w="3320" w:space="240"/>
            <w:col w:w="1840" w:space="260"/>
            <w:col w:w="1860" w:space="220"/>
            <w:col w:w="3400"/>
          </w:cols>
          <w:pgMar w:left="320" w:top="459" w:right="4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For additional details, refer to the section titled “Business—Our Unique Brand Partner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0" w:lineRule="exact"/>
        <w:rPr>
          <w:sz w:val="20"/>
          <w:szCs w:val="20"/>
          <w:color w:val="auto"/>
        </w:rPr>
      </w:pPr>
    </w:p>
    <w:p>
      <w:pPr>
        <w:ind w:left="540" w:right="540" w:hanging="424"/>
        <w:spacing w:after="0" w:line="241" w:lineRule="auto"/>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cost of accessory items, which made up less than 5% of the gross book value of rental product as of January 31, 2021, is recognized through straight-line depreciation with a two-year useful life and 30% salvage value.</w:t>
      </w:r>
    </w:p>
    <w:p>
      <w:pPr>
        <w:ind w:left="540" w:right="40" w:hanging="424"/>
        <w:spacing w:after="0" w:line="258" w:lineRule="auto"/>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small number of products bearing our trademarks, which are non-exclusive designs produced by third-party partners, or our owned brands. These products are purchased at a significantly lower average cost than Wholesale.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20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in a period divided by all items acquired in that period. Our average upfront cost per item has decreased by % per item in the first half of</w:t>
      </w:r>
    </w:p>
    <w:p>
      <w:pPr>
        <w:spacing w:after="0" w:line="2"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fiscal year 2021 compared to fiscal year 2019, and decreased % in fiscal year 2019 compared to fiscal year 2014. We define total upfront spend as all cash costs incurred at the time of acquisition of product, including total cost for Wholesale items, upfront payments to brand partners for Share by RTR and Exclusive Designs, third party manufacturing costs for Exclusive Designs, and freight.</w:t>
      </w:r>
    </w:p>
    <w:p>
      <w:pPr>
        <w:spacing w:after="0" w:line="2" w:lineRule="exact"/>
        <w:rPr>
          <w:sz w:val="20"/>
          <w:szCs w:val="20"/>
          <w:color w:val="auto"/>
        </w:rPr>
      </w:pPr>
    </w:p>
    <w:p>
      <w:pPr>
        <w:ind w:left="120"/>
        <w:spacing w:after="0"/>
        <w:tabs>
          <w:tab w:leader="none" w:pos="6320" w:val="left"/>
          <w:tab w:leader="none" w:pos="8220" w:val="left"/>
        </w:tabs>
        <w:rPr>
          <w:sz w:val="20"/>
          <w:szCs w:val="20"/>
          <w:color w:val="auto"/>
        </w:rPr>
      </w:pPr>
      <w:r>
        <w:rPr>
          <w:rFonts w:ascii="Arial" w:cs="Arial" w:eastAsia="Arial" w:hAnsi="Arial"/>
          <w:sz w:val="18"/>
          <w:szCs w:val="18"/>
          <w:color w:val="auto"/>
        </w:rPr>
        <w:t>Our total upfront spend was $119.1 million in fiscal year 2019 and $</w:t>
      </w:r>
      <w:r>
        <w:rPr>
          <w:sz w:val="20"/>
          <w:szCs w:val="20"/>
          <w:color w:val="auto"/>
        </w:rPr>
        <w:tab/>
      </w:r>
      <w:r>
        <w:rPr>
          <w:rFonts w:ascii="Arial" w:cs="Arial" w:eastAsia="Arial" w:hAnsi="Arial"/>
          <w:sz w:val="18"/>
          <w:szCs w:val="18"/>
          <w:color w:val="auto"/>
        </w:rPr>
        <w:t>million in the</w:t>
      </w:r>
      <w:r>
        <w:rPr>
          <w:sz w:val="20"/>
          <w:szCs w:val="20"/>
          <w:color w:val="auto"/>
        </w:rPr>
        <w:tab/>
      </w:r>
      <w:r>
        <w:rPr>
          <w:rFonts w:ascii="Arial" w:cs="Arial" w:eastAsia="Arial" w:hAnsi="Arial"/>
          <w:sz w:val="17"/>
          <w:szCs w:val="17"/>
          <w:color w:val="auto"/>
        </w:rPr>
        <w:t>of fiscal year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Model</w:t>
      </w:r>
    </w:p>
    <w:p>
      <w:pPr>
        <w:spacing w:after="0" w:line="126"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142240</wp:posOffset>
            </wp:positionV>
            <wp:extent cx="6858000" cy="3789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0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80" w:hanging="224"/>
        <w:spacing w:after="0" w:line="260"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Fulfillment Profit</w:t>
      </w:r>
      <w:r>
        <w:rPr>
          <w:rFonts w:ascii="Arial" w:cs="Arial" w:eastAsia="Arial" w:hAnsi="Arial"/>
          <w:sz w:val="17"/>
          <w:szCs w:val="17"/>
          <w:color w:val="auto"/>
        </w:rPr>
        <w:t>. We define Fulfillment Profit as total revenue less fulfillment expense. Fulfillment expense has typically been our</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4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Gross Profit Excluding Product Depreciation</w:t>
      </w:r>
      <w:r>
        <w:rPr>
          <w:rFonts w:ascii="Arial" w:cs="Arial" w:eastAsia="Arial" w:hAnsi="Arial"/>
          <w:sz w:val="18"/>
          <w:szCs w:val="18"/>
          <w:color w:val="auto"/>
        </w:rPr>
        <w:t>. We define Gross Profit Excluding Product Depreciation as total revenue less</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 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90" w:lineRule="exact"/>
        <w:rPr>
          <w:rFonts w:ascii="Arial" w:cs="Arial" w:eastAsia="Arial" w:hAnsi="Arial"/>
          <w:sz w:val="18"/>
          <w:szCs w:val="18"/>
          <w:color w:val="auto"/>
        </w:rPr>
      </w:pPr>
    </w:p>
    <w:p>
      <w:pPr>
        <w:ind w:left="880" w:hanging="224"/>
        <w:spacing w:after="0" w:line="241"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We define Gross Profit as total revenue less fulfillment expense, revenue share and rental product depreciation. We</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89" w:lineRule="exact"/>
        <w:rPr>
          <w:rFonts w:ascii="Arial" w:cs="Arial" w:eastAsia="Arial" w:hAnsi="Arial"/>
          <w:sz w:val="18"/>
          <w:szCs w:val="18"/>
          <w:color w:val="auto"/>
        </w:rPr>
      </w:pPr>
    </w:p>
    <w:p>
      <w:pPr>
        <w:ind w:left="880" w:right="6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Contribution Profit</w:t>
      </w:r>
      <w:r>
        <w:rPr>
          <w:rFonts w:ascii="Arial" w:cs="Arial" w:eastAsia="Arial" w:hAnsi="Arial"/>
          <w:sz w:val="18"/>
          <w:szCs w:val="18"/>
          <w:color w:val="auto"/>
        </w:rPr>
        <w:t>: We define Contribution Profit as total revenue, less fulfillment expense, revenue share, rental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203"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The below graph depicts Fulfillment Margin, Gross Margin Excluding Product Depreciation, Gross Margin and Contribution Margin in fiscal years 2019 and 2020.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223520</wp:posOffset>
            </wp:positionV>
            <wp:extent cx="6858000" cy="2974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0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80" w:right="60" w:hanging="224"/>
        <w:spacing w:after="0" w:line="24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Fulfillment Margin</w:t>
      </w:r>
      <w:r>
        <w:rPr>
          <w:rFonts w:ascii="Arial" w:cs="Arial" w:eastAsia="Arial" w:hAnsi="Arial"/>
          <w:sz w:val="18"/>
          <w:szCs w:val="18"/>
          <w:color w:val="auto"/>
        </w:rPr>
        <w:t>. Fulfillment Margin improved from 54% in fiscal year 2019 to 66% in fiscal year 2020 due to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monthly shipments per subscriber in fiscal year 2020, partly due to the phase out of our unlimited swaps program and partly due to lower engagement during the COVID-19 pandemic. Historically, our unlimited swaps program allowed subscribers to receive as many shipments per month as desired, driving higher</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spacing w:after="0" w:line="238" w:lineRule="auto"/>
        <w:rPr>
          <w:sz w:val="20"/>
          <w:szCs w:val="20"/>
          <w:color w:val="auto"/>
        </w:rPr>
      </w:pPr>
      <w:r>
        <w:rPr>
          <w:rFonts w:ascii="Arial" w:cs="Arial" w:eastAsia="Arial" w:hAnsi="Arial"/>
          <w:sz w:val="18"/>
          <w:szCs w:val="18"/>
          <w:color w:val="auto"/>
        </w:rPr>
        <w:t>fulfillment expense as a percentage of revenue. Today, all of our memberships are structured around subscriber usage and priced to achieve similar target Gross Margins, such that subscribers pay for their desired number of items and shipments per month. In fiscal year 2020, we implemented additional labor automation, process efficiencies and transportation network diversification, and expect to continue to improve our Fulfillment Margin.</w:t>
      </w:r>
    </w:p>
    <w:p>
      <w:pPr>
        <w:spacing w:after="0" w:line="92" w:lineRule="exact"/>
        <w:rPr>
          <w:sz w:val="20"/>
          <w:szCs w:val="20"/>
          <w:color w:val="auto"/>
        </w:rPr>
      </w:pPr>
    </w:p>
    <w:p>
      <w:pPr>
        <w:ind w:left="880" w:right="100" w:hanging="224"/>
        <w:spacing w:after="0" w:line="241"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Gross Margin Excluding Product Depreciation</w:t>
      </w:r>
      <w:r>
        <w:rPr>
          <w:rFonts w:ascii="Arial" w:cs="Arial" w:eastAsia="Arial" w:hAnsi="Arial"/>
          <w:sz w:val="18"/>
          <w:szCs w:val="18"/>
          <w:color w:val="auto"/>
        </w:rPr>
        <w:t>. Gross Margin Excluding Product Depreciation improved from 50% in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54% in fiscal year 2020 due to an improvement in our Fulfillment Margin, partially offset by higher revenue share expense as a percentage of total revenue.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 in fiscal year 2020. The mix of channels we use to acquire products will impact our Gross Margin Excluding Product Depreciation.</w:t>
      </w:r>
    </w:p>
    <w:p>
      <w:pPr>
        <w:spacing w:after="0" w:line="89" w:lineRule="exact"/>
        <w:rPr>
          <w:rFonts w:ascii="Arial" w:cs="Arial" w:eastAsia="Arial" w:hAnsi="Arial"/>
          <w:sz w:val="18"/>
          <w:szCs w:val="18"/>
          <w:color w:val="auto"/>
        </w:rPr>
      </w:pPr>
    </w:p>
    <w:p>
      <w:pPr>
        <w:ind w:left="880" w:hanging="224"/>
        <w:spacing w:after="0" w:line="239"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decreased from 21% in fiscal year 2019 to 10% in fiscal year 2020. Due to a decrease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The mix of channels we use to acquire products will impact our Gross Margin.</w:t>
      </w:r>
    </w:p>
    <w:p>
      <w:pPr>
        <w:spacing w:after="0" w:line="92" w:lineRule="exact"/>
        <w:rPr>
          <w:rFonts w:ascii="Arial" w:cs="Arial" w:eastAsia="Arial" w:hAnsi="Arial"/>
          <w:sz w:val="18"/>
          <w:szCs w:val="18"/>
          <w:color w:val="auto"/>
        </w:rPr>
      </w:pPr>
    </w:p>
    <w:p>
      <w:pPr>
        <w:ind w:left="880" w:right="60" w:hanging="224"/>
        <w:spacing w:after="0" w:line="26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Contribution Margin decreased from 18% in fiscal year 2019 to 7% in fiscal year 2020, driven by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that led to a decrease in Gross Margin.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320" w:top="459" w:right="5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The below graphic depicts our unit economics, or the economics of a weighted average subscription month and Reserve order (based on the proportion of Subscription and Reserve transactions in each period), in fiscal year 2019 and 2020.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135890</wp:posOffset>
            </wp:positionV>
            <wp:extent cx="6858000" cy="36601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0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In addition to the profitability trends mentioned above, the increase in unit economics revenue from $127 in fiscal year 2019 to $150 in fiscal year 2020 was driven by a greater portion of our business coming from our Subscription offering.</w:t>
      </w:r>
    </w:p>
    <w:p>
      <w:pPr>
        <w:spacing w:after="0" w:line="197"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Our business model and margins were impacted by COVID-19, refer to the section titled “Impact of COVID-19 on Our Business” for more information.</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3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Subscribers and Customers</w:t>
      </w:r>
    </w:p>
    <w:p>
      <w:pPr>
        <w:spacing w:after="0" w:line="10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 xml:space="preserve">Our Attractive Cohort Trends. </w:t>
      </w:r>
      <w:r>
        <w:rPr>
          <w:rFonts w:ascii="Arial" w:cs="Arial" w:eastAsia="Arial" w:hAnsi="Arial"/>
          <w:sz w:val="18"/>
          <w:szCs w:val="18"/>
          <w:color w:val="auto"/>
        </w:rPr>
        <w:t>We believe that we have a significant market opportunity ahead of us to increase our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assess the strong retention of our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81"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b w:val="1"/>
          <w:bCs w:val="1"/>
          <w:i w:val="1"/>
          <w:iCs w:val="1"/>
          <w:color w:val="auto"/>
        </w:rPr>
        <w:t xml:space="preserve">Customer Cohorts. </w:t>
      </w:r>
      <w:r>
        <w:rPr>
          <w:rFonts w:ascii="Arial" w:cs="Arial" w:eastAsia="Arial" w:hAnsi="Arial"/>
          <w:sz w:val="18"/>
          <w:szCs w:val="18"/>
          <w:color w:val="auto"/>
        </w:rPr>
        <w:t>The chart below indicates cumulative revenue per customer by customer cohort, which is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Our customer cohorts demonstrate the continued spend and expansion of our customers:</w:t>
      </w:r>
    </w:p>
    <w:p>
      <w:pPr>
        <w:spacing w:after="0" w:line="111" w:lineRule="exact"/>
        <w:rPr>
          <w:sz w:val="20"/>
          <w:szCs w:val="20"/>
          <w:color w:val="auto"/>
        </w:rPr>
      </w:pPr>
    </w:p>
    <w:p>
      <w:pPr>
        <w:ind w:left="880" w:right="4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significant portion of our total revenue in each year is generated from customers acquired in previous years.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FY 2020 Late COVID cohort, which is less impacted by COVID-19, is exhibiting better trends than our 2019 cohort.</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Over the last two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224790</wp:posOffset>
            </wp:positionV>
            <wp:extent cx="4989195" cy="2391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8919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18"/>
          <w:szCs w:val="18"/>
          <w:b w:val="1"/>
          <w:bCs w:val="1"/>
          <w:i w:val="1"/>
          <w:iCs w:val="1"/>
          <w:color w:val="auto"/>
        </w:rPr>
        <w:t>Subscriber Cohorts.</w:t>
      </w:r>
      <w:r>
        <w:rPr>
          <w:sz w:val="20"/>
          <w:szCs w:val="20"/>
          <w:color w:val="auto"/>
        </w:rPr>
        <w:tab/>
      </w:r>
      <w:r>
        <w:rPr>
          <w:rFonts w:ascii="Arial" w:cs="Arial" w:eastAsia="Arial" w:hAnsi="Arial"/>
          <w:sz w:val="17"/>
          <w:szCs w:val="17"/>
          <w:color w:val="auto"/>
        </w:rPr>
        <w:t>In addition to evaluating the behavior of our entire customer base, we also focus specifically on the</w:t>
      </w:r>
    </w:p>
    <w:p>
      <w:pPr>
        <w:spacing w:after="0" w:line="1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behavior of subscribers given they contribute to the majority of our revenue. For the first six months of fiscal year 2021, % of our total revenue was generated by subscribers. This makes understanding their continued spend, expansion and potential lifetime value relative to customer acquisition cost particularly important.</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110" w:lineRule="exact"/>
        <w:rPr>
          <w:sz w:val="20"/>
          <w:szCs w:val="20"/>
          <w:color w:val="auto"/>
        </w:rPr>
      </w:pPr>
    </w:p>
    <w:p>
      <w:pPr>
        <w:ind w:left="880" w:right="360" w:hanging="224"/>
        <w:spacing w:after="0" w:line="24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Within 3, 6 and 12 months, subscribers from our fiscal year 2018 and 2019 cohorts generated an average of $286, $460 and $691 in cumulative revenue, respectively.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FY 2020 Late COVID cohort is exhibiting similar trends to our FY 2018 and FY 2019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229235</wp:posOffset>
            </wp:positionV>
            <wp:extent cx="5092065" cy="1517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9206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We provide a flexible offering that allows our subscribers to pause their membership. We have seen historically that many</w:t>
      </w:r>
    </w:p>
    <w:p>
      <w:pPr>
        <w:jc w:val="center"/>
        <w:ind w:right="160"/>
        <w:spacing w:after="0"/>
        <w:rPr>
          <w:sz w:val="20"/>
          <w:szCs w:val="20"/>
          <w:color w:val="auto"/>
        </w:rPr>
      </w:pPr>
      <w:r>
        <w:rPr>
          <w:rFonts w:ascii="Arial" w:cs="Arial" w:eastAsia="Arial" w:hAnsi="Arial"/>
          <w:sz w:val="18"/>
          <w:szCs w:val="18"/>
          <w:color w:val="auto"/>
        </w:rPr>
        <w:t>subscribers customize their subscription as their everyday life changes, choosing to pause and reactivate their membership as needed.</w:t>
      </w:r>
    </w:p>
    <w:p>
      <w:pPr>
        <w:spacing w:after="0" w:line="212"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We acquire subscribers efficiently as evidenced by 88% of our lifetime customers having joined organically. Historically, our cost to acquire a customer, or CAC, has remained below $55 and we define our CAC as total marketing expense, other than employee expenses,</w:t>
      </w:r>
    </w:p>
    <w:p>
      <w:pPr>
        <w:spacing w:after="0" w:line="1"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during a period divided by the number of new customers acquired in that period. Contribution Margins of 18% and % in fiscal year 2019 and the first half of fiscal year 2021, respectively, drive our efficient payback.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04" w:lineRule="exact"/>
        <w:rPr>
          <w:sz w:val="20"/>
          <w:szCs w:val="20"/>
          <w:color w:val="auto"/>
        </w:rPr>
      </w:pPr>
    </w:p>
    <w:p>
      <w:pPr>
        <w:jc w:val="both"/>
        <w:ind w:left="120" w:right="1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Ability to Acquire and Monetize Products Efficiently. </w:t>
      </w:r>
      <w:r>
        <w:rPr>
          <w:rFonts w:ascii="Arial" w:cs="Arial" w:eastAsia="Arial" w:hAnsi="Arial"/>
          <w:sz w:val="18"/>
          <w:szCs w:val="18"/>
          <w:color w:val="auto"/>
        </w:rPr>
        <w:t>Our ability to deliver an elevated experience for our customers relies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deep partnerships with brand partners. We have demonstrated the ability to deepen our assortment with brands and have diversified our access to products across Wholesale, Share by RTR and Exclusive Designs, driving high overall product return on investment, while reducing the working capital needs of the business.</w:t>
      </w:r>
    </w:p>
    <w:p>
      <w:pPr>
        <w:spacing w:after="0" w:line="19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monitor our ability to acquire, monetize and make a return on a product over its lifetime. Based on the average lifetime turns as of June 2021 of all items we acquired in fiscal years 2015, 2016 and 2017, we have determined that an item can turn a minimum of 20 times on average over its lifetime. Our historical average for lifetime turns is inclusive of items that have been taken out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circulation due to damage, deactivation or resale, and we expect turns for these historical cohorts to increase as a portion of these items are still in circulation. The number of times we turn an item, combined with our highly innovative product acquisition strategy and increasing margins, drives an attractive return on investment on our products.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w:t>
      </w:r>
    </w:p>
    <w:p>
      <w:pPr>
        <w:spacing w:after="0" w:line="104"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maintaining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increasing profitability. As we continue to grow, we expect our operating costs to increase but do not expect these costs to grow at the same pace as our total revenue.</w:t>
      </w:r>
    </w:p>
    <w:p>
      <w:pPr>
        <w:spacing w:after="0" w:line="191"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and are focused on driving additional efficiencies in our operating expenses. We monitor profitability by assessing Fulfillment Margin, Gross Margin Excluding Product Depreciation, Gross Margin and Contribution Margin.</w:t>
      </w:r>
    </w:p>
    <w:p>
      <w:pPr>
        <w:spacing w:after="0" w:line="181"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b w:val="1"/>
          <w:bCs w:val="1"/>
          <w:i w:val="1"/>
          <w:iCs w:val="1"/>
          <w:color w:val="auto"/>
        </w:rPr>
        <w:t xml:space="preserve">Seasonality. </w:t>
      </w:r>
      <w:r>
        <w:rPr>
          <w:rFonts w:ascii="Arial" w:cs="Arial" w:eastAsia="Arial" w:hAnsi="Arial"/>
          <w:sz w:val="18"/>
          <w:szCs w:val="18"/>
          <w:color w:val="auto"/>
        </w:rPr>
        <w:t>We experience seasonality in our business, which may change due to the effects of the COVID -19 pandemic.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Subscription offering, we typically acquire the highest number of 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Impact of COVID-19 on Our Business</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Immediate Response to COVID-19</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31% and furloughed 34% of all employees. In addition, the financial actions we took resulted in a 53% percent reduction in operating expenses, capital expenditures and product costs, as compared to our pre-COVID-19 budget for April 2020 through January 2021, the remainder of fiscal year 2020 that we had the opportunity to impact.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Agility and Resilience During COVID-19</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cost cutting, we took a number of steps to emerge from COVID-19 as a stronger business financially and strategically.</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believed that the pandemic would shift consumer values and behaviors. With that goal in mind, we took the following actions:</w:t>
      </w:r>
    </w:p>
    <w:p>
      <w:pPr>
        <w:spacing w:after="0" w:line="117" w:lineRule="exact"/>
        <w:rPr>
          <w:sz w:val="20"/>
          <w:szCs w:val="20"/>
          <w:color w:val="auto"/>
        </w:rPr>
      </w:pPr>
    </w:p>
    <w:p>
      <w:pPr>
        <w:jc w:val="both"/>
        <w:ind w:left="1300" w:right="40" w:hanging="644"/>
        <w:spacing w:after="0" w:line="238"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Transformed product acquisition from a majority Wholesale model to more Share by RTR. We increased the penetration of Share by RTR from 32% of units acquired in our original 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107" w:lineRule="exact"/>
        <w:rPr>
          <w:rFonts w:ascii="Arial" w:cs="Arial" w:eastAsia="Arial" w:hAnsi="Arial"/>
          <w:sz w:val="18"/>
          <w:szCs w:val="18"/>
          <w:color w:val="auto"/>
        </w:rPr>
      </w:pPr>
    </w:p>
    <w:p>
      <w:pPr>
        <w:ind w:left="1300" w:right="100" w:hanging="644"/>
        <w:spacing w:after="0" w:line="238"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110" w:lineRule="exact"/>
        <w:rPr>
          <w:rFonts w:ascii="Arial" w:cs="Arial" w:eastAsia="Arial" w:hAnsi="Arial"/>
          <w:sz w:val="18"/>
          <w:szCs w:val="18"/>
          <w:color w:val="auto"/>
        </w:rPr>
      </w:pPr>
    </w:p>
    <w:p>
      <w:pPr>
        <w:ind w:left="1300" w:right="6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108" w:lineRule="exact"/>
        <w:rPr>
          <w:rFonts w:ascii="Arial" w:cs="Arial" w:eastAsia="Arial" w:hAnsi="Arial"/>
          <w:sz w:val="18"/>
          <w:szCs w:val="18"/>
          <w:color w:val="auto"/>
        </w:rPr>
      </w:pPr>
    </w:p>
    <w:p>
      <w:pPr>
        <w:ind w:left="1300" w:right="56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108" w:lineRule="exact"/>
        <w:rPr>
          <w:rFonts w:ascii="Arial" w:cs="Arial" w:eastAsia="Arial" w:hAnsi="Arial"/>
          <w:sz w:val="18"/>
          <w:szCs w:val="18"/>
          <w:color w:val="auto"/>
        </w:rPr>
      </w:pPr>
    </w:p>
    <w:p>
      <w:pPr>
        <w:ind w:left="1300" w:right="20" w:hanging="644"/>
        <w:spacing w:after="0" w:line="238"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110" w:lineRule="exact"/>
        <w:rPr>
          <w:rFonts w:ascii="Arial" w:cs="Arial" w:eastAsia="Arial" w:hAnsi="Arial"/>
          <w:sz w:val="18"/>
          <w:szCs w:val="18"/>
          <w:color w:val="auto"/>
        </w:rPr>
      </w:pPr>
    </w:p>
    <w:p>
      <w:pPr>
        <w:ind w:left="1300" w:right="16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108" w:lineRule="exact"/>
        <w:rPr>
          <w:rFonts w:ascii="Arial" w:cs="Arial" w:eastAsia="Arial" w:hAnsi="Arial"/>
          <w:sz w:val="18"/>
          <w:szCs w:val="18"/>
          <w:color w:val="auto"/>
        </w:rPr>
      </w:pPr>
    </w:p>
    <w:p>
      <w:pPr>
        <w:ind w:left="1300" w:right="220" w:hanging="644"/>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Made it easy for customers to pause, rather than cancel, their subscriptions to encourage retention during the COVID-19 pandemic. As of the end of fiscal year 2020, our total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20" w:right="660"/>
        <w:spacing w:after="0" w:line="246" w:lineRule="auto"/>
        <w:rPr>
          <w:sz w:val="20"/>
          <w:szCs w:val="20"/>
          <w:color w:val="auto"/>
        </w:rPr>
      </w:pPr>
      <w:r>
        <w:rPr>
          <w:rFonts w:ascii="Arial" w:cs="Arial" w:eastAsia="Arial" w:hAnsi="Arial"/>
          <w:sz w:val="18"/>
          <w:szCs w:val="18"/>
          <w:color w:val="auto"/>
        </w:rPr>
        <w:t>subscriber base (active and paused) represented 64% of our pre-COVID-19 total subscriber base (as measured on March 8, 2020).</w:t>
      </w:r>
    </w:p>
    <w:p>
      <w:pPr>
        <w:spacing w:after="0" w:line="102" w:lineRule="exact"/>
        <w:rPr>
          <w:sz w:val="20"/>
          <w:szCs w:val="20"/>
          <w:color w:val="auto"/>
        </w:rPr>
      </w:pPr>
    </w:p>
    <w:p>
      <w:pPr>
        <w:jc w:val="both"/>
        <w:ind w:left="1300" w:right="6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color w:val="auto"/>
        </w:rPr>
      </w:pPr>
    </w:p>
    <w:p>
      <w:pPr>
        <w:ind w:left="1300" w:right="160" w:hanging="644"/>
        <w:spacing w:after="0" w:line="238"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Impact</w:t>
      </w:r>
    </w:p>
    <w:p>
      <w:pPr>
        <w:spacing w:after="0" w:line="126" w:lineRule="exact"/>
        <w:rPr>
          <w:sz w:val="20"/>
          <w:szCs w:val="20"/>
          <w:color w:val="auto"/>
        </w:rPr>
      </w:pPr>
    </w:p>
    <w:p>
      <w:pPr>
        <w:ind w:left="120" w:right="80" w:firstLine="551"/>
        <w:spacing w:after="0" w:line="257" w:lineRule="auto"/>
        <w:rPr>
          <w:sz w:val="20"/>
          <w:szCs w:val="20"/>
          <w:color w:val="auto"/>
        </w:rPr>
      </w:pPr>
      <w:r>
        <w:rPr>
          <w:rFonts w:ascii="Arial" w:cs="Arial" w:eastAsia="Arial" w:hAnsi="Arial"/>
          <w:sz w:val="17"/>
          <w:szCs w:val="17"/>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33.6% in fiscal year 2020, compared to 46.0% in fiscal year 2019.</w:t>
      </w:r>
    </w:p>
    <w:p>
      <w:pPr>
        <w:spacing w:after="0" w:line="189"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205"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Marketing expense as a percentage of total revenue decreased from 8.9% in fiscal year 2019 to 5.2%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spacing w:after="0" w:line="2"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$37.7 million and $77.2 million in fiscal year 2020, respectively, but increased as a percentage of total revenue due to the decline in total revenue.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Ongoing Impact</w:t>
      </w:r>
    </w:p>
    <w:p>
      <w:pPr>
        <w:spacing w:after="0" w:line="126"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color w:val="auto"/>
        </w:rPr>
        <w:t>Since March 2021, we have seen early indications of COVID-19 recovery, with a significant number of paused subscribers resuming their subscriptions, new subscribers joining our platform, and an increased level of Reserve orders. In response to the growth in demand, we are increasing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9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expect the effects of the COVID-19 pandemic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The full extent to which the COVID-19 pandemic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Business and Financial Metrics</w:t>
      </w:r>
    </w:p>
    <w:p>
      <w:pPr>
        <w:spacing w:after="0" w:line="23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Each key business and financial metric should be considered in conjunction with other metrics and components of our results of operations, such as each of the other key business and financial metrics and our revenue, fulfillment and net loss.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6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5"/>
        </w:trPr>
        <w:tc>
          <w:tcPr>
            <w:tcW w:w="6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294"/>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Active subscribers (at the end of period)</w:t>
            </w:r>
          </w:p>
        </w:tc>
        <w:tc>
          <w:tcPr>
            <w:tcW w:w="2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w w:val="98"/>
              </w:rPr>
              <w:t>133,572</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54,797</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53,570</w:t>
            </w: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$ 15,573</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excluding product depreciation</w:t>
            </w:r>
            <w:r>
              <w:rPr>
                <w:rFonts w:ascii="Arial" w:cs="Arial" w:eastAsia="Arial" w:hAnsi="Arial"/>
                <w:sz w:val="15"/>
                <w:szCs w:val="15"/>
                <w:color w:val="auto"/>
              </w:rPr>
              <w:t>(1)</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w w:val="98"/>
              </w:rPr>
              <w:t>129,249</w:t>
            </w: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$ 85,408</w:t>
            </w:r>
          </w:p>
        </w:tc>
      </w:t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8"/>
              <w:spacing w:after="0"/>
              <w:rPr>
                <w:sz w:val="20"/>
                <w:szCs w:val="20"/>
                <w:color w:val="auto"/>
              </w:rPr>
            </w:pPr>
            <w:r>
              <w:rPr>
                <w:rFonts w:ascii="Arial" w:cs="Arial" w:eastAsia="Arial" w:hAnsi="Arial"/>
                <w:sz w:val="18"/>
                <w:szCs w:val="18"/>
                <w:color w:val="auto"/>
              </w:rPr>
              <w:t>(18,033)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right="20" w:hanging="424"/>
        <w:spacing w:after="0" w:line="249"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Business Metrics</w:t>
      </w:r>
    </w:p>
    <w:p>
      <w:pPr>
        <w:spacing w:after="0" w:line="104"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b w:val="1"/>
          <w:bCs w:val="1"/>
          <w:color w:val="auto"/>
        </w:rPr>
        <w:t>Active Subscribers</w:t>
      </w:r>
      <w:r>
        <w:rPr>
          <w:rFonts w:ascii="Arial" w:cs="Arial" w:eastAsia="Arial" w:hAnsi="Arial"/>
          <w:sz w:val="17"/>
          <w:szCs w:val="17"/>
          <w:color w:val="auto"/>
        </w:rPr>
        <w:t>: Active Subscribers represent the number of subscribers with an active membership as of the last day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w:t>
      </w:r>
    </w:p>
    <w:p>
      <w:pPr>
        <w:spacing w:after="0" w:line="2" w:lineRule="exact"/>
        <w:rPr>
          <w:sz w:val="20"/>
          <w:szCs w:val="20"/>
          <w:color w:val="auto"/>
        </w:rPr>
      </w:pPr>
    </w:p>
    <w:p>
      <w:pPr>
        <w:ind w:left="120"/>
        <w:spacing w:after="0"/>
        <w:tabs>
          <w:tab w:leader="none" w:pos="1200" w:val="left"/>
          <w:tab w:leader="none" w:pos="3740" w:val="left"/>
        </w:tabs>
        <w:rPr>
          <w:sz w:val="20"/>
          <w:szCs w:val="20"/>
          <w:color w:val="auto"/>
        </w:rPr>
      </w:pPr>
      <w:r>
        <w:rPr>
          <w:rFonts w:ascii="Arial" w:cs="Arial" w:eastAsia="Arial" w:hAnsi="Arial"/>
          <w:sz w:val="18"/>
          <w:szCs w:val="18"/>
          <w:color w:val="auto"/>
        </w:rPr>
        <w:t>had</w:t>
      </w:r>
      <w:r>
        <w:rPr>
          <w:sz w:val="20"/>
          <w:szCs w:val="20"/>
          <w:color w:val="auto"/>
        </w:rPr>
        <w:tab/>
      </w:r>
      <w:r>
        <w:rPr>
          <w:rFonts w:ascii="Arial" w:cs="Arial" w:eastAsia="Arial" w:hAnsi="Arial"/>
          <w:sz w:val="18"/>
          <w:szCs w:val="18"/>
          <w:color w:val="auto"/>
        </w:rPr>
        <w:t>active subscribers, up</w:t>
      </w:r>
      <w:r>
        <w:rPr>
          <w:sz w:val="20"/>
          <w:szCs w:val="20"/>
          <w:color w:val="auto"/>
        </w:rPr>
        <w:tab/>
      </w:r>
      <w:r>
        <w:rPr>
          <w:rFonts w:ascii="Arial" w:cs="Arial" w:eastAsia="Arial" w:hAnsi="Arial"/>
          <w:sz w:val="17"/>
          <w:szCs w:val="17"/>
          <w:color w:val="auto"/>
        </w:rPr>
        <w:t>% from the end of fiscal year 2020.</w:t>
      </w:r>
    </w:p>
    <w:p>
      <w:pPr>
        <w:spacing w:after="0" w:line="190" w:lineRule="exact"/>
        <w:rPr>
          <w:sz w:val="20"/>
          <w:szCs w:val="20"/>
          <w:color w:val="auto"/>
        </w:rPr>
      </w:pPr>
    </w:p>
    <w:p>
      <w:pPr>
        <w:ind w:left="120" w:right="200" w:firstLine="551"/>
        <w:spacing w:after="0" w:line="244"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In fiscal year 2020, Gross Profit was $15.6 million compared to $53.6 million in fiscal year 2019</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Gross Margins of 9.9%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We expect to have the opportunity to improve Gross Profit by driving growth in total revenue, fulfillment and operational efficiency gains, and strategically evolving our mix of product acquisition.</w:t>
      </w:r>
    </w:p>
    <w:p>
      <w:pPr>
        <w:spacing w:after="0" w:line="176" w:lineRule="exact"/>
        <w:rPr>
          <w:sz w:val="20"/>
          <w:szCs w:val="20"/>
          <w:color w:val="auto"/>
        </w:rPr>
      </w:pPr>
    </w:p>
    <w:p>
      <w:pPr>
        <w:ind w:left="120" w:right="260" w:firstLine="551"/>
        <w:spacing w:after="0" w:line="242" w:lineRule="auto"/>
        <w:rPr>
          <w:sz w:val="20"/>
          <w:szCs w:val="20"/>
          <w:color w:val="auto"/>
        </w:rPr>
      </w:pPr>
      <w:r>
        <w:rPr>
          <w:rFonts w:ascii="Arial" w:cs="Arial" w:eastAsia="Arial" w:hAnsi="Arial"/>
          <w:sz w:val="18"/>
          <w:szCs w:val="18"/>
          <w:b w:val="1"/>
          <w:bCs w:val="1"/>
          <w:color w:val="auto"/>
        </w:rPr>
        <w:t>Gross Profit Excluding Product Depreciation and Gross Margin Excluding Product Depreciation</w:t>
      </w:r>
      <w:r>
        <w:rPr>
          <w:rFonts w:ascii="Arial" w:cs="Arial" w:eastAsia="Arial" w:hAnsi="Arial"/>
          <w:sz w:val="18"/>
          <w:szCs w:val="18"/>
          <w:color w:val="auto"/>
        </w:rPr>
        <w:t>: Gross Profit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$129.2 million in fiscal year 2019, representing margins of 54.2% and 50.3%, respectively. Gross Profit Excluding Product Depreciation has improved as we have reduced our fulfillment expense, partially offset by increased</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revenue share expense, as we have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8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rental product depreciation, other depreciation and amortization, 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has decreased due to the decrease in profitability and net loss. We have the opportunity to improve Adjusted EBITDA as we drive operating expense leverage.</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a-la-carte (through our Reserve offering) rental fees. We recognize subscription fees ratably over the subscription period, commencing on the date the subscriber enrolls in the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387"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variable costs to receive, process and fulfill customer orders. This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 automation and other process improvements to support and drive efficiencies in our operations. To the extent we are successful in becoming more efficient in fulfilling orders, and at a magnitude that is able</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to offset increasing shipping costs, wage rates and cleaning/packing supply price increases, we would expect these expenses to decrease as a percentage of total revenue over the longer term.</w:t>
      </w:r>
    </w:p>
    <w:p>
      <w:pPr>
        <w:spacing w:after="0" w:line="17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85" w:lineRule="exact"/>
        <w:rPr>
          <w:sz w:val="20"/>
          <w:szCs w:val="20"/>
          <w:color w:val="auto"/>
        </w:rPr>
      </w:pPr>
    </w:p>
    <w:p>
      <w:pPr>
        <w:jc w:val="both"/>
        <w:ind w:left="120" w:right="360" w:firstLine="551"/>
        <w:spacing w:after="0" w:line="266" w:lineRule="auto"/>
        <w:rPr>
          <w:sz w:val="20"/>
          <w:szCs w:val="20"/>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Marketing expenses include online and mobile marketing, search engine optimization and email costs,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5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of all other personnel and related costs,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8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80"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for fixed assets, intangible assets including capitalized software, and financing right-of-use assets.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 (Expense)</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Interest income / (expense) consists primarily of accrued paid-in-kind interest, cash interest and debt issuance cost amortization associated with our Ares Facility and Temasek Facility (each as defined below).</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26" w:lineRule="exact"/>
        <w:rPr>
          <w:sz w:val="20"/>
          <w:szCs w:val="20"/>
          <w:color w:val="auto"/>
        </w:rPr>
      </w:pPr>
    </w:p>
    <w:p>
      <w:pPr>
        <w:ind w:left="120" w:right="320" w:firstLine="551"/>
        <w:spacing w:after="0" w:line="274" w:lineRule="auto"/>
        <w:rPr>
          <w:sz w:val="20"/>
          <w:szCs w:val="20"/>
          <w:color w:val="auto"/>
        </w:rPr>
      </w:pPr>
      <w:r>
        <w:rPr>
          <w:rFonts w:ascii="Arial" w:cs="Arial" w:eastAsia="Arial" w:hAnsi="Arial"/>
          <w:sz w:val="17"/>
          <w:szCs w:val="17"/>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Income taxes consist primarily of state minimum taxes.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88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r>
      <w:tr>
        <w:trPr>
          <w:trHeight w:val="155"/>
        </w:trPr>
        <w:tc>
          <w:tcPr>
            <w:tcW w:w="8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451"/>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Subscription and Reserve rental revenue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235,417</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135,895</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21,449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21,604</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revenue, 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256,866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157,499</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Fulfillment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118,111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52,951</w:t>
            </w:r>
          </w:p>
        </w:tc>
      </w:tr>
      <w:tr>
        <w:trPr>
          <w:trHeight w:val="202"/>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40,186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37,657</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22,913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8,146</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98,876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77,229</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Rental product depreciation and revenue share</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85,185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88,975</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Other depreciation and amortization</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23,036</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386,851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287,994</w:t>
            </w:r>
          </w:p>
        </w:tc>
      </w:tr>
      <w:tr>
        <w:trPr>
          <w:trHeight w:val="20"/>
        </w:trPr>
        <w:tc>
          <w:tcPr>
            <w:tcW w:w="8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00" w:type="dxa"/>
            <w:vAlign w:val="bottom"/>
          </w:tcPr>
          <w:p>
            <w:pPr>
              <w:ind w:left="108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(129,985)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(130,495)</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 (expense), 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(24,048)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(46,621)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income / (expense), net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6,035</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loss before benefit from income taxes</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(154,107)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(171,081)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(153,956)</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(171,080)</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January 31, 2020 and 2021</w:t>
      </w:r>
    </w:p>
    <w:p>
      <w:pPr>
        <w:spacing w:after="0" w:line="104"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$157.5 million for fiscal year 2020, a decrease of $99.4 million, or 38.7%,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$256.9 million for fiscal year 2019. This decrease was primarily driven by the reduction in overall demand directly attributable to the COVID-19 pandemic.</w:t>
      </w:r>
    </w:p>
    <w:p>
      <w:pPr>
        <w:spacing w:after="0" w:line="169"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$135.9 million for fiscal year 2020,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$99.5 million, or 42.3%, compared to $235.4 million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for fiscal year 2019. This decrease was primarily driven by the 59% year over year decrease in active subscriber counts as a result of the COVID-19 pandemic.</w:t>
      </w:r>
    </w:p>
    <w:p>
      <w:pPr>
        <w:spacing w:after="0" w:line="175"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was $ 21.6 million for fiscal year 2020, an increase of $0.2 million, or 0.7%,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$21.4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76" w:lineRule="exact"/>
        <w:rPr>
          <w:sz w:val="20"/>
          <w:szCs w:val="20"/>
          <w:color w:val="auto"/>
        </w:rPr>
      </w:pPr>
    </w:p>
    <w:p>
      <w:pPr>
        <w:ind w:left="120" w:right="1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were $288.0 million for fiscal year 2020, a decrease of $98.9 million, or 25.6%,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74" w:lineRule="exact"/>
        <w:rPr>
          <w:sz w:val="20"/>
          <w:szCs w:val="20"/>
          <w:color w:val="auto"/>
        </w:rPr>
      </w:pPr>
    </w:p>
    <w:p>
      <w:pPr>
        <w:ind w:left="120" w:right="160" w:firstLine="551"/>
        <w:spacing w:after="0" w:line="266" w:lineRule="auto"/>
        <w:rPr>
          <w:sz w:val="20"/>
          <w:szCs w:val="20"/>
          <w:color w:val="auto"/>
        </w:rPr>
      </w:pPr>
      <w:r>
        <w:rPr>
          <w:rFonts w:ascii="Arial" w:cs="Arial" w:eastAsia="Arial" w:hAnsi="Arial"/>
          <w:sz w:val="17"/>
          <w:szCs w:val="17"/>
          <w:b w:val="1"/>
          <w:bCs w:val="1"/>
          <w:i w:val="1"/>
          <w:iCs w:val="1"/>
          <w:color w:val="auto"/>
        </w:rPr>
        <w:t xml:space="preserve">Fulfillment. </w:t>
      </w:r>
      <w:r>
        <w:rPr>
          <w:rFonts w:ascii="Arial" w:cs="Arial" w:eastAsia="Arial" w:hAnsi="Arial"/>
          <w:sz w:val="17"/>
          <w:szCs w:val="17"/>
          <w:color w:val="auto"/>
        </w:rPr>
        <w:t>Fulfillment expenses were $53.0 million for fiscal year 2020, a decrease of $65.2 million, or 55.2%,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i w:val="1"/>
          <w:iCs w:val="1"/>
          <w:color w:val="auto"/>
        </w:rPr>
        <w:t>Technology.</w:t>
      </w:r>
      <w:r>
        <w:rPr>
          <w:sz w:val="20"/>
          <w:szCs w:val="20"/>
          <w:color w:val="auto"/>
        </w:rPr>
        <w:tab/>
      </w:r>
      <w:r>
        <w:rPr>
          <w:rFonts w:ascii="Arial" w:cs="Arial" w:eastAsia="Arial" w:hAnsi="Arial"/>
          <w:sz w:val="17"/>
          <w:szCs w:val="17"/>
          <w:color w:val="auto"/>
        </w:rPr>
        <w:t>Technology expenses were $37.7 million for fiscal year 2020, a decrease of $2.5 million, or 6.3%, compared to</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$40.2 million in fiscal year 2019. This decrease was primarily driven by cost saving initiatives put in place as a result of the impact of the</w:t>
      </w:r>
    </w:p>
    <w:p>
      <w:pPr>
        <w:ind w:left="120"/>
        <w:spacing w:after="0"/>
        <w:rPr>
          <w:sz w:val="20"/>
          <w:szCs w:val="20"/>
          <w:color w:val="auto"/>
        </w:rPr>
      </w:pPr>
      <w:r>
        <w:rPr>
          <w:rFonts w:ascii="Arial" w:cs="Arial" w:eastAsia="Arial" w:hAnsi="Arial"/>
          <w:sz w:val="18"/>
          <w:szCs w:val="18"/>
          <w:color w:val="auto"/>
        </w:rPr>
        <w:t>COVID-19 pandemic, including contract renegotiations and technology personnel cost reductions.</w:t>
      </w:r>
    </w:p>
    <w:p>
      <w:pPr>
        <w:spacing w:after="0" w:line="18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i w:val="1"/>
          <w:iCs w:val="1"/>
          <w:color w:val="auto"/>
        </w:rPr>
        <w:t>Marketing.</w:t>
      </w:r>
      <w:r>
        <w:rPr>
          <w:sz w:val="20"/>
          <w:szCs w:val="20"/>
          <w:color w:val="auto"/>
        </w:rPr>
        <w:tab/>
      </w:r>
      <w:r>
        <w:rPr>
          <w:rFonts w:ascii="Arial" w:cs="Arial" w:eastAsia="Arial" w:hAnsi="Arial"/>
          <w:sz w:val="18"/>
          <w:szCs w:val="18"/>
          <w:color w:val="auto"/>
        </w:rPr>
        <w:t>Marketing expenses were $8.1 million for fiscal year 2020, a decrease of $14.8 million, or 64.4%, compared to</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$22.9 million in fiscal year 2019. This decrease was primarily driven by the decision to reduce paid and brand marketing spend during the</w:t>
      </w:r>
    </w:p>
    <w:p>
      <w:pPr>
        <w:ind w:left="120"/>
        <w:spacing w:after="0" w:line="234" w:lineRule="auto"/>
        <w:rPr>
          <w:sz w:val="20"/>
          <w:szCs w:val="20"/>
          <w:color w:val="auto"/>
        </w:rPr>
      </w:pPr>
      <w:r>
        <w:rPr>
          <w:rFonts w:ascii="Arial" w:cs="Arial" w:eastAsia="Arial" w:hAnsi="Arial"/>
          <w:sz w:val="18"/>
          <w:szCs w:val="18"/>
          <w:color w:val="auto"/>
        </w:rPr>
        <w:t>COVID-19 pandemic in addition to marketing personnel cost reductions. Marketing expenses unrelated to personnel costs were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$18.1 million in fiscal year 2019 and $4.2 million in fiscal year 2020, representing 7.0% and 2.7% of total revenue, respectively.</w:t>
      </w:r>
    </w:p>
    <w:p>
      <w:pPr>
        <w:spacing w:after="0" w:line="190" w:lineRule="exact"/>
        <w:rPr>
          <w:sz w:val="20"/>
          <w:szCs w:val="20"/>
          <w:color w:val="auto"/>
        </w:rPr>
      </w:pPr>
    </w:p>
    <w:p>
      <w:pPr>
        <w:ind w:left="660"/>
        <w:spacing w:after="0"/>
        <w:tabs>
          <w:tab w:leader="none" w:pos="3240" w:val="left"/>
        </w:tabs>
        <w:rPr>
          <w:sz w:val="20"/>
          <w:szCs w:val="20"/>
          <w:color w:val="auto"/>
        </w:rPr>
      </w:pPr>
      <w:r>
        <w:rPr>
          <w:rFonts w:ascii="Arial" w:cs="Arial" w:eastAsia="Arial" w:hAnsi="Arial"/>
          <w:sz w:val="18"/>
          <w:szCs w:val="18"/>
          <w:b w:val="1"/>
          <w:bCs w:val="1"/>
          <w:i w:val="1"/>
          <w:iCs w:val="1"/>
          <w:color w:val="auto"/>
        </w:rPr>
        <w:t>General and Administrative.</w:t>
      </w:r>
      <w:r>
        <w:rPr>
          <w:sz w:val="20"/>
          <w:szCs w:val="20"/>
          <w:color w:val="auto"/>
        </w:rPr>
        <w:tab/>
      </w:r>
      <w:r>
        <w:rPr>
          <w:rFonts w:ascii="Arial" w:cs="Arial" w:eastAsia="Arial" w:hAnsi="Arial"/>
          <w:sz w:val="17"/>
          <w:szCs w:val="17"/>
          <w:color w:val="auto"/>
        </w:rPr>
        <w:t>General and administrative expenses were $77.2 million for fiscal year 2020, a decrease of</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$21.6 million, or 21.9%, compared to $98.9 million in fiscal year 2019. This decrease was primarily driven by cost saving initiatives put in</w:t>
      </w:r>
    </w:p>
    <w:p>
      <w:pPr>
        <w:ind w:left="120"/>
        <w:spacing w:after="0"/>
        <w:rPr>
          <w:sz w:val="20"/>
          <w:szCs w:val="20"/>
          <w:color w:val="auto"/>
        </w:rPr>
      </w:pPr>
      <w:r>
        <w:rPr>
          <w:rFonts w:ascii="Arial" w:cs="Arial" w:eastAsia="Arial" w:hAnsi="Arial"/>
          <w:sz w:val="17"/>
          <w:szCs w:val="17"/>
          <w:color w:val="auto"/>
        </w:rPr>
        <w:t>place as a result of the impact of the COVID-19 pandemic, including retail store closures and associated personnel and operating expense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reductions, contract renegotiations, and other general and administrative personnel cost reductions, partially offset by operating lease</w:t>
      </w:r>
    </w:p>
    <w:p>
      <w:pPr>
        <w:ind w:left="120"/>
        <w:spacing w:after="0" w:line="234" w:lineRule="auto"/>
        <w:rPr>
          <w:sz w:val="20"/>
          <w:szCs w:val="20"/>
          <w:color w:val="auto"/>
        </w:rPr>
      </w:pPr>
      <w:r>
        <w:rPr>
          <w:rFonts w:ascii="Arial" w:cs="Arial" w:eastAsia="Arial" w:hAnsi="Arial"/>
          <w:sz w:val="18"/>
          <w:szCs w:val="18"/>
          <w:color w:val="auto"/>
        </w:rPr>
        <w:t>disposals as a result of the COVID-19 pandemic. Occupancy expenses (including warehouse-related expenses) contributed to the</w:t>
      </w:r>
    </w:p>
    <w:p>
      <w:pPr>
        <w:ind w:left="120"/>
        <w:spacing w:after="0" w:line="235" w:lineRule="auto"/>
        <w:rPr>
          <w:sz w:val="20"/>
          <w:szCs w:val="20"/>
          <w:color w:val="auto"/>
        </w:rPr>
      </w:pPr>
      <w:r>
        <w:rPr>
          <w:rFonts w:ascii="Arial" w:cs="Arial" w:eastAsia="Arial" w:hAnsi="Arial"/>
          <w:sz w:val="18"/>
          <w:szCs w:val="18"/>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fiscal year 2020.</w:t>
      </w:r>
    </w:p>
    <w:p>
      <w:pPr>
        <w:spacing w:after="0" w:line="19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$89.0 million for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2020, an increase of $3.8 million, or 4.4%,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depressed active subscriber and revenue levels due to COVID-19.</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$23.0 million for fiscal year 2020,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$1.5 million, or 6.7%,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74"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$46.6 million for fiscal year 2020, an increase of $22.6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93.9%, compared to $24.0 million for fiscal year 2019. This increase was primarily driven by the incremental accrued payment-in-kind interest and cash interest related to the additional draw downs on our Temasek Facility and payment-in-kind interest, or PIK, related to the addition of our Ares Facility. Of the $46.6 million total interest expense in fiscal year 2020, $37.0 million was PIK interest, $4.4 million was cash and financing lease interest and $5.1 million was debt discount amortization, compared with $19.9 million PIK interest, $1.0 million cash and financing lease interest and $3.2 million debt amortization in fiscal year 2019.</w:t>
      </w:r>
    </w:p>
    <w:p>
      <w:pPr>
        <w:spacing w:after="0" w:line="179"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b w:val="1"/>
          <w:bCs w:val="1"/>
          <w:i w:val="1"/>
          <w:iCs w:val="1"/>
          <w:color w:val="auto"/>
        </w:rPr>
        <w:t xml:space="preserve">Other Income / (Expense), Net. </w:t>
      </w:r>
      <w:r>
        <w:rPr>
          <w:rFonts w:ascii="Arial" w:cs="Arial" w:eastAsia="Arial" w:hAnsi="Arial"/>
          <w:sz w:val="18"/>
          <w:szCs w:val="18"/>
          <w:color w:val="auto"/>
        </w:rPr>
        <w:t>Other income / (expense), net was $ 6.0 million for fiscal year 2020, an increase of $6.1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Non-GAAP Financial Metrics</w:t>
      </w:r>
    </w:p>
    <w:p>
      <w:pPr>
        <w:spacing w:after="0" w:line="234"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83"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Fulfillment Profit, Gross Profit Excluding Product Depreciation and Contribution Profit. </w:t>
      </w:r>
      <w:r>
        <w:rPr>
          <w:rFonts w:ascii="Arial" w:cs="Arial" w:eastAsia="Arial" w:hAnsi="Arial"/>
          <w:sz w:val="18"/>
          <w:szCs w:val="18"/>
          <w:color w:val="auto"/>
        </w:rPr>
        <w:t>We use Fulfillment Profit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 the efficiency of the inbound, outbound and processing cost of each shipment. We use 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following table presents a reconciliation of Total revenue, net, the most comparable GAAP financial measure, to each of Fulfillment Profit, Gross Profit Excluding Product Depreciation, and Contribution Profit, respectively, for the years ended January 31, 2020 and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88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r>
      <w:tr>
        <w:trPr>
          <w:trHeight w:val="156"/>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451"/>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 net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256,866</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157,499</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Fulfillment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118,111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52,951</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Fulfillment profit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138,755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104,548</w:t>
            </w:r>
          </w:p>
        </w:tc>
      </w:tr>
      <w:tr>
        <w:trPr>
          <w:trHeight w:val="311"/>
        </w:trPr>
        <w:tc>
          <w:tcPr>
            <w:tcW w:w="8800" w:type="dxa"/>
            <w:vAlign w:val="bottom"/>
          </w:tcPr>
          <w:p>
            <w:pPr>
              <w:spacing w:after="0"/>
              <w:rPr>
                <w:sz w:val="20"/>
                <w:szCs w:val="20"/>
                <w:color w:val="auto"/>
              </w:rPr>
            </w:pPr>
            <w:r>
              <w:rPr>
                <w:rFonts w:ascii="Arial" w:cs="Arial" w:eastAsia="Arial" w:hAnsi="Arial"/>
                <w:sz w:val="18"/>
                <w:szCs w:val="18"/>
                <w:color w:val="auto"/>
              </w:rPr>
              <w:t>Revenue share</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9,506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19,140</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profit excluding product depreciation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129,249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85,408</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Rental product depreciation</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75,679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69,835</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53,570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15,573</w:t>
            </w:r>
          </w:p>
        </w:tc>
      </w:tr>
      <w:tr>
        <w:trPr>
          <w:trHeight w:val="311"/>
        </w:trPr>
        <w:tc>
          <w:tcPr>
            <w:tcW w:w="8800" w:type="dxa"/>
            <w:vAlign w:val="bottom"/>
          </w:tcPr>
          <w:p>
            <w:pPr>
              <w:spacing w:after="0"/>
              <w:rPr>
                <w:sz w:val="20"/>
                <w:szCs w:val="20"/>
                <w:color w:val="auto"/>
              </w:rPr>
            </w:pPr>
            <w:r>
              <w:rPr>
                <w:rFonts w:ascii="Arial" w:cs="Arial" w:eastAsia="Arial" w:hAnsi="Arial"/>
                <w:sz w:val="18"/>
                <w:szCs w:val="18"/>
                <w:color w:val="auto"/>
              </w:rPr>
              <w:t>Credit card processing fees</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4,404</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Contribution profit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45,362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11,169</w:t>
            </w:r>
          </w:p>
        </w:tc>
      </w:tr>
      <w:tr>
        <w:trPr>
          <w:trHeight w:val="311"/>
        </w:trPr>
        <w:tc>
          <w:tcPr>
            <w:tcW w:w="880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40,186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37,657</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22,913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8,146</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(excluding credit card processing fees)</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90,668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72,825</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depreciation and amortization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21,580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23,036</w:t>
            </w:r>
          </w:p>
        </w:tc>
      </w:tr>
      <w:tr>
        <w:trPr>
          <w:trHeight w:val="20"/>
        </w:trPr>
        <w:tc>
          <w:tcPr>
            <w:tcW w:w="8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(129,985)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(130,495)</w:t>
            </w:r>
          </w:p>
        </w:tc>
      </w:tr>
    </w:tbl>
    <w:p>
      <w:pPr>
        <w:spacing w:after="0" w:line="180" w:lineRule="exact"/>
        <w:rPr>
          <w:sz w:val="20"/>
          <w:szCs w:val="20"/>
          <w:color w:val="auto"/>
        </w:rPr>
      </w:pPr>
    </w:p>
    <w:p>
      <w:pPr>
        <w:ind w:left="120" w:right="980" w:firstLine="551"/>
        <w:spacing w:after="0" w:line="27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included in this prospectus because it is a key performance measure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assess our operating performance and the operating leverage of our business.</w:t>
      </w:r>
    </w:p>
    <w:p>
      <w:pPr>
        <w:spacing w:after="0" w:line="17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years ended January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88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r>
      <w:tr>
        <w:trPr>
          <w:trHeight w:val="155"/>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452"/>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(153,956)</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(171,080)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24,048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46,621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product depreciation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75,679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69,835</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23,036</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Stock compensation </w:t>
            </w:r>
            <w:r>
              <w:rPr>
                <w:rFonts w:ascii="Arial" w:cs="Arial" w:eastAsia="Arial" w:hAnsi="Arial"/>
                <w:sz w:val="15"/>
                <w:szCs w:val="15"/>
                <w:color w:val="auto"/>
              </w:rPr>
              <w:t>(3)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6,766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8,190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15"/>
                <w:szCs w:val="15"/>
                <w:color w:val="auto"/>
              </w:rPr>
              <w:t>(4)</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3,287</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15"/>
                <w:szCs w:val="15"/>
                <w:color w:val="auto"/>
              </w:rPr>
              <w:t>(5)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3,781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4,169</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 expense, net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(6,035)</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1,640</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(18,033)</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(20,338)</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debt discount amortization of $3.2 million in fiscal year 2019 and $5.1 million in fiscal year 2020.</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non-rental product depreciation and capitalized software amortization.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the non-cash expense for stock-based compensation.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products that had previously been held for sale.</w:t>
      </w:r>
    </w:p>
    <w:p>
      <w:pPr>
        <w:spacing w:after="0" w:line="1" w:lineRule="exact"/>
        <w:rPr>
          <w:rFonts w:ascii="Arial" w:cs="Arial" w:eastAsia="Arial" w:hAnsi="Arial"/>
          <w:sz w:val="14"/>
          <w:szCs w:val="14"/>
          <w:color w:val="auto"/>
        </w:rPr>
      </w:pPr>
    </w:p>
    <w:p>
      <w:pPr>
        <w:ind w:left="540" w:right="320" w:hanging="424"/>
        <w:spacing w:after="0" w:line="258"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Fiscal year 2019 Non-recurring adjustments includes $2.8 million of costs related to a September 2019 software outage and $1.0 million related to legal costs and settlements. Fiscal year 2020 Non-recurring adjustments includes $3.2 million of costs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right="580"/>
        <w:spacing w:after="0" w:line="241" w:lineRule="auto"/>
        <w:rPr>
          <w:sz w:val="20"/>
          <w:szCs w:val="20"/>
          <w:color w:val="auto"/>
        </w:rPr>
      </w:pPr>
      <w:r>
        <w:rPr>
          <w:rFonts w:ascii="Arial" w:cs="Arial" w:eastAsia="Arial" w:hAnsi="Arial"/>
          <w:sz w:val="14"/>
          <w:szCs w:val="14"/>
          <w:color w:val="auto"/>
        </w:rPr>
        <w:t>associated with COVID-19-related matters including severance, furlough benefits, one-time bonuses and related legal fees and $0.5 million of shipping carrier transition costs.</w:t>
      </w:r>
    </w:p>
    <w:p>
      <w:pPr>
        <w:spacing w:after="0" w:line="1"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costs associated with the write-off of asset disposals, operating lease termination and foreign exchange.</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120" w:right="420" w:firstLine="551"/>
        <w:spacing w:after="0" w:line="23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88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55"/>
        </w:trPr>
        <w:tc>
          <w:tcPr>
            <w:tcW w:w="8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jc w:val="right"/>
              <w:ind w:right="45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(37,602)</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 (42,816)</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(138,596)</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(58,468)</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177,902</w:t>
            </w:r>
          </w:p>
        </w:tc>
        <w:tc>
          <w:tcPr>
            <w:tcW w:w="4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168,506</w:t>
            </w:r>
          </w:p>
        </w:tc>
        <w:tc>
          <w:tcPr>
            <w:tcW w:w="120" w:type="dxa"/>
            <w:vAlign w:val="bottom"/>
            <w:shd w:val="clear" w:color="auto" w:fill="CCEEFF"/>
          </w:tcPr>
          <w:p>
            <w:pPr>
              <w:spacing w:after="0"/>
              <w:rPr>
                <w:sz w:val="17"/>
                <w:szCs w:val="17"/>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Net increase in cash and cash equivalents and restricted cash</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1,704</w:t>
            </w:r>
          </w:p>
        </w:tc>
        <w:tc>
          <w:tcPr>
            <w:tcW w:w="4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67,222</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and restricted cash at beginning of year</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40,244</w:t>
            </w:r>
          </w:p>
        </w:tc>
        <w:tc>
          <w:tcPr>
            <w:tcW w:w="4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41,948</w:t>
            </w:r>
          </w:p>
        </w:tc>
        <w:tc>
          <w:tcPr>
            <w:tcW w:w="120" w:type="dxa"/>
            <w:vAlign w:val="bottom"/>
            <w:shd w:val="clear" w:color="auto" w:fill="CCEEFF"/>
          </w:tcPr>
          <w:p>
            <w:pPr>
              <w:spacing w:after="0"/>
              <w:rPr>
                <w:sz w:val="17"/>
                <w:szCs w:val="17"/>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Cash and cash equivalents and restricted cash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41,948</w:t>
            </w:r>
          </w:p>
        </w:tc>
        <w:tc>
          <w:tcPr>
            <w:tcW w:w="4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109,170</w:t>
            </w: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500" w:firstLine="551"/>
        <w:spacing w:after="0" w:line="271"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For fiscal year 2020, net cash used in operating activities was $42.8 million,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consisted of a net loss of $(171.1) million, partially offset by</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and warrant discount amortization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fiscal year 2019, net cash used in operating activities was $37.6 million, which consisted of a net loss of $(154.0) million, partially offset by non-cash charges of $127.6 million, proceeds of sale of rental product of $19.3 million and a net change of $8.1 million in our operating assets and liabilities. The non-cash charges were primarily comprised of $ 76.2 million of rental product depreciation and write-off expenses, $19.0 million of payment-in-kind interest, $6.8 million of stock-based compensation, $4.1 million of debt discount amortization and $21.6 million of other PPE and software depreciation and amortization.</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Cash Flows from Investing Activities. </w:t>
      </w:r>
      <w:r>
        <w:rPr>
          <w:rFonts w:ascii="Arial" w:cs="Arial" w:eastAsia="Arial" w:hAnsi="Arial"/>
          <w:sz w:val="18"/>
          <w:szCs w:val="18"/>
          <w:color w:val="auto"/>
        </w:rPr>
        <w:t>For fiscal year 2020, net cash used in investing activities was $58.5 million,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new membership site functionality. The cash used in investing activities was partially offset by $17.9 million of proceeds from sale of owned rental products and $2.4 million of proceeds from sales of liquidated rental products.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83" w:lineRule="exact"/>
        <w:rPr>
          <w:sz w:val="20"/>
          <w:szCs w:val="20"/>
          <w:color w:val="auto"/>
        </w:rPr>
      </w:pPr>
    </w:p>
    <w:p>
      <w:pPr>
        <w:ind w:left="120" w:right="3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During fiscal year 2020, net cash provided by financing activities was $168.5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consisting of net proceeds from issuance of debt of $107.6 million and $60.4 million from the issuance of redeemable preferred stock.</w:t>
      </w:r>
    </w:p>
    <w:p>
      <w:pPr>
        <w:spacing w:after="0" w:line="176"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During fiscal year 2019, net cash provided in financing activities was $177.9 million, consisting of net proceeds from issuance of debt of $42.7 million and $133.8 million from the issuance of redeemable preferred stock.</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8"/>
          <w:szCs w:val="18"/>
          <w:b w:val="1"/>
          <w:bCs w:val="1"/>
          <w:i w:val="1"/>
          <w:iCs w:val="1"/>
          <w:color w:val="auto"/>
        </w:rPr>
        <w:t xml:space="preserve">Bank of America Credit Facility. </w:t>
      </w:r>
      <w:r>
        <w:rPr>
          <w:rFonts w:ascii="Arial" w:cs="Arial" w:eastAsia="Arial" w:hAnsi="Arial"/>
          <w:sz w:val="18"/>
          <w:szCs w:val="18"/>
          <w:color w:val="auto"/>
        </w:rPr>
        <w:t>We entered into a revolving credit facility in April 2019, as subsequently amended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with Bank of America as agent and lender, and Barclays Bank PLC and Goldman Sachs Bank USA as additional lenders, which we refer to as our Bank of America</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Credit Facility. In October 2020, we entered into the Ares Facility (as defined below) and repaid in full the outstanding balance of the Bank of America Facility in the amount of $ 29.5 million, and terminated the credit commitments. The outstanding balance on the Bank of America Credit Facility as of January 31, 2020 and 2021, was $44.0 million and $0, respectively.</w:t>
      </w:r>
    </w:p>
    <w:p>
      <w:pPr>
        <w:spacing w:after="0" w:line="181"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i w:val="1"/>
          <w:iCs w:val="1"/>
          <w:color w:val="auto"/>
        </w:rPr>
        <w:t xml:space="preserve">Temasek Credit Facility. </w:t>
      </w:r>
      <w:r>
        <w:rPr>
          <w:rFonts w:ascii="Arial" w:cs="Arial" w:eastAsia="Arial" w:hAnsi="Arial"/>
          <w:sz w:val="18"/>
          <w:szCs w:val="18"/>
          <w:color w:val="auto"/>
        </w:rPr>
        <w:t>We entered into a subordinated, junior lien loan agreement in July 2018, as subsequently amended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2018, April 2019, November 2019, June 2020, August 2020 and October 2020, with Double Helix Pte Ltd. as administrative agent for Temasek Holdings, which we refer to as our Temasek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Temasek Facility contains various events of default, the occurrence of which could result in the acceleration of obligations under the Temasek Facility.</w:t>
      </w:r>
    </w:p>
    <w:p>
      <w:pPr>
        <w:spacing w:after="0" w:line="208"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Temasek Facility matures in July 2023. The outstanding balance on the Temasek Facility as of January 31, 2021 consisted of $230.0 million of outstanding principal, $62.2 million of payment-in-kind interest, netted with $1.9 million of unamortized debt discount.</w:t>
      </w:r>
    </w:p>
    <w:p>
      <w:pPr>
        <w:spacing w:after="0" w:line="17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i w:val="1"/>
          <w:iCs w:val="1"/>
          <w:color w:val="auto"/>
        </w:rPr>
        <w:t xml:space="preserve">Ares Credit Facility. </w:t>
      </w:r>
      <w:r>
        <w:rPr>
          <w:rFonts w:ascii="Arial" w:cs="Arial" w:eastAsia="Arial" w:hAnsi="Arial"/>
          <w:sz w:val="18"/>
          <w:szCs w:val="18"/>
          <w:color w:val="auto"/>
        </w:rPr>
        <w:t>We entered into a first lien facility in October 2020, as subsequently amended in April 2021, with Alter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208"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The Ares Facility matures at the earlier of October 2023 or 91 days prior to the maturity of the Temasek Facility. The outstanding balance on the Ares Facility as of January 31, 2021 consisted of $75.0 million of outstanding principal, $1.6 million of payment-in-kind interest, netted with $11.0 million of unamortized debt discount and debt issuance costs.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January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jc w:val="center"/>
              <w:ind w:left="336"/>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20"/>
              <w:spacing w:after="0" w:line="143" w:lineRule="exact"/>
              <w:rPr>
                <w:sz w:val="20"/>
                <w:szCs w:val="20"/>
                <w:color w:val="auto"/>
              </w:rPr>
            </w:pPr>
            <w:r>
              <w:rPr>
                <w:rFonts w:ascii="Arial" w:cs="Arial" w:eastAsia="Arial" w:hAnsi="Arial"/>
                <w:sz w:val="14"/>
                <w:szCs w:val="14"/>
                <w:b w:val="1"/>
                <w:bCs w:val="1"/>
                <w:color w:val="auto"/>
              </w:rPr>
              <w:t>3 to 5</w:t>
            </w:r>
          </w:p>
        </w:tc>
        <w:tc>
          <w:tcPr>
            <w:tcW w:w="8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 5</w:t>
            </w:r>
          </w:p>
        </w:tc>
        <w:tc>
          <w:tcPr>
            <w:tcW w:w="60" w:type="dxa"/>
            <w:vAlign w:val="bottom"/>
          </w:tcPr>
          <w:p>
            <w:pPr>
              <w:spacing w:after="0"/>
              <w:rPr>
                <w:sz w:val="12"/>
                <w:szCs w:val="12"/>
                <w:color w:val="auto"/>
              </w:rPr>
            </w:pPr>
          </w:p>
        </w:tc>
      </w:tr>
      <w:tr>
        <w:trPr>
          <w:trHeight w:val="175"/>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r>
      <w:tr>
        <w:trPr>
          <w:trHeight w:val="155"/>
        </w:trPr>
        <w:tc>
          <w:tcPr>
            <w:tcW w:w="56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lease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5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170</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117,780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15,692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24,799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19,503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57,786</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debt</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368,864</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367,926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4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487,004</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16,800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392,915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19,503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57,786</w:t>
            </w: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right="240" w:hanging="424"/>
        <w:spacing w:after="0" w:line="249"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our Ares Facility, which had an outstanding balance as of January 31, 2021 of $75.0 million of outstanding principal, $1.6 million of payment-in-kind interest, and our Temasek Facility, which had an outstanding balance as of January 31, 2021 of $230.0 million of outstanding principal, $62.2 million of payment-in-kind interest.</w:t>
      </w:r>
    </w:p>
    <w:p>
      <w:pPr>
        <w:spacing w:after="0" w:line="195"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For additional discussion on our financing lease liabilities, operating lease liabilities and long term debt, see Notes 4 and 7 to our audited consolidated financial statements included elsewhere in this prospectus.</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Market risk represents the risk of loss that may impact our financial position because of adverse changes in financial market prices and rates. Our market risk exposure is primarily a result of exposure resulting from potential changes in interest rates or inflation.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2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120" w:right="140" w:firstLine="551"/>
        <w:spacing w:after="0" w:line="261" w:lineRule="auto"/>
        <w:rPr>
          <w:sz w:val="20"/>
          <w:szCs w:val="20"/>
          <w:color w:val="auto"/>
        </w:rPr>
      </w:pPr>
      <w:r>
        <w:rPr>
          <w:rFonts w:ascii="Arial" w:cs="Arial" w:eastAsia="Arial" w:hAnsi="Arial"/>
          <w:sz w:val="17"/>
          <w:szCs w:val="17"/>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8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205"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205" w:lineRule="exact"/>
        <w:rPr>
          <w:sz w:val="20"/>
          <w:szCs w:val="20"/>
          <w:color w:val="auto"/>
        </w:rPr>
      </w:pPr>
    </w:p>
    <w:p>
      <w:pPr>
        <w:ind w:left="120" w:firstLine="551"/>
        <w:spacing w:after="0" w:line="257" w:lineRule="auto"/>
        <w:rPr>
          <w:sz w:val="20"/>
          <w:szCs w:val="20"/>
          <w:color w:val="auto"/>
        </w:rPr>
      </w:pPr>
      <w:r>
        <w:rPr>
          <w:rFonts w:ascii="Arial" w:cs="Arial" w:eastAsia="Arial" w:hAnsi="Arial"/>
          <w:sz w:val="17"/>
          <w:szCs w:val="17"/>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 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Rental Product</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Right of Use Assets</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88" w:lineRule="exact"/>
        <w:rPr>
          <w:sz w:val="20"/>
          <w:szCs w:val="20"/>
          <w:color w:val="auto"/>
        </w:rPr>
      </w:pPr>
    </w:p>
    <w:p>
      <w:pPr>
        <w:ind w:left="880" w:hanging="224"/>
        <w:spacing w:after="0" w:line="242"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Fair value of common stock</w:t>
      </w:r>
      <w:r>
        <w:rPr>
          <w:rFonts w:ascii="Arial" w:cs="Arial" w:eastAsia="Arial" w:hAnsi="Arial"/>
          <w:sz w:val="18"/>
          <w:szCs w:val="18"/>
          <w:color w:val="auto"/>
        </w:rPr>
        <w:t>. Because our common stock is not yet publicly traded, we are required to estimate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84" w:lineRule="exact"/>
        <w:rPr>
          <w:rFonts w:ascii="Arial" w:cs="Arial" w:eastAsia="Arial" w:hAnsi="Arial"/>
          <w:sz w:val="18"/>
          <w:szCs w:val="18"/>
          <w:color w:val="auto"/>
        </w:rPr>
      </w:pPr>
    </w:p>
    <w:p>
      <w:pPr>
        <w:ind w:left="880" w:right="20" w:hanging="224"/>
        <w:spacing w:after="0" w:line="244"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 As a result of the lack of historical and implied volatility data of our common stock, the expected stock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81" w:lineRule="exact"/>
        <w:rPr>
          <w:rFonts w:ascii="Arial" w:cs="Arial" w:eastAsia="Arial" w:hAnsi="Arial"/>
          <w:sz w:val="18"/>
          <w:szCs w:val="18"/>
          <w:color w:val="auto"/>
        </w:rPr>
      </w:pPr>
    </w:p>
    <w:p>
      <w:pPr>
        <w:ind w:left="880" w:right="180" w:hanging="224"/>
        <w:spacing w:after="0" w:line="253"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The expected term of stock options represents the weighted-average period the stock options are expected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outstanding and is based on the stock options’ vesting terms and contractual terms, estimated employee termination behavior, and potential future stock price outcomes.</w:t>
      </w:r>
    </w:p>
    <w:p>
      <w:pPr>
        <w:spacing w:after="0" w:line="74" w:lineRule="exact"/>
        <w:rPr>
          <w:rFonts w:ascii="Arial" w:cs="Arial" w:eastAsia="Arial" w:hAnsi="Arial"/>
          <w:sz w:val="18"/>
          <w:szCs w:val="18"/>
          <w:color w:val="auto"/>
        </w:rPr>
      </w:pPr>
    </w:p>
    <w:p>
      <w:pPr>
        <w:ind w:left="880" w:right="620" w:hanging="224"/>
        <w:spacing w:after="0" w:line="271"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expected risk-free rate assumption is based on the U.S. Treasury instruments whose term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expected term of the stock options.</w:t>
      </w:r>
    </w:p>
    <w:p>
      <w:pPr>
        <w:spacing w:after="0" w:line="59" w:lineRule="exact"/>
        <w:rPr>
          <w:rFonts w:ascii="Arial" w:cs="Arial" w:eastAsia="Arial" w:hAnsi="Arial"/>
          <w:sz w:val="18"/>
          <w:szCs w:val="18"/>
          <w:color w:val="auto"/>
        </w:rPr>
      </w:pPr>
    </w:p>
    <w:p>
      <w:pPr>
        <w:ind w:left="880" w:right="100" w:hanging="224"/>
        <w:spacing w:after="0" w:line="271"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Expected dividend yield</w:t>
      </w:r>
      <w:r>
        <w:rPr>
          <w:rFonts w:ascii="Arial" w:cs="Arial" w:eastAsia="Arial" w:hAnsi="Arial"/>
          <w:sz w:val="18"/>
          <w:szCs w:val="18"/>
          <w:color w:val="auto"/>
        </w:rPr>
        <w:t>. The expected dividend assumption is based on our history and expectation of dividend. We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dividends and do not expect to do so in the foreseeable future.</w:t>
      </w:r>
    </w:p>
    <w:p>
      <w:pPr>
        <w:spacing w:after="0" w:line="17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relating to RSUs which were partially vested at January 31, 2021 was $7.6 million. This amount relates to awards for which the service-based vesting condition had been satisfied or partially satisfied at January 31, 2021.</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See Note 2 to our consolidated financial statements included elsewhere in this prospectus for a description of recently adopted accounting pronouncements and recently issued accounting pronouncements not yet adopted.</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JOBS Act</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21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We built the world’s first and largest shared designer rental closet — what we call the Closet in the Cloud — with over 18,000 styles by over 750 designer brands.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total subscribers</w:t>
      </w:r>
    </w:p>
    <w:p>
      <w:pPr>
        <w:spacing w:after="0" w:line="4" w:lineRule="exact"/>
        <w:rPr>
          <w:sz w:val="20"/>
          <w:szCs w:val="20"/>
          <w:color w:val="auto"/>
        </w:rPr>
      </w:pPr>
    </w:p>
    <w:p>
      <w:pPr>
        <w:ind w:left="120" w:right="220"/>
        <w:spacing w:after="0" w:line="243" w:lineRule="auto"/>
        <w:rPr>
          <w:sz w:val="20"/>
          <w:szCs w:val="20"/>
          <w:color w:val="auto"/>
        </w:rPr>
      </w:pPr>
      <w:r>
        <w:rPr>
          <w:rFonts w:ascii="Arial" w:cs="Arial" w:eastAsia="Arial" w:hAnsi="Arial"/>
          <w:sz w:val="18"/>
          <w:szCs w:val="18"/>
          <w:color w:val="auto"/>
        </w:rPr>
        <w:t>(active and paused) as of , 2021. In the first six months of fiscal year 2021, % of our total revenue was generated by subscribers.</w:t>
      </w:r>
    </w:p>
    <w:p>
      <w:pPr>
        <w:spacing w:after="0" w:line="200" w:lineRule="exact"/>
        <w:rPr>
          <w:sz w:val="20"/>
          <w:szCs w:val="20"/>
          <w:color w:val="auto"/>
        </w:rPr>
      </w:pPr>
    </w:p>
    <w:p>
      <w:pPr>
        <w:spacing w:after="0" w:line="21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w:t>
      </w:r>
    </w:p>
    <w:p>
      <w:pPr>
        <w:spacing w:after="0" w:line="205"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16</w:t>
      </w:r>
      <w:r>
        <w:rPr>
          <w:rFonts w:ascii="Arial" w:cs="Arial" w:eastAsia="Arial" w:hAnsi="Arial"/>
          <w:sz w:val="18"/>
          <w:szCs w:val="18"/>
          <w:color w:val="auto"/>
        </w:rPr>
        <w:t xml:space="preserve"> We have become an everyday utility; our most engaged subscribers wear Rent the Runway more than 100 days per year. We believe that the convenience and access to a broad assortment of designer brands, categories and styles helps drive our strong customer engagement.</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440" w:right="280" w:hanging="324"/>
        <w:spacing w:after="0" w:line="199" w:lineRule="auto"/>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Our Closet in the Cloud connects our deeply engaged customers and our differentiated brand partners on a powerful platform built around our brand, data, logistics and technology advantages.</w:t>
      </w:r>
    </w:p>
    <w:p>
      <w:pPr>
        <w:spacing w:after="0" w:line="80" w:lineRule="exact"/>
        <w:rPr>
          <w:sz w:val="20"/>
          <w:szCs w:val="20"/>
          <w:color w:val="auto"/>
        </w:rPr>
      </w:pPr>
    </w:p>
    <w:p>
      <w:pPr>
        <w:ind w:left="880" w:hanging="224"/>
        <w:spacing w:after="0" w:line="244"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Brand Partner Advantage</w:t>
      </w:r>
      <w:r>
        <w:rPr>
          <w:rFonts w:ascii="Arial" w:cs="Arial" w:eastAsia="Arial" w:hAnsi="Arial"/>
          <w:sz w:val="18"/>
          <w:szCs w:val="18"/>
          <w:color w:val="auto"/>
        </w:rPr>
        <w:t>. Our assortment contains thousands of new, current season styles procured from our brand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brands have evolved to balance our margins and the capital needs of our business.</w:t>
      </w:r>
    </w:p>
    <w:p>
      <w:pPr>
        <w:spacing w:after="0" w:line="81"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Data Advantage</w:t>
      </w:r>
      <w:r>
        <w:rPr>
          <w:rFonts w:ascii="Arial" w:cs="Arial" w:eastAsia="Arial" w:hAnsi="Arial"/>
          <w:sz w:val="18"/>
          <w:szCs w:val="18"/>
          <w:color w:val="auto"/>
        </w:rPr>
        <w:t>. We capture a vast amount of quality, actionable data on our customers and products. We leverage this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4" w:lineRule="exact"/>
        <w:rPr>
          <w:rFonts w:ascii="Arial" w:cs="Arial" w:eastAsia="Arial" w:hAnsi="Arial"/>
          <w:sz w:val="18"/>
          <w:szCs w:val="18"/>
          <w:color w:val="auto"/>
        </w:rPr>
      </w:pPr>
    </w:p>
    <w:p>
      <w:pPr>
        <w:ind w:left="880" w:hanging="224"/>
        <w:spacing w:after="0" w:line="266" w:lineRule="auto"/>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Technology and Logistics Advantage</w:t>
      </w:r>
      <w:r>
        <w:rPr>
          <w:rFonts w:ascii="Arial" w:cs="Arial" w:eastAsia="Arial" w:hAnsi="Arial"/>
          <w:sz w:val="17"/>
          <w:szCs w:val="17"/>
          <w:color w:val="auto"/>
        </w:rPr>
        <w:t>. We have developed a proprietary operating system for the sharing economy of physical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81" w:lineRule="exact"/>
        <w:rPr>
          <w:sz w:val="20"/>
          <w:szCs w:val="20"/>
          <w:color w:val="auto"/>
        </w:rPr>
      </w:pPr>
    </w:p>
    <w:p>
      <w:pPr>
        <w:ind w:left="120" w:right="280" w:firstLine="551"/>
        <w:spacing w:after="0" w:line="237" w:lineRule="auto"/>
        <w:rPr>
          <w:sz w:val="20"/>
          <w:szCs w:val="20"/>
          <w:color w:val="auto"/>
        </w:rPr>
      </w:pPr>
      <w:r>
        <w:rPr>
          <w:rFonts w:ascii="Arial" w:cs="Arial" w:eastAsia="Arial" w:hAnsi="Arial"/>
          <w:sz w:val="18"/>
          <w:szCs w:val="18"/>
          <w:color w:val="auto"/>
        </w:rPr>
        <w:t>Since our inception, organic growth, or word-of-mouth marketing, has been a key advantage for RTR. Many of our customers publicly share their love of the Rent the Runway experience on social media and in their personal lives, which helps drive brand awareness and new customer acquisition. Because of how customers use Rent the Runway, renting bold dynamic pieces, and the confidence they feel, our clothing becomes a visual billboard and advertising for the platform. As a result, since our founding, we have spent less than 10% of total revenue on marketing, and our growth has been mostly organic. More than 88% of our customers over the last 12 years have been acquired via word-of-mouth. Our brand and deeply engaged community have allowed us to acquire customers efficiently even as we have scaled.</w:t>
      </w:r>
    </w:p>
    <w:p>
      <w:pPr>
        <w:spacing w:after="0" w:line="203"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generate revenue from our Subscription, Reserve and Resale offerings. The majority of revenue comes from our Subscription offering, which is highly recurring and drives customer engagement.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achieved the following operating and financial results:</w:t>
      </w:r>
    </w:p>
    <w:p>
      <w:pPr>
        <w:spacing w:after="0" w:line="117" w:lineRule="exact"/>
        <w:rPr>
          <w:sz w:val="20"/>
          <w:szCs w:val="20"/>
          <w:color w:val="auto"/>
        </w:rPr>
      </w:pPr>
    </w:p>
    <w:p>
      <w:pPr>
        <w:ind w:left="880" w:right="10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had 147,866 and 95,245 total subscribers at the end of fiscal year 2019 and fiscal year 2020, respectively, and 133,572 and 54,797 active subscribers (excluding paused subscribers), respectively;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Revenue was $256.9 million and $157.5 million in fiscal year 2019 and fiscal year 2020, respectively;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Gross Profit was $53.6 million and $15.6 million in fiscal year 2019 and fiscal year 2020, respectively;</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Gross Profit Excluding Product Depreciation was $129.2 million and $85.4 million in fiscal year 2019 and fiscal year 2020, respectively;</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Loss was $(154.0) million and $(171.1) million in fiscal year 2019 and fiscal year 2020, respectively; 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Adjusted EBITDA was $(18.0) million and $(20.3) million in fiscal year 2019 and fiscal year 2020, respectively.</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Trends in Our Favor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witnessing trends that are driving consumer and brand behavior in our favor.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Trends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key trends impacting consumers in our industry include:</w:t>
      </w:r>
    </w:p>
    <w:p>
      <w:pPr>
        <w:spacing w:after="0" w:line="95" w:lineRule="exact"/>
        <w:rPr>
          <w:sz w:val="20"/>
          <w:szCs w:val="20"/>
          <w:color w:val="auto"/>
        </w:rPr>
      </w:pPr>
    </w:p>
    <w:p>
      <w:pPr>
        <w:ind w:left="880" w:right="6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Shift from Ownership to Access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shift from ownership to access has been rapid across many categories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85" w:lineRule="exact"/>
        <w:rPr>
          <w:rFonts w:ascii="Arial" w:cs="Arial" w:eastAsia="Arial" w:hAnsi="Arial"/>
          <w:sz w:val="18"/>
          <w:szCs w:val="18"/>
          <w:color w:val="auto"/>
        </w:rPr>
      </w:pPr>
    </w:p>
    <w:p>
      <w:pPr>
        <w:ind w:left="880" w:right="120" w:hanging="224"/>
        <w:spacing w:after="0" w:line="244"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Desire for Variety and Newness: </w:t>
      </w:r>
      <w:r>
        <w:rPr>
          <w:rFonts w:ascii="Arial" w:cs="Arial" w:eastAsia="Arial" w:hAnsi="Arial"/>
          <w:sz w:val="18"/>
          <w:szCs w:val="18"/>
          <w:color w:val="auto"/>
        </w:rPr>
        <w:t>Consumers are increasingly seeking variety and newness in their wardrobes. Closets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and, according to the Wall Street Journal, the average consumer buys approximately 70 items of clothing per year as compared to 40 items per year in 1990. While closets have expanded in quantity, items are worn less and discarded faster. The average consumer already operates with a rental mentality seeking variety, rotation and newness: 33% of women consider an outfit to be “old” after wearing it fewer than three times.</w:t>
      </w:r>
      <w:r>
        <w:rPr>
          <w:rFonts w:ascii="Arial" w:cs="Arial" w:eastAsia="Arial" w:hAnsi="Arial"/>
          <w:sz w:val="15"/>
          <w:szCs w:val="15"/>
          <w:color w:val="auto"/>
        </w:rPr>
        <w:t>17</w:t>
      </w:r>
    </w:p>
    <w:p>
      <w:pPr>
        <w:spacing w:after="0" w:line="81" w:lineRule="exact"/>
        <w:rPr>
          <w:rFonts w:ascii="Arial" w:cs="Arial" w:eastAsia="Arial" w:hAnsi="Arial"/>
          <w:sz w:val="18"/>
          <w:szCs w:val="18"/>
          <w:color w:val="auto"/>
        </w:rPr>
      </w:pPr>
    </w:p>
    <w:p>
      <w:pPr>
        <w:ind w:left="880" w:right="20" w:hanging="224"/>
        <w:spacing w:after="0" w:line="244"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of Online Shopping: </w:t>
      </w:r>
      <w:r>
        <w:rPr>
          <w:rFonts w:ascii="Arial" w:cs="Arial" w:eastAsia="Arial" w:hAnsi="Arial"/>
          <w:sz w:val="18"/>
          <w:szCs w:val="18"/>
          <w:color w:val="auto"/>
        </w:rPr>
        <w:t>Despite the fact that closets are growing, online sales represent the fastest growing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5"/>
          <w:szCs w:val="15"/>
          <w:color w:val="auto"/>
        </w:rPr>
        <w:t>18</w:t>
      </w:r>
      <w:r>
        <w:rPr>
          <w:rFonts w:ascii="Arial" w:cs="Arial" w:eastAsia="Arial" w:hAnsi="Arial"/>
          <w:sz w:val="18"/>
          <w:szCs w:val="18"/>
          <w:color w:val="auto"/>
        </w:rPr>
        <w:t xml:space="preserve"> These trends have been accelerated by the COVID-19 crisis as consumers have moved their shopping online.</w:t>
      </w:r>
    </w:p>
    <w:p>
      <w:pPr>
        <w:spacing w:after="0" w:line="81" w:lineRule="exact"/>
        <w:rPr>
          <w:rFonts w:ascii="Arial" w:cs="Arial" w:eastAsia="Arial" w:hAnsi="Arial"/>
          <w:sz w:val="18"/>
          <w:szCs w:val="18"/>
          <w:color w:val="auto"/>
        </w:rPr>
      </w:pPr>
    </w:p>
    <w:p>
      <w:pPr>
        <w:ind w:left="880" w:hanging="224"/>
        <w:spacing w:after="0" w:line="244"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Media Driving Fashion: </w:t>
      </w:r>
      <w:r>
        <w:rPr>
          <w:rFonts w:ascii="Arial" w:cs="Arial" w:eastAsia="Arial" w:hAnsi="Arial"/>
          <w:sz w:val="18"/>
          <w:szCs w:val="18"/>
          <w:color w:val="auto"/>
        </w:rPr>
        <w:t>Consumers are spending a significant amount of time on social media, a medium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fashion awareness and influencing purchasing behavior. Millennials post nine selfies a week, according to Now Sourcing, and one in seven women considers it a fashion faux-pas to be photographed in an outfit twice, according to McKinsey.</w:t>
      </w:r>
      <w:r>
        <w:rPr>
          <w:rFonts w:ascii="Arial" w:cs="Arial" w:eastAsia="Arial" w:hAnsi="Arial"/>
          <w:sz w:val="15"/>
          <w:szCs w:val="15"/>
          <w:color w:val="auto"/>
        </w:rPr>
        <w:t>19</w:t>
      </w:r>
      <w:r>
        <w:rPr>
          <w:rFonts w:ascii="Arial" w:cs="Arial" w:eastAsia="Arial" w:hAnsi="Arial"/>
          <w:sz w:val="18"/>
          <w:szCs w:val="18"/>
          <w:color w:val="auto"/>
        </w:rPr>
        <w:t xml:space="preserve"> The ubiquity of fashion on social media has meant that consumers have a higher awareness of aspirational brands outside their income level and are taking fashion cues from their friends and influencers as opposed to industry experts.</w:t>
      </w:r>
    </w:p>
    <w:p>
      <w:pPr>
        <w:spacing w:after="0" w:line="81" w:lineRule="exact"/>
        <w:rPr>
          <w:rFonts w:ascii="Arial" w:cs="Arial" w:eastAsia="Arial" w:hAnsi="Arial"/>
          <w:sz w:val="18"/>
          <w:szCs w:val="18"/>
          <w:color w:val="auto"/>
        </w:rPr>
      </w:pPr>
    </w:p>
    <w:p>
      <w:pPr>
        <w:ind w:left="880" w:right="220" w:hanging="224"/>
        <w:spacing w:after="0" w:line="253"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Increasingly Female Workforce: </w:t>
      </w:r>
      <w:r>
        <w:rPr>
          <w:rFonts w:ascii="Arial" w:cs="Arial" w:eastAsia="Arial" w:hAnsi="Arial"/>
          <w:sz w:val="18"/>
          <w:szCs w:val="18"/>
          <w:color w:val="auto"/>
        </w:rPr>
        <w:t>As of January 2021, women represented 47% of the workforce, up from 38% in 1970,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 to the U.S. Bureau for Labor Statistics and U.S. Census, but control 70 to 80% of household spending (according to Forbes).</w:t>
      </w:r>
      <w:r>
        <w:rPr>
          <w:rFonts w:ascii="Arial" w:cs="Arial" w:eastAsia="Arial" w:hAnsi="Arial"/>
          <w:sz w:val="15"/>
          <w:szCs w:val="15"/>
          <w:color w:val="auto"/>
        </w:rPr>
        <w:t>20</w:t>
      </w:r>
      <w:r>
        <w:rPr>
          <w:rFonts w:ascii="Arial" w:cs="Arial" w:eastAsia="Arial" w:hAnsi="Arial"/>
          <w:sz w:val="18"/>
          <w:szCs w:val="18"/>
          <w:color w:val="auto"/>
        </w:rPr>
        <w:t xml:space="preserv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 w:lineRule="exact"/>
        <w:rPr>
          <w:sz w:val="20"/>
          <w:szCs w:val="20"/>
          <w:color w:val="auto"/>
        </w:rPr>
      </w:pPr>
    </w:p>
    <w:p>
      <w:pPr>
        <w:ind w:left="440" w:hanging="324"/>
        <w:spacing w:after="0"/>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Hubbub, Inc.</w:t>
      </w:r>
    </w:p>
    <w:p>
      <w:pPr>
        <w:ind w:left="440" w:hanging="324"/>
        <w:spacing w:after="0" w:line="187" w:lineRule="auto"/>
        <w:tabs>
          <w:tab w:leader="none" w:pos="440" w:val="left"/>
        </w:tabs>
        <w:numPr>
          <w:ilvl w:val="0"/>
          <w:numId w:val="94"/>
        </w:numPr>
        <w:rPr>
          <w:rFonts w:ascii="Arial" w:cs="Arial" w:eastAsia="Arial" w:hAnsi="Arial"/>
          <w:sz w:val="18"/>
          <w:szCs w:val="18"/>
          <w:color w:val="auto"/>
          <w:vertAlign w:val="superscript"/>
        </w:rPr>
      </w:pPr>
      <w:r>
        <w:rPr>
          <w:rFonts w:ascii="Arial" w:cs="Arial" w:eastAsia="Arial" w:hAnsi="Arial"/>
          <w:sz w:val="11"/>
          <w:szCs w:val="11"/>
          <w:color w:val="auto"/>
        </w:rPr>
        <w:t>Euromonitor, Retailing 2020. Retail Value RSP excludes sales tax, current prices and year-over-year exchange rates.</w:t>
      </w:r>
    </w:p>
    <w:p>
      <w:pPr>
        <w:ind w:left="440" w:hanging="324"/>
        <w:spacing w:after="0" w:line="187" w:lineRule="auto"/>
        <w:tabs>
          <w:tab w:leader="none" w:pos="440" w:val="left"/>
        </w:tabs>
        <w:numPr>
          <w:ilvl w:val="0"/>
          <w:numId w:val="94"/>
        </w:numPr>
        <w:rPr>
          <w:rFonts w:ascii="Arial" w:cs="Arial" w:eastAsia="Arial" w:hAnsi="Arial"/>
          <w:sz w:val="18"/>
          <w:szCs w:val="18"/>
          <w:color w:val="auto"/>
          <w:vertAlign w:val="superscript"/>
        </w:rPr>
      </w:pPr>
      <w:r>
        <w:rPr>
          <w:rFonts w:ascii="Arial" w:cs="Arial" w:eastAsia="Arial" w:hAnsi="Arial"/>
          <w:sz w:val="11"/>
          <w:szCs w:val="11"/>
          <w:color w:val="auto"/>
        </w:rPr>
        <w:t>Workforce representation according to McKinsey &amp; Co., The State of Fashion, 2019.</w:t>
      </w:r>
    </w:p>
    <w:p>
      <w:pPr>
        <w:ind w:left="440" w:right="160" w:hanging="324"/>
        <w:spacing w:after="0" w:line="183"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U.S. Census Bureau, Women Are Nearly Half of U.S. Workforce But Only 27% of STEM Workers, January 2021. Control of household spending according to Forbes, 20 Facts and Figures to Know When Marketing to Women, May 2019.</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8" w:lineRule="auto"/>
        <w:rPr>
          <w:sz w:val="20"/>
          <w:szCs w:val="20"/>
          <w:color w:val="auto"/>
        </w:rPr>
      </w:pPr>
      <w:r>
        <w:rPr>
          <w:rFonts w:ascii="Arial" w:cs="Arial" w:eastAsia="Arial" w:hAnsi="Arial"/>
          <w:sz w:val="18"/>
          <w:szCs w:val="18"/>
          <w:color w:val="auto"/>
        </w:rPr>
        <w:t>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5"/>
          <w:szCs w:val="15"/>
          <w:color w:val="auto"/>
        </w:rPr>
        <w:t>21</w:t>
      </w:r>
    </w:p>
    <w:p>
      <w:pPr>
        <w:spacing w:after="0" w:line="86" w:lineRule="exact"/>
        <w:rPr>
          <w:sz w:val="20"/>
          <w:szCs w:val="20"/>
          <w:color w:val="auto"/>
        </w:rPr>
      </w:pPr>
    </w:p>
    <w:p>
      <w:pPr>
        <w:ind w:left="880" w:right="40" w:hanging="224"/>
        <w:spacing w:after="0" w:line="24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Importance of Sustainability: </w:t>
      </w:r>
      <w:r>
        <w:rPr>
          <w:rFonts w:ascii="Arial" w:cs="Arial" w:eastAsia="Arial" w:hAnsi="Arial"/>
          <w:sz w:val="18"/>
          <w:szCs w:val="18"/>
          <w:color w:val="auto"/>
        </w:rPr>
        <w:t>Consumers are increasingly aware of the impact their choices are making on the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p>
    <w:p>
      <w:pPr>
        <w:spacing w:after="0" w:line="79"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Normalization of Secondhand: </w:t>
      </w:r>
      <w:r>
        <w:rPr>
          <w:rFonts w:ascii="Arial" w:cs="Arial" w:eastAsia="Arial" w:hAnsi="Arial"/>
          <w:sz w:val="18"/>
          <w:szCs w:val="18"/>
          <w:color w:val="auto"/>
        </w:rPr>
        <w:t>Secondhand fashion has become more mainstream, driven by its affordability, uniqueness,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and alignment with environmental consciousness.</w:t>
      </w:r>
    </w:p>
    <w:p>
      <w:pPr>
        <w:spacing w:after="0" w:line="17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All designer brands, whether accessible or prestige, face challenges to grow their businesses and serve their consumers. Those challenges include:</w:t>
      </w:r>
    </w:p>
    <w:p>
      <w:pPr>
        <w:spacing w:after="0" w:line="80" w:lineRule="exact"/>
        <w:rPr>
          <w:sz w:val="20"/>
          <w:szCs w:val="20"/>
          <w:color w:val="auto"/>
        </w:rPr>
      </w:pPr>
    </w:p>
    <w:p>
      <w:pPr>
        <w:ind w:left="880" w:right="40" w:hanging="224"/>
        <w:spacing w:after="0" w:line="244"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Decline of Traditional Wholesale Channels: </w:t>
      </w:r>
      <w:r>
        <w:rPr>
          <w:rFonts w:ascii="Arial" w:cs="Arial" w:eastAsia="Arial" w:hAnsi="Arial"/>
          <w:sz w:val="18"/>
          <w:szCs w:val="18"/>
          <w:color w:val="auto"/>
        </w:rPr>
        <w:t>Customers are shopping less in wholesale channels such as physical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81" w:lineRule="exact"/>
        <w:rPr>
          <w:rFonts w:ascii="Arial" w:cs="Arial" w:eastAsia="Arial" w:hAnsi="Arial"/>
          <w:sz w:val="18"/>
          <w:szCs w:val="18"/>
          <w:color w:val="auto"/>
        </w:rPr>
      </w:pPr>
    </w:p>
    <w:p>
      <w:pPr>
        <w:ind w:left="880" w:right="340" w:hanging="224"/>
        <w:spacing w:after="0" w:line="25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Direct-to-Consumer, or DTC, as an Essential Channel for Every Brand: </w:t>
      </w:r>
      <w:r>
        <w:rPr>
          <w:rFonts w:ascii="Arial" w:cs="Arial" w:eastAsia="Arial" w:hAnsi="Arial"/>
          <w:sz w:val="18"/>
          <w:szCs w:val="18"/>
          <w:color w:val="auto"/>
        </w:rPr>
        <w:t>Given the growth in online and the challenges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traditional wholesale channels, brands are increasingly seeking DTC channels but often lack the financial or human capital to build them.</w:t>
      </w:r>
    </w:p>
    <w:p>
      <w:pPr>
        <w:spacing w:after="0" w:line="74" w:lineRule="exact"/>
        <w:rPr>
          <w:rFonts w:ascii="Arial" w:cs="Arial" w:eastAsia="Arial" w:hAnsi="Arial"/>
          <w:sz w:val="18"/>
          <w:szCs w:val="18"/>
          <w:color w:val="auto"/>
        </w:rPr>
      </w:pPr>
    </w:p>
    <w:p>
      <w:pPr>
        <w:ind w:left="880" w:right="100" w:hanging="224"/>
        <w:spacing w:after="0" w:line="244"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Larger, More Fractured Discovery Landscape: </w:t>
      </w:r>
      <w:r>
        <w:rPr>
          <w:rFonts w:ascii="Arial" w:cs="Arial" w:eastAsia="Arial" w:hAnsi="Arial"/>
          <w:sz w:val="18"/>
          <w:szCs w:val="18"/>
          <w:color w:val="auto"/>
        </w:rPr>
        <w:t>It is increasingly important for brands to innovate their approach to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According to Publicis Sapient, 87% of 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81" w:lineRule="exact"/>
        <w:rPr>
          <w:rFonts w:ascii="Arial" w:cs="Arial" w:eastAsia="Arial" w:hAnsi="Arial"/>
          <w:sz w:val="18"/>
          <w:szCs w:val="18"/>
          <w:color w:val="auto"/>
        </w:rPr>
      </w:pPr>
    </w:p>
    <w:p>
      <w:pPr>
        <w:ind w:left="880" w:right="280" w:hanging="224"/>
        <w:spacing w:after="0" w:line="24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Consumer Base: </w:t>
      </w:r>
      <w:r>
        <w:rPr>
          <w:rFonts w:ascii="Arial" w:cs="Arial" w:eastAsia="Arial" w:hAnsi="Arial"/>
          <w:sz w:val="18"/>
          <w:szCs w:val="18"/>
          <w:color w:val="auto"/>
        </w:rPr>
        <w:t>The combination of a decline in traditional offline channels, the difficulty for brands in moving online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fractured discovery landscape has left brands with</w:t>
      </w:r>
    </w:p>
    <w:p>
      <w:pPr>
        <w:ind w:left="880" w:right="140"/>
        <w:spacing w:after="0" w:line="246" w:lineRule="auto"/>
        <w:rPr>
          <w:rFonts w:ascii="Arial" w:cs="Arial" w:eastAsia="Arial" w:hAnsi="Arial"/>
          <w:sz w:val="18"/>
          <w:szCs w:val="18"/>
          <w:color w:val="auto"/>
        </w:rPr>
      </w:pPr>
      <w:r>
        <w:rPr>
          <w:rFonts w:ascii="Arial" w:cs="Arial" w:eastAsia="Arial" w:hAnsi="Arial"/>
          <w:sz w:val="18"/>
          <w:szCs w:val="18"/>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80" w:lineRule="exact"/>
        <w:rPr>
          <w:rFonts w:ascii="Arial" w:cs="Arial" w:eastAsia="Arial" w:hAnsi="Arial"/>
          <w:sz w:val="18"/>
          <w:szCs w:val="18"/>
          <w:color w:val="auto"/>
        </w:rPr>
      </w:pPr>
    </w:p>
    <w:p>
      <w:pPr>
        <w:ind w:left="880" w:right="80" w:hanging="224"/>
        <w:spacing w:after="0" w:line="242"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Competition from Mass and Fast Fashion: </w:t>
      </w:r>
      <w:r>
        <w:rPr>
          <w:rFonts w:ascii="Arial" w:cs="Arial" w:eastAsia="Arial" w:hAnsi="Arial"/>
          <w:sz w:val="18"/>
          <w:szCs w:val="18"/>
          <w:color w:val="auto"/>
        </w:rPr>
        <w:t>The desire for newness has led to enormous competition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apparel industry from mass and fast fashion brands who can quickly manufacture and copy styles at lower prices than designer brands. In 2020, mass market and fast fashion comprised 42% of the U.S. apparel market up from 31% ten years ago. It has also forced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5"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Refinery29 Survey.</w:t>
      </w:r>
    </w:p>
    <w:p>
      <w:pPr>
        <w:ind w:left="660" w:hanging="544"/>
        <w:spacing w:after="0" w:line="189" w:lineRule="auto"/>
        <w:tabs>
          <w:tab w:leader="none" w:pos="660"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McKinsey &amp; Co., Style That’s Sustainable: A New Fast-Fashion Formula, October 2016.</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hanging="224"/>
        <w:spacing w:after="0" w:line="253"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Importance of Data: </w:t>
      </w:r>
      <w:r>
        <w:rPr>
          <w:rFonts w:ascii="Arial" w:cs="Arial" w:eastAsia="Arial" w:hAnsi="Arial"/>
          <w:sz w:val="18"/>
          <w:szCs w:val="18"/>
          <w:color w:val="auto"/>
        </w:rPr>
        <w:t>Data is critical to helping brands assess their product and efficiently acquire customers. Brands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 information about trends, products quality and fit and need data to help them fuel customer acquisition and loyalty. Through traditional wholesale channels, brands receive very minimal data, and the data they do receive is often a season old.</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Platform: The Closet in the Cloud</w:t>
      </w:r>
    </w:p>
    <w:p>
      <w:pPr>
        <w:spacing w:after="0" w:line="23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We built the world’s first and largest designer rental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w:t>
      </w:r>
    </w:p>
    <w:p>
      <w:pPr>
        <w:spacing w:after="0" w:line="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lifetime customers across all of our offerings and in the first six months of fiscal year 2021 % of our total revenue came from subscribers.</w:t>
      </w:r>
    </w:p>
    <w:p>
      <w:pPr>
        <w:spacing w:after="0" w:line="19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86" w:lineRule="exact"/>
        <w:rPr>
          <w:sz w:val="20"/>
          <w:szCs w:val="20"/>
          <w:color w:val="auto"/>
        </w:rPr>
      </w:pPr>
    </w:p>
    <w:p>
      <w:pPr>
        <w:ind w:left="880" w:hanging="224"/>
        <w:spacing w:after="0" w:line="244"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Our Customers</w:t>
      </w:r>
      <w:r>
        <w:rPr>
          <w:rFonts w:ascii="Arial" w:cs="Arial" w:eastAsia="Arial" w:hAnsi="Arial"/>
          <w:sz w:val="18"/>
          <w:szCs w:val="18"/>
          <w:color w:val="auto"/>
        </w:rPr>
        <w:t>: In fiscal year 2019, approximately 700,000 unique customers discovered and engaged with brands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23</w:t>
      </w:r>
      <w:r>
        <w:rPr>
          <w:rFonts w:ascii="Arial" w:cs="Arial" w:eastAsia="Arial" w:hAnsi="Arial"/>
          <w:sz w:val="18"/>
          <w:szCs w:val="18"/>
          <w:color w:val="auto"/>
        </w:rPr>
        <w:t xml:space="preserve"> We have become an everyday utility, with our most engaged subscribers wearing Rent the Runway more than 100 days per year.</w:t>
      </w:r>
    </w:p>
    <w:p>
      <w:pPr>
        <w:spacing w:after="0" w:line="90" w:lineRule="exact"/>
        <w:rPr>
          <w:sz w:val="20"/>
          <w:szCs w:val="20"/>
          <w:color w:val="auto"/>
        </w:rPr>
      </w:pPr>
    </w:p>
    <w:p>
      <w:pPr>
        <w:ind w:left="1000" w:right="40"/>
        <w:spacing w:after="0" w:line="238" w:lineRule="auto"/>
        <w:rPr>
          <w:sz w:val="20"/>
          <w:szCs w:val="20"/>
          <w:color w:val="auto"/>
        </w:rPr>
      </w:pPr>
      <w:r>
        <w:rPr>
          <w:rFonts w:ascii="Arial" w:cs="Arial" w:eastAsia="Arial" w:hAnsi="Arial"/>
          <w:sz w:val="18"/>
          <w:szCs w:val="18"/>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86"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Our Brand Partners: </w:t>
      </w:r>
      <w:r>
        <w:rPr>
          <w:rFonts w:ascii="Arial" w:cs="Arial" w:eastAsia="Arial" w:hAnsi="Arial"/>
          <w:sz w:val="18"/>
          <w:szCs w:val="18"/>
          <w:color w:val="auto"/>
        </w:rPr>
        <w:t>We source our products directly from over 750 brand partners. Our partners include many of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660" w:right="60" w:hanging="544"/>
        <w:spacing w:after="0" w:line="199" w:lineRule="auto"/>
        <w:tabs>
          <w:tab w:leader="none" w:pos="660" w:val="left"/>
        </w:tabs>
        <w:numPr>
          <w:ilvl w:val="0"/>
          <w:numId w:val="101"/>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5"/>
          <w:szCs w:val="15"/>
          <w:color w:val="auto"/>
        </w:rPr>
        <w:t>24</w:t>
      </w:r>
      <w:r>
        <w:rPr>
          <w:rFonts w:ascii="Arial" w:cs="Arial" w:eastAsia="Arial" w:hAnsi="Arial"/>
          <w:sz w:val="18"/>
          <w:szCs w:val="18"/>
          <w:color w:val="auto"/>
        </w:rPr>
        <w:t xml:space="preserve"> Compared to 2016, our subscribers in fiscal year 2019 rented from 58% more brands and from 39% more aesthetics in their first 30 days as a subscriber. Our deep customer engagement further fuels our data advantage and our value proposition to new and existing brand partners.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and business model are driven by three core advantages:</w:t>
      </w:r>
    </w:p>
    <w:p>
      <w:pPr>
        <w:spacing w:after="0" w:line="95" w:lineRule="exact"/>
        <w:rPr>
          <w:sz w:val="20"/>
          <w:szCs w:val="20"/>
          <w:color w:val="auto"/>
        </w:rPr>
      </w:pPr>
    </w:p>
    <w:p>
      <w:pPr>
        <w:ind w:left="880" w:hanging="224"/>
        <w:spacing w:after="0" w:line="23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Partner Advantage: </w:t>
      </w:r>
      <w:r>
        <w:rPr>
          <w:rFonts w:ascii="Arial" w:cs="Arial" w:eastAsia="Arial" w:hAnsi="Arial"/>
          <w:sz w:val="18"/>
          <w:szCs w:val="18"/>
          <w:color w:val="auto"/>
        </w:rPr>
        <w:t>Unlike most other players in the secondhand economy, we procure our assortment directly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w:t>
      </w:r>
    </w:p>
    <w:p>
      <w:pPr>
        <w:spacing w:after="0" w:line="4" w:lineRule="exact"/>
        <w:rPr>
          <w:rFonts w:ascii="Arial" w:cs="Arial" w:eastAsia="Arial" w:hAnsi="Arial"/>
          <w:sz w:val="18"/>
          <w:szCs w:val="18"/>
          <w:color w:val="auto"/>
        </w:rPr>
      </w:pPr>
    </w:p>
    <w:p>
      <w:pPr>
        <w:ind w:left="880" w:right="420"/>
        <w:spacing w:after="0" w:line="246" w:lineRule="auto"/>
        <w:rPr>
          <w:rFonts w:ascii="Arial" w:cs="Arial" w:eastAsia="Arial" w:hAnsi="Arial"/>
          <w:sz w:val="18"/>
          <w:szCs w:val="18"/>
          <w:color w:val="auto"/>
        </w:rPr>
      </w:pPr>
      <w:r>
        <w:rPr>
          <w:rFonts w:ascii="Arial" w:cs="Arial" w:eastAsia="Arial" w:hAnsi="Arial"/>
          <w:sz w:val="18"/>
          <w:szCs w:val="18"/>
          <w:color w:val="auto"/>
        </w:rPr>
        <w:t>revenue share arrangements through our “Share by RTR” capability and co-manufacturing of “Exclusive Designs” driven by RTR’s data platform. 91% of our brand partners say that they see RTR as part of the future of fashion.</w:t>
      </w:r>
    </w:p>
    <w:p>
      <w:pPr>
        <w:spacing w:after="0" w:line="80" w:lineRule="exact"/>
        <w:rPr>
          <w:rFonts w:ascii="Arial" w:cs="Arial" w:eastAsia="Arial" w:hAnsi="Arial"/>
          <w:sz w:val="18"/>
          <w:szCs w:val="18"/>
          <w:color w:val="auto"/>
        </w:rPr>
      </w:pPr>
    </w:p>
    <w:p>
      <w:pPr>
        <w:ind w:left="880" w:right="80" w:hanging="224"/>
        <w:spacing w:after="0" w:line="244"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Data Advantage: </w:t>
      </w:r>
      <w:r>
        <w:rPr>
          <w:rFonts w:ascii="Arial" w:cs="Arial" w:eastAsia="Arial" w:hAnsi="Arial"/>
          <w:sz w:val="18"/>
          <w:szCs w:val="18"/>
          <w:color w:val="auto"/>
        </w:rPr>
        <w:t>Our ability to best serve customers and brand partners stems from our deep understanding of both sides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81" w:lineRule="exact"/>
        <w:rPr>
          <w:rFonts w:ascii="Arial" w:cs="Arial" w:eastAsia="Arial" w:hAnsi="Arial"/>
          <w:sz w:val="18"/>
          <w:szCs w:val="18"/>
          <w:color w:val="auto"/>
        </w:rPr>
      </w:pPr>
    </w:p>
    <w:p>
      <w:pPr>
        <w:ind w:left="880" w:right="100" w:hanging="224"/>
        <w:spacing w:after="0" w:line="242"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Technology and Logistics Advantage: </w:t>
      </w:r>
      <w:r>
        <w:rPr>
          <w:rFonts w:ascii="Arial" w:cs="Arial" w:eastAsia="Arial" w:hAnsi="Arial"/>
          <w:sz w:val="18"/>
          <w:szCs w:val="18"/>
          <w:color w:val="auto"/>
        </w:rPr>
        <w:t>Over the last 12 years, we have developed a proprietary operating system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660" w:hanging="544"/>
        <w:spacing w:after="0"/>
        <w:tabs>
          <w:tab w:leader="none" w:pos="660" w:val="left"/>
        </w:tabs>
        <w:numPr>
          <w:ilvl w:val="0"/>
          <w:numId w:val="103"/>
        </w:numPr>
        <w:rPr>
          <w:rFonts w:ascii="Arial" w:cs="Arial" w:eastAsia="Arial" w:hAnsi="Arial"/>
          <w:sz w:val="24"/>
          <w:szCs w:val="24"/>
          <w:color w:val="auto"/>
          <w:vertAlign w:val="superscript"/>
        </w:rPr>
      </w:pPr>
      <w:r>
        <w:rPr>
          <w:rFonts w:ascii="Arial" w:cs="Arial" w:eastAsia="Arial" w:hAnsi="Arial"/>
          <w:sz w:val="14"/>
          <w:szCs w:val="14"/>
          <w:color w:val="auto"/>
        </w:rPr>
        <w:t>Average subscriber wears calculated based on subscriber engagement in calendar year 2019 on an annualized basis.</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00"/>
        <w:spacing w:after="0"/>
        <w:rPr>
          <w:sz w:val="20"/>
          <w:szCs w:val="20"/>
          <w:color w:val="auto"/>
        </w:rPr>
      </w:pPr>
      <w:r>
        <w:rPr>
          <w:rFonts w:ascii="Arial" w:cs="Arial" w:eastAsia="Arial" w:hAnsi="Arial"/>
          <w:sz w:val="18"/>
          <w:szCs w:val="18"/>
          <w:color w:val="auto"/>
        </w:rPr>
        <w:t>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$15.8 billion in GMV.</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How It Works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customers three ways to access our closet: subscription, a-la-carte rentals and resale.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Browse</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3" w:lineRule="exact"/>
        <w:rPr>
          <w:sz w:val="20"/>
          <w:szCs w:val="20"/>
          <w:color w:val="auto"/>
        </w:rPr>
      </w:pPr>
    </w:p>
    <w:p>
      <w:pPr>
        <w:jc w:val="both"/>
        <w:ind w:left="120" w:right="80" w:firstLine="551"/>
        <w:spacing w:after="0" w:line="246" w:lineRule="auto"/>
        <w:rPr>
          <w:sz w:val="20"/>
          <w:szCs w:val="20"/>
          <w:color w:val="auto"/>
        </w:rPr>
      </w:pPr>
      <w:r>
        <w:rPr>
          <w:rFonts w:ascii="Arial" w:cs="Arial" w:eastAsia="Arial" w:hAnsi="Arial"/>
          <w:sz w:val="18"/>
          <w:szCs w:val="18"/>
          <w:color w:val="auto"/>
        </w:rPr>
        <w:t>Once customers find a style they love, they choose to access it through our monthly subscription offering or an a-la-carte rental, or purchase the item.</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w:t>
      </w:r>
    </w:p>
    <w:p>
      <w:pPr>
        <w:spacing w:after="0" w:line="108" w:lineRule="exact"/>
        <w:rPr>
          <w:sz w:val="20"/>
          <w:szCs w:val="20"/>
          <w:color w:val="auto"/>
        </w:rPr>
      </w:pPr>
    </w:p>
    <w:p>
      <w:pPr>
        <w:jc w:val="both"/>
        <w:ind w:left="120" w:right="80" w:firstLine="551"/>
        <w:spacing w:after="0" w:line="245" w:lineRule="auto"/>
        <w:rPr>
          <w:sz w:val="20"/>
          <w:szCs w:val="20"/>
          <w:color w:val="auto"/>
        </w:rPr>
      </w:pPr>
      <w:r>
        <w:rPr>
          <w:rFonts w:ascii="Arial" w:cs="Arial" w:eastAsia="Arial" w:hAnsi="Arial"/>
          <w:sz w:val="18"/>
          <w:szCs w:val="18"/>
          <w:i w:val="1"/>
          <w:iCs w:val="1"/>
          <w:color w:val="auto"/>
        </w:rPr>
        <w:t xml:space="preserve">Pick a Plan. </w:t>
      </w:r>
      <w:r>
        <w:rPr>
          <w:rFonts w:ascii="Arial" w:cs="Arial" w:eastAsia="Arial" w:hAnsi="Arial"/>
          <w:sz w:val="18"/>
          <w:szCs w:val="18"/>
          <w:color w:val="auto"/>
        </w:rPr>
        <w:t>While our subscription plans are customizable, when customers subscribe to the Closet in the Cloud, they select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181" w:lineRule="exact"/>
        <w:rPr>
          <w:sz w:val="20"/>
          <w:szCs w:val="20"/>
          <w:color w:val="auto"/>
        </w:rPr>
      </w:pPr>
    </w:p>
    <w:p>
      <w:pPr>
        <w:ind w:left="120" w:right="180" w:firstLine="551"/>
        <w:spacing w:after="0" w:line="267" w:lineRule="auto"/>
        <w:rPr>
          <w:sz w:val="20"/>
          <w:szCs w:val="20"/>
          <w:color w:val="auto"/>
        </w:rPr>
      </w:pPr>
      <w:r>
        <w:rPr>
          <w:rFonts w:ascii="Arial" w:cs="Arial" w:eastAsia="Arial" w:hAnsi="Arial"/>
          <w:sz w:val="18"/>
          <w:szCs w:val="18"/>
          <w:i w:val="1"/>
          <w:iCs w:val="1"/>
          <w:color w:val="auto"/>
        </w:rPr>
        <w:t xml:space="preserve">Customize. </w:t>
      </w:r>
      <w:r>
        <w:rPr>
          <w:rFonts w:ascii="Arial" w:cs="Arial" w:eastAsia="Arial" w:hAnsi="Arial"/>
          <w:sz w:val="18"/>
          <w:szCs w:val="18"/>
          <w:color w:val="auto"/>
        </w:rPr>
        <w:t>Subscribers can customize their plans to adapt to their changing lifestyles, needs and budgets by adding or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spots for $25 or $29 per item per month and shipments for $25 - $39 per shipment per month, as they see fit.</w:t>
      </w:r>
    </w:p>
    <w:p>
      <w:pPr>
        <w:spacing w:after="0" w:line="160" w:lineRule="exact"/>
        <w:rPr>
          <w:sz w:val="20"/>
          <w:szCs w:val="20"/>
          <w:color w:val="auto"/>
        </w:rPr>
      </w:pPr>
    </w:p>
    <w:p>
      <w:pPr>
        <w:ind w:left="120" w:right="80" w:firstLine="551"/>
        <w:spacing w:after="0" w:line="267" w:lineRule="auto"/>
        <w:rPr>
          <w:sz w:val="20"/>
          <w:szCs w:val="20"/>
          <w:color w:val="auto"/>
        </w:rPr>
      </w:pPr>
      <w:r>
        <w:rPr>
          <w:rFonts w:ascii="Arial" w:cs="Arial" w:eastAsia="Arial" w:hAnsi="Arial"/>
          <w:sz w:val="18"/>
          <w:szCs w:val="18"/>
          <w:i w:val="1"/>
          <w:iCs w:val="1"/>
          <w:color w:val="auto"/>
        </w:rPr>
        <w:t xml:space="preserve">Choose Items. </w:t>
      </w:r>
      <w:r>
        <w:rPr>
          <w:rFonts w:ascii="Arial" w:cs="Arial" w:eastAsia="Arial" w:hAnsi="Arial"/>
          <w:sz w:val="18"/>
          <w:szCs w:val="18"/>
          <w:color w:val="auto"/>
        </w:rPr>
        <w:t>After picking a plan, subscribers browse our broad assortment of items to build their first shipment. Our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visit our app five times per week.</w:t>
      </w:r>
    </w:p>
    <w:p>
      <w:pPr>
        <w:spacing w:after="0" w:line="17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pacing w:after="0" w:line="184" w:lineRule="exact"/>
        <w:rPr>
          <w:sz w:val="20"/>
          <w:szCs w:val="20"/>
          <w:color w:val="auto"/>
        </w:rPr>
      </w:pPr>
    </w:p>
    <w:p>
      <w:pPr>
        <w:ind w:left="120" w:right="560" w:firstLine="551"/>
        <w:spacing w:after="0" w:line="267" w:lineRule="auto"/>
        <w:rPr>
          <w:sz w:val="20"/>
          <w:szCs w:val="20"/>
          <w:color w:val="auto"/>
        </w:rPr>
      </w:pPr>
      <w:r>
        <w:rPr>
          <w:rFonts w:ascii="Arial" w:cs="Arial" w:eastAsia="Arial" w:hAnsi="Arial"/>
          <w:sz w:val="18"/>
          <w:szCs w:val="18"/>
          <w:i w:val="1"/>
          <w:iCs w:val="1"/>
          <w:color w:val="auto"/>
        </w:rPr>
        <w:t xml:space="preserve">Wear, Repeat. </w:t>
      </w:r>
      <w:r>
        <w:rPr>
          <w:rFonts w:ascii="Arial" w:cs="Arial" w:eastAsia="Arial" w:hAnsi="Arial"/>
          <w:sz w:val="18"/>
          <w:szCs w:val="18"/>
          <w:color w:val="auto"/>
        </w:rPr>
        <w:t>When subscribers place an order, we aim to deliver their order within two days of shipping from our fulfillment</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in our patented, reusable garment bags, cleaned and ready to wear.</w:t>
      </w:r>
    </w:p>
    <w:p>
      <w:pPr>
        <w:spacing w:after="0" w:line="178" w:lineRule="exact"/>
        <w:rPr>
          <w:sz w:val="20"/>
          <w:szCs w:val="20"/>
          <w:color w:val="auto"/>
        </w:rPr>
      </w:pPr>
    </w:p>
    <w:p>
      <w:pPr>
        <w:ind w:left="120" w:right="480" w:firstLine="551"/>
        <w:spacing w:after="0"/>
        <w:rPr>
          <w:sz w:val="20"/>
          <w:szCs w:val="20"/>
          <w:color w:val="auto"/>
        </w:rPr>
      </w:pPr>
      <w:r>
        <w:rPr>
          <w:rFonts w:ascii="Arial" w:cs="Arial" w:eastAsia="Arial" w:hAnsi="Arial"/>
          <w:sz w:val="18"/>
          <w:szCs w:val="18"/>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3"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Subscribers give us real-time feedback on the size, fit and quality of the items they are returning every time they rent. The structured data we collect through our “happiness survey” allows us to both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improve her experience as well as optimize our care and therefore return on investment of the items returned. As of June 2021, we’ve collected over 20 million happiness surveys since this feedback collection feature launched in June 2017.</w:t>
      </w:r>
    </w:p>
    <w:p>
      <w:pPr>
        <w:spacing w:after="0" w:line="197"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 Value Proposition</w:t>
      </w:r>
    </w:p>
    <w:p>
      <w:pPr>
        <w:spacing w:after="0" w:line="234"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outside the Top 100 U.S. cities.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 portion of our customers are subscribers and for fiscal year 2020, they accounted for 89% of our revenue and %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tabs>
          <w:tab w:leader="none" w:pos="9060" w:val="left"/>
        </w:tabs>
        <w:rPr>
          <w:sz w:val="20"/>
          <w:szCs w:val="20"/>
          <w:color w:val="auto"/>
        </w:rPr>
      </w:pPr>
      <w:r>
        <w:rPr>
          <w:rFonts w:ascii="Arial" w:cs="Arial" w:eastAsia="Arial" w:hAnsi="Arial"/>
          <w:sz w:val="18"/>
          <w:szCs w:val="18"/>
          <w:color w:val="auto"/>
        </w:rPr>
        <w:t>cities by population, and approximately 53% lived outside the Top 100 U.S. cities. As of July 31, 2021, we had</w:t>
        <w:tab/>
        <w:t>active subscribers on</w:t>
      </w:r>
    </w:p>
    <w:p>
      <w:pPr>
        <w:ind w:left="120" w:right="160"/>
        <w:spacing w:after="0" w:line="246" w:lineRule="auto"/>
        <w:rPr>
          <w:sz w:val="20"/>
          <w:szCs w:val="20"/>
          <w:color w:val="auto"/>
        </w:rPr>
      </w:pPr>
      <w:r>
        <w:rPr>
          <w:rFonts w:ascii="Arial" w:cs="Arial" w:eastAsia="Arial" w:hAnsi="Arial"/>
          <w:sz w:val="18"/>
          <w:szCs w:val="18"/>
          <w:color w:val="auto"/>
        </w:rPr>
        <w:t>Rent the Runway and total subscribers including paused subscribers. Many of our subscribers started as customers in Reserve and Resale and we continue to see activation from Reserve and Resale customers into subscribers for many years.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Magic of Rent the Runway</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When our customers use Rent the Runway, they experience the magic of accessing an “Unlimited Closet” of constantly rotating styles while saving money and time and reducing clothing waste.</w:t>
      </w:r>
    </w:p>
    <w:p>
      <w:pPr>
        <w:spacing w:after="0" w:line="80" w:lineRule="exact"/>
        <w:rPr>
          <w:sz w:val="20"/>
          <w:szCs w:val="20"/>
          <w:color w:val="auto"/>
        </w:rPr>
      </w:pPr>
    </w:p>
    <w:p>
      <w:pPr>
        <w:ind w:left="880" w:right="80" w:hanging="224"/>
        <w:spacing w:after="0" w:line="242"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Variety and Discovery. </w:t>
      </w:r>
      <w:r>
        <w:rPr>
          <w:rFonts w:ascii="Arial" w:cs="Arial" w:eastAsia="Arial" w:hAnsi="Arial"/>
          <w:sz w:val="18"/>
          <w:szCs w:val="18"/>
          <w:color w:val="auto"/>
        </w:rPr>
        <w:t>With over 18,000 styles across over 750 brands and hundreds of categories available in our Closet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Cloud, Rent the Runway gives customers the ability to always wear something new to them and encourages customers to expand their fashion tastes.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84" w:lineRule="exact"/>
        <w:rPr>
          <w:rFonts w:ascii="Arial" w:cs="Arial" w:eastAsia="Arial" w:hAnsi="Arial"/>
          <w:sz w:val="18"/>
          <w:szCs w:val="18"/>
          <w:color w:val="auto"/>
        </w:rPr>
      </w:pPr>
    </w:p>
    <w:p>
      <w:pPr>
        <w:ind w:left="880" w:hanging="224"/>
        <w:spacing w:after="0" w:line="239"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w:t>
      </w:r>
      <w:r>
        <w:rPr>
          <w:rFonts w:ascii="Arial" w:cs="Arial" w:eastAsia="Arial" w:hAnsi="Arial"/>
          <w:sz w:val="18"/>
          <w:szCs w:val="18"/>
          <w:color w:val="auto"/>
        </w:rPr>
        <w:t>Rent the Runway makes thousands of designer styles accessible to all through our Subscription offering for a flat monthly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 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85"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Self-Confidence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83% of our subscribers say RTR makes them the most confident version of themselves at work or in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81" w:lineRule="exact"/>
        <w:rPr>
          <w:rFonts w:ascii="Arial" w:cs="Arial" w:eastAsia="Arial" w:hAnsi="Arial"/>
          <w:sz w:val="18"/>
          <w:szCs w:val="18"/>
          <w:color w:val="auto"/>
        </w:rPr>
      </w:pPr>
    </w:p>
    <w:p>
      <w:pPr>
        <w:ind w:left="880" w:right="2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Personalization and Convenience. </w:t>
      </w:r>
      <w:r>
        <w:rPr>
          <w:rFonts w:ascii="Arial" w:cs="Arial" w:eastAsia="Arial" w:hAnsi="Arial"/>
          <w:sz w:val="18"/>
          <w:szCs w:val="18"/>
          <w:color w:val="auto"/>
        </w:rPr>
        <w:t>We use our rich customer data to create a personalized storefront for customers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85"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and Community. </w:t>
      </w:r>
      <w:r>
        <w:rPr>
          <w:rFonts w:ascii="Arial" w:cs="Arial" w:eastAsia="Arial" w:hAnsi="Arial"/>
          <w:sz w:val="18"/>
          <w:szCs w:val="18"/>
          <w:color w:val="auto"/>
        </w:rPr>
        <w:t>Our customers are deeply engaged, as evidenced by the 22 million customer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submitted through June 2021. As of June 2021, 20% of our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spacing w:after="0" w:line="238" w:lineRule="auto"/>
        <w:rPr>
          <w:sz w:val="20"/>
          <w:szCs w:val="20"/>
          <w:color w:val="auto"/>
        </w:rPr>
      </w:pPr>
      <w:r>
        <w:rPr>
          <w:rFonts w:ascii="Arial" w:cs="Arial" w:eastAsia="Arial" w:hAnsi="Arial"/>
          <w:sz w:val="18"/>
          <w:szCs w:val="18"/>
          <w:color w:val="auto"/>
        </w:rPr>
        <w:t>customers in the past six months have provided a photo with their review on RTR without 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86" w:lineRule="exact"/>
        <w:rPr>
          <w:sz w:val="20"/>
          <w:szCs w:val="20"/>
          <w:color w:val="auto"/>
        </w:rPr>
      </w:pPr>
    </w:p>
    <w:p>
      <w:pPr>
        <w:ind w:left="880" w:hanging="224"/>
        <w:spacing w:after="0" w:line="244"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Sustainability. </w:t>
      </w:r>
      <w:r>
        <w:rPr>
          <w:rFonts w:ascii="Arial" w:cs="Arial" w:eastAsia="Arial" w:hAnsi="Arial"/>
          <w:sz w:val="18"/>
          <w:szCs w:val="18"/>
          <w:color w:val="auto"/>
        </w:rPr>
        <w:t>Our business model aims to teach customers a rent versus buy mindset when it comes to building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Brand Value Proposition</w:t>
      </w:r>
    </w:p>
    <w:p>
      <w:pPr>
        <w:spacing w:after="0" w:line="234"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January 31, 2021, no single brand partner accounted for more than 2% of active units available on the RTR platform.</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control how they appear to a new and critical customer segment.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for Brands</w:t>
      </w:r>
    </w:p>
    <w:p>
      <w:pPr>
        <w:spacing w:after="0" w:line="126"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When our brand partners join Rent the Runway, they trust that our platform will grow their customer base, build their brand awareness and enable them to innovate their business.</w:t>
      </w:r>
    </w:p>
    <w:p>
      <w:pPr>
        <w:spacing w:after="0" w:line="80" w:lineRule="exact"/>
        <w:rPr>
          <w:sz w:val="20"/>
          <w:szCs w:val="20"/>
          <w:color w:val="auto"/>
        </w:rPr>
      </w:pPr>
    </w:p>
    <w:p>
      <w:pPr>
        <w:ind w:left="880" w:right="240" w:hanging="224"/>
        <w:spacing w:after="0" w:line="253"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Brand. </w:t>
      </w:r>
      <w:r>
        <w:rPr>
          <w:rFonts w:ascii="Arial" w:cs="Arial" w:eastAsia="Arial" w:hAnsi="Arial"/>
          <w:sz w:val="18"/>
          <w:szCs w:val="18"/>
          <w:color w:val="auto"/>
        </w:rPr>
        <w:t>Rent the Runway is a trusted platform for discovery and access, and we present our brand partners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74" w:lineRule="exact"/>
        <w:rPr>
          <w:rFonts w:ascii="Arial" w:cs="Arial" w:eastAsia="Arial" w:hAnsi="Arial"/>
          <w:sz w:val="18"/>
          <w:szCs w:val="18"/>
          <w:color w:val="auto"/>
        </w:rPr>
      </w:pPr>
    </w:p>
    <w:p>
      <w:pPr>
        <w:jc w:val="both"/>
        <w:ind w:left="880" w:right="20" w:hanging="224"/>
        <w:spacing w:after="0" w:line="275"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Discovery and Acquisition. </w:t>
      </w:r>
      <w:r>
        <w:rPr>
          <w:rFonts w:ascii="Arial" w:cs="Arial" w:eastAsia="Arial" w:hAnsi="Arial"/>
          <w:sz w:val="17"/>
          <w:szCs w:val="17"/>
          <w:color w:val="auto"/>
        </w:rPr>
        <w:t>With over 2.5 million lifetime customers as of June 2021 across all offerings,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brand partners with a new way to reach both current luxury consumers and aspirational luxury consumers. 91% of our brand partners say that RTR introduces them to new, desirable customers and deepens awareness of their brand. The value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
        <w:spacing w:after="0" w:line="238" w:lineRule="auto"/>
        <w:rPr>
          <w:sz w:val="20"/>
          <w:szCs w:val="20"/>
          <w:color w:val="auto"/>
        </w:rPr>
      </w:pPr>
      <w:r>
        <w:rPr>
          <w:rFonts w:ascii="Arial" w:cs="Arial" w:eastAsia="Arial" w:hAnsi="Arial"/>
          <w:sz w:val="18"/>
          <w:szCs w:val="18"/>
          <w:color w:val="auto"/>
        </w:rPr>
        <w:t>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88" w:lineRule="exact"/>
        <w:rPr>
          <w:sz w:val="20"/>
          <w:szCs w:val="20"/>
          <w:color w:val="auto"/>
        </w:rPr>
      </w:pPr>
    </w:p>
    <w:p>
      <w:pPr>
        <w:ind w:left="880" w:right="40" w:hanging="224"/>
        <w:spacing w:after="0" w:line="23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Their Business. </w:t>
      </w:r>
      <w:r>
        <w:rPr>
          <w:rFonts w:ascii="Arial" w:cs="Arial" w:eastAsia="Arial" w:hAnsi="Arial"/>
          <w:sz w:val="18"/>
          <w:szCs w:val="18"/>
          <w:color w:val="auto"/>
        </w:rPr>
        <w:t>We serve as an important channel for over 750 brands that see us as essential to their future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w:t>
      </w:r>
    </w:p>
    <w:p>
      <w:pPr>
        <w:spacing w:after="0" w:line="91" w:lineRule="exact"/>
        <w:rPr>
          <w:rFonts w:ascii="Arial" w:cs="Arial" w:eastAsia="Arial" w:hAnsi="Arial"/>
          <w:sz w:val="18"/>
          <w:szCs w:val="18"/>
          <w:color w:val="auto"/>
        </w:rPr>
      </w:pPr>
    </w:p>
    <w:p>
      <w:pPr>
        <w:ind w:left="880" w:right="380" w:hanging="224"/>
        <w:spacing w:after="0" w:line="253"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Profitable Partnership. </w:t>
      </w:r>
      <w:r>
        <w:rPr>
          <w:rFonts w:ascii="Arial" w:cs="Arial" w:eastAsia="Arial" w:hAnsi="Arial"/>
          <w:sz w:val="18"/>
          <w:szCs w:val="18"/>
          <w:color w:val="auto"/>
        </w:rPr>
        <w:t>We are a more profitable partner to brands than legacy retailers because we do not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to sign margin agreements with us or return-to-vendor agreements, which have historically levied brands with higher inventory risk than their retail partners.</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Compete with Mass and Fast Fashion. </w:t>
      </w:r>
      <w:r>
        <w:rPr>
          <w:rFonts w:ascii="Arial" w:cs="Arial" w:eastAsia="Arial" w:hAnsi="Arial"/>
          <w:sz w:val="18"/>
          <w:szCs w:val="18"/>
          <w:color w:val="auto"/>
        </w:rPr>
        <w:t>We enable brands to compete with wear-it-once, mass and fast fashion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79" w:lineRule="exact"/>
        <w:rPr>
          <w:rFonts w:ascii="Arial" w:cs="Arial" w:eastAsia="Arial" w:hAnsi="Arial"/>
          <w:sz w:val="18"/>
          <w:szCs w:val="18"/>
          <w:color w:val="auto"/>
        </w:rPr>
      </w:pPr>
    </w:p>
    <w:p>
      <w:pPr>
        <w:ind w:left="880" w:right="160" w:hanging="224"/>
        <w:spacing w:after="0" w:line="244"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w:t>
      </w:r>
      <w:r>
        <w:rPr>
          <w:rFonts w:ascii="Arial" w:cs="Arial" w:eastAsia="Arial" w:hAnsi="Arial"/>
          <w:sz w:val="18"/>
          <w:szCs w:val="18"/>
          <w:color w:val="auto"/>
        </w:rPr>
        <w:t>We provide our brand partners with actionable data and customer feedback that is not available via traditional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81" w:lineRule="exact"/>
        <w:rPr>
          <w:rFonts w:ascii="Arial" w:cs="Arial" w:eastAsia="Arial" w:hAnsi="Arial"/>
          <w:sz w:val="18"/>
          <w:szCs w:val="18"/>
          <w:color w:val="auto"/>
        </w:rPr>
      </w:pPr>
    </w:p>
    <w:p>
      <w:pPr>
        <w:ind w:left="880" w:right="300" w:hanging="224"/>
        <w:spacing w:after="0" w:line="253"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Sustainability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allows brands to participate in the circular economy and provides a way for them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secondhand market. As of June 2021, 80.6% of our brand partners believed that sustainability is important to their brand’s customer and 67% believed that RTR is an important part of their business’s sustainability strategy.</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Unique Brand Partner Approach</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8"/>
          <w:szCs w:val="18"/>
          <w:i w:val="1"/>
          <w:iCs w:val="1"/>
          <w:color w:val="auto"/>
        </w:rPr>
        <w:t>.</w:t>
      </w:r>
      <w:r>
        <w:rPr>
          <w:rFonts w:ascii="Arial" w:cs="Arial" w:eastAsia="Arial" w:hAnsi="Arial"/>
          <w:sz w:val="18"/>
          <w:szCs w:val="18"/>
          <w:color w:val="auto"/>
        </w:rPr>
        <w:t xml:space="preserve"> The portion of our products sourced through Share by RTR and Exclusive Designs - our more asset-light sources - has grown from approximately 26% in fiscal year 2019 to approximately 54% in fiscal year 2020. Due to the strength 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60"/>
        <w:spacing w:after="0" w:line="246" w:lineRule="auto"/>
        <w:rPr>
          <w:sz w:val="20"/>
          <w:szCs w:val="20"/>
          <w:color w:val="auto"/>
        </w:rPr>
      </w:pPr>
      <w:r>
        <w:rPr>
          <w:rFonts w:ascii="Arial" w:cs="Arial" w:eastAsia="Arial" w:hAnsi="Arial"/>
          <w:sz w:val="18"/>
          <w:szCs w:val="18"/>
          <w:color w:val="auto"/>
        </w:rPr>
        <w:t>our partnerships we are able to customize some of the styles we acquire, whether it is changing fabrics used or the way an item is manufactured to extend its longevity. Customization represents 28% of all styles acquired in fiscal year 2020.</w:t>
      </w:r>
    </w:p>
    <w:p>
      <w:pPr>
        <w:spacing w:after="0" w:line="197"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Wholesale</w:t>
      </w:r>
    </w:p>
    <w:p>
      <w:pPr>
        <w:spacing w:after="0" w:line="126"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by RTR</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Designs</w:t>
      </w:r>
    </w:p>
    <w:p>
      <w:pPr>
        <w:spacing w:after="0" w:line="126" w:lineRule="exact"/>
        <w:rPr>
          <w:sz w:val="20"/>
          <w:szCs w:val="20"/>
          <w:color w:val="auto"/>
        </w:rPr>
      </w:pPr>
    </w:p>
    <w:p>
      <w:pPr>
        <w:jc w:val="both"/>
        <w:ind w:left="120" w:right="80" w:firstLine="551"/>
        <w:spacing w:after="0" w:line="238" w:lineRule="auto"/>
        <w:rPr>
          <w:sz w:val="20"/>
          <w:szCs w:val="20"/>
          <w:color w:val="auto"/>
        </w:rPr>
      </w:pPr>
      <w:r>
        <w:rPr>
          <w:rFonts w:ascii="Arial" w:cs="Arial" w:eastAsia="Arial" w:hAnsi="Arial"/>
          <w:sz w:val="18"/>
          <w:szCs w:val="18"/>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 Runway, which we have not begun to earn to date.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Rent the Runway Virality and Marketing Strategy</w:t>
      </w:r>
    </w:p>
    <w:p>
      <w:pPr>
        <w:spacing w:after="0" w:line="234"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Our brand and deeply engaged consumer base have allowed us to acquire customers efficiently. Since our founding, we have spent less than 10% of total revenue on marketing, and our growth has been mostly organic. More than 88% of our customers over the last 12 years have been acquired via word of mouth. As of June 2021, we have had close to 3 trillion earned media impressions since 2018.</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10,000 brand ambassadors, programmatic directed spend and affiliate marketing.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Data Advantage</w:t>
      </w:r>
    </w:p>
    <w:p>
      <w:pPr>
        <w:spacing w:after="0" w:line="234"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gather insights from the following:</w:t>
      </w:r>
    </w:p>
    <w:p>
      <w:pPr>
        <w:spacing w:after="0" w:line="95" w:lineRule="exact"/>
        <w:rPr>
          <w:sz w:val="20"/>
          <w:szCs w:val="20"/>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Site Data: </w:t>
      </w:r>
      <w:r>
        <w:rPr>
          <w:rFonts w:ascii="Arial" w:cs="Arial" w:eastAsia="Arial" w:hAnsi="Arial"/>
          <w:sz w:val="18"/>
          <w:szCs w:val="18"/>
          <w:color w:val="auto"/>
        </w:rPr>
        <w:t>Site activity, including hearts and dislikes, shortlists, clicks, browse time, and add to carts.</w:t>
      </w:r>
    </w:p>
    <w:p>
      <w:pPr>
        <w:spacing w:after="0" w:line="117" w:lineRule="exact"/>
        <w:rPr>
          <w:rFonts w:ascii="Arial" w:cs="Arial" w:eastAsia="Arial" w:hAnsi="Arial"/>
          <w:sz w:val="18"/>
          <w:szCs w:val="18"/>
          <w:color w:val="auto"/>
        </w:rPr>
      </w:pPr>
    </w:p>
    <w:p>
      <w:pPr>
        <w:jc w:val="both"/>
        <w:ind w:left="880" w:right="60" w:hanging="224"/>
        <w:spacing w:after="0" w:line="301" w:lineRule="auto"/>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Post-Rental Feedback Loop</w:t>
      </w:r>
      <w:r>
        <w:rPr>
          <w:rFonts w:ascii="Arial" w:cs="Arial" w:eastAsia="Arial" w:hAnsi="Arial"/>
          <w:sz w:val="17"/>
          <w:szCs w:val="17"/>
          <w:color w:val="auto"/>
        </w:rPr>
        <w:t>: Overall happiness with experience, single-SKU usage including how many times she wears each</w:t>
      </w:r>
      <w:r>
        <w:rPr>
          <w:rFonts w:ascii="Arial" w:cs="Arial" w:eastAsia="Arial" w:hAnsi="Arial"/>
          <w:sz w:val="17"/>
          <w:szCs w:val="17"/>
          <w:b w:val="1"/>
          <w:bCs w:val="1"/>
          <w:color w:val="auto"/>
        </w:rPr>
        <w:t xml:space="preserve"> </w:t>
      </w:r>
      <w:r>
        <w:rPr>
          <w:rFonts w:ascii="Arial" w:cs="Arial" w:eastAsia="Arial" w:hAnsi="Arial"/>
          <w:sz w:val="17"/>
          <w:szCs w:val="17"/>
          <w:color w:val="auto"/>
        </w:rPr>
        <w:t>item, fit across many dimensions (for example, if the item is too small in her waist), quality of the item, and occasion she wore it.</w:t>
      </w:r>
    </w:p>
    <w:p>
      <w:pPr>
        <w:spacing w:after="0" w:line="36" w:lineRule="exact"/>
        <w:rPr>
          <w:rFonts w:ascii="Arial" w:cs="Arial" w:eastAsia="Arial" w:hAnsi="Arial"/>
          <w:sz w:val="17"/>
          <w:szCs w:val="17"/>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Operations</w:t>
      </w:r>
      <w:r>
        <w:rPr>
          <w:rFonts w:ascii="Arial" w:cs="Arial" w:eastAsia="Arial" w:hAnsi="Arial"/>
          <w:sz w:val="18"/>
          <w:szCs w:val="18"/>
          <w:color w:val="auto"/>
        </w:rPr>
        <w:t>: Unit-level wears, cleans, repairs and customer damage data, and insight on fabrics and garment specs.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Customer Data</w:t>
      </w:r>
      <w:r>
        <w:rPr>
          <w:rFonts w:ascii="Arial" w:cs="Arial" w:eastAsia="Arial" w:hAnsi="Arial"/>
          <w:sz w:val="18"/>
          <w:szCs w:val="18"/>
          <w:color w:val="auto"/>
        </w:rPr>
        <w:t>: Photo reviews, events, preferences, size and body dimensions, life stage, and profession.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way we collect data also differentiates us:</w:t>
      </w:r>
    </w:p>
    <w:p>
      <w:pPr>
        <w:spacing w:after="0" w:line="95" w:lineRule="exact"/>
        <w:rPr>
          <w:sz w:val="20"/>
          <w:szCs w:val="20"/>
          <w:color w:val="auto"/>
        </w:rPr>
      </w:pPr>
    </w:p>
    <w:p>
      <w:pPr>
        <w:ind w:left="880" w:right="340" w:hanging="224"/>
        <w:spacing w:after="0" w:line="253"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Depth of Data: </w:t>
      </w:r>
      <w:r>
        <w:rPr>
          <w:rFonts w:ascii="Arial" w:cs="Arial" w:eastAsia="Arial" w:hAnsi="Arial"/>
          <w:sz w:val="18"/>
          <w:szCs w:val="18"/>
          <w:color w:val="auto"/>
        </w:rPr>
        <w:t>Given the frequency of subscriber engagement with RTR (our average subscribers visit our app 20 times per</w:t>
      </w:r>
      <w:r>
        <w:rPr>
          <w:rFonts w:ascii="Arial" w:cs="Arial" w:eastAsia="Arial" w:hAnsi="Arial"/>
          <w:sz w:val="18"/>
          <w:szCs w:val="18"/>
          <w:b w:val="1"/>
          <w:bCs w:val="1"/>
          <w:color w:val="auto"/>
        </w:rPr>
        <w:t xml:space="preserve"> </w:t>
      </w:r>
      <w:r>
        <w:rPr>
          <w:rFonts w:ascii="Arial" w:cs="Arial" w:eastAsia="Arial" w:hAnsi="Arial"/>
          <w:sz w:val="18"/>
          <w:szCs w:val="18"/>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5"/>
          <w:szCs w:val="15"/>
          <w:color w:val="auto"/>
        </w:rPr>
        <w:t>25</w:t>
      </w:r>
      <w:r>
        <w:rPr>
          <w:rFonts w:ascii="Arial" w:cs="Arial" w:eastAsia="Arial" w:hAnsi="Arial"/>
          <w:sz w:val="18"/>
          <w:szCs w:val="18"/>
          <w:color w:val="auto"/>
        </w:rPr>
        <w:t xml:space="preserve"> We also have 12 years of aggregating this data.</w:t>
      </w:r>
    </w:p>
    <w:p>
      <w:pPr>
        <w:spacing w:after="0" w:line="74" w:lineRule="exact"/>
        <w:rPr>
          <w:rFonts w:ascii="Arial" w:cs="Arial" w:eastAsia="Arial" w:hAnsi="Arial"/>
          <w:sz w:val="18"/>
          <w:szCs w:val="18"/>
          <w:color w:val="auto"/>
        </w:rPr>
      </w:pPr>
    </w:p>
    <w:p>
      <w:pPr>
        <w:ind w:left="880" w:right="20" w:hanging="224"/>
        <w:spacing w:after="0" w:line="275"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 xml:space="preserve">Speed of Data: </w:t>
      </w:r>
      <w:r>
        <w:rPr>
          <w:rFonts w:ascii="Arial" w:cs="Arial" w:eastAsia="Arial" w:hAnsi="Arial"/>
          <w:sz w:val="17"/>
          <w:szCs w:val="17"/>
          <w:color w:val="auto"/>
        </w:rPr>
        <w:t>Our real-time feedback from customers enables faster feedback for our brand partners, our buying team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57" w:lineRule="exact"/>
        <w:rPr>
          <w:rFonts w:ascii="Arial" w:cs="Arial" w:eastAsia="Arial" w:hAnsi="Arial"/>
          <w:sz w:val="17"/>
          <w:szCs w:val="17"/>
          <w:color w:val="auto"/>
        </w:rPr>
      </w:pPr>
    </w:p>
    <w:p>
      <w:pPr>
        <w:ind w:left="880" w:hanging="224"/>
        <w:spacing w:after="0" w:line="24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Explicit Data: </w:t>
      </w:r>
      <w:r>
        <w:rPr>
          <w:rFonts w:ascii="Arial" w:cs="Arial" w:eastAsia="Arial" w:hAnsi="Arial"/>
          <w:sz w:val="18"/>
          <w:szCs w:val="18"/>
          <w:color w:val="auto"/>
        </w:rPr>
        <w:t>The vast majority of our data is voluntarily provided by our customers in the form of structured post-rental surveys,</w:t>
      </w:r>
      <w:r>
        <w:rPr>
          <w:rFonts w:ascii="Arial" w:cs="Arial" w:eastAsia="Arial" w:hAnsi="Arial"/>
          <w:sz w:val="18"/>
          <w:szCs w:val="18"/>
          <w:b w:val="1"/>
          <w:bCs w:val="1"/>
          <w:color w:val="auto"/>
        </w:rPr>
        <w:t xml:space="preserve"> </w:t>
      </w:r>
      <w:r>
        <w:rPr>
          <w:rFonts w:ascii="Arial" w:cs="Arial" w:eastAsia="Arial" w:hAnsi="Arial"/>
          <w:sz w:val="18"/>
          <w:szCs w:val="18"/>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79" w:lineRule="exact"/>
        <w:rPr>
          <w:rFonts w:ascii="Arial" w:cs="Arial" w:eastAsia="Arial" w:hAnsi="Arial"/>
          <w:sz w:val="18"/>
          <w:szCs w:val="18"/>
          <w:color w:val="auto"/>
        </w:rPr>
      </w:pPr>
    </w:p>
    <w:p>
      <w:pPr>
        <w:ind w:left="880" w:right="200" w:hanging="224"/>
        <w:spacing w:after="0" w:line="253"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SKU-level: </w:t>
      </w:r>
      <w:r>
        <w:rPr>
          <w:rFonts w:ascii="Arial" w:cs="Arial" w:eastAsia="Arial" w:hAnsi="Arial"/>
          <w:sz w:val="18"/>
          <w:szCs w:val="18"/>
          <w:color w:val="auto"/>
        </w:rPr>
        <w:t>We track our items at the SKU level, mapping every interaction with customers and our operations over its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enables us to note any issues at the item level, and perform specific garment restoration to maximize product return on investment.</w:t>
      </w:r>
    </w:p>
    <w:p>
      <w:pPr>
        <w:spacing w:after="0" w:line="19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86" w:lineRule="exact"/>
        <w:rPr>
          <w:sz w:val="20"/>
          <w:szCs w:val="20"/>
          <w:color w:val="auto"/>
        </w:rPr>
      </w:pPr>
    </w:p>
    <w:p>
      <w:pPr>
        <w:ind w:left="880" w:right="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Relevant Assortment: </w:t>
      </w:r>
      <w:r>
        <w:rPr>
          <w:rFonts w:ascii="Arial" w:cs="Arial" w:eastAsia="Arial" w:hAnsi="Arial"/>
          <w:sz w:val="18"/>
          <w:szCs w:val="18"/>
          <w:color w:val="auto"/>
        </w:rPr>
        <w:t>Our goal is to create the most relevant assortment of products for each customer so that we can retain</w:t>
      </w:r>
      <w:r>
        <w:rPr>
          <w:rFonts w:ascii="Arial" w:cs="Arial" w:eastAsia="Arial" w:hAnsi="Arial"/>
          <w:sz w:val="18"/>
          <w:szCs w:val="18"/>
          <w:b w:val="1"/>
          <w:bCs w:val="1"/>
          <w:color w:val="auto"/>
        </w:rPr>
        <w:t xml:space="preserve"> </w:t>
      </w:r>
      <w:r>
        <w:rPr>
          <w:rFonts w:ascii="Arial" w:cs="Arial" w:eastAsia="Arial" w:hAnsi="Arial"/>
          <w:sz w:val="18"/>
          <w:szCs w:val="18"/>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 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9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Personalized Storefront: </w:t>
      </w:r>
      <w:r>
        <w:rPr>
          <w:rFonts w:ascii="Arial" w:cs="Arial" w:eastAsia="Arial" w:hAnsi="Arial"/>
          <w:sz w:val="18"/>
          <w:szCs w:val="18"/>
          <w:color w:val="auto"/>
        </w:rPr>
        <w:t>We personalize the storefront for each of our subscribers; no two subscribers see the same storefront.</w:t>
      </w:r>
      <w:r>
        <w:rPr>
          <w:rFonts w:ascii="Arial" w:cs="Arial" w:eastAsia="Arial" w:hAnsi="Arial"/>
          <w:sz w:val="18"/>
          <w:szCs w:val="18"/>
          <w:b w:val="1"/>
          <w:bCs w:val="1"/>
          <w:color w:val="auto"/>
        </w:rPr>
        <w:t xml:space="preserve"> </w:t>
      </w:r>
      <w:r>
        <w:rPr>
          <w:rFonts w:ascii="Arial" w:cs="Arial" w:eastAsia="Arial" w:hAnsi="Arial"/>
          <w:sz w:val="18"/>
          <w:szCs w:val="18"/>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fiscal year 2019, on average, our customers rented nine brands in their first month with us.</w:t>
      </w:r>
    </w:p>
    <w:p>
      <w:pPr>
        <w:spacing w:after="0" w:line="90"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Fit: </w:t>
      </w:r>
      <w:r>
        <w:rPr>
          <w:rFonts w:ascii="Arial" w:cs="Arial" w:eastAsia="Arial" w:hAnsi="Arial"/>
          <w:sz w:val="18"/>
          <w:szCs w:val="18"/>
          <w:color w:val="auto"/>
        </w:rPr>
        <w:t>We make personalized size recommendations to each customer at the item level. Since we launched our fit recommendation</w:t>
      </w:r>
      <w:r>
        <w:rPr>
          <w:rFonts w:ascii="Arial" w:cs="Arial" w:eastAsia="Arial" w:hAnsi="Arial"/>
          <w:sz w:val="18"/>
          <w:szCs w:val="18"/>
          <w:b w:val="1"/>
          <w:bCs w:val="1"/>
          <w:color w:val="auto"/>
        </w:rPr>
        <w:t xml:space="preserve"> </w:t>
      </w:r>
      <w:r>
        <w:rPr>
          <w:rFonts w:ascii="Arial" w:cs="Arial" w:eastAsia="Arial" w:hAnsi="Arial"/>
          <w:sz w:val="18"/>
          <w:szCs w:val="18"/>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ind w:left="660" w:hanging="544"/>
        <w:spacing w:after="0"/>
        <w:tabs>
          <w:tab w:leader="none" w:pos="66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Average subscriber wears calculated based on subscriber engagement in calendar year 2019 on an annualized basis.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60" w:hanging="224"/>
        <w:spacing w:after="0" w:line="253"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Review Data: </w:t>
      </w:r>
      <w:r>
        <w:rPr>
          <w:rFonts w:ascii="Arial" w:cs="Arial" w:eastAsia="Arial" w:hAnsi="Arial"/>
          <w:sz w:val="18"/>
          <w:szCs w:val="18"/>
          <w:color w:val="auto"/>
        </w:rPr>
        <w:t>We surface the most relevant product reviews to each customer so she sees how women with similar height,</w:t>
      </w:r>
      <w:r>
        <w:rPr>
          <w:rFonts w:ascii="Arial" w:cs="Arial" w:eastAsia="Arial" w:hAnsi="Arial"/>
          <w:sz w:val="18"/>
          <w:szCs w:val="18"/>
          <w:b w:val="1"/>
          <w:bCs w:val="1"/>
          <w:color w:val="auto"/>
        </w:rPr>
        <w:t xml:space="preserve"> </w:t>
      </w:r>
      <w:r>
        <w:rPr>
          <w:rFonts w:ascii="Arial" w:cs="Arial" w:eastAsia="Arial" w:hAnsi="Arial"/>
          <w:sz w:val="18"/>
          <w:szCs w:val="18"/>
          <w:color w:val="auto"/>
        </w:rPr>
        <w:t>weight and body dimensions to her look in each style. Conversion on items with eight or more reviews is 264% higher than on items with less than eight reviews.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data advantage benefits brand partners in numerous ways:</w:t>
      </w:r>
    </w:p>
    <w:p>
      <w:pPr>
        <w:spacing w:after="0" w:line="95" w:lineRule="exact"/>
        <w:rPr>
          <w:sz w:val="20"/>
          <w:szCs w:val="20"/>
          <w:color w:val="auto"/>
        </w:rPr>
      </w:pPr>
    </w:p>
    <w:p>
      <w:pPr>
        <w:ind w:left="880" w:right="420" w:hanging="224"/>
        <w:spacing w:after="0" w:line="247"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the Garment Life Cycle: </w:t>
      </w:r>
      <w:r>
        <w:rPr>
          <w:rFonts w:ascii="Arial" w:cs="Arial" w:eastAsia="Arial" w:hAnsi="Arial"/>
          <w:sz w:val="18"/>
          <w:szCs w:val="18"/>
          <w:color w:val="auto"/>
        </w:rPr>
        <w:t>We help partners grow their business through the data we provide. Every brand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79" w:lineRule="exact"/>
        <w:rPr>
          <w:rFonts w:ascii="Arial" w:cs="Arial" w:eastAsia="Arial" w:hAnsi="Arial"/>
          <w:sz w:val="18"/>
          <w:szCs w:val="18"/>
          <w:color w:val="auto"/>
        </w:rPr>
      </w:pPr>
    </w:p>
    <w:p>
      <w:pPr>
        <w:ind w:left="880" w:right="160" w:hanging="224"/>
        <w:spacing w:after="0" w:line="244"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Understanding Customer Demand: </w:t>
      </w:r>
      <w:r>
        <w:rPr>
          <w:rFonts w:ascii="Arial" w:cs="Arial" w:eastAsia="Arial" w:hAnsi="Arial"/>
          <w:sz w:val="18"/>
          <w:szCs w:val="18"/>
          <w:color w:val="auto"/>
        </w:rPr>
        <w:t>As our customers wear (or don’t wear) and review items, we can determine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98"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Our data also allows us to continually optimize the return on investment on products and customer lifetime value, which are dependent on the following inputs, all of which continuously improve as our business scales.</w:t>
      </w:r>
    </w:p>
    <w:p>
      <w:pPr>
        <w:spacing w:after="0" w:line="80" w:lineRule="exact"/>
        <w:rPr>
          <w:sz w:val="20"/>
          <w:szCs w:val="20"/>
          <w:color w:val="auto"/>
        </w:rPr>
      </w:pPr>
    </w:p>
    <w:p>
      <w:pPr>
        <w:ind w:left="880" w:right="14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Scientific Product Acquisition: </w:t>
      </w:r>
      <w:r>
        <w:rPr>
          <w:rFonts w:ascii="Arial" w:cs="Arial" w:eastAsia="Arial" w:hAnsi="Arial"/>
          <w:sz w:val="18"/>
          <w:szCs w:val="18"/>
          <w:color w:val="auto"/>
        </w:rPr>
        <w:t>Our data provides a comprehensive picture of our products by bringing together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70% utilized in fiscal year 2019. We track the demand arc of styles over time and have disproved the misconception that fashion quickly goes out of style. Over 40% of our styles continue to turn for three or more years.</w:t>
      </w:r>
    </w:p>
    <w:p>
      <w:pPr>
        <w:spacing w:after="0" w:line="90" w:lineRule="exact"/>
        <w:rPr>
          <w:rFonts w:ascii="Arial" w:cs="Arial" w:eastAsia="Arial" w:hAnsi="Arial"/>
          <w:sz w:val="18"/>
          <w:szCs w:val="18"/>
          <w:color w:val="auto"/>
        </w:rPr>
      </w:pPr>
    </w:p>
    <w:p>
      <w:pPr>
        <w:ind w:left="880" w:right="340" w:hanging="224"/>
        <w:spacing w:after="0" w:line="253"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Price Optimization: </w:t>
      </w:r>
      <w:r>
        <w:rPr>
          <w:rFonts w:ascii="Arial" w:cs="Arial" w:eastAsia="Arial" w:hAnsi="Arial"/>
          <w:sz w:val="18"/>
          <w:szCs w:val="18"/>
          <w:color w:val="auto"/>
        </w:rPr>
        <w:t>Our dynamic pricing algorithm optimizes how our products are consumed across Subscription,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rentals and Resale by taking into account demand signals and the expected useful life and turns of each item. We have the flexibility to optimize prices for revenue, margin and product return on investment based on the business needs.</w:t>
      </w:r>
    </w:p>
    <w:p>
      <w:pPr>
        <w:spacing w:after="0" w:line="74"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Lower Cost Product: </w:t>
      </w:r>
      <w:r>
        <w:rPr>
          <w:rFonts w:ascii="Arial" w:cs="Arial" w:eastAsia="Arial" w:hAnsi="Arial"/>
          <w:sz w:val="18"/>
          <w:szCs w:val="18"/>
          <w:color w:val="auto"/>
        </w:rPr>
        <w:t>We leverage our data to create highly desirable Exclusive Designs in collaboration with our brand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manufacture to be more durable at significantly lower cost.</w:t>
      </w:r>
    </w:p>
    <w:p>
      <w:pPr>
        <w:spacing w:after="0" w:line="59"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Longer Product Life: </w:t>
      </w:r>
      <w:r>
        <w:rPr>
          <w:rFonts w:ascii="Arial" w:cs="Arial" w:eastAsia="Arial" w:hAnsi="Arial"/>
          <w:sz w:val="18"/>
          <w:szCs w:val="18"/>
          <w:color w:val="auto"/>
        </w:rPr>
        <w:t>Our feedback to brands helps us customize for higher longevity of our products - we understand how to</w:t>
      </w:r>
      <w:r>
        <w:rPr>
          <w:rFonts w:ascii="Arial" w:cs="Arial" w:eastAsia="Arial" w:hAnsi="Arial"/>
          <w:sz w:val="18"/>
          <w:szCs w:val="18"/>
          <w:b w:val="1"/>
          <w:bCs w:val="1"/>
          <w:color w:val="auto"/>
        </w:rPr>
        <w:t xml:space="preserve"> </w:t>
      </w:r>
      <w:r>
        <w:rPr>
          <w:rFonts w:ascii="Arial" w:cs="Arial" w:eastAsia="Arial" w:hAnsi="Arial"/>
          <w:sz w:val="18"/>
          <w:szCs w:val="18"/>
          <w:color w:val="auto"/>
        </w:rPr>
        <w:t>clean and care for garments to maximize multi-year monetization and incremental turns per unit.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Science Capabilities and Algorithms</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As our data sets grow, our algorithms become more powerful and gain leverage.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most impactful proprietary algorithms include:</w:t>
      </w:r>
    </w:p>
    <w:p>
      <w:pPr>
        <w:spacing w:after="0" w:line="95" w:lineRule="exact"/>
        <w:rPr>
          <w:sz w:val="20"/>
          <w:szCs w:val="20"/>
          <w:color w:val="auto"/>
        </w:rPr>
      </w:pPr>
    </w:p>
    <w:p>
      <w:pPr>
        <w:ind w:left="880" w:right="160" w:hanging="224"/>
        <w:spacing w:after="0" w:line="244"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Deep 1:1 Personalization</w:t>
      </w:r>
      <w:r>
        <w:rPr>
          <w:rFonts w:ascii="Arial" w:cs="Arial" w:eastAsia="Arial" w:hAnsi="Arial"/>
          <w:sz w:val="18"/>
          <w:szCs w:val="18"/>
          <w:color w:val="auto"/>
        </w:rPr>
        <w:t>: For each customer and item, we compute several scores that measure the affinity of item and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81" w:lineRule="exact"/>
        <w:rPr>
          <w:rFonts w:ascii="Arial" w:cs="Arial" w:eastAsia="Arial" w:hAnsi="Arial"/>
          <w:sz w:val="18"/>
          <w:szCs w:val="18"/>
          <w:color w:val="auto"/>
        </w:rPr>
      </w:pPr>
    </w:p>
    <w:p>
      <w:pPr>
        <w:ind w:left="880" w:right="20" w:hanging="224"/>
        <w:spacing w:after="0" w:line="247"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Retention Predictive Model</w:t>
      </w:r>
      <w:r>
        <w:rPr>
          <w:rFonts w:ascii="Arial" w:cs="Arial" w:eastAsia="Arial" w:hAnsi="Arial"/>
          <w:sz w:val="18"/>
          <w:szCs w:val="18"/>
          <w:color w:val="auto"/>
        </w:rPr>
        <w:t>: We leverage a retention predictive model to understand the relative importance of more than 180</w:t>
      </w:r>
      <w:r>
        <w:rPr>
          <w:rFonts w:ascii="Arial" w:cs="Arial" w:eastAsia="Arial" w:hAnsi="Arial"/>
          <w:sz w:val="18"/>
          <w:szCs w:val="18"/>
          <w:b w:val="1"/>
          <w:bCs w:val="1"/>
          <w:color w:val="auto"/>
        </w:rPr>
        <w:t xml:space="preserve"> </w:t>
      </w:r>
      <w:r>
        <w:rPr>
          <w:rFonts w:ascii="Arial" w:cs="Arial" w:eastAsia="Arial" w:hAnsi="Arial"/>
          <w:sz w:val="18"/>
          <w:szCs w:val="18"/>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79"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Computer Vision for Products</w:t>
      </w:r>
      <w:r>
        <w:rPr>
          <w:rFonts w:ascii="Arial" w:cs="Arial" w:eastAsia="Arial" w:hAnsi="Arial"/>
          <w:sz w:val="18"/>
          <w:szCs w:val="18"/>
          <w:color w:val="auto"/>
        </w:rPr>
        <w:t>: For each style in our assortment, we generate over 2,000 visual style embeddings using deep</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Technology and Logistics Advantage</w:t>
      </w:r>
    </w:p>
    <w:p>
      <w:pPr>
        <w:spacing w:after="0" w:line="234"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Software and Systems</w:t>
      </w:r>
    </w:p>
    <w:p>
      <w:pPr>
        <w:spacing w:after="0" w:line="12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Because our product offering is highly innovative, we have purpose-built a technology stack to support three key areas of our business:</w:t>
      </w:r>
    </w:p>
    <w:p>
      <w:pPr>
        <w:spacing w:after="0" w:line="102"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2-Way e-Commerce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Rental Reverse Logistics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Merchandising &amp; Products Control</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2-Way e-Commerce</w:t>
      </w:r>
    </w:p>
    <w:p>
      <w:pPr>
        <w:spacing w:after="0" w:line="12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86" w:lineRule="exact"/>
        <w:rPr>
          <w:sz w:val="20"/>
          <w:szCs w:val="20"/>
          <w:color w:val="auto"/>
        </w:rPr>
      </w:pPr>
    </w:p>
    <w:p>
      <w:pPr>
        <w:ind w:left="1320" w:right="120" w:hanging="435"/>
        <w:spacing w:after="0" w:line="253" w:lineRule="auto"/>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Membership Platform</w:t>
      </w:r>
      <w:r>
        <w:rPr>
          <w:rFonts w:ascii="Arial" w:cs="Arial" w:eastAsia="Arial" w:hAnsi="Arial"/>
          <w:sz w:val="18"/>
          <w:szCs w:val="18"/>
          <w:color w:val="auto"/>
        </w:rPr>
        <w:t>: Provides flexibility of creating new subscription offerings and collects detailed feedback from</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subscribers during every action. Subscribers control their membership and can customize based on their current needs or schedule changes in advance.</w:t>
      </w:r>
    </w:p>
    <w:p>
      <w:pPr>
        <w:spacing w:after="0" w:line="74" w:lineRule="exact"/>
        <w:rPr>
          <w:rFonts w:ascii="Arial" w:cs="Arial" w:eastAsia="Arial" w:hAnsi="Arial"/>
          <w:sz w:val="18"/>
          <w:szCs w:val="18"/>
          <w:color w:val="auto"/>
        </w:rPr>
      </w:pPr>
    </w:p>
    <w:p>
      <w:pPr>
        <w:ind w:left="1320" w:right="180" w:hanging="435"/>
        <w:spacing w:after="0" w:line="253" w:lineRule="auto"/>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Rapid Iteration and Experimentation: </w:t>
      </w:r>
      <w:r>
        <w:rPr>
          <w:rFonts w:ascii="Arial" w:cs="Arial" w:eastAsia="Arial" w:hAnsi="Arial"/>
          <w:sz w:val="18"/>
          <w:szCs w:val="18"/>
          <w:color w:val="auto"/>
        </w:rPr>
        <w:t>Our custom frontend platform is built from the ground up to enable rapid iteration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experimentation across all components, from site layout to product placement, product recommendations and conversion funnel.</w:t>
      </w:r>
    </w:p>
    <w:p>
      <w:pPr>
        <w:spacing w:after="0" w:line="74" w:lineRule="exact"/>
        <w:rPr>
          <w:rFonts w:ascii="Arial" w:cs="Arial" w:eastAsia="Arial" w:hAnsi="Arial"/>
          <w:sz w:val="18"/>
          <w:szCs w:val="18"/>
          <w:color w:val="auto"/>
        </w:rPr>
      </w:pPr>
    </w:p>
    <w:p>
      <w:pPr>
        <w:ind w:left="1320" w:right="120" w:hanging="435"/>
        <w:spacing w:after="0" w:line="271" w:lineRule="auto"/>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Reservation Calendar: </w:t>
      </w:r>
      <w:r>
        <w:rPr>
          <w:rFonts w:ascii="Arial" w:cs="Arial" w:eastAsia="Arial" w:hAnsi="Arial"/>
          <w:sz w:val="18"/>
          <w:szCs w:val="18"/>
          <w:color w:val="auto"/>
        </w:rPr>
        <w:t>Our booking engine manages a single pool of products across our three offerings and maximizes</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availability utilization by calculating current and projected product needs.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right="260" w:hanging="435"/>
        <w:spacing w:after="0" w:line="271" w:lineRule="auto"/>
        <w:tabs>
          <w:tab w:leader="none" w:pos="132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Flexible Referrals and Promotions</w:t>
      </w:r>
      <w:r>
        <w:rPr>
          <w:rFonts w:ascii="Arial" w:cs="Arial" w:eastAsia="Arial" w:hAnsi="Arial"/>
          <w:sz w:val="18"/>
          <w:szCs w:val="18"/>
          <w:color w:val="auto"/>
        </w:rPr>
        <w:t>: We utilize dynamic and highly targeted marketing incentives to stimulate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and conversion.</w:t>
      </w:r>
    </w:p>
    <w:p>
      <w:pPr>
        <w:spacing w:after="0" w:line="59" w:lineRule="exact"/>
        <w:rPr>
          <w:rFonts w:ascii="Arial" w:cs="Arial" w:eastAsia="Arial" w:hAnsi="Arial"/>
          <w:sz w:val="18"/>
          <w:szCs w:val="18"/>
          <w:color w:val="auto"/>
        </w:rPr>
      </w:pPr>
    </w:p>
    <w:p>
      <w:pPr>
        <w:ind w:left="1320" w:right="200" w:hanging="435"/>
        <w:spacing w:after="0" w:line="253" w:lineRule="auto"/>
        <w:tabs>
          <w:tab w:leader="none" w:pos="132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Customer Service: </w:t>
      </w:r>
      <w:r>
        <w:rPr>
          <w:rFonts w:ascii="Arial" w:cs="Arial" w:eastAsia="Arial" w:hAnsi="Arial"/>
          <w:sz w:val="18"/>
          <w:szCs w:val="18"/>
          <w:color w:val="auto"/>
        </w:rPr>
        <w:t>We service our customers through both self-service tools as well as live support via chat, email and</w:t>
      </w:r>
      <w:r>
        <w:rPr>
          <w:rFonts w:ascii="Arial" w:cs="Arial" w:eastAsia="Arial" w:hAnsi="Arial"/>
          <w:sz w:val="18"/>
          <w:szCs w:val="18"/>
          <w:b w:val="1"/>
          <w:bCs w:val="1"/>
          <w:color w:val="auto"/>
        </w:rPr>
        <w:t xml:space="preserve"> </w:t>
      </w:r>
      <w:r>
        <w:rPr>
          <w:rFonts w:ascii="Arial" w:cs="Arial" w:eastAsia="Arial" w:hAnsi="Arial"/>
          <w:sz w:val="18"/>
          <w:szCs w:val="18"/>
          <w:color w:val="auto"/>
        </w:rPr>
        <w:t>phone. Our customer service team is powered by an internally built platform that manages all elements of our customers’ experience, and connects to best-in-class third party software.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Rental Reverse Logistics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designed our patented technology to support the processes in our fulfilment centers and ensure that we can process orders efficiently and extend the useful life of our products.</w:t>
      </w:r>
    </w:p>
    <w:p>
      <w:pPr>
        <w:spacing w:after="0" w:line="80"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Garment Science:</w:t>
      </w:r>
    </w:p>
    <w:p>
      <w:pPr>
        <w:spacing w:after="0" w:line="139" w:lineRule="exact"/>
        <w:rPr>
          <w:rFonts w:ascii="Arial" w:cs="Arial" w:eastAsia="Arial" w:hAnsi="Arial"/>
          <w:sz w:val="18"/>
          <w:szCs w:val="18"/>
          <w:b w:val="1"/>
          <w:bCs w:val="1"/>
          <w:color w:val="auto"/>
        </w:rPr>
      </w:pPr>
    </w:p>
    <w:p>
      <w:pPr>
        <w:ind w:left="1320" w:right="100" w:hanging="435"/>
        <w:spacing w:after="0"/>
        <w:tabs>
          <w:tab w:leader="none" w:pos="13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108" w:lineRule="exact"/>
        <w:rPr>
          <w:rFonts w:ascii="Arial" w:cs="Arial" w:eastAsia="Arial" w:hAnsi="Arial"/>
          <w:sz w:val="18"/>
          <w:szCs w:val="18"/>
          <w:color w:val="auto"/>
        </w:rPr>
      </w:pPr>
    </w:p>
    <w:p>
      <w:pPr>
        <w:ind w:left="1320" w:hanging="435"/>
        <w:spacing w:after="0"/>
        <w:tabs>
          <w:tab w:leader="none" w:pos="13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Cleaning Automation: Automation supports dynamic sorting of items into as many as 26 different cleaning programs.</w:t>
      </w:r>
    </w:p>
    <w:p>
      <w:pPr>
        <w:spacing w:after="0" w:line="117" w:lineRule="exact"/>
        <w:rPr>
          <w:rFonts w:ascii="Arial" w:cs="Arial" w:eastAsia="Arial" w:hAnsi="Arial"/>
          <w:sz w:val="18"/>
          <w:szCs w:val="18"/>
          <w:color w:val="auto"/>
        </w:rPr>
      </w:pPr>
    </w:p>
    <w:p>
      <w:pPr>
        <w:ind w:left="1320" w:right="20" w:hanging="435"/>
        <w:spacing w:after="0"/>
        <w:tabs>
          <w:tab w:leader="none" w:pos="13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86" w:lineRule="exact"/>
        <w:rPr>
          <w:rFonts w:ascii="Arial" w:cs="Arial" w:eastAsia="Arial" w:hAnsi="Arial"/>
          <w:sz w:val="18"/>
          <w:szCs w:val="18"/>
          <w:color w:val="auto"/>
        </w:rPr>
      </w:pPr>
    </w:p>
    <w:p>
      <w:pPr>
        <w:ind w:left="880" w:right="300" w:hanging="224"/>
        <w:spacing w:after="0" w:line="247"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Intelligent Fulfillment Network: </w:t>
      </w:r>
      <w:r>
        <w:rPr>
          <w:rFonts w:ascii="Arial" w:cs="Arial" w:eastAsia="Arial" w:hAnsi="Arial"/>
          <w:sz w:val="18"/>
          <w:szCs w:val="18"/>
          <w:color w:val="auto"/>
        </w:rPr>
        <w:t>Our unified booking engine, the “brain” of our distribution capabilities, dynamically manages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79" w:lineRule="exact"/>
        <w:rPr>
          <w:rFonts w:ascii="Arial" w:cs="Arial" w:eastAsia="Arial" w:hAnsi="Arial"/>
          <w:sz w:val="18"/>
          <w:szCs w:val="18"/>
          <w:color w:val="auto"/>
        </w:rPr>
      </w:pPr>
    </w:p>
    <w:p>
      <w:pPr>
        <w:ind w:left="880" w:right="180" w:hanging="224"/>
        <w:spacing w:after="0" w:line="253"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Optimized Storage: </w:t>
      </w:r>
      <w:r>
        <w:rPr>
          <w:rFonts w:ascii="Arial" w:cs="Arial" w:eastAsia="Arial" w:hAnsi="Arial"/>
          <w:sz w:val="18"/>
          <w:szCs w:val="18"/>
          <w:color w:val="auto"/>
        </w:rPr>
        <w:t>Garments and accessories are stored in multi-story pick modules that utilize both on-hanger and flat pack</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solutions. All items are stored randomly, maximizing the utilization of cubic storage space. Random storage allows for efficient putaway of garments and dynamically created pick paths that save labor cost.</w:t>
      </w:r>
    </w:p>
    <w:p>
      <w:pPr>
        <w:spacing w:after="0" w:line="74" w:lineRule="exact"/>
        <w:rPr>
          <w:rFonts w:ascii="Arial" w:cs="Arial" w:eastAsia="Arial" w:hAnsi="Arial"/>
          <w:sz w:val="18"/>
          <w:szCs w:val="18"/>
          <w:color w:val="auto"/>
        </w:rPr>
      </w:pPr>
    </w:p>
    <w:p>
      <w:pPr>
        <w:ind w:left="880" w:right="440" w:hanging="224"/>
        <w:spacing w:after="0" w:line="27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RFID</w:t>
      </w:r>
      <w:r>
        <w:rPr>
          <w:rFonts w:ascii="Arial" w:cs="Arial" w:eastAsia="Arial" w:hAnsi="Arial"/>
          <w:sz w:val="18"/>
          <w:szCs w:val="18"/>
          <w:color w:val="auto"/>
        </w:rPr>
        <w:t>: We tag each unit and all reusable garment bags with RFID tags, which increases throughput, reduces cost, improves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control and enables new forms of automation.</w:t>
      </w:r>
    </w:p>
    <w:p>
      <w:pPr>
        <w:spacing w:after="0" w:line="59" w:lineRule="exact"/>
        <w:rPr>
          <w:rFonts w:ascii="Arial" w:cs="Arial" w:eastAsia="Arial" w:hAnsi="Arial"/>
          <w:sz w:val="18"/>
          <w:szCs w:val="18"/>
          <w:color w:val="auto"/>
        </w:rPr>
      </w:pPr>
    </w:p>
    <w:p>
      <w:pPr>
        <w:ind w:left="880" w:right="40" w:hanging="224"/>
        <w:spacing w:after="0" w:line="253"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Fulfilment Efficiency: </w:t>
      </w:r>
      <w:r>
        <w:rPr>
          <w:rFonts w:ascii="Arial" w:cs="Arial" w:eastAsia="Arial" w:hAnsi="Arial"/>
          <w:sz w:val="18"/>
          <w:szCs w:val="18"/>
          <w:color w:val="auto"/>
        </w:rPr>
        <w:t>We have automated various parts of the fulfilment process including picking, order consolidation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packing. Our fulfilment engine dynamically prioritizes customer orders based on promised delivery date, transportation departure schedules and available capacity.</w:t>
      </w:r>
    </w:p>
    <w:p>
      <w:pPr>
        <w:spacing w:after="0" w:line="74"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Transportation Innovation: </w:t>
      </w:r>
      <w:r>
        <w:rPr>
          <w:rFonts w:ascii="Arial" w:cs="Arial" w:eastAsia="Arial" w:hAnsi="Arial"/>
          <w:sz w:val="18"/>
          <w:szCs w:val="18"/>
          <w:color w:val="auto"/>
        </w:rPr>
        <w:t>Convenient places to return your rental are an important part of our customer experience.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Merchandising and Product Control</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Our proprietary product catalog system is the backbone of our inventory management. A flexible taxonomy supports myriad types of products which goes well beyond women’s fashion, and allows 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205" w:lineRule="exact"/>
        <w:rPr>
          <w:sz w:val="20"/>
          <w:szCs w:val="20"/>
          <w:color w:val="auto"/>
        </w:rPr>
      </w:pPr>
    </w:p>
    <w:p>
      <w:pPr>
        <w:ind w:left="120" w:right="240" w:firstLine="551"/>
        <w:spacing w:after="0" w:line="274" w:lineRule="auto"/>
        <w:rPr>
          <w:sz w:val="20"/>
          <w:szCs w:val="20"/>
          <w:color w:val="auto"/>
        </w:rPr>
      </w:pPr>
      <w:r>
        <w:rPr>
          <w:rFonts w:ascii="Arial" w:cs="Arial" w:eastAsia="Arial" w:hAnsi="Arial"/>
          <w:sz w:val="17"/>
          <w:szCs w:val="17"/>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Logistics Infrastructure</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88" w:lineRule="exact"/>
        <w:rPr>
          <w:sz w:val="20"/>
          <w:szCs w:val="20"/>
          <w:color w:val="auto"/>
        </w:rPr>
      </w:pPr>
    </w:p>
    <w:p>
      <w:pPr>
        <w:ind w:left="880" w:right="60" w:hanging="224"/>
        <w:spacing w:after="0" w:line="257" w:lineRule="auto"/>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 xml:space="preserve">Strategic Distribution: </w:t>
      </w:r>
      <w:r>
        <w:rPr>
          <w:rFonts w:ascii="Arial" w:cs="Arial" w:eastAsia="Arial" w:hAnsi="Arial"/>
          <w:sz w:val="17"/>
          <w:szCs w:val="17"/>
          <w:color w:val="auto"/>
        </w:rPr>
        <w:t>We have two fulfilment centers, in Arlington, Texas and Secaucus, New Jersey totaling 540,000 square</w:t>
      </w:r>
      <w:r>
        <w:rPr>
          <w:rFonts w:ascii="Arial" w:cs="Arial" w:eastAsia="Arial" w:hAnsi="Arial"/>
          <w:sz w:val="17"/>
          <w:szCs w:val="17"/>
          <w:b w:val="1"/>
          <w:bCs w:val="1"/>
          <w:color w:val="auto"/>
        </w:rPr>
        <w:t xml:space="preserve"> </w:t>
      </w:r>
      <w:r>
        <w:rPr>
          <w:rFonts w:ascii="Arial" w:cs="Arial" w:eastAsia="Arial" w:hAnsi="Arial"/>
          <w:sz w:val="17"/>
          <w:szCs w:val="17"/>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($15.8 billion GMV).</w:t>
      </w:r>
    </w:p>
    <w:p>
      <w:pPr>
        <w:spacing w:after="0" w:line="73" w:lineRule="exact"/>
        <w:rPr>
          <w:rFonts w:ascii="Arial" w:cs="Arial" w:eastAsia="Arial" w:hAnsi="Arial"/>
          <w:sz w:val="17"/>
          <w:szCs w:val="17"/>
          <w:color w:val="auto"/>
        </w:rPr>
      </w:pPr>
    </w:p>
    <w:p>
      <w:pPr>
        <w:ind w:left="880" w:right="240" w:hanging="224"/>
        <w:spacing w:after="0" w:line="253"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Garment Care Hardware: </w:t>
      </w:r>
      <w:r>
        <w:rPr>
          <w:rFonts w:ascii="Arial" w:cs="Arial" w:eastAsia="Arial" w:hAnsi="Arial"/>
          <w:sz w:val="18"/>
          <w:szCs w:val="18"/>
          <w:color w:val="auto"/>
        </w:rPr>
        <w:t>Our facilities are equipped with a curated set of 470 pieces of digitally integrated garment care</w:t>
      </w:r>
      <w:r>
        <w:rPr>
          <w:rFonts w:ascii="Arial" w:cs="Arial" w:eastAsia="Arial" w:hAnsi="Arial"/>
          <w:sz w:val="18"/>
          <w:szCs w:val="18"/>
          <w:b w:val="1"/>
          <w:bCs w:val="1"/>
          <w:color w:val="auto"/>
        </w:rPr>
        <w:t xml:space="preserve"> </w:t>
      </w:r>
      <w:r>
        <w:rPr>
          <w:rFonts w:ascii="Arial" w:cs="Arial" w:eastAsia="Arial" w:hAnsi="Arial"/>
          <w:sz w:val="18"/>
          <w:szCs w:val="18"/>
          <w:color w:val="auto"/>
        </w:rPr>
        <w:t>hardware including wet cleaning, dry cleaning and spray cleaning machines; dryers, steam tunnels, pressers, spotting boards, auto-baggers and commercial sewing machines.</w:t>
      </w:r>
    </w:p>
    <w:p>
      <w:pPr>
        <w:spacing w:after="0" w:line="74" w:lineRule="exact"/>
        <w:rPr>
          <w:rFonts w:ascii="Arial" w:cs="Arial" w:eastAsia="Arial" w:hAnsi="Arial"/>
          <w:sz w:val="18"/>
          <w:szCs w:val="18"/>
          <w:color w:val="auto"/>
        </w:rPr>
      </w:pPr>
    </w:p>
    <w:p>
      <w:pPr>
        <w:ind w:left="880" w:right="40" w:hanging="224"/>
        <w:spacing w:after="0" w:line="247"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Processing: </w:t>
      </w:r>
      <w:r>
        <w:rPr>
          <w:rFonts w:ascii="Arial" w:cs="Arial" w:eastAsia="Arial" w:hAnsi="Arial"/>
          <w:sz w:val="18"/>
          <w:szCs w:val="18"/>
          <w:color w:val="auto"/>
        </w:rPr>
        <w:t>Garments flow through the facility on both rail and belt-driven conveyance guided by RFID tags linked to a massive</w:t>
      </w:r>
      <w:r>
        <w:rPr>
          <w:rFonts w:ascii="Arial" w:cs="Arial" w:eastAsia="Arial" w:hAnsi="Arial"/>
          <w:sz w:val="18"/>
          <w:szCs w:val="18"/>
          <w:b w:val="1"/>
          <w:bCs w:val="1"/>
          <w:color w:val="auto"/>
        </w:rPr>
        <w:t xml:space="preserve"> </w:t>
      </w:r>
      <w:r>
        <w:rPr>
          <w:rFonts w:ascii="Arial" w:cs="Arial" w:eastAsia="Arial" w:hAnsi="Arial"/>
          <w:sz w:val="18"/>
          <w:szCs w:val="18"/>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79" w:lineRule="exact"/>
        <w:rPr>
          <w:rFonts w:ascii="Arial" w:cs="Arial" w:eastAsia="Arial" w:hAnsi="Arial"/>
          <w:sz w:val="18"/>
          <w:szCs w:val="18"/>
          <w:color w:val="auto"/>
        </w:rPr>
      </w:pPr>
    </w:p>
    <w:p>
      <w:pPr>
        <w:ind w:left="880" w:right="260" w:hanging="224"/>
        <w:spacing w:after="0" w:line="247"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Proven Scalability: </w:t>
      </w:r>
      <w:r>
        <w:rPr>
          <w:rFonts w:ascii="Arial" w:cs="Arial" w:eastAsia="Arial" w:hAnsi="Arial"/>
          <w:sz w:val="18"/>
          <w:szCs w:val="18"/>
          <w:color w:val="auto"/>
        </w:rPr>
        <w:t>Our infrastructure is highly scalable. Our existing facilities have the physical capacity to process over two</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7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Transportation Management: </w:t>
      </w:r>
      <w:r>
        <w:rPr>
          <w:rFonts w:ascii="Arial" w:cs="Arial" w:eastAsia="Arial" w:hAnsi="Arial"/>
          <w:sz w:val="18"/>
          <w:szCs w:val="18"/>
          <w:color w:val="auto"/>
        </w:rPr>
        <w:t>We partner with a wide variety of national, regional and local last mile service providers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close the loop between our Dream Fulfillment Centers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spacing w:after="0" w:line="246" w:lineRule="auto"/>
        <w:rPr>
          <w:sz w:val="20"/>
          <w:szCs w:val="20"/>
          <w:color w:val="auto"/>
        </w:rPr>
      </w:pPr>
      <w:r>
        <w:rPr>
          <w:rFonts w:ascii="Arial" w:cs="Arial" w:eastAsia="Arial" w:hAnsi="Arial"/>
          <w:sz w:val="18"/>
          <w:szCs w:val="18"/>
          <w:color w:val="auto"/>
        </w:rPr>
        <w:t>and our customers. Our transportation management system allows us to rate shop across these providers and opt into the best shipping method based upon cost and capacity.</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Total Addressable Market</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Apparel is a large market that is rapidly shifting online. According to Euromonitor, the U.S. apparel market was $286 billion in 2020 of which 37% or $107 billion is online. The online U.S. apparel market is expected to grow at a 12% CAGR compared to the overall apparel market, which is expected to grow at a 3% CAGR between 2020 and 2025. In 2025, the U.S. apparel market is expected to be $395 billion of which 49% or $192 billion is expected to be online.</w:t>
      </w:r>
      <w:r>
        <w:rPr>
          <w:rFonts w:ascii="Arial" w:cs="Arial" w:eastAsia="Arial" w:hAnsi="Arial"/>
          <w:sz w:val="15"/>
          <w:szCs w:val="15"/>
          <w:color w:val="auto"/>
        </w:rPr>
        <w:t>26</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203"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7"/>
          <w:szCs w:val="17"/>
          <w:color w:val="auto"/>
        </w:rPr>
        <w:t>We believe we are in the early innings of this opportunity. As of the end of fiscal year 2019 and 2020, we had 147,866 and 95,245 total subscribers (which includes both active and paused), respectively. Since 2009, we have had over 2.5 million lifetime customers</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across all of our offerings, and as of July 31, 2021, we had over total subscribers, representing less than % of the total population of women aged 18 and above in the U.S.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our growth strategy are:</w:t>
      </w:r>
    </w:p>
    <w:p>
      <w:pPr>
        <w:spacing w:after="0" w:line="95" w:lineRule="exact"/>
        <w:rPr>
          <w:sz w:val="20"/>
          <w:szCs w:val="20"/>
          <w:color w:val="auto"/>
        </w:rPr>
      </w:pPr>
    </w:p>
    <w:p>
      <w:pPr>
        <w:ind w:left="880" w:right="20" w:hanging="224"/>
        <w:spacing w:after="0" w:line="247"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Subscribers: </w:t>
      </w:r>
      <w:r>
        <w:rPr>
          <w:rFonts w:ascii="Arial" w:cs="Arial" w:eastAsia="Arial" w:hAnsi="Arial"/>
          <w:sz w:val="18"/>
          <w:szCs w:val="18"/>
          <w:color w:val="auto"/>
        </w:rPr>
        <w:t>We have experienced success growing our subscriber base and as of July 31, 2021, we had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79"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Assortment by Adding New Brand Partners and Deepening Existing Brand Partner Relationships: </w:t>
      </w:r>
      <w:r>
        <w:rPr>
          <w:rFonts w:ascii="Arial" w:cs="Arial" w:eastAsia="Arial" w:hAnsi="Arial"/>
          <w:sz w:val="18"/>
          <w:szCs w:val="18"/>
          <w:color w:val="auto"/>
        </w:rPr>
        <w:t>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84" w:lineRule="exact"/>
        <w:rPr>
          <w:rFonts w:ascii="Arial" w:cs="Arial" w:eastAsia="Arial" w:hAnsi="Arial"/>
          <w:sz w:val="18"/>
          <w:szCs w:val="18"/>
          <w:color w:val="auto"/>
        </w:rPr>
      </w:pPr>
    </w:p>
    <w:p>
      <w:pPr>
        <w:ind w:left="880" w:right="40" w:hanging="224"/>
        <w:spacing w:after="0" w:line="247"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the Customer Experience: </w:t>
      </w:r>
      <w:r>
        <w:rPr>
          <w:rFonts w:ascii="Arial" w:cs="Arial" w:eastAsia="Arial" w:hAnsi="Arial"/>
          <w:sz w:val="18"/>
          <w:szCs w:val="18"/>
          <w:color w:val="auto"/>
        </w:rPr>
        <w:t>By continuing to improve our customer experience, we aim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79" w:lineRule="exact"/>
        <w:rPr>
          <w:rFonts w:ascii="Arial" w:cs="Arial" w:eastAsia="Arial" w:hAnsi="Arial"/>
          <w:sz w:val="18"/>
          <w:szCs w:val="18"/>
          <w:color w:val="auto"/>
        </w:rPr>
      </w:pPr>
    </w:p>
    <w:p>
      <w:pPr>
        <w:ind w:left="880" w:right="120" w:hanging="224"/>
        <w:spacing w:after="0" w:line="253"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Launch New Categories and Offerings: </w:t>
      </w:r>
      <w:r>
        <w:rPr>
          <w:rFonts w:ascii="Arial" w:cs="Arial" w:eastAsia="Arial" w:hAnsi="Arial"/>
          <w:sz w:val="18"/>
          <w:szCs w:val="18"/>
          <w:color w:val="auto"/>
        </w:rPr>
        <w:t>Our flexible membership platform and physical logistical infrastructure means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launch new categories and offerings that resonate with our customers and their lifestyles. For example, over 30% of our customers have children or are pregnant. In fiscal year 2019, our test launch for our kids category was successful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6"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24"/>
          <w:szCs w:val="24"/>
          <w:color w:val="auto"/>
          <w:vertAlign w:val="superscript"/>
        </w:rPr>
      </w:pPr>
      <w:r>
        <w:rPr>
          <w:rFonts w:ascii="Arial" w:cs="Arial" w:eastAsia="Arial" w:hAnsi="Arial"/>
          <w:sz w:val="14"/>
          <w:szCs w:val="14"/>
          <w:color w:val="auto"/>
        </w:rPr>
        <w:t>Euromonitor Apparel &amp; Footwear 2021.</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8" w:lineRule="auto"/>
        <w:rPr>
          <w:sz w:val="20"/>
          <w:szCs w:val="20"/>
          <w:color w:val="auto"/>
        </w:rPr>
      </w:pPr>
      <w:r>
        <w:rPr>
          <w:rFonts w:ascii="Arial" w:cs="Arial" w:eastAsia="Arial" w:hAnsi="Arial"/>
          <w:sz w:val="18"/>
          <w:szCs w:val="18"/>
          <w:color w:val="auto"/>
        </w:rPr>
        <w:t>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88" w:lineRule="exact"/>
        <w:rPr>
          <w:sz w:val="20"/>
          <w:szCs w:val="20"/>
          <w:color w:val="auto"/>
        </w:rPr>
      </w:pPr>
    </w:p>
    <w:p>
      <w:pPr>
        <w:ind w:left="880" w:right="40" w:hanging="224"/>
        <w:spacing w:after="0" w:line="242"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our Brand Partner Marketplace Enablement Tools: </w:t>
      </w:r>
      <w:r>
        <w:rPr>
          <w:rFonts w:ascii="Arial" w:cs="Arial" w:eastAsia="Arial" w:hAnsi="Arial"/>
          <w:sz w:val="18"/>
          <w:szCs w:val="18"/>
          <w:color w:val="auto"/>
        </w:rPr>
        <w:t>Our goal is to help our brands build bigger businesses both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84" w:lineRule="exact"/>
        <w:rPr>
          <w:rFonts w:ascii="Arial" w:cs="Arial" w:eastAsia="Arial" w:hAnsi="Arial"/>
          <w:sz w:val="18"/>
          <w:szCs w:val="18"/>
          <w:color w:val="auto"/>
        </w:rPr>
      </w:pPr>
    </w:p>
    <w:p>
      <w:pPr>
        <w:ind w:left="880" w:right="40" w:hanging="224"/>
        <w:spacing w:after="0" w:line="253"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Drive Leverage in Operational Efficiency</w:t>
      </w:r>
      <w:r>
        <w:rPr>
          <w:rFonts w:ascii="Arial" w:cs="Arial" w:eastAsia="Arial" w:hAnsi="Arial"/>
          <w:sz w:val="18"/>
          <w:szCs w:val="18"/>
          <w:color w:val="auto"/>
        </w:rPr>
        <w:t>: We plan to continue to leverage our treasure trove of data through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74" w:lineRule="exact"/>
        <w:rPr>
          <w:rFonts w:ascii="Arial" w:cs="Arial" w:eastAsia="Arial" w:hAnsi="Arial"/>
          <w:sz w:val="18"/>
          <w:szCs w:val="18"/>
          <w:color w:val="auto"/>
        </w:rPr>
      </w:pPr>
    </w:p>
    <w:p>
      <w:pPr>
        <w:ind w:left="880" w:right="360" w:hanging="224"/>
        <w:spacing w:after="0" w:line="247"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Our brand partners are focused on ways to grow with us and continue to approach us to help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ESG (Environmental, Social, and Governance) Impact Summary</w:t>
      </w:r>
    </w:p>
    <w:p>
      <w:pPr>
        <w:spacing w:after="0" w:line="23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Environmental Impact</w:t>
      </w:r>
    </w:p>
    <w:p>
      <w:pPr>
        <w:spacing w:after="0" w:line="104" w:lineRule="exact"/>
        <w:rPr>
          <w:sz w:val="20"/>
          <w:szCs w:val="20"/>
          <w:color w:val="auto"/>
        </w:rPr>
      </w:pPr>
    </w:p>
    <w:p>
      <w:pPr>
        <w:jc w:val="both"/>
        <w:ind w:left="120" w:right="220" w:firstLine="551"/>
        <w:spacing w:after="0" w:line="253" w:lineRule="auto"/>
        <w:rPr>
          <w:sz w:val="20"/>
          <w:szCs w:val="20"/>
          <w:color w:val="auto"/>
        </w:rPr>
      </w:pPr>
      <w:r>
        <w:rPr>
          <w:rFonts w:ascii="Arial" w:cs="Arial" w:eastAsia="Arial" w:hAnsi="Arial"/>
          <w:sz w:val="18"/>
          <w:szCs w:val="18"/>
          <w:b w:val="1"/>
          <w:bCs w:val="1"/>
          <w:i w:val="1"/>
          <w:iCs w:val="1"/>
          <w:color w:val="auto"/>
        </w:rPr>
        <w:t>Driving A Paradigm Shift in Consumption to Protect Our Planet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negative environmental impacts of the fashion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documented and raise concerns that business-as-usual linear models, which generate significant waste and require substantial natural resources, cannot be sustained.</w:t>
      </w:r>
    </w:p>
    <w:p>
      <w:pPr>
        <w:spacing w:after="0" w:line="19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According to the Ellen MacArthur Foundation, or EMF, from 2002 to 2017, global clothing production approximately doubled but utilization decreased by 36%.</w:t>
      </w:r>
      <w:r>
        <w:rPr>
          <w:rFonts w:ascii="Arial" w:cs="Arial" w:eastAsia="Arial" w:hAnsi="Arial"/>
          <w:sz w:val="15"/>
          <w:szCs w:val="15"/>
          <w:color w:val="auto"/>
        </w:rPr>
        <w:t>27</w:t>
      </w:r>
      <w:r>
        <w:rPr>
          <w:rFonts w:ascii="Arial" w:cs="Arial" w:eastAsia="Arial" w:hAnsi="Arial"/>
          <w:sz w:val="18"/>
          <w:szCs w:val="18"/>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5"/>
          <w:szCs w:val="15"/>
          <w:color w:val="auto"/>
        </w:rPr>
        <w:t>28</w:t>
      </w:r>
    </w:p>
    <w:p>
      <w:pPr>
        <w:spacing w:after="0" w:line="205" w:lineRule="exact"/>
        <w:rPr>
          <w:sz w:val="20"/>
          <w:szCs w:val="20"/>
          <w:color w:val="auto"/>
        </w:rPr>
      </w:pPr>
    </w:p>
    <w:p>
      <w:pPr>
        <w:jc w:val="both"/>
        <w:ind w:left="120" w:right="300" w:firstLine="551"/>
        <w:spacing w:after="0"/>
        <w:rPr>
          <w:sz w:val="20"/>
          <w:szCs w:val="20"/>
          <w:color w:val="auto"/>
        </w:rPr>
      </w:pPr>
      <w:r>
        <w:rPr>
          <w:rFonts w:ascii="Arial" w:cs="Arial" w:eastAsia="Arial" w:hAnsi="Arial"/>
          <w:sz w:val="18"/>
          <w:szCs w:val="18"/>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7"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24"/>
          <w:szCs w:val="24"/>
          <w:color w:val="auto"/>
          <w:vertAlign w:val="superscript"/>
        </w:rPr>
      </w:pPr>
      <w:r>
        <w:rPr>
          <w:rFonts w:ascii="Arial" w:cs="Arial" w:eastAsia="Arial" w:hAnsi="Arial"/>
          <w:sz w:val="14"/>
          <w:szCs w:val="14"/>
          <w:color w:val="auto"/>
        </w:rPr>
        <w:t>Ellen MacArthur Foundation, A New Textiles Economy: Redesigning Fashion’s Future, 2017.</w:t>
      </w:r>
    </w:p>
    <w:p>
      <w:pPr>
        <w:ind w:left="660" w:hanging="544"/>
        <w:spacing w:after="0" w:line="187" w:lineRule="auto"/>
        <w:tabs>
          <w:tab w:leader="none" w:pos="660" w:val="left"/>
        </w:tabs>
        <w:numPr>
          <w:ilvl w:val="0"/>
          <w:numId w:val="124"/>
        </w:numPr>
        <w:rPr>
          <w:rFonts w:ascii="Arial" w:cs="Arial" w:eastAsia="Arial" w:hAnsi="Arial"/>
          <w:sz w:val="18"/>
          <w:szCs w:val="18"/>
          <w:color w:val="auto"/>
          <w:vertAlign w:val="superscript"/>
        </w:rPr>
      </w:pPr>
      <w:r>
        <w:rPr>
          <w:rFonts w:ascii="Arial" w:cs="Arial" w:eastAsia="Arial" w:hAnsi="Arial"/>
          <w:sz w:val="11"/>
          <w:szCs w:val="11"/>
          <w:color w:val="auto"/>
        </w:rPr>
        <w:t>Based on an estimated weight of the 2017 world’s population of 300 million tons.</w:t>
      </w:r>
    </w:p>
    <w:p>
      <w:pPr>
        <w:ind w:left="660" w:hanging="544"/>
        <w:spacing w:after="0" w:line="189" w:lineRule="auto"/>
        <w:tabs>
          <w:tab w:leader="none" w:pos="660" w:val="left"/>
        </w:tabs>
        <w:numPr>
          <w:ilvl w:val="0"/>
          <w:numId w:val="124"/>
        </w:numPr>
        <w:rPr>
          <w:rFonts w:ascii="Arial" w:cs="Arial" w:eastAsia="Arial" w:hAnsi="Arial"/>
          <w:sz w:val="19"/>
          <w:szCs w:val="19"/>
          <w:color w:val="auto"/>
          <w:vertAlign w:val="superscript"/>
        </w:rPr>
      </w:pPr>
      <w:r>
        <w:rPr>
          <w:rFonts w:ascii="Arial" w:cs="Arial" w:eastAsia="Arial" w:hAnsi="Arial"/>
          <w:sz w:val="12"/>
          <w:szCs w:val="12"/>
          <w:color w:val="auto"/>
        </w:rPr>
        <w:t>EMF estimate includes cotton farming.</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5"/>
          <w:szCs w:val="15"/>
          <w:color w:val="auto"/>
        </w:rPr>
        <w:t>30</w:t>
      </w:r>
      <w:r>
        <w:rPr>
          <w:rFonts w:ascii="Arial" w:cs="Arial" w:eastAsia="Arial" w:hAnsi="Arial"/>
          <w:sz w:val="18"/>
          <w:szCs w:val="18"/>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5"/>
          <w:szCs w:val="15"/>
          <w:color w:val="auto"/>
        </w:rPr>
        <w:t>31</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approximately 60% of our subscribers report spending between $100 and $500 less per month on clothes and at least $25 less on dry cleaning per month when they have a subscription to RTR.</w:t>
      </w:r>
    </w:p>
    <w:p>
      <w:pPr>
        <w:spacing w:after="0" w:line="20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5"/>
          <w:szCs w:val="15"/>
          <w:color w:val="auto"/>
        </w:rPr>
        <w:t>32</w:t>
      </w:r>
    </w:p>
    <w:p>
      <w:pPr>
        <w:spacing w:after="0" w:line="20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Displacement of New Garment Production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Using our data provided for the LCA Study, we estimate that our rental model has displaced production of new garments.</w:t>
      </w:r>
    </w:p>
    <w:p>
      <w:pPr>
        <w:ind w:left="120"/>
        <w:spacing w:after="0"/>
        <w:rPr>
          <w:sz w:val="20"/>
          <w:szCs w:val="20"/>
          <w:color w:val="auto"/>
        </w:rPr>
      </w:pPr>
      <w:r>
        <w:rPr>
          <w:rFonts w:ascii="Arial" w:cs="Arial" w:eastAsia="Arial" w:hAnsi="Arial"/>
          <w:sz w:val="18"/>
          <w:szCs w:val="18"/>
          <w:color w:val="auto"/>
        </w:rPr>
        <w:t>Specifically:</w:t>
      </w:r>
    </w:p>
    <w:p>
      <w:pPr>
        <w:spacing w:after="0" w:line="117" w:lineRule="exact"/>
        <w:rPr>
          <w:sz w:val="20"/>
          <w:szCs w:val="20"/>
          <w:color w:val="auto"/>
        </w:rPr>
      </w:pPr>
    </w:p>
    <w:p>
      <w:pPr>
        <w:ind w:left="880" w:right="540" w:hanging="224"/>
        <w:spacing w:after="0" w:line="24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estimate that approximately 1.2 million total new garments have been displaced since 2014, resulting in the savings of 60.8 million gallons of water, 51.2 million kWh of energy and 38.4 million pounds of CO2 emissions.</w:t>
      </w: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1"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McKinsey &amp; Co. in partnership with the Global Fashion Agenda, Fashion On Climate, 2020.</w:t>
      </w:r>
    </w:p>
    <w:p>
      <w:pPr>
        <w:ind w:left="660" w:right="80" w:hanging="544"/>
        <w:spacing w:after="0" w:line="182" w:lineRule="auto"/>
        <w:tabs>
          <w:tab w:leader="none" w:pos="660" w:val="left"/>
        </w:tabs>
        <w:numPr>
          <w:ilvl w:val="0"/>
          <w:numId w:val="126"/>
        </w:numPr>
        <w:rPr>
          <w:rFonts w:ascii="Arial" w:cs="Arial" w:eastAsia="Arial" w:hAnsi="Arial"/>
          <w:sz w:val="23"/>
          <w:szCs w:val="23"/>
          <w:color w:val="auto"/>
          <w:vertAlign w:val="superscript"/>
        </w:rPr>
      </w:pPr>
      <w:r>
        <w:rPr>
          <w:rFonts w:ascii="Arial" w:cs="Arial" w:eastAsia="Arial" w:hAnsi="Arial"/>
          <w:sz w:val="14"/>
          <w:szCs w:val="14"/>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spacing w:after="0" w:line="1" w:lineRule="exact"/>
        <w:rPr>
          <w:rFonts w:ascii="Arial" w:cs="Arial" w:eastAsia="Arial" w:hAnsi="Arial"/>
          <w:sz w:val="23"/>
          <w:szCs w:val="23"/>
          <w:color w:val="auto"/>
          <w:vertAlign w:val="superscript"/>
        </w:rPr>
      </w:pPr>
    </w:p>
    <w:p>
      <w:pPr>
        <w:ind w:left="660" w:hanging="544"/>
        <w:spacing w:after="0" w:line="187" w:lineRule="auto"/>
        <w:tabs>
          <w:tab w:leader="none" w:pos="660" w:val="left"/>
        </w:tabs>
        <w:numPr>
          <w:ilvl w:val="0"/>
          <w:numId w:val="126"/>
        </w:numPr>
        <w:rPr>
          <w:rFonts w:ascii="Arial" w:cs="Arial" w:eastAsia="Arial" w:hAnsi="Arial"/>
          <w:sz w:val="18"/>
          <w:szCs w:val="18"/>
          <w:color w:val="auto"/>
          <w:vertAlign w:val="superscript"/>
        </w:rPr>
      </w:pPr>
      <w:r>
        <w:rPr>
          <w:rFonts w:ascii="Arial" w:cs="Arial" w:eastAsia="Arial" w:hAnsi="Arial"/>
          <w:sz w:val="11"/>
          <w:szCs w:val="11"/>
          <w:color w:val="auto"/>
        </w:rPr>
        <w:t>McKinsey &amp; Co., Style That’s Sustainable: A New Fast-Fashion Formula, October 2016.</w:t>
      </w:r>
    </w:p>
    <w:p>
      <w:pPr>
        <w:ind w:left="660" w:right="60" w:hanging="544"/>
        <w:spacing w:after="0" w:line="221" w:lineRule="auto"/>
        <w:tabs>
          <w:tab w:leader="none" w:pos="66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Displacement by category was calculated by (Rental Wears - Linear Wears) / Linear Wears. The displacement per category was then multiplied by the estimated number of units across all product categories from 2014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estimate that these environmental savings are the equivalent of approximately 121 million days of drinking water, 6,586 U.S. households’ annual electricity usage and 41,540 round trip flights between Newark and Dallas, respectively.</w:t>
      </w:r>
      <w:r>
        <w:rPr>
          <w:rFonts w:ascii="Arial" w:cs="Arial" w:eastAsia="Arial" w:hAnsi="Arial"/>
          <w:sz w:val="15"/>
          <w:szCs w:val="15"/>
          <w:color w:val="auto"/>
        </w:rPr>
        <w:t>34</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Environmental Savings</w:t>
      </w:r>
    </w:p>
    <w:p>
      <w:pPr>
        <w:spacing w:after="0" w:line="122"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When a customer rents a garment from our Closet in the Cloud, the result is net environmental savings when compared to purchasing as follows:</w:t>
      </w:r>
      <w:r>
        <w:rPr>
          <w:rFonts w:ascii="Arial" w:cs="Arial" w:eastAsia="Arial" w:hAnsi="Arial"/>
          <w:sz w:val="15"/>
          <w:szCs w:val="15"/>
          <w:color w:val="auto"/>
        </w:rPr>
        <w:t>35</w:t>
      </w:r>
    </w:p>
    <w:p>
      <w:pPr>
        <w:spacing w:after="0" w:line="102" w:lineRule="exact"/>
        <w:rPr>
          <w:sz w:val="20"/>
          <w:szCs w:val="20"/>
          <w:color w:val="auto"/>
        </w:rPr>
      </w:pPr>
    </w:p>
    <w:p>
      <w:pPr>
        <w:ind w:left="880" w:right="4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LCA Study found environmental savings on a per wear basis when compared to purchasing a new garment. Overall, across all 12 categories studied, we estimate net environmental savings of a 23% reduction in water usage, a 5% reduction in kWh of energy usage, and 2% reduction in pounds of CO2 emissions for one rental garment.</w:t>
      </w:r>
      <w:r>
        <w:rPr>
          <w:rFonts w:ascii="Arial" w:cs="Arial" w:eastAsia="Arial" w:hAnsi="Arial"/>
          <w:sz w:val="15"/>
          <w:szCs w:val="15"/>
          <w:color w:val="auto"/>
        </w:rPr>
        <w:t>36</w:t>
      </w:r>
    </w:p>
    <w:p>
      <w:pPr>
        <w:spacing w:after="0" w:line="108" w:lineRule="exact"/>
        <w:rPr>
          <w:rFonts w:ascii="Arial" w:cs="Arial" w:eastAsia="Arial" w:hAnsi="Arial"/>
          <w:sz w:val="18"/>
          <w:szCs w:val="18"/>
          <w:color w:val="auto"/>
        </w:rPr>
      </w:pPr>
    </w:p>
    <w:p>
      <w:pPr>
        <w:jc w:val="both"/>
        <w:ind w:left="1320" w:right="320" w:hanging="435"/>
        <w:spacing w:after="0" w:line="261" w:lineRule="auto"/>
        <w:tabs>
          <w:tab w:leader="none" w:pos="132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91" w:lineRule="exact"/>
        <w:rPr>
          <w:rFonts w:ascii="Arial" w:cs="Arial" w:eastAsia="Arial" w:hAnsi="Arial"/>
          <w:sz w:val="17"/>
          <w:szCs w:val="17"/>
          <w:color w:val="auto"/>
        </w:rPr>
      </w:pPr>
    </w:p>
    <w:p>
      <w:pPr>
        <w:ind w:left="1320" w:right="100" w:hanging="435"/>
        <w:spacing w:after="0" w:line="246" w:lineRule="auto"/>
        <w:tabs>
          <w:tab w:leader="none" w:pos="13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Understanding the nuances between our product categories is key in our efforts to improve the overall number of wears of our products and increase the positive environmental impact of our platform.</w:t>
      </w:r>
    </w:p>
    <w:p>
      <w:pPr>
        <w:spacing w:after="0" w:line="102" w:lineRule="exact"/>
        <w:rPr>
          <w:rFonts w:ascii="Arial" w:cs="Arial" w:eastAsia="Arial" w:hAnsi="Arial"/>
          <w:sz w:val="18"/>
          <w:szCs w:val="18"/>
          <w:color w:val="auto"/>
        </w:rPr>
      </w:pPr>
    </w:p>
    <w:p>
      <w:pPr>
        <w:ind w:left="880" w:right="860" w:hanging="224"/>
        <w:spacing w:after="0" w:line="234"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approximately 25.8 million wears estimated across all 12 categories since 2014, we estimate that we have saved 50.7 million gallons of water, 28.9 million kWh of energy and</w:t>
      </w:r>
    </w:p>
    <w:p>
      <w:pPr>
        <w:spacing w:after="0" w:line="1" w:lineRule="exact"/>
        <w:rPr>
          <w:rFonts w:ascii="Arial" w:cs="Arial" w:eastAsia="Arial" w:hAnsi="Arial"/>
          <w:sz w:val="18"/>
          <w:szCs w:val="18"/>
          <w:color w:val="auto"/>
        </w:rPr>
      </w:pP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11.5 million pounds of CO2 emissions.</w:t>
      </w:r>
      <w:r>
        <w:rPr>
          <w:rFonts w:ascii="Arial" w:cs="Arial" w:eastAsia="Arial" w:hAnsi="Arial"/>
          <w:sz w:val="15"/>
          <w:szCs w:val="15"/>
          <w:color w:val="auto"/>
        </w:rPr>
        <w:t>37</w:t>
      </w:r>
      <w:r>
        <w:rPr>
          <w:rFonts w:ascii="Arial" w:cs="Arial" w:eastAsia="Arial" w:hAnsi="Arial"/>
          <w:sz w:val="18"/>
          <w:szCs w:val="18"/>
          <w:color w:val="auto"/>
        </w:rPr>
        <w:t xml:space="preserve"> We estimate that these environmental savings are the equivalent of approximately</w:t>
      </w:r>
    </w:p>
    <w:p>
      <w:pPr>
        <w:ind w:left="880"/>
        <w:spacing w:after="0" w:line="246" w:lineRule="auto"/>
        <w:rPr>
          <w:rFonts w:ascii="Arial" w:cs="Arial" w:eastAsia="Arial" w:hAnsi="Arial"/>
          <w:sz w:val="18"/>
          <w:szCs w:val="18"/>
          <w:color w:val="auto"/>
        </w:rPr>
      </w:pPr>
      <w:r>
        <w:rPr>
          <w:rFonts w:ascii="Arial" w:cs="Arial" w:eastAsia="Arial" w:hAnsi="Arial"/>
          <w:sz w:val="18"/>
          <w:szCs w:val="18"/>
          <w:color w:val="auto"/>
        </w:rPr>
        <w:t>101 million days of drinking water, 3,714 U.S. households’ annual electricity usage and 12,474 round trip flights between Newark and Dallas.</w:t>
      </w:r>
      <w:r>
        <w:rPr>
          <w:rFonts w:ascii="Arial" w:cs="Arial" w:eastAsia="Arial" w:hAnsi="Arial"/>
          <w:sz w:val="15"/>
          <w:szCs w:val="15"/>
          <w:color w:val="auto"/>
        </w:rPr>
        <w:t>38</w:t>
      </w:r>
    </w:p>
    <w:p>
      <w:pPr>
        <w:spacing w:after="0" w:line="197" w:lineRule="exact"/>
        <w:rPr>
          <w:sz w:val="20"/>
          <w:szCs w:val="20"/>
          <w:color w:val="auto"/>
        </w:rPr>
      </w:pPr>
    </w:p>
    <w:p>
      <w:pPr>
        <w:ind w:left="120" w:right="400" w:firstLine="551"/>
        <w:spacing w:after="0"/>
        <w:rPr>
          <w:sz w:val="20"/>
          <w:szCs w:val="20"/>
          <w:color w:val="auto"/>
        </w:rPr>
      </w:pPr>
      <w:r>
        <w:rPr>
          <w:rFonts w:ascii="Arial" w:cs="Arial" w:eastAsia="Arial" w:hAnsi="Arial"/>
          <w:sz w:val="18"/>
          <w:szCs w:val="18"/>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Social Impact</w:t>
      </w:r>
    </w:p>
    <w:p>
      <w:pPr>
        <w:spacing w:after="0" w:line="104"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Equalizing the Playing Field, While Powering Women to Feel Their Best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it’s commanding a meeting 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96"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Consider the “appearance expectation gap.” In many industries, women face greater cultural expectations for their physical appearance at work. There are many unspoken (and sometimes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1"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Equivalency estimates were calculated using EPA’s Greenhouse Gas Equivalencies Calculator and data from ICAO.</w:t>
      </w:r>
    </w:p>
    <w:p>
      <w:pPr>
        <w:ind w:left="660" w:right="180" w:hanging="544"/>
        <w:spacing w:after="0" w:line="182" w:lineRule="auto"/>
        <w:tabs>
          <w:tab w:leader="none" w:pos="660" w:val="left"/>
        </w:tabs>
        <w:numPr>
          <w:ilvl w:val="0"/>
          <w:numId w:val="129"/>
        </w:numPr>
        <w:rPr>
          <w:rFonts w:ascii="Arial" w:cs="Arial" w:eastAsia="Arial" w:hAnsi="Arial"/>
          <w:sz w:val="23"/>
          <w:szCs w:val="23"/>
          <w:color w:val="auto"/>
          <w:vertAlign w:val="superscript"/>
        </w:rPr>
      </w:pPr>
      <w:r>
        <w:rPr>
          <w:rFonts w:ascii="Arial" w:cs="Arial" w:eastAsia="Arial" w:hAnsi="Arial"/>
          <w:sz w:val="14"/>
          <w:szCs w:val="14"/>
          <w:color w:val="auto"/>
        </w:rPr>
        <w:t>A garment means one item in the following 12 product categories assessed in the LCA Study: blouses, sweaters, pants, jeans, skirts, jumpsuits, daytime dresses, maxi dresses, gowns, cocktail dresses, jackets and coats.</w:t>
      </w:r>
    </w:p>
    <w:p>
      <w:pPr>
        <w:spacing w:after="0" w:line="1" w:lineRule="exact"/>
        <w:rPr>
          <w:rFonts w:ascii="Arial" w:cs="Arial" w:eastAsia="Arial" w:hAnsi="Arial"/>
          <w:sz w:val="23"/>
          <w:szCs w:val="23"/>
          <w:color w:val="auto"/>
          <w:vertAlign w:val="superscript"/>
        </w:rPr>
      </w:pPr>
    </w:p>
    <w:p>
      <w:pPr>
        <w:ind w:left="660" w:hanging="544"/>
        <w:spacing w:after="0" w:line="182" w:lineRule="auto"/>
        <w:tabs>
          <w:tab w:leader="none" w:pos="660" w:val="left"/>
        </w:tabs>
        <w:numPr>
          <w:ilvl w:val="0"/>
          <w:numId w:val="129"/>
        </w:numPr>
        <w:rPr>
          <w:rFonts w:ascii="Arial" w:cs="Arial" w:eastAsia="Arial" w:hAnsi="Arial"/>
          <w:sz w:val="23"/>
          <w:szCs w:val="23"/>
          <w:color w:val="auto"/>
          <w:vertAlign w:val="superscript"/>
        </w:rPr>
      </w:pPr>
      <w:r>
        <w:rPr>
          <w:rFonts w:ascii="Arial" w:cs="Arial" w:eastAsia="Arial" w:hAnsi="Arial"/>
          <w:sz w:val="14"/>
          <w:szCs w:val="14"/>
          <w:color w:val="auto"/>
        </w:rPr>
        <w:t>Percentage of savings are based on (a) the calculation of individual environmental impact of each category as presented in the LCA, weighted by (b) the percentage of estimated total wears for each of the 12 categories, as measured from 2014 through 2021.</w:t>
      </w:r>
    </w:p>
    <w:p>
      <w:pPr>
        <w:spacing w:after="0" w:line="1" w:lineRule="exact"/>
        <w:rPr>
          <w:rFonts w:ascii="Arial" w:cs="Arial" w:eastAsia="Arial" w:hAnsi="Arial"/>
          <w:sz w:val="23"/>
          <w:szCs w:val="23"/>
          <w:color w:val="auto"/>
          <w:vertAlign w:val="superscript"/>
        </w:rPr>
      </w:pPr>
    </w:p>
    <w:p>
      <w:pPr>
        <w:ind w:left="660" w:hanging="544"/>
        <w:spacing w:after="0" w:line="187" w:lineRule="auto"/>
        <w:tabs>
          <w:tab w:leader="none" w:pos="660" w:val="left"/>
        </w:tabs>
        <w:numPr>
          <w:ilvl w:val="0"/>
          <w:numId w:val="129"/>
        </w:numPr>
        <w:rPr>
          <w:rFonts w:ascii="Arial" w:cs="Arial" w:eastAsia="Arial" w:hAnsi="Arial"/>
          <w:sz w:val="18"/>
          <w:szCs w:val="18"/>
          <w:color w:val="auto"/>
          <w:vertAlign w:val="superscript"/>
        </w:rPr>
      </w:pPr>
      <w:r>
        <w:rPr>
          <w:rFonts w:ascii="Arial" w:cs="Arial" w:eastAsia="Arial" w:hAnsi="Arial"/>
          <w:sz w:val="11"/>
          <w:szCs w:val="11"/>
          <w:color w:val="auto"/>
        </w:rPr>
        <w:t>Based on total number of wears in the 12 product categories measured from 2014 to 2021.</w:t>
      </w:r>
    </w:p>
    <w:p>
      <w:pPr>
        <w:ind w:left="660" w:right="20" w:hanging="544"/>
        <w:spacing w:after="0" w:line="208" w:lineRule="auto"/>
        <w:tabs>
          <w:tab w:leader="none" w:pos="66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Data extrapolated using results of LCA Study, which used 2019 company data, and total wears for each of the 12 categories measured from 2014 through 2021. These savings calculations reflect the difference in environmental savings between purchasing under a rental model as opposed to a linear model, while the savings referenced above under “Displacement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203" w:lineRule="exact"/>
        <w:rPr>
          <w:sz w:val="20"/>
          <w:szCs w:val="20"/>
          <w:color w:val="auto"/>
        </w:rPr>
      </w:pPr>
    </w:p>
    <w:p>
      <w:pPr>
        <w:jc w:val="both"/>
        <w:ind w:left="120" w:right="280" w:firstLine="551"/>
        <w:spacing w:after="0"/>
        <w:rPr>
          <w:sz w:val="20"/>
          <w:szCs w:val="20"/>
          <w:color w:val="auto"/>
        </w:rPr>
      </w:pPr>
      <w:r>
        <w:rPr>
          <w:rFonts w:ascii="Arial" w:cs="Arial" w:eastAsia="Arial" w:hAnsi="Arial"/>
          <w:sz w:val="18"/>
          <w:szCs w:val="18"/>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5"/>
          <w:szCs w:val="15"/>
          <w:color w:val="auto"/>
        </w:rPr>
        <w:t>39</w:t>
      </w:r>
    </w:p>
    <w:p>
      <w:pPr>
        <w:spacing w:after="0" w:line="203" w:lineRule="exact"/>
        <w:rPr>
          <w:sz w:val="20"/>
          <w:szCs w:val="20"/>
          <w:color w:val="auto"/>
        </w:rPr>
      </w:pPr>
    </w:p>
    <w:p>
      <w:pPr>
        <w:jc w:val="both"/>
        <w:ind w:left="120" w:right="240" w:firstLine="551"/>
        <w:spacing w:after="0"/>
        <w:rPr>
          <w:sz w:val="20"/>
          <w:szCs w:val="20"/>
          <w:color w:val="auto"/>
        </w:rPr>
      </w:pPr>
      <w:r>
        <w:rPr>
          <w:rFonts w:ascii="Arial" w:cs="Arial" w:eastAsia="Arial" w:hAnsi="Arial"/>
          <w:sz w:val="18"/>
          <w:szCs w:val="18"/>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5"/>
          <w:szCs w:val="15"/>
          <w:color w:val="auto"/>
        </w:rPr>
        <w:t>40</w:t>
      </w:r>
    </w:p>
    <w:p>
      <w:pPr>
        <w:spacing w:after="0" w:line="203"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believe that our Closet in the Cloud powers women to unlock their confidence and therefore their greatest potential through access to versatile and affordable designer clothing and accessories.</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(approximately $47,000 in designer retail value in fiscal year 2019 and more than $37,000 annualized for the first five months of fiscal year 2021).</w:t>
      </w:r>
      <w:r>
        <w:rPr>
          <w:rFonts w:ascii="Arial" w:cs="Arial" w:eastAsia="Arial" w:hAnsi="Arial"/>
          <w:sz w:val="15"/>
          <w:szCs w:val="15"/>
          <w:color w:val="auto"/>
        </w:rPr>
        <w:t>41</w:t>
      </w:r>
    </w:p>
    <w:p>
      <w:pPr>
        <w:spacing w:after="0" w:line="202"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Furthermore, the convenience of a Rent the Runway subscription saves women on average three hours a week on getting dressed giving our subscribers time back so that they can spend it on the things that matter most.</w:t>
      </w:r>
    </w:p>
    <w:p>
      <w:pPr>
        <w:spacing w:after="0" w:line="19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5"/>
          <w:szCs w:val="15"/>
          <w:color w:val="auto"/>
        </w:rPr>
        <w:t>42</w:t>
      </w:r>
      <w:r>
        <w:rPr>
          <w:rFonts w:ascii="Arial" w:cs="Arial" w:eastAsia="Arial" w:hAnsi="Arial"/>
          <w:sz w:val="18"/>
          <w:szCs w:val="18"/>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 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ESG Actions Taken</w:t>
      </w:r>
    </w:p>
    <w:p>
      <w:pPr>
        <w:spacing w:after="0" w:line="126"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We aim to use our platform to set the standard for sustainable practices for our unique business model as well as catalyze transformation within the fashion industry. We lead with our mission and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1" w:lineRule="exact"/>
        <w:rPr>
          <w:sz w:val="20"/>
          <w:szCs w:val="20"/>
          <w:color w:val="auto"/>
        </w:rPr>
      </w:pPr>
    </w:p>
    <w:p>
      <w:pPr>
        <w:ind w:left="660" w:hanging="544"/>
        <w:spacing w:after="0"/>
        <w:tabs>
          <w:tab w:leader="none" w:pos="66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Business of Fashion, Women Need Work Clothes. These Brands Want to Give Them More Options, October 10, 2018.</w:t>
      </w:r>
    </w:p>
    <w:p>
      <w:pPr>
        <w:ind w:left="660" w:hanging="544"/>
        <w:spacing w:after="0" w:line="187" w:lineRule="auto"/>
        <w:tabs>
          <w:tab w:leader="none" w:pos="660" w:val="left"/>
        </w:tabs>
        <w:numPr>
          <w:ilvl w:val="0"/>
          <w:numId w:val="130"/>
        </w:numPr>
        <w:rPr>
          <w:rFonts w:ascii="Arial" w:cs="Arial" w:eastAsia="Arial" w:hAnsi="Arial"/>
          <w:sz w:val="18"/>
          <w:szCs w:val="18"/>
          <w:color w:val="auto"/>
          <w:vertAlign w:val="superscript"/>
        </w:rPr>
      </w:pPr>
      <w:r>
        <w:rPr>
          <w:rFonts w:ascii="Arial" w:cs="Arial" w:eastAsia="Arial" w:hAnsi="Arial"/>
          <w:sz w:val="11"/>
          <w:szCs w:val="11"/>
          <w:color w:val="auto"/>
        </w:rPr>
        <w:t>The U.S. Census Bureau, Income, Poverty and Health Insurance Coverage in the United States: 2019, September 15, 2020.</w:t>
      </w:r>
    </w:p>
    <w:p>
      <w:pPr>
        <w:ind w:left="660" w:right="40" w:hanging="544"/>
        <w:spacing w:after="0" w:line="195" w:lineRule="auto"/>
        <w:tabs>
          <w:tab w:leader="none" w:pos="66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660" w:hanging="544"/>
        <w:spacing w:after="0" w:line="189" w:lineRule="auto"/>
        <w:tabs>
          <w:tab w:leader="none" w:pos="660" w:val="left"/>
        </w:tabs>
        <w:numPr>
          <w:ilvl w:val="0"/>
          <w:numId w:val="130"/>
        </w:numPr>
        <w:rPr>
          <w:rFonts w:ascii="Arial" w:cs="Arial" w:eastAsia="Arial" w:hAnsi="Arial"/>
          <w:sz w:val="19"/>
          <w:szCs w:val="19"/>
          <w:color w:val="auto"/>
          <w:vertAlign w:val="superscript"/>
        </w:rPr>
      </w:pPr>
      <w:r>
        <w:rPr>
          <w:rFonts w:ascii="Arial" w:cs="Arial" w:eastAsia="Arial" w:hAnsi="Arial"/>
          <w:sz w:val="12"/>
          <w:szCs w:val="12"/>
          <w:color w:val="auto"/>
        </w:rPr>
        <w:t>CNN Money, Poor Families Spend $600 More On Prom than Wealthier Ones, March 2015.</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actions aimed to accelerate the environmental and social wellbeing of our customers, employees, brand partners and the communities in which we operate.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Actions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Additionally, we continue to implement solutions aimed at lowering the environmental impact of our operations, while also improving efficiencies and reducing costs, including:</w:t>
      </w:r>
    </w:p>
    <w:p>
      <w:pPr>
        <w:spacing w:after="0" w:line="102" w:lineRule="exact"/>
        <w:rPr>
          <w:sz w:val="20"/>
          <w:szCs w:val="20"/>
          <w:color w:val="auto"/>
        </w:rPr>
      </w:pPr>
    </w:p>
    <w:p>
      <w:pPr>
        <w:ind w:left="880" w:right="640" w:hanging="224"/>
        <w:spacing w:after="0" w:line="234"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lifecycle of our products does not end with our operations and we recognize the importance of responsible end of life practices; we resell, donate, or recycle all products when</w:t>
      </w:r>
    </w:p>
    <w:p>
      <w:pPr>
        <w:spacing w:after="0" w:line="1" w:lineRule="exact"/>
        <w:rPr>
          <w:rFonts w:ascii="Arial" w:cs="Arial" w:eastAsia="Arial" w:hAnsi="Arial"/>
          <w:sz w:val="18"/>
          <w:szCs w:val="18"/>
          <w:color w:val="auto"/>
        </w:rPr>
      </w:pPr>
    </w:p>
    <w:p>
      <w:pPr>
        <w:ind w:left="880"/>
        <w:spacing w:after="0" w:line="236" w:lineRule="auto"/>
        <w:rPr>
          <w:rFonts w:ascii="Arial" w:cs="Arial" w:eastAsia="Arial" w:hAnsi="Arial"/>
          <w:sz w:val="18"/>
          <w:szCs w:val="18"/>
          <w:color w:val="auto"/>
        </w:rPr>
      </w:pPr>
      <w:r>
        <w:rPr>
          <w:rFonts w:ascii="Arial" w:cs="Arial" w:eastAsia="Arial" w:hAnsi="Arial"/>
          <w:sz w:val="18"/>
          <w:szCs w:val="18"/>
          <w:color w:val="auto"/>
        </w:rPr>
        <w:t>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5"/>
          <w:szCs w:val="15"/>
          <w:color w:val="auto"/>
        </w:rPr>
        <w:t>43</w:t>
      </w:r>
      <w:r>
        <w:rPr>
          <w:rFonts w:ascii="Arial" w:cs="Arial" w:eastAsia="Arial" w:hAnsi="Arial"/>
          <w:sz w:val="18"/>
          <w:szCs w:val="18"/>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5"/>
          <w:szCs w:val="15"/>
          <w:color w:val="auto"/>
        </w:rPr>
        <w:t>44</w:t>
      </w:r>
    </w:p>
    <w:p>
      <w:pPr>
        <w:spacing w:after="0" w:line="113" w:lineRule="exact"/>
        <w:rPr>
          <w:rFonts w:ascii="Arial" w:cs="Arial" w:eastAsia="Arial" w:hAnsi="Arial"/>
          <w:sz w:val="18"/>
          <w:szCs w:val="18"/>
          <w:color w:val="auto"/>
        </w:rPr>
      </w:pPr>
    </w:p>
    <w:p>
      <w:pPr>
        <w:ind w:left="880" w:right="360" w:hanging="224"/>
        <w:spacing w:after="0" w:line="238"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107" w:lineRule="exact"/>
        <w:rPr>
          <w:rFonts w:ascii="Arial" w:cs="Arial" w:eastAsia="Arial" w:hAnsi="Arial"/>
          <w:sz w:val="18"/>
          <w:szCs w:val="18"/>
          <w:color w:val="auto"/>
        </w:rPr>
      </w:pPr>
    </w:p>
    <w:p>
      <w:pPr>
        <w:ind w:left="880" w:right="20" w:hanging="224"/>
        <w:spacing w:after="0" w:line="237"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set a new standard for reusable packaging with the launch of our patented garment bag in 2014, transforming the way customers receive and send products. In the fall of 2021, we are excited to launch the latest version of our reusable garment bag made from 25% post-industrial recycled materials which we believe will reduce costs,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110" w:lineRule="exact"/>
        <w:rPr>
          <w:rFonts w:ascii="Arial" w:cs="Arial" w:eastAsia="Arial" w:hAnsi="Arial"/>
          <w:sz w:val="18"/>
          <w:szCs w:val="18"/>
          <w:color w:val="auto"/>
        </w:rPr>
      </w:pPr>
    </w:p>
    <w:p>
      <w:pPr>
        <w:jc w:val="both"/>
        <w:ind w:left="880" w:right="14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7"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Donated and recycled quantities from January 2018 through June 2021.</w:t>
      </w:r>
    </w:p>
    <w:p>
      <w:pPr>
        <w:ind w:left="660" w:hanging="544"/>
        <w:spacing w:after="0" w:line="189" w:lineRule="auto"/>
        <w:tabs>
          <w:tab w:leader="none" w:pos="660" w:val="left"/>
        </w:tabs>
        <w:numPr>
          <w:ilvl w:val="0"/>
          <w:numId w:val="132"/>
        </w:numPr>
        <w:rPr>
          <w:rFonts w:ascii="Arial" w:cs="Arial" w:eastAsia="Arial" w:hAnsi="Arial"/>
          <w:sz w:val="19"/>
          <w:szCs w:val="19"/>
          <w:color w:val="auto"/>
          <w:vertAlign w:val="superscript"/>
        </w:rPr>
      </w:pPr>
      <w:r>
        <w:rPr>
          <w:rFonts w:ascii="Arial" w:cs="Arial" w:eastAsia="Arial" w:hAnsi="Arial"/>
          <w:sz w:val="12"/>
          <w:szCs w:val="12"/>
          <w:color w:val="auto"/>
        </w:rPr>
        <w:t>Environmental savings were calculated as a part of the LCA Study and are based on end of life impact for a linear business model.</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60" w:hanging="224"/>
        <w:spacing w:after="0" w:line="238"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Social Actions</w:t>
      </w:r>
    </w:p>
    <w:p>
      <w:pPr>
        <w:spacing w:after="0" w:line="126" w:lineRule="exact"/>
        <w:rPr>
          <w:sz w:val="20"/>
          <w:szCs w:val="20"/>
          <w:color w:val="auto"/>
        </w:rPr>
      </w:pPr>
    </w:p>
    <w:p>
      <w:pPr>
        <w:jc w:val="both"/>
        <w:ind w:left="120" w:right="780" w:firstLine="551"/>
        <w:spacing w:after="0"/>
        <w:rPr>
          <w:sz w:val="20"/>
          <w:szCs w:val="20"/>
          <w:color w:val="auto"/>
        </w:rPr>
      </w:pPr>
      <w:r>
        <w:rPr>
          <w:rFonts w:ascii="Arial" w:cs="Arial" w:eastAsia="Arial" w:hAnsi="Arial"/>
          <w:sz w:val="18"/>
          <w:szCs w:val="18"/>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81"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Our Employee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that our employees have and always will be paramount to the success of our company.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104" w:lineRule="exact"/>
        <w:rPr>
          <w:sz w:val="20"/>
          <w:szCs w:val="20"/>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are all Founders of Rent the Runway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Dream BIG and go after it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Adapt and learn from everything you do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Debating, honest conversations and collaborating make the company stronger</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line with our values, in 2018, we equalized leave benefits across all hourly and salaried U.S. employees on our Corporate, Customer Experience and Warehouse teams. Regardless of gender, all 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8"/>
          <w:szCs w:val="18"/>
          <w:i w:val="1"/>
          <w:iCs w:val="1"/>
          <w:color w:val="auto"/>
        </w:rPr>
        <w:t>.</w:t>
      </w:r>
    </w:p>
    <w:p>
      <w:pPr>
        <w:spacing w:after="0" w:line="180" w:lineRule="exact"/>
        <w:rPr>
          <w:sz w:val="20"/>
          <w:szCs w:val="20"/>
          <w:color w:val="auto"/>
        </w:rPr>
      </w:pPr>
    </w:p>
    <w:p>
      <w:pPr>
        <w:ind w:left="120" w:right="20" w:firstLine="551"/>
        <w:spacing w:after="0" w:line="262" w:lineRule="auto"/>
        <w:rPr>
          <w:sz w:val="20"/>
          <w:szCs w:val="20"/>
          <w:color w:val="auto"/>
        </w:rPr>
      </w:pPr>
      <w:r>
        <w:rPr>
          <w:rFonts w:ascii="Arial" w:cs="Arial" w:eastAsia="Arial" w:hAnsi="Arial"/>
          <w:sz w:val="17"/>
          <w:szCs w:val="17"/>
          <w:b w:val="1"/>
          <w:bCs w:val="1"/>
          <w:i w:val="1"/>
          <w:iCs w:val="1"/>
          <w:color w:val="auto"/>
        </w:rPr>
        <w:t>Diversity, Equity &amp; Inclusion</w:t>
      </w:r>
      <w:r>
        <w:rPr>
          <w:rFonts w:ascii="Arial" w:cs="Arial" w:eastAsia="Arial" w:hAnsi="Arial"/>
          <w:sz w:val="17"/>
          <w:szCs w:val="17"/>
          <w:color w:val="auto"/>
        </w:rPr>
        <w:t>: As a business founded by and for women, Diversity, Equity and Inclusion, or DE&amp;I, has always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and will continue to be a priority for our organization. We are proud of the progress we have made across our four key areas of focus</w:t>
      </w:r>
    </w:p>
    <w:p>
      <w:pPr>
        <w:ind w:left="120" w:right="280"/>
        <w:spacing w:after="0" w:line="274" w:lineRule="auto"/>
        <w:rPr>
          <w:sz w:val="20"/>
          <w:szCs w:val="20"/>
          <w:color w:val="auto"/>
        </w:rPr>
      </w:pPr>
      <w:r>
        <w:rPr>
          <w:rFonts w:ascii="Arial" w:cs="Arial" w:eastAsia="Arial" w:hAnsi="Arial"/>
          <w:sz w:val="17"/>
          <w:szCs w:val="17"/>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RTR team, as of June 2021:</w:t>
      </w:r>
      <w:r>
        <w:rPr>
          <w:rFonts w:ascii="Arial" w:cs="Arial" w:eastAsia="Arial" w:hAnsi="Arial"/>
          <w:sz w:val="15"/>
          <w:szCs w:val="15"/>
          <w:color w:val="auto"/>
        </w:rPr>
        <w:t>45</w:t>
      </w:r>
    </w:p>
    <w:p>
      <w:pPr>
        <w:spacing w:after="0" w:line="115" w:lineRule="exact"/>
        <w:rPr>
          <w:sz w:val="20"/>
          <w:szCs w:val="20"/>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70% of our employees identify as women and 57% of our employees identify as a Black, Indigenous or Person of Color, or</w:t>
      </w:r>
    </w:p>
    <w:p>
      <w:pPr>
        <w:ind w:left="880"/>
        <w:spacing w:after="0"/>
        <w:rPr>
          <w:rFonts w:ascii="Arial" w:cs="Arial" w:eastAsia="Arial" w:hAnsi="Arial"/>
          <w:sz w:val="18"/>
          <w:szCs w:val="18"/>
          <w:color w:val="auto"/>
        </w:rPr>
      </w:pPr>
      <w:r>
        <w:rPr>
          <w:rFonts w:ascii="Arial" w:cs="Arial" w:eastAsia="Arial" w:hAnsi="Arial"/>
          <w:sz w:val="18"/>
          <w:szCs w:val="18"/>
          <w:color w:val="auto"/>
        </w:rPr>
        <w:t>BIPOC;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75% of the members of our executive team identify as women and 50% identify as BIPOC;</w:t>
      </w:r>
    </w:p>
    <w:p>
      <w:pPr>
        <w:spacing w:after="0" w:line="114"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55% of our senior leadership identifies as women and 45% identifies as BIPOC;</w:t>
      </w:r>
      <w:r>
        <w:rPr>
          <w:rFonts w:ascii="Arial" w:cs="Arial" w:eastAsia="Arial" w:hAnsi="Arial"/>
          <w:sz w:val="15"/>
          <w:szCs w:val="15"/>
          <w:color w:val="auto"/>
        </w:rPr>
        <w:t>46</w:t>
      </w:r>
    </w:p>
    <w:p>
      <w:pPr>
        <w:spacing w:after="0" w:line="119"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50% of the members of our board of directors identify as women;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6"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24"/>
          <w:szCs w:val="24"/>
          <w:color w:val="auto"/>
          <w:vertAlign w:val="superscript"/>
        </w:rPr>
      </w:pPr>
      <w:r>
        <w:rPr>
          <w:rFonts w:ascii="Arial" w:cs="Arial" w:eastAsia="Arial" w:hAnsi="Arial"/>
          <w:sz w:val="14"/>
          <w:szCs w:val="14"/>
          <w:color w:val="auto"/>
        </w:rPr>
        <w:t>Includes U.S. employees only.</w:t>
      </w:r>
    </w:p>
    <w:p>
      <w:pPr>
        <w:ind w:left="660" w:hanging="544"/>
        <w:spacing w:after="0" w:line="189" w:lineRule="auto"/>
        <w:tabs>
          <w:tab w:leader="none" w:pos="660" w:val="left"/>
        </w:tabs>
        <w:numPr>
          <w:ilvl w:val="0"/>
          <w:numId w:val="137"/>
        </w:numPr>
        <w:rPr>
          <w:rFonts w:ascii="Arial" w:cs="Arial" w:eastAsia="Arial" w:hAnsi="Arial"/>
          <w:sz w:val="19"/>
          <w:szCs w:val="19"/>
          <w:color w:val="auto"/>
          <w:vertAlign w:val="superscript"/>
        </w:rPr>
      </w:pPr>
      <w:r>
        <w:rPr>
          <w:rFonts w:ascii="Arial" w:cs="Arial" w:eastAsia="Arial" w:hAnsi="Arial"/>
          <w:sz w:val="12"/>
          <w:szCs w:val="12"/>
          <w:color w:val="auto"/>
        </w:rPr>
        <w:t>C-suite executives, and members of our senior leadership team which consists of senior vice presidents, vice presidents and some senior directors.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line="246"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41% of our technology team (including engineers, data scientists and product managers) identifies as women and 45% identifies as BIPOC.</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partners:</w:t>
      </w:r>
    </w:p>
    <w:p>
      <w:pPr>
        <w:spacing w:after="0" w:line="117" w:lineRule="exact"/>
        <w:rPr>
          <w:sz w:val="20"/>
          <w:szCs w:val="20"/>
          <w:color w:val="auto"/>
        </w:rPr>
      </w:pPr>
    </w:p>
    <w:p>
      <w:pPr>
        <w:ind w:left="880" w:right="140" w:hanging="224"/>
        <w:spacing w:after="0" w:line="24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increased the penetration of BIPOC designers featured on our platform from 4% of brands on RTR in fall of 2020 to 10% in spring 2021;</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increased the representation of BIPOC models featured on our platform from 40% in fiscal year 2019 to 54% in fiscal year 2020;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Current and new partnership spend with BIPOC vendors is up 37% between fall of 2020 and fall of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notable actions we have taken over the past 12 months in our key areas of focus include: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Representation</w:t>
      </w:r>
    </w:p>
    <w:p>
      <w:pPr>
        <w:spacing w:after="0" w:line="139" w:lineRule="exact"/>
        <w:rPr>
          <w:sz w:val="20"/>
          <w:szCs w:val="20"/>
          <w:color w:val="auto"/>
        </w:rPr>
      </w:pPr>
    </w:p>
    <w:p>
      <w:pPr>
        <w:ind w:left="880" w:right="140" w:hanging="224"/>
        <w:spacing w:after="0" w:line="238"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110" w:lineRule="exact"/>
        <w:rPr>
          <w:rFonts w:ascii="Arial" w:cs="Arial" w:eastAsia="Arial" w:hAnsi="Arial"/>
          <w:sz w:val="18"/>
          <w:szCs w:val="18"/>
          <w:color w:val="auto"/>
        </w:rPr>
      </w:pPr>
    </w:p>
    <w:p>
      <w:pPr>
        <w:ind w:left="880" w:right="22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108" w:lineRule="exact"/>
        <w:rPr>
          <w:rFonts w:ascii="Arial" w:cs="Arial" w:eastAsia="Arial" w:hAnsi="Arial"/>
          <w:sz w:val="18"/>
          <w:szCs w:val="18"/>
          <w:color w:val="auto"/>
        </w:rPr>
      </w:pPr>
    </w:p>
    <w:p>
      <w:pPr>
        <w:jc w:val="both"/>
        <w:ind w:left="880" w:right="6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Belonging</w:t>
      </w:r>
    </w:p>
    <w:p>
      <w:pPr>
        <w:spacing w:after="0" w:line="139" w:lineRule="exact"/>
        <w:rPr>
          <w:sz w:val="20"/>
          <w:szCs w:val="20"/>
          <w:color w:val="auto"/>
        </w:rPr>
      </w:pPr>
    </w:p>
    <w:p>
      <w:pPr>
        <w:ind w:left="880" w:right="260" w:hanging="224"/>
        <w:spacing w:after="0" w:line="246"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engaged a third-party consultant to advise on best practices and make recommendations on how we can further prioritize DE&amp;I within our workplace.</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have debuted four Employee Resource Groups to unite team members across the organization and provide a platform for thought leadership and community building.</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Behaviors</w:t>
      </w:r>
    </w:p>
    <w:p>
      <w:pPr>
        <w:spacing w:after="0" w:line="139" w:lineRule="exact"/>
        <w:rPr>
          <w:sz w:val="20"/>
          <w:szCs w:val="20"/>
          <w:color w:val="auto"/>
        </w:rPr>
      </w:pPr>
    </w:p>
    <w:p>
      <w:pPr>
        <w:ind w:left="880" w:right="10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108" w:lineRule="exact"/>
        <w:rPr>
          <w:rFonts w:ascii="Arial" w:cs="Arial" w:eastAsia="Arial" w:hAnsi="Arial"/>
          <w:sz w:val="18"/>
          <w:szCs w:val="18"/>
          <w:color w:val="auto"/>
        </w:rPr>
      </w:pPr>
    </w:p>
    <w:p>
      <w:pPr>
        <w:ind w:left="880" w:right="280" w:hanging="224"/>
        <w:spacing w:after="0" w:line="238"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Accountability</w:t>
      </w:r>
    </w:p>
    <w:p>
      <w:pPr>
        <w:spacing w:after="0" w:line="13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shared employee demographic data with our organization and plan to publish this data publicly.</w:t>
      </w:r>
    </w:p>
    <w:p>
      <w:pPr>
        <w:spacing w:after="0" w:line="190"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b w:val="1"/>
          <w:bCs w:val="1"/>
          <w:i w:val="1"/>
          <w:iCs w:val="1"/>
          <w:color w:val="auto"/>
        </w:rPr>
        <w:t>Responsible 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responsible manufacturing in our supply chain and we believe our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7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Project Entrepreneur: </w:t>
      </w:r>
      <w:r>
        <w:rPr>
          <w:rFonts w:ascii="Arial" w:cs="Arial" w:eastAsia="Arial" w:hAnsi="Arial"/>
          <w:sz w:val="18"/>
          <w:szCs w:val="18"/>
          <w:color w:val="auto"/>
        </w:rPr>
        <w:t>In 2015, in partnership with UBS, Rent the Runway’s co-Founders, Jennifer Y. Hyman and Jennifer Fleiss,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Governance Highlights</w:t>
      </w:r>
    </w:p>
    <w:p>
      <w:pPr>
        <w:spacing w:after="0" w:line="23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203"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over four copyrights. We also register domain names for certain websites that we use in our business, such as www.renttherunway.com, as well as similar variations to protect our brands and marks from cybersquatters.</w:t>
      </w:r>
    </w:p>
    <w:p>
      <w:pPr>
        <w:spacing w:after="0" w:line="202"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We control access to and use of our proprietary technology and other confidential information through the use of internal and external controls, including contractual protections with employees,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Facilities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As of January 31, 2021, we had a total of 806 full-time employees and 15 part-time employees in the United States and Ireland. As of January 31, 2021, our talented technology team consisted of 183 employees, across engineering, data analytics, IT, product, software quality assurance, user experience and design, including a team of 32 in Galway, Ireland, primarily in engineering and data analytics. None of our employees are represented by a labor union or covered by collective bargaining agreements and we have not experienced any work stoppages.</w:t>
      </w:r>
    </w:p>
    <w:p>
      <w:pPr>
        <w:spacing w:after="0" w:line="20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20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The core objective of our compensation program is to provide competitive compensation packages to attract and retain the best employees. See the section titled “Business—Our ESG (Environmental, Social and Governance) Impact Summary” for more information about our values, commitments and human capital measures and objectives.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420" w:firstLine="551"/>
        <w:spacing w:after="0"/>
        <w:rPr>
          <w:sz w:val="20"/>
          <w:szCs w:val="20"/>
          <w:color w:val="auto"/>
        </w:rPr>
      </w:pPr>
      <w:r>
        <w:rPr>
          <w:rFonts w:ascii="Arial" w:cs="Arial" w:eastAsia="Arial" w:hAnsi="Arial"/>
          <w:sz w:val="18"/>
          <w:szCs w:val="18"/>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our executive officers and directors as of July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Age</w:t>
            </w:r>
          </w:p>
        </w:tc>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040" w:type="dxa"/>
            <w:vAlign w:val="bottom"/>
            <w:tcBorders>
              <w:top w:val="single" w:sz="8" w:color="auto"/>
            </w:tcBorders>
          </w:tcPr>
          <w:p>
            <w:pPr>
              <w:spacing w:after="0"/>
              <w:rPr>
                <w:sz w:val="16"/>
                <w:szCs w:val="16"/>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Jennifer Y. Hyman</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Co-Founder; Chief Executive Officer; Chair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Scarlett O’Sullivan</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Anushka Salinas</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President; Chief Operating Officer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Brian Donato</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Chief Supply Chain Officer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Andrea Alexander</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Chief People Officer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Cara Schembri</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General Counsel; Secretary</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Larry Steinberg</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Chief Technology Officer</w:t>
            </w: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Sarah Tam</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5040" w:type="dxa"/>
            <w:vAlign w:val="bottom"/>
          </w:tcPr>
          <w:p>
            <w:pPr>
              <w:ind w:left="20"/>
              <w:spacing w:after="0"/>
              <w:rPr>
                <w:sz w:val="20"/>
                <w:szCs w:val="20"/>
                <w:color w:val="auto"/>
              </w:rPr>
            </w:pPr>
            <w:r>
              <w:rPr>
                <w:rFonts w:ascii="Arial" w:cs="Arial" w:eastAsia="Arial" w:hAnsi="Arial"/>
                <w:sz w:val="18"/>
                <w:szCs w:val="18"/>
                <w:color w:val="auto"/>
              </w:rPr>
              <w:t>Chief Merchant Officer</w:t>
            </w:r>
          </w:p>
        </w:tc>
      </w:tr>
      <w:tr>
        <w:trPr>
          <w:trHeight w:val="296"/>
        </w:trPr>
        <w:tc>
          <w:tcPr>
            <w:tcW w:w="5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Tim Bixby</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56</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Jennifer Fleiss</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Co-Founder; 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Scott Friend</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Beth Kaplan</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Dan Nova</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Gwyneth Paltrow</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48</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Carley Roney</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53</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Dan Rosensweig</w:t>
            </w: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w:t>
            </w:r>
          </w:p>
        </w:tc>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Mike Roth</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50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Member of the nominating and ESG committee.</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12"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b w:val="1"/>
          <w:bCs w:val="1"/>
          <w:i w:val="1"/>
          <w:iCs w:val="1"/>
          <w:color w:val="auto"/>
        </w:rPr>
        <w:t xml:space="preserve">Jennifer Y. Hyman </w:t>
      </w:r>
      <w:r>
        <w:rPr>
          <w:rFonts w:ascii="Arial" w:cs="Arial" w:eastAsia="Arial" w:hAnsi="Arial"/>
          <w:sz w:val="18"/>
          <w:szCs w:val="18"/>
          <w:color w:val="auto"/>
        </w:rPr>
        <w:t>has served as our Co-Founder since November 2008 and our Chief Executive Officer and the Chair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March 2009. Prior to co -founding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80"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7"/>
          <w:szCs w:val="17"/>
          <w:b w:val="1"/>
          <w:bCs w:val="1"/>
          <w:i w:val="1"/>
          <w:iCs w:val="1"/>
          <w:color w:val="auto"/>
        </w:rPr>
        <w:t xml:space="preserve">Scarlett O’Sullivan </w:t>
      </w:r>
      <w:r>
        <w:rPr>
          <w:rFonts w:ascii="Arial" w:cs="Arial" w:eastAsia="Arial" w:hAnsi="Arial"/>
          <w:sz w:val="17"/>
          <w:szCs w:val="17"/>
          <w:color w:val="auto"/>
        </w:rPr>
        <w:t>has served as our Chief Financial Officer since September 2015. Prior to joining us, Ms. O’Sullivan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Ms. O’Sullivan holds a B.S. in Economics from Yale University and an M.B.A. from the Wharton School of Business at the University of Pennsylvania.</w:t>
      </w:r>
    </w:p>
    <w:p>
      <w:pPr>
        <w:spacing w:after="0" w:line="175" w:lineRule="exact"/>
        <w:rPr>
          <w:sz w:val="20"/>
          <w:szCs w:val="20"/>
          <w:color w:val="auto"/>
        </w:rPr>
      </w:pPr>
    </w:p>
    <w:p>
      <w:pPr>
        <w:ind w:left="120" w:right="320" w:firstLine="551"/>
        <w:spacing w:after="0" w:line="247" w:lineRule="auto"/>
        <w:rPr>
          <w:sz w:val="20"/>
          <w:szCs w:val="20"/>
          <w:color w:val="auto"/>
        </w:rPr>
      </w:pPr>
      <w:r>
        <w:rPr>
          <w:rFonts w:ascii="Arial" w:cs="Arial" w:eastAsia="Arial" w:hAnsi="Arial"/>
          <w:sz w:val="18"/>
          <w:szCs w:val="18"/>
          <w:b w:val="1"/>
          <w:bCs w:val="1"/>
          <w:i w:val="1"/>
          <w:iCs w:val="1"/>
          <w:color w:val="auto"/>
        </w:rPr>
        <w:t xml:space="preserve">Anushka Salinas </w:t>
      </w:r>
      <w:r>
        <w:rPr>
          <w:rFonts w:ascii="Arial" w:cs="Arial" w:eastAsia="Arial" w:hAnsi="Arial"/>
          <w:sz w:val="18"/>
          <w:szCs w:val="18"/>
          <w:color w:val="auto"/>
        </w:rPr>
        <w:t>has served as our President and Chief Operating Officer since October 2019. Prior to that, she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Revenue Officer from May 2018 to October 2019 and General Manager of Subscription from February 2017 to May 2018.</w:t>
      </w:r>
    </w:p>
    <w:p>
      <w:pPr>
        <w:spacing w:after="0" w:line="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83" w:lineRule="exact"/>
        <w:rPr>
          <w:sz w:val="20"/>
          <w:szCs w:val="20"/>
          <w:color w:val="auto"/>
        </w:rPr>
      </w:pPr>
    </w:p>
    <w:p>
      <w:pPr>
        <w:ind w:left="120" w:right="20" w:firstLine="551"/>
        <w:spacing w:after="0" w:line="262" w:lineRule="auto"/>
        <w:rPr>
          <w:sz w:val="20"/>
          <w:szCs w:val="20"/>
          <w:color w:val="auto"/>
        </w:rPr>
      </w:pPr>
      <w:r>
        <w:rPr>
          <w:rFonts w:ascii="Arial" w:cs="Arial" w:eastAsia="Arial" w:hAnsi="Arial"/>
          <w:sz w:val="17"/>
          <w:szCs w:val="17"/>
          <w:b w:val="1"/>
          <w:bCs w:val="1"/>
          <w:i w:val="1"/>
          <w:iCs w:val="1"/>
          <w:color w:val="auto"/>
        </w:rPr>
        <w:t xml:space="preserve">Brian Donato </w:t>
      </w:r>
      <w:r>
        <w:rPr>
          <w:rFonts w:ascii="Arial" w:cs="Arial" w:eastAsia="Arial" w:hAnsi="Arial"/>
          <w:sz w:val="17"/>
          <w:szCs w:val="17"/>
          <w:color w:val="auto"/>
        </w:rPr>
        <w:t>has served as our Chief Supply Chain Officer since March 2020. Before joining us, he was the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Operations for Bowery Farming, a vertical farming company, from March 2018 to March 2020. From January 2012 to May 2018,</w:t>
      </w:r>
    </w:p>
    <w:p>
      <w:pPr>
        <w:ind w:left="120" w:right="160"/>
        <w:spacing w:after="0" w:line="238" w:lineRule="auto"/>
        <w:rPr>
          <w:sz w:val="20"/>
          <w:szCs w:val="20"/>
          <w:color w:val="auto"/>
        </w:rPr>
      </w:pPr>
      <w:r>
        <w:rPr>
          <w:rFonts w:ascii="Arial" w:cs="Arial" w:eastAsia="Arial" w:hAnsi="Arial"/>
          <w:sz w:val="18"/>
          <w:szCs w:val="18"/>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80"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Andrea Alexander </w:t>
      </w:r>
      <w:r>
        <w:rPr>
          <w:rFonts w:ascii="Arial" w:cs="Arial" w:eastAsia="Arial" w:hAnsi="Arial"/>
          <w:sz w:val="18"/>
          <w:szCs w:val="18"/>
          <w:color w:val="auto"/>
        </w:rPr>
        <w:t>has served as our Chief People Officer since June 2021. Prior to joining us, Ms. Alexander served in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7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b w:val="1"/>
          <w:bCs w:val="1"/>
          <w:i w:val="1"/>
          <w:iCs w:val="1"/>
          <w:color w:val="auto"/>
        </w:rPr>
        <w:t xml:space="preserve">Cara Schembri </w:t>
      </w:r>
      <w:r>
        <w:rPr>
          <w:rFonts w:ascii="Arial" w:cs="Arial" w:eastAsia="Arial" w:hAnsi="Arial"/>
          <w:sz w:val="18"/>
          <w:szCs w:val="18"/>
          <w:color w:val="auto"/>
        </w:rPr>
        <w:t>has served as our General Counsel and Corporate Secretary since December 2019 and prior to that, she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80"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Larry Steinberg </w:t>
      </w:r>
      <w:r>
        <w:rPr>
          <w:rFonts w:ascii="Arial" w:cs="Arial" w:eastAsia="Arial" w:hAnsi="Arial"/>
          <w:sz w:val="18"/>
          <w:szCs w:val="18"/>
          <w:color w:val="auto"/>
        </w:rPr>
        <w:t>has served as our Chief Technology Officer since July 2020. Before joining us, Mr. Steinberg was a partner at AKF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Sarah Tam </w:t>
      </w:r>
      <w:r>
        <w:rPr>
          <w:rFonts w:ascii="Arial" w:cs="Arial" w:eastAsia="Arial" w:hAnsi="Arial"/>
          <w:sz w:val="18"/>
          <w:szCs w:val="18"/>
          <w:color w:val="auto"/>
        </w:rPr>
        <w:t>has served as our Chief Merchant Officer since August 2017. Prior to that, she served as our Senior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Non-Employee Directors</w:t>
      </w:r>
    </w:p>
    <w:p>
      <w:pPr>
        <w:spacing w:after="0" w:line="212" w:lineRule="exact"/>
        <w:rPr>
          <w:sz w:val="20"/>
          <w:szCs w:val="20"/>
          <w:color w:val="auto"/>
        </w:rPr>
      </w:pPr>
    </w:p>
    <w:p>
      <w:pPr>
        <w:ind w:left="120" w:right="100" w:firstLine="551"/>
        <w:spacing w:after="0" w:line="259" w:lineRule="auto"/>
        <w:rPr>
          <w:sz w:val="20"/>
          <w:szCs w:val="20"/>
          <w:color w:val="auto"/>
        </w:rPr>
      </w:pPr>
      <w:r>
        <w:rPr>
          <w:rFonts w:ascii="Arial" w:cs="Arial" w:eastAsia="Arial" w:hAnsi="Arial"/>
          <w:sz w:val="17"/>
          <w:szCs w:val="17"/>
          <w:b w:val="1"/>
          <w:bCs w:val="1"/>
          <w:i w:val="1"/>
          <w:iCs w:val="1"/>
          <w:color w:val="auto"/>
        </w:rPr>
        <w:t xml:space="preserve">Tim Bixby </w:t>
      </w:r>
      <w:r>
        <w:rPr>
          <w:rFonts w:ascii="Arial" w:cs="Arial" w:eastAsia="Arial" w:hAnsi="Arial"/>
          <w:sz w:val="17"/>
          <w:szCs w:val="17"/>
          <w:color w:val="auto"/>
        </w:rPr>
        <w:t>has served as a member of our board of directors since February 2021. Mr. Bixby has been the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6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i w:val="1"/>
          <w:iCs w:val="1"/>
          <w:color w:val="auto"/>
        </w:rPr>
        <w:t xml:space="preserve">Jennifer Fleiss </w:t>
      </w:r>
      <w:r>
        <w:rPr>
          <w:rFonts w:ascii="Arial" w:cs="Arial" w:eastAsia="Arial" w:hAnsi="Arial"/>
          <w:sz w:val="18"/>
          <w:szCs w:val="18"/>
          <w:color w:val="auto"/>
        </w:rPr>
        <w:t>has served as our Co-Founder since November 2008 and as a member of our board of directors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8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i w:val="1"/>
          <w:iCs w:val="1"/>
          <w:color w:val="auto"/>
        </w:rPr>
        <w:t xml:space="preserve">Scott Friend </w:t>
      </w:r>
      <w:r>
        <w:rPr>
          <w:rFonts w:ascii="Arial" w:cs="Arial" w:eastAsia="Arial" w:hAnsi="Arial"/>
          <w:sz w:val="18"/>
          <w:szCs w:val="18"/>
          <w:color w:val="auto"/>
        </w:rPr>
        <w:t>has served as a member of our board of directors since June 2009. Mr. Friend has been a partner at Bain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85"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b w:val="1"/>
          <w:bCs w:val="1"/>
          <w:i w:val="1"/>
          <w:iCs w:val="1"/>
          <w:color w:val="auto"/>
        </w:rPr>
        <w:t xml:space="preserve">Beth Kaplan </w:t>
      </w:r>
      <w:r>
        <w:rPr>
          <w:rFonts w:ascii="Arial" w:cs="Arial" w:eastAsia="Arial" w:hAnsi="Arial"/>
          <w:sz w:val="17"/>
          <w:szCs w:val="17"/>
          <w:color w:val="auto"/>
        </w:rPr>
        <w:t>has served as a member of our board of directors since March 2013 and formerly served as our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from 2012 to 2015. Ms. Kaplan is the managing member of Axcel Partners, LLC, a venture capital firm investing in early stage and growth companies founded and led by women, and previously served as the President and Chief Operating Officer of GNC.</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Ms. Kaplan currently serves on the board of directors of a number of companies, including public companies Howard Hughes Corporation, a real estate development and management company;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Crocs, a manufacturer of foam clogs; Meredith Corporation, a media conglomerate; and private companies Cooper’s Hawk, a full-service restaurant and winery chain, and Brilliant Earth, a jewelry company.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83"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b w:val="1"/>
          <w:bCs w:val="1"/>
          <w:i w:val="1"/>
          <w:iCs w:val="1"/>
          <w:color w:val="auto"/>
        </w:rPr>
        <w:t xml:space="preserve">Dan Nova </w:t>
      </w:r>
      <w:r>
        <w:rPr>
          <w:rFonts w:ascii="Arial" w:cs="Arial" w:eastAsia="Arial" w:hAnsi="Arial"/>
          <w:sz w:val="17"/>
          <w:szCs w:val="17"/>
          <w:color w:val="auto"/>
        </w:rPr>
        <w:t>has served as a member of our board of directors since February 2010. Mr. Nova has been a General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RapidSOS and YipitData.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68"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b w:val="1"/>
          <w:bCs w:val="1"/>
          <w:i w:val="1"/>
          <w:iCs w:val="1"/>
          <w:color w:val="auto"/>
        </w:rPr>
        <w:t xml:space="preserve">Gwyneth Paltrow </w:t>
      </w:r>
      <w:r>
        <w:rPr>
          <w:rFonts w:ascii="Arial" w:cs="Arial" w:eastAsia="Arial" w:hAnsi="Arial"/>
          <w:sz w:val="17"/>
          <w:szCs w:val="17"/>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1"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Ms. Paltrow is qualified to serve on our board of directors because of her entrepreneurial expertise, her deep understanding of consumer marketing, and her experience leading an e-commerce company.</w:t>
      </w:r>
    </w:p>
    <w:p>
      <w:pPr>
        <w:spacing w:after="0" w:line="175"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Carley Roney </w:t>
      </w:r>
      <w:r>
        <w:rPr>
          <w:rFonts w:ascii="Arial" w:cs="Arial" w:eastAsia="Arial" w:hAnsi="Arial"/>
          <w:sz w:val="18"/>
          <w:szCs w:val="18"/>
          <w:color w:val="auto"/>
        </w:rPr>
        <w:t>has served as a member of our board of directors since October 2009. Ms. Roney is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80" w:lineRule="exact"/>
        <w:rPr>
          <w:sz w:val="20"/>
          <w:szCs w:val="20"/>
          <w:color w:val="auto"/>
        </w:rPr>
      </w:pPr>
    </w:p>
    <w:p>
      <w:pPr>
        <w:ind w:left="120" w:right="60" w:firstLine="551"/>
        <w:spacing w:after="0" w:line="259" w:lineRule="auto"/>
        <w:rPr>
          <w:sz w:val="20"/>
          <w:szCs w:val="20"/>
          <w:color w:val="auto"/>
        </w:rPr>
      </w:pPr>
      <w:r>
        <w:rPr>
          <w:rFonts w:ascii="Arial" w:cs="Arial" w:eastAsia="Arial" w:hAnsi="Arial"/>
          <w:sz w:val="17"/>
          <w:szCs w:val="17"/>
          <w:b w:val="1"/>
          <w:bCs w:val="1"/>
          <w:i w:val="1"/>
          <w:iCs w:val="1"/>
          <w:color w:val="auto"/>
        </w:rPr>
        <w:t xml:space="preserve">Dan Rosensweig </w:t>
      </w:r>
      <w:r>
        <w:rPr>
          <w:rFonts w:ascii="Arial" w:cs="Arial" w:eastAsia="Arial" w:hAnsi="Arial"/>
          <w:sz w:val="17"/>
          <w:szCs w:val="17"/>
          <w:color w:val="auto"/>
        </w:rPr>
        <w:t>has served as a member of our board of directors since December 2011. Mr. Rosensweig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b w:val="1"/>
          <w:bCs w:val="1"/>
          <w:i w:val="1"/>
          <w:iCs w:val="1"/>
          <w:color w:val="auto"/>
        </w:rPr>
        <w:t xml:space="preserve">Mike Roth </w:t>
      </w:r>
      <w:r>
        <w:rPr>
          <w:rFonts w:ascii="Arial" w:cs="Arial" w:eastAsia="Arial" w:hAnsi="Arial"/>
          <w:sz w:val="18"/>
          <w:szCs w:val="18"/>
          <w:color w:val="auto"/>
        </w:rPr>
        <w:t>has served as a member of our board of directors since January 2020. From 1999 to 2019, Mr. Roth has served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Family Relationships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34" w:lineRule="exact"/>
        <w:rPr>
          <w:sz w:val="20"/>
          <w:szCs w:val="20"/>
          <w:color w:val="auto"/>
        </w:rPr>
      </w:pPr>
    </w:p>
    <w:p>
      <w:pPr>
        <w:ind w:left="120" w:right="140" w:firstLine="551"/>
        <w:spacing w:after="0" w:line="257" w:lineRule="auto"/>
        <w:rPr>
          <w:sz w:val="20"/>
          <w:szCs w:val="20"/>
          <w:color w:val="auto"/>
        </w:rPr>
      </w:pPr>
      <w:r>
        <w:rPr>
          <w:rFonts w:ascii="Arial" w:cs="Arial" w:eastAsia="Arial" w:hAnsi="Arial"/>
          <w:sz w:val="17"/>
          <w:szCs w:val="17"/>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ectPr>
          <w:pgSz w:w="11900" w:h="16838" w:orient="portrait"/>
          <w:cols w:equalWidth="0" w:num="1">
            <w:col w:w="11100"/>
          </w:cols>
          <w:pgMar w:left="320" w:top="459" w:right="479" w:bottom="1440" w:gutter="0" w:footer="0" w:header="0"/>
        </w:sectPr>
      </w:pPr>
    </w:p>
    <w:p>
      <w:pPr>
        <w:spacing w:after="0" w:line="94" w:lineRule="exact"/>
        <w:rPr>
          <w:sz w:val="20"/>
          <w:szCs w:val="20"/>
          <w:color w:val="auto"/>
        </w:rPr>
      </w:pPr>
    </w:p>
    <w:p>
      <w:pPr>
        <w:ind w:left="880" w:right="80" w:hanging="219"/>
        <w:spacing w:after="0" w:line="246" w:lineRule="auto"/>
        <w:tabs>
          <w:tab w:leader="none" w:pos="860" w:val="left"/>
        </w:tabs>
        <w:rPr>
          <w:sz w:val="20"/>
          <w:szCs w:val="20"/>
          <w:color w:val="auto"/>
        </w:rPr>
      </w:pPr>
      <w:r>
        <w:rPr>
          <w:rFonts w:ascii="Arial" w:cs="Arial" w:eastAsia="Arial" w:hAnsi="Arial"/>
          <w:sz w:val="18"/>
          <w:szCs w:val="18"/>
          <w:color w:val="auto"/>
        </w:rPr>
        <w:t>•</w:t>
        <w:tab/>
        <w:t>the Class I directors will be of this offering;</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our first annual meeting of stockholders upon the completion</w:t>
      </w:r>
    </w:p>
    <w:p>
      <w:pPr>
        <w:spacing w:after="0" w:line="330" w:lineRule="exact"/>
        <w:rPr>
          <w:sz w:val="20"/>
          <w:szCs w:val="20"/>
          <w:color w:val="auto"/>
        </w:rPr>
      </w:pPr>
    </w:p>
    <w:p>
      <w:pPr>
        <w:sectPr>
          <w:pgSz w:w="11900" w:h="16838" w:orient="portrait"/>
          <w:cols w:equalWidth="0" w:num="2">
            <w:col w:w="3100" w:space="720"/>
            <w:col w:w="7280"/>
          </w:cols>
          <w:pgMar w:left="320" w:top="459" w:right="479" w:bottom="1440" w:gutter="0" w:footer="0" w:header="0"/>
          <w:type w:val="continuous"/>
        </w:sectPr>
      </w:pPr>
    </w:p>
    <w:p>
      <w:pPr>
        <w:ind w:left="880" w:hanging="219"/>
        <w:spacing w:after="0" w:line="274" w:lineRule="auto"/>
        <w:tabs>
          <w:tab w:leader="none" w:pos="860" w:val="left"/>
        </w:tabs>
        <w:rPr>
          <w:sz w:val="20"/>
          <w:szCs w:val="20"/>
          <w:color w:val="auto"/>
        </w:rPr>
      </w:pPr>
      <w:r>
        <w:rPr>
          <w:rFonts w:ascii="Arial" w:cs="Arial" w:eastAsia="Arial" w:hAnsi="Arial"/>
          <w:sz w:val="17"/>
          <w:szCs w:val="17"/>
          <w:color w:val="auto"/>
        </w:rPr>
        <w:t>•</w:t>
        <w:tab/>
        <w:t>the Class II directors will be completion of this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their terms will expire at our second annual meeting of stockholders upon the</w:t>
      </w:r>
    </w:p>
    <w:p>
      <w:pPr>
        <w:spacing w:after="0" w:line="319" w:lineRule="exact"/>
        <w:rPr>
          <w:sz w:val="20"/>
          <w:szCs w:val="20"/>
          <w:color w:val="auto"/>
        </w:rPr>
      </w:pPr>
    </w:p>
    <w:p>
      <w:pPr>
        <w:sectPr>
          <w:pgSz w:w="11900" w:h="16838" w:orient="portrait"/>
          <w:cols w:equalWidth="0" w:num="2">
            <w:col w:w="3320" w:space="540"/>
            <w:col w:w="7240"/>
          </w:cols>
          <w:pgMar w:left="320" w:top="459" w:right="479" w:bottom="1440" w:gutter="0" w:footer="0" w:header="0"/>
          <w:type w:val="continuous"/>
        </w:sectPr>
      </w:pPr>
    </w:p>
    <w:p>
      <w:pPr>
        <w:ind w:left="880" w:right="80" w:hanging="219"/>
        <w:spacing w:after="0" w:line="274" w:lineRule="auto"/>
        <w:tabs>
          <w:tab w:leader="none" w:pos="860" w:val="left"/>
        </w:tabs>
        <w:rPr>
          <w:sz w:val="20"/>
          <w:szCs w:val="20"/>
          <w:color w:val="auto"/>
        </w:rPr>
      </w:pPr>
      <w:r>
        <w:rPr>
          <w:rFonts w:ascii="Arial" w:cs="Arial" w:eastAsia="Arial" w:hAnsi="Arial"/>
          <w:sz w:val="17"/>
          <w:szCs w:val="17"/>
          <w:color w:val="auto"/>
        </w:rPr>
        <w:t>•</w:t>
        <w:tab/>
        <w:t>the Class III directors will be completion of this offering.</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7"/>
          <w:szCs w:val="17"/>
          <w:color w:val="auto"/>
        </w:rPr>
        <w:t>, and their terms will expire at our third annual meeting of stockholders upon the</w:t>
      </w:r>
    </w:p>
    <w:p>
      <w:pPr>
        <w:spacing w:after="0" w:line="425" w:lineRule="exact"/>
        <w:rPr>
          <w:sz w:val="20"/>
          <w:szCs w:val="20"/>
          <w:color w:val="auto"/>
        </w:rPr>
      </w:pPr>
    </w:p>
    <w:p>
      <w:pPr>
        <w:sectPr>
          <w:pgSz w:w="11900" w:h="16838" w:orient="portrait"/>
          <w:cols w:equalWidth="0" w:num="2">
            <w:col w:w="3200" w:space="720"/>
            <w:col w:w="7180"/>
          </w:cols>
          <w:pgMar w:left="320" w:top="459" w:right="479" w:bottom="1440" w:gutter="0" w:footer="0" w:header="0"/>
          <w:type w:val="continuous"/>
        </w:sectPr>
      </w:pPr>
    </w:p>
    <w:p>
      <w:pPr>
        <w:ind w:left="120" w:firstLine="551"/>
        <w:spacing w:after="0"/>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w:t>
      </w:r>
    </w:p>
    <w:p>
      <w:pPr>
        <w:ind w:left="120" w:right="40"/>
        <w:spacing w:after="0" w:line="234" w:lineRule="auto"/>
        <w:rPr>
          <w:sz w:val="20"/>
          <w:szCs w:val="20"/>
          <w:color w:val="auto"/>
        </w:rPr>
      </w:pPr>
      <w:r>
        <w:rPr>
          <w:rFonts w:ascii="Arial" w:cs="Arial" w:eastAsia="Arial" w:hAnsi="Arial"/>
          <w:sz w:val="18"/>
          <w:szCs w:val="18"/>
          <w:color w:val="auto"/>
        </w:rPr>
        <w:t>his or her background, employment, and affiliations, our board of directors has determined that we do not have relationships that would interfere with the exercise of independent judgment in carrying out the responsibilities of a director and that each of these directors</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is “independent” as that term is defined under the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ESG committee. The composition and responsibilities of each of the committees of our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Our audit committee consists of . Our board of directors has determined that each member of our audit committee satisfies the independence requirements under the listing standards of the and Rule 10A-3(b)(1) of the Exchange Act. The chair of our audit committee is . Our board of directors has determined that is an “audit committee financial expert” within the</w:t>
      </w:r>
    </w:p>
    <w:p>
      <w:pPr>
        <w:spacing w:after="0" w:line="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20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117" w:lineRule="exact"/>
        <w:rPr>
          <w:sz w:val="20"/>
          <w:szCs w:val="20"/>
          <w:color w:val="auto"/>
        </w:rPr>
      </w:pPr>
    </w:p>
    <w:p>
      <w:pPr>
        <w:ind w:left="1320" w:hanging="435"/>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1320" w:right="40" w:hanging="435"/>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108" w:lineRule="exact"/>
        <w:rPr>
          <w:rFonts w:ascii="Arial" w:cs="Arial" w:eastAsia="Arial" w:hAnsi="Arial"/>
          <w:sz w:val="18"/>
          <w:szCs w:val="18"/>
          <w:color w:val="auto"/>
        </w:rPr>
      </w:pPr>
    </w:p>
    <w:p>
      <w:pPr>
        <w:ind w:left="1320" w:right="280" w:hanging="435"/>
        <w:spacing w:after="0" w:line="274" w:lineRule="auto"/>
        <w:tabs>
          <w:tab w:leader="none" w:pos="13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0" w:lineRule="exact"/>
        <w:rPr>
          <w:rFonts w:ascii="Arial" w:cs="Arial" w:eastAsia="Arial" w:hAnsi="Arial"/>
          <w:sz w:val="17"/>
          <w:szCs w:val="17"/>
          <w:color w:val="auto"/>
        </w:rPr>
      </w:pPr>
    </w:p>
    <w:p>
      <w:pPr>
        <w:ind w:left="1320" w:hanging="435"/>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17" w:lineRule="exact"/>
        <w:rPr>
          <w:rFonts w:ascii="Arial" w:cs="Arial" w:eastAsia="Arial" w:hAnsi="Arial"/>
          <w:sz w:val="18"/>
          <w:szCs w:val="18"/>
          <w:color w:val="auto"/>
        </w:rPr>
      </w:pPr>
    </w:p>
    <w:p>
      <w:pPr>
        <w:ind w:left="1320" w:right="240" w:hanging="435"/>
        <w:spacing w:after="0" w:line="246" w:lineRule="auto"/>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 and</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will operate under a written charter, to be effective upon the completion of this offering , that satisfies the</w:t>
      </w:r>
    </w:p>
    <w:p>
      <w:pPr>
        <w:ind w:left="120"/>
        <w:spacing w:after="0"/>
        <w:tabs>
          <w:tab w:leader="none" w:pos="3760" w:val="left"/>
        </w:tabs>
        <w:rPr>
          <w:sz w:val="20"/>
          <w:szCs w:val="20"/>
          <w:color w:val="auto"/>
        </w:rPr>
      </w:pPr>
      <w:r>
        <w:rPr>
          <w:rFonts w:ascii="Arial" w:cs="Arial" w:eastAsia="Arial" w:hAnsi="Arial"/>
          <w:sz w:val="18"/>
          <w:szCs w:val="18"/>
          <w:color w:val="auto"/>
        </w:rPr>
        <w:t>applicable listing standards of the</w:t>
      </w:r>
      <w:r>
        <w:rPr>
          <w:sz w:val="20"/>
          <w:szCs w:val="20"/>
          <w:color w:val="auto"/>
        </w:rPr>
        <w:tab/>
      </w:r>
      <w:r>
        <w:rPr>
          <w:rFonts w:ascii="Arial" w:cs="Arial" w:eastAsia="Arial" w:hAnsi="Arial"/>
          <w:sz w:val="13"/>
          <w:szCs w:val="13"/>
          <w:color w:val="auto"/>
        </w:rPr>
        <w: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compensation committee consists of . The chair of our compensation committee is . Our board of directors has determined that each member of our compensation committee is independent under the listing standards of the and a “non-employee director” as defined in Rule 16b-3 promulgated under the Exchange Act.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60"/>
          </w:cols>
          <w:pgMar w:left="320" w:top="459" w:right="5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17" w:lineRule="exact"/>
        <w:rPr>
          <w:sz w:val="20"/>
          <w:szCs w:val="20"/>
          <w:color w:val="auto"/>
        </w:rPr>
      </w:pPr>
    </w:p>
    <w:p>
      <w:pPr>
        <w:ind w:left="1320" w:right="120" w:hanging="435"/>
        <w:spacing w:after="0" w:line="246" w:lineRule="auto"/>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17" w:lineRule="exact"/>
        <w:rPr>
          <w:rFonts w:ascii="Arial" w:cs="Arial" w:eastAsia="Arial" w:hAnsi="Arial"/>
          <w:sz w:val="18"/>
          <w:szCs w:val="18"/>
          <w:color w:val="auto"/>
        </w:rPr>
      </w:pPr>
    </w:p>
    <w:p>
      <w:pPr>
        <w:jc w:val="both"/>
        <w:ind w:left="1320" w:right="30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108" w:lineRule="exact"/>
        <w:rPr>
          <w:rFonts w:ascii="Arial" w:cs="Arial" w:eastAsia="Arial" w:hAnsi="Arial"/>
          <w:sz w:val="18"/>
          <w:szCs w:val="18"/>
          <w:color w:val="auto"/>
        </w:rPr>
      </w:pPr>
    </w:p>
    <w:p>
      <w:pPr>
        <w:ind w:left="1320" w:right="220" w:hanging="435"/>
        <w:spacing w:after="0" w:line="246" w:lineRule="auto"/>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 and</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reviewing succession planning for our executive leadership team.</w:t>
      </w:r>
    </w:p>
    <w:p>
      <w:pPr>
        <w:spacing w:after="0" w:line="21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compensation committee will operate under a written charter, to be effective upon the completion of this offering, that satisfies the applicable listing standards of the .</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ESG Committee</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nominating and ESG committee consists of . The chair of our nominating and ESG committee is . Our board of directors has determined that each member of our nominating and ESG committee is independent under the listing standards of the .</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ESG committee include:</w:t>
      </w:r>
    </w:p>
    <w:p>
      <w:pPr>
        <w:spacing w:after="0" w:line="117" w:lineRule="exact"/>
        <w:rPr>
          <w:sz w:val="20"/>
          <w:szCs w:val="20"/>
          <w:color w:val="auto"/>
        </w:rPr>
      </w:pPr>
    </w:p>
    <w:p>
      <w:pPr>
        <w:ind w:left="1320" w:right="720" w:hanging="435"/>
        <w:spacing w:after="0" w:line="246" w:lineRule="auto"/>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02" w:lineRule="exact"/>
        <w:rPr>
          <w:rFonts w:ascii="Arial" w:cs="Arial" w:eastAsia="Arial" w:hAnsi="Arial"/>
          <w:sz w:val="18"/>
          <w:szCs w:val="18"/>
          <w:color w:val="auto"/>
        </w:rPr>
      </w:pPr>
    </w:p>
    <w:p>
      <w:pPr>
        <w:ind w:left="1320" w:right="380" w:hanging="435"/>
        <w:spacing w:after="0" w:line="246" w:lineRule="auto"/>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w:t>
      </w:r>
    </w:p>
    <w:p>
      <w:pPr>
        <w:spacing w:after="0" w:line="128" w:lineRule="exact"/>
        <w:rPr>
          <w:rFonts w:ascii="Arial" w:cs="Arial" w:eastAsia="Arial" w:hAnsi="Arial"/>
          <w:sz w:val="17"/>
          <w:szCs w:val="17"/>
          <w:color w:val="auto"/>
        </w:rPr>
      </w:pPr>
    </w:p>
    <w:p>
      <w:pPr>
        <w:ind w:left="1320" w:hanging="435"/>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overseeing and evaluating our environmental, social and governance and impact initiatives.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ESG committee will operate under a written charter, to be effective upon the completion of this offering, that</w:t>
      </w:r>
    </w:p>
    <w:p>
      <w:pPr>
        <w:ind w:left="120"/>
        <w:spacing w:after="0"/>
        <w:tabs>
          <w:tab w:leader="none" w:pos="4560" w:val="left"/>
        </w:tabs>
        <w:rPr>
          <w:sz w:val="20"/>
          <w:szCs w:val="20"/>
          <w:color w:val="auto"/>
        </w:rPr>
      </w:pPr>
      <w:r>
        <w:rPr>
          <w:rFonts w:ascii="Arial" w:cs="Arial" w:eastAsia="Arial" w:hAnsi="Arial"/>
          <w:sz w:val="18"/>
          <w:szCs w:val="18"/>
          <w:color w:val="auto"/>
        </w:rPr>
        <w:t>satisfies the applicable listing standards of the</w:t>
      </w:r>
      <w:r>
        <w:rPr>
          <w:sz w:val="20"/>
          <w:szCs w:val="20"/>
          <w:color w:val="auto"/>
        </w:rPr>
        <w:tab/>
      </w:r>
      <w:r>
        <w:rPr>
          <w:rFonts w:ascii="Arial" w:cs="Arial" w:eastAsia="Arial" w:hAnsi="Arial"/>
          <w:sz w:val="13"/>
          <w:szCs w:val="13"/>
          <w:color w:val="auto"/>
        </w:rPr>
        <w:t>.</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 xml:space="preserve">officer) and all global employees. Upon the completion of this offering, our Code of Business Conduct and Ethics will be available on our website at </w:t>
      </w:r>
      <w:r>
        <w:rPr>
          <w:rFonts w:ascii="Arial" w:cs="Arial" w:eastAsia="Arial" w:hAnsi="Arial"/>
          <w:sz w:val="18"/>
          <w:szCs w:val="18"/>
          <w:i w:val="1"/>
          <w:iCs w:val="1"/>
          <w:color w:val="auto"/>
        </w:rPr>
        <w:t>www.renttherunway.com</w:t>
      </w:r>
      <w:r>
        <w:rPr>
          <w:rFonts w:ascii="Arial" w:cs="Arial" w:eastAsia="Arial" w:hAnsi="Arial"/>
          <w:sz w:val="18"/>
          <w:szCs w:val="18"/>
          <w:color w:val="auto"/>
        </w:rPr>
        <w:t>. We expect that amendments to the Code of Business Conduct and Ethics, or waivers of its requirements, will, if required, be disclosed on our website or in filings under the Exchange Act.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Oversight</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 progress. While each committee will be responsible for evaluating certain risks and overseeing the management of such risks, our entire board of directors will be regularly informed through committee reports about such risks.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Diversity</w:t>
      </w:r>
    </w:p>
    <w:p>
      <w:pPr>
        <w:spacing w:after="0" w:line="234"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Our nominating and ESG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108" w:lineRule="exact"/>
        <w:rPr>
          <w:sz w:val="20"/>
          <w:szCs w:val="20"/>
          <w:color w:val="auto"/>
        </w:rPr>
      </w:pPr>
    </w:p>
    <w:p>
      <w:pPr>
        <w:ind w:left="88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and Chair;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Scarlett O’Sullivan, Chief Financial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Anushka Salinas, President and Chief Operating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Brian Donato, Chief Supply Chain Officer.</w:t>
      </w:r>
    </w:p>
    <w:p>
      <w:pPr>
        <w:spacing w:after="0" w:line="212"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year ended January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Bonus</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Awards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Awards</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74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6"/>
                <w:szCs w:val="16"/>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Jennifer Y. Hyman</w:t>
            </w:r>
          </w:p>
        </w:tc>
        <w:tc>
          <w:tcPr>
            <w:tcW w:w="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2020</w:t>
            </w: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525,000</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1,187,582</w:t>
            </w:r>
          </w:p>
        </w:tc>
        <w:tc>
          <w:tcPr>
            <w:tcW w:w="2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16,428</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1,729,010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Co-Founder, Chief Executive Officer and Chair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Scarlett O’Sullivan</w:t>
            </w:r>
          </w:p>
        </w:tc>
        <w:tc>
          <w:tcPr>
            <w:tcW w:w="7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555,000</w:t>
            </w:r>
          </w:p>
        </w:tc>
        <w:tc>
          <w:tcPr>
            <w:tcW w:w="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27,915</w:t>
            </w:r>
          </w:p>
        </w:tc>
        <w:tc>
          <w:tcPr>
            <w:tcW w:w="14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11,400</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594,315</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Chief Financial Officer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Anushka Salinas</w:t>
            </w:r>
          </w:p>
        </w:tc>
        <w:tc>
          <w:tcPr>
            <w:tcW w:w="7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555,000</w:t>
            </w:r>
          </w:p>
        </w:tc>
        <w:tc>
          <w:tcPr>
            <w:tcW w:w="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243,418</w:t>
            </w:r>
          </w:p>
        </w:tc>
        <w:tc>
          <w:tcPr>
            <w:tcW w:w="14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13,754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812,172</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President and Chief Operating Officer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Donato</w:t>
            </w:r>
          </w:p>
        </w:tc>
        <w:tc>
          <w:tcPr>
            <w:tcW w:w="7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480,000</w:t>
            </w:r>
          </w:p>
        </w:tc>
        <w:tc>
          <w:tcPr>
            <w:tcW w:w="9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150,000</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8,000</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638,000</w:t>
            </w:r>
          </w:p>
        </w:tc>
        <w:tc>
          <w:tcPr>
            <w:tcW w:w="0" w:type="dxa"/>
            <w:vAlign w:val="bottom"/>
          </w:tcPr>
          <w:p>
            <w:pPr>
              <w:spacing w:after="0"/>
              <w:rPr>
                <w:sz w:val="1"/>
                <w:szCs w:val="1"/>
                <w:color w:val="auto"/>
              </w:rPr>
            </w:pPr>
          </w:p>
        </w:tc>
      </w:tr>
      <w:tr>
        <w:trPr>
          <w:trHeight w:val="235"/>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Chief Supply Chain Officer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715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0" w:right="280" w:hanging="424"/>
        <w:spacing w:after="0" w:line="241"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540" w:hanging="424"/>
        <w:spacing w:after="0"/>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 reflects a one-time signing bonus paid to Mr. Donato in connection with his commencement of service with us in March 2020.</w:t>
      </w:r>
    </w:p>
    <w:p>
      <w:pPr>
        <w:spacing w:after="0" w:line="1"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Amount for Ms. Hyman reflects: (i) $5,028 for a free Rent the Runway monthly subscription and Reserve rentals, and (i) $11,400 in matching contributions made by us</w:t>
      </w:r>
    </w:p>
    <w:p>
      <w:pPr>
        <w:spacing w:after="0" w:line="1" w:lineRule="exact"/>
        <w:rPr>
          <w:rFonts w:ascii="Arial" w:cs="Arial" w:eastAsia="Arial" w:hAnsi="Arial"/>
          <w:sz w:val="14"/>
          <w:szCs w:val="14"/>
          <w:color w:val="auto"/>
        </w:rPr>
      </w:pPr>
    </w:p>
    <w:p>
      <w:pPr>
        <w:ind w:left="540" w:right="300"/>
        <w:spacing w:after="0" w:line="249" w:lineRule="auto"/>
        <w:rPr>
          <w:rFonts w:ascii="Arial" w:cs="Arial" w:eastAsia="Arial" w:hAnsi="Arial"/>
          <w:sz w:val="14"/>
          <w:szCs w:val="14"/>
          <w:color w:val="auto"/>
        </w:rPr>
      </w:pPr>
      <w:r>
        <w:rPr>
          <w:rFonts w:ascii="Arial" w:cs="Arial" w:eastAsia="Arial" w:hAnsi="Arial"/>
          <w:sz w:val="14"/>
          <w:szCs w:val="14"/>
          <w:color w:val="auto"/>
        </w:rPr>
        <w:t>on behalf of Ms. Hyman to her 401(k) plan account. Amount for Ms. Salinas 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more detailed summary of the current executive compensation program as it relates to our named executive officers.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Salaries</w:t>
      </w:r>
    </w:p>
    <w:p>
      <w:pPr>
        <w:spacing w:after="0" w:line="126"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20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203"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actual salaries paid to each named executive officer for fiscal 2020 are set forth in the “Summary Compensation Table” above in the column titled “Salary.”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08"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i w:val="1"/>
          <w:iCs w:val="1"/>
          <w:color w:val="auto"/>
        </w:rPr>
        <w:t>Fiscal 2020 Performance-Based Bonuses</w:t>
      </w:r>
      <w:r>
        <w:rPr>
          <w:rFonts w:ascii="Arial" w:cs="Arial" w:eastAsia="Arial" w:hAnsi="Arial"/>
          <w:sz w:val="18"/>
          <w:szCs w:val="18"/>
          <w:color w:val="auto"/>
        </w:rPr>
        <w:t>. Ms. Hyman would have been eligible to earn an annual performance-based bonus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99"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85"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18"/>
          <w:szCs w:val="18"/>
          <w:i w:val="1"/>
          <w:iCs w:val="1"/>
          <w:color w:val="auto"/>
        </w:rPr>
        <w:t>Donato Sign-on Bonus</w:t>
      </w:r>
      <w:r>
        <w:rPr>
          <w:rFonts w:ascii="Arial" w:cs="Arial" w:eastAsia="Arial" w:hAnsi="Arial"/>
          <w:sz w:val="18"/>
          <w:szCs w:val="18"/>
          <w:color w:val="auto"/>
        </w:rPr>
        <w:t>. In fiscal 2020, Mr. Donato received a sign-on bonus in an aggregate amount of $ 150,000 as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Mr. Donato’s sign-on bonus is set forth in the “Summary Compensation Table” above in the column titled “Bonus.”</w:t>
      </w:r>
    </w:p>
    <w:p>
      <w:pPr>
        <w:spacing w:after="0" w:line="194" w:lineRule="exact"/>
        <w:rPr>
          <w:sz w:val="20"/>
          <w:szCs w:val="20"/>
          <w:color w:val="auto"/>
        </w:rPr>
      </w:pPr>
    </w:p>
    <w:p>
      <w:pPr>
        <w:ind w:left="120" w:right="500" w:firstLine="551"/>
        <w:spacing w:after="0" w:line="267" w:lineRule="auto"/>
        <w:rPr>
          <w:sz w:val="20"/>
          <w:szCs w:val="20"/>
          <w:color w:val="auto"/>
        </w:rPr>
      </w:pPr>
      <w:r>
        <w:rPr>
          <w:rFonts w:ascii="Arial" w:cs="Arial" w:eastAsia="Arial" w:hAnsi="Arial"/>
          <w:sz w:val="18"/>
          <w:szCs w:val="18"/>
          <w:i w:val="1"/>
          <w:iCs w:val="1"/>
          <w:color w:val="auto"/>
        </w:rPr>
        <w:t>Fiscal 2021 Bonuses</w:t>
      </w:r>
      <w:r>
        <w:rPr>
          <w:rFonts w:ascii="Arial" w:cs="Arial" w:eastAsia="Arial" w:hAnsi="Arial"/>
          <w:sz w:val="18"/>
          <w:szCs w:val="18"/>
          <w:color w:val="auto"/>
        </w:rPr>
        <w:t>. Pursuant to our fiscal 2021 bonus program, our compensation committee determined that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would be eligible to receive a cash performance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8"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Stock Plans and Outstanding Awards</w:t>
      </w:r>
      <w:r>
        <w:rPr>
          <w:rFonts w:ascii="Arial" w:cs="Arial" w:eastAsia="Arial" w:hAnsi="Arial"/>
          <w:sz w:val="18"/>
          <w:szCs w:val="18"/>
          <w:color w:val="auto"/>
        </w:rPr>
        <w:t>. We maintain the 2009 Stock Incentive Plan, referred to as the 2009 Plan, and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this offering.</w:t>
      </w:r>
    </w:p>
    <w:p>
      <w:pPr>
        <w:spacing w:after="0" w:line="205"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On April 1, 2020, Ms. Hyman was granted 206,901 RSUs, Ms. O’Sullivan was granted 121,009 RSUs, Ms. Salinas was granted 121,009 RSUs, and Mr. Donato was granted 300,000 RSUs, in each case which vest as described above.</w:t>
      </w:r>
    </w:p>
    <w:p>
      <w:pPr>
        <w:spacing w:after="0" w:line="19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(the “Repricing”). Under the Repricing, eligible options with an exercise price of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87"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i w:val="1"/>
          <w:iCs w:val="1"/>
          <w:color w:val="auto"/>
        </w:rPr>
        <w:t xml:space="preserve">IPO RSU Awards. </w:t>
      </w:r>
      <w:r>
        <w:rPr>
          <w:rFonts w:ascii="Arial" w:cs="Arial" w:eastAsia="Arial" w:hAnsi="Arial"/>
          <w:sz w:val="18"/>
          <w:szCs w:val="18"/>
          <w:color w:val="auto"/>
        </w:rPr>
        <w:t>In connection with our preparation for this offering, we entered into an award letter with each of Ms. Hyman,</w:t>
      </w:r>
      <w:r>
        <w:rPr>
          <w:rFonts w:ascii="Arial" w:cs="Arial" w:eastAsia="Arial" w:hAnsi="Arial"/>
          <w:sz w:val="18"/>
          <w:szCs w:val="18"/>
          <w:i w:val="1"/>
          <w:iCs w:val="1"/>
          <w:color w:val="auto"/>
        </w:rPr>
        <w:t xml:space="preserve"> </w:t>
      </w:r>
      <w:r>
        <w:rPr>
          <w:rFonts w:ascii="Arial" w:cs="Arial" w:eastAsia="Arial" w:hAnsi="Arial"/>
          <w:sz w:val="18"/>
          <w:szCs w:val="18"/>
          <w:color w:val="auto"/>
        </w:rPr>
        <w:t>Ms. O’Sullivan and Ms. Salinas on May 4, 2021, pursuant to which each 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on each quarterly anniversary thereafter such that the award will be fully vested on the fourth anniversary of the grant date, subject to the named executive officer’s continued service with us through the applicable vesting dates (the “IPO RSU Awards”). We expect that Ms. Hyman, Ms. O’Sullivan and Ms. Salinas will be granted the IPO RSU Awards upon the date of consummation of this offering.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(the “SPAC”) following which the securities of the SPAC are listed on a national securities exchange.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08"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85" w:lineRule="exact"/>
        <w:rPr>
          <w:sz w:val="20"/>
          <w:szCs w:val="20"/>
          <w:color w:val="auto"/>
        </w:rPr>
      </w:pPr>
    </w:p>
    <w:p>
      <w:pPr>
        <w:ind w:left="120" w:right="680" w:firstLine="551"/>
        <w:spacing w:after="0" w:line="267"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named executive officers, are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our health and welfare plans, including:</w:t>
      </w:r>
    </w:p>
    <w:p>
      <w:pPr>
        <w:spacing w:after="0" w:line="84" w:lineRule="exact"/>
        <w:rPr>
          <w:sz w:val="20"/>
          <w:szCs w:val="20"/>
          <w:color w:val="auto"/>
        </w:rPr>
      </w:pPr>
    </w:p>
    <w:p>
      <w:pPr>
        <w:ind w:left="880" w:hanging="224"/>
        <w:spacing w:after="0"/>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120" w:right="100" w:firstLine="1212"/>
        <w:spacing w:after="0" w:line="267" w:lineRule="auto"/>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 other than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Ms. Hyman pursuant to the CEO Agreement (as defined below).</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20"/>
          </w:cols>
          <w:pgMar w:left="320" w:top="459" w:right="5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97"/>
              </w:rPr>
              <w:t>Option Awards</w:t>
            </w: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380"/>
              <w:spacing w:after="0"/>
              <w:rPr>
                <w:sz w:val="20"/>
                <w:szCs w:val="20"/>
                <w:color w:val="auto"/>
              </w:rPr>
            </w:pPr>
            <w:r>
              <w:rPr>
                <w:rFonts w:ascii="Arial" w:cs="Arial" w:eastAsia="Arial" w:hAnsi="Arial"/>
                <w:sz w:val="11"/>
                <w:szCs w:val="11"/>
                <w:b w:val="1"/>
                <w:bCs w:val="1"/>
                <w:color w:val="auto"/>
              </w:rPr>
              <w:t>Stock Awards</w:t>
            </w: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rPr>
              <w:t>Equity</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Incentive</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Plan</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Awards:</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Number of</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9"/>
              </w:rPr>
              <w:t>Incentive Plan</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Market</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Unearned</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Awards:</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Value of</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Shares,</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rPr>
              <w:t>Market or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Shares or</w:t>
            </w: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Units or</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5"/>
              </w:rPr>
              <w:t>Payout Value</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8"/>
              </w:rPr>
              <w:t>Number of</w:t>
            </w: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Number of</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Shares or</w:t>
            </w: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7"/>
              </w:rPr>
              <w:t>Units of</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of Unearned</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4"/>
              </w:rPr>
              <w:t>Securities</w:t>
            </w: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4"/>
              </w:rPr>
              <w:t>Securities</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Units of</w:t>
            </w: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9"/>
              </w:rPr>
              <w:t>Stock</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9"/>
              </w:rPr>
              <w:t>Rights</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9"/>
              </w:rPr>
              <w:t>Shares, Units</w:t>
            </w: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rPr>
              <w:t>Underlying</w:t>
            </w: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Underlying</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Stock</w:t>
            </w: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That</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That Have</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or Other</w:t>
            </w: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rPr>
              <w:t>Unexercised</w:t>
            </w: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Unexercised</w:t>
            </w: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Option</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That Have</w:t>
            </w: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Have Not</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Not</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5"/>
              </w:rPr>
              <w:t>Rights That</w:t>
            </w:r>
          </w:p>
        </w:tc>
        <w:tc>
          <w:tcPr>
            <w:tcW w:w="0" w:type="dxa"/>
            <w:vAlign w:val="bottom"/>
          </w:tcPr>
          <w:p>
            <w:pPr>
              <w:spacing w:after="0"/>
              <w:rPr>
                <w:sz w:val="1"/>
                <w:szCs w:val="1"/>
                <w:color w:val="auto"/>
              </w:rPr>
            </w:pPr>
          </w:p>
        </w:tc>
      </w:tr>
      <w:tr>
        <w:trPr>
          <w:trHeight w:val="122"/>
        </w:trPr>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w w:val="93"/>
              </w:rPr>
              <w:t>Name</w:t>
            </w:r>
          </w:p>
        </w:tc>
        <w:tc>
          <w:tcPr>
            <w:tcW w:w="278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9"/>
              </w:rPr>
              <w:t>Options (#)</w:t>
            </w: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Options</w:t>
            </w: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7"/>
              </w:rPr>
              <w:t>Exercise</w:t>
            </w: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7"/>
              </w:rPr>
              <w:t>Not</w:t>
            </w:r>
          </w:p>
        </w:tc>
        <w:tc>
          <w:tcPr>
            <w:tcW w:w="7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Vested</w:t>
            </w: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Vested</w:t>
            </w:r>
          </w:p>
        </w:tc>
        <w:tc>
          <w:tcPr>
            <w:tcW w:w="78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6"/>
              </w:rPr>
              <w:t>Have Not</w:t>
            </w:r>
          </w:p>
        </w:tc>
        <w:tc>
          <w:tcPr>
            <w:tcW w:w="0" w:type="dxa"/>
            <w:vAlign w:val="bottom"/>
          </w:tcPr>
          <w:p>
            <w:pPr>
              <w:spacing w:after="0"/>
              <w:rPr>
                <w:sz w:val="1"/>
                <w:szCs w:val="1"/>
                <w:color w:val="auto"/>
              </w:rPr>
            </w:pPr>
          </w:p>
        </w:tc>
      </w:tr>
      <w:tr>
        <w:trPr>
          <w:trHeight w:val="143"/>
        </w:trPr>
        <w:tc>
          <w:tcPr>
            <w:tcW w:w="30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100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Grant Date</w:t>
            </w:r>
          </w:p>
        </w:tc>
        <w:tc>
          <w:tcPr>
            <w:tcW w:w="1060" w:type="dxa"/>
            <w:vAlign w:val="bottom"/>
            <w:gridSpan w:val="2"/>
          </w:tcPr>
          <w:p>
            <w:pPr>
              <w:jc w:val="center"/>
              <w:ind w:right="380"/>
              <w:spacing w:after="0" w:line="123" w:lineRule="exact"/>
              <w:rPr>
                <w:sz w:val="20"/>
                <w:szCs w:val="20"/>
                <w:color w:val="auto"/>
              </w:rPr>
            </w:pPr>
            <w:r>
              <w:rPr>
                <w:rFonts w:ascii="Arial" w:cs="Arial" w:eastAsia="Arial" w:hAnsi="Arial"/>
                <w:sz w:val="11"/>
                <w:szCs w:val="11"/>
                <w:b w:val="1"/>
                <w:bCs w:val="1"/>
                <w:color w:val="auto"/>
                <w:w w:val="98"/>
              </w:rPr>
              <w:t>Exercisable</w:t>
            </w:r>
          </w:p>
        </w:tc>
        <w:tc>
          <w:tcPr>
            <w:tcW w:w="114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8"/>
              </w:rPr>
              <w:t>(#) Unexercisable</w:t>
            </w:r>
          </w:p>
        </w:tc>
        <w:tc>
          <w:tcPr>
            <w:tcW w:w="66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auto"/>
                <w:w w:val="96"/>
              </w:rPr>
              <w:t xml:space="preserve">Price </w:t>
            </w:r>
            <w:r>
              <w:rPr>
                <w:rFonts w:ascii="Arial" w:cs="Arial" w:eastAsia="Arial" w:hAnsi="Arial"/>
                <w:sz w:val="11"/>
                <w:szCs w:val="11"/>
                <w:b w:val="1"/>
                <w:bCs w:val="1"/>
                <w:u w:val="single" w:color="auto"/>
                <w:color w:val="auto"/>
                <w:w w:val="96"/>
              </w:rPr>
              <w:t>($</w:t>
            </w:r>
            <w:r>
              <w:rPr>
                <w:rFonts w:ascii="Arial" w:cs="Arial" w:eastAsia="Arial" w:hAnsi="Arial"/>
                <w:sz w:val="11"/>
                <w:szCs w:val="11"/>
                <w:b w:val="1"/>
                <w:bCs w:val="1"/>
                <w:color w:val="auto"/>
                <w:w w:val="96"/>
              </w:rPr>
              <w:t>)</w:t>
            </w:r>
          </w:p>
        </w:tc>
        <w:tc>
          <w:tcPr>
            <w:tcW w:w="90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23" w:lineRule="exact"/>
              <w:rPr>
                <w:sz w:val="20"/>
                <w:szCs w:val="20"/>
                <w:color w:val="auto"/>
              </w:rPr>
            </w:pPr>
            <w:r>
              <w:rPr>
                <w:rFonts w:ascii="Arial" w:cs="Arial" w:eastAsia="Arial" w:hAnsi="Arial"/>
                <w:sz w:val="11"/>
                <w:szCs w:val="11"/>
                <w:b w:val="1"/>
                <w:bCs w:val="1"/>
                <w:color w:val="auto"/>
                <w:w w:val="98"/>
              </w:rPr>
              <w:t>Vested (#)</w:t>
            </w:r>
          </w:p>
        </w:tc>
        <w:tc>
          <w:tcPr>
            <w:tcW w:w="5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2"/>
                <w:szCs w:val="12"/>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6"/>
              </w:rPr>
              <w:t>(#)(1)</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23" w:lineRule="exact"/>
              <w:rPr>
                <w:sz w:val="20"/>
                <w:szCs w:val="20"/>
                <w:color w:val="auto"/>
              </w:rPr>
            </w:pPr>
            <w:r>
              <w:rPr>
                <w:rFonts w:ascii="Arial" w:cs="Arial" w:eastAsia="Arial" w:hAnsi="Arial"/>
                <w:sz w:val="11"/>
                <w:szCs w:val="11"/>
                <w:b w:val="1"/>
                <w:bCs w:val="1"/>
                <w:color w:val="auto"/>
                <w:w w:val="96"/>
              </w:rPr>
              <w:t xml:space="preserve">Vested </w:t>
            </w:r>
            <w:r>
              <w:rPr>
                <w:rFonts w:ascii="Arial" w:cs="Arial" w:eastAsia="Arial" w:hAnsi="Arial"/>
                <w:sz w:val="11"/>
                <w:szCs w:val="11"/>
                <w:b w:val="1"/>
                <w:bCs w:val="1"/>
                <w:u w:val="single" w:color="auto"/>
                <w:color w:val="auto"/>
                <w:w w:val="96"/>
              </w:rPr>
              <w:t>($</w:t>
            </w:r>
            <w:r>
              <w:rPr>
                <w:rFonts w:ascii="Arial" w:cs="Arial" w:eastAsia="Arial" w:hAnsi="Arial"/>
                <w:sz w:val="11"/>
                <w:szCs w:val="11"/>
                <w:b w:val="1"/>
                <w:bCs w:val="1"/>
                <w:color w:val="auto"/>
                <w:w w:val="96"/>
              </w:rPr>
              <w:t>)(2)</w:t>
            </w:r>
          </w:p>
        </w:tc>
        <w:tc>
          <w:tcPr>
            <w:tcW w:w="0" w:type="dxa"/>
            <w:vAlign w:val="bottom"/>
          </w:tcPr>
          <w:p>
            <w:pPr>
              <w:spacing w:after="0"/>
              <w:rPr>
                <w:sz w:val="1"/>
                <w:szCs w:val="1"/>
                <w:color w:val="auto"/>
              </w:rPr>
            </w:pPr>
          </w:p>
        </w:tc>
      </w:tr>
      <w:tr>
        <w:trPr>
          <w:trHeight w:val="149"/>
        </w:trPr>
        <w:tc>
          <w:tcPr>
            <w:tcW w:w="30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Jennifer Y. Hyman</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04/01/2020</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ind w:left="533"/>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ind w:left="71"/>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206,901</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1,398,651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12/14/2012</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327,128(3)</w:t>
            </w:r>
          </w:p>
        </w:tc>
        <w:tc>
          <w:tcPr>
            <w:tcW w:w="1140" w:type="dxa"/>
            <w:vAlign w:val="bottom"/>
            <w:gridSpan w:val="2"/>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2.86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12/15/2022</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01/16/2014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191,812(3)</w:t>
            </w:r>
          </w:p>
        </w:tc>
        <w:tc>
          <w:tcPr>
            <w:tcW w:w="1140" w:type="dxa"/>
            <w:vAlign w:val="bottom"/>
            <w:gridSpan w:val="2"/>
            <w:shd w:val="clear" w:color="auto" w:fill="CCEEFF"/>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2.38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01/15/2024</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05/24/2016</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83,121(4)</w:t>
            </w:r>
          </w:p>
        </w:tc>
        <w:tc>
          <w:tcPr>
            <w:tcW w:w="1140" w:type="dxa"/>
            <w:vAlign w:val="bottom"/>
            <w:gridSpan w:val="2"/>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7.02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05/24/2026</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03/02/2017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395,218(5)</w:t>
            </w:r>
          </w:p>
        </w:tc>
        <w:tc>
          <w:tcPr>
            <w:tcW w:w="1140" w:type="dxa"/>
            <w:vAlign w:val="bottom"/>
            <w:gridSpan w:val="2"/>
            <w:shd w:val="clear" w:color="auto" w:fill="CCEEFF"/>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7.66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03/01/2027</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03/08/2018</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204,609(5)</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75,997</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9.89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03/07/2028</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02/08/2019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246,653(5)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268,101</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7.01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02/07/2029</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07/03/2019</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226,352(3)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377,254</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7.01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07/02/2029</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Scarlett O’Sullivan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04/01/2020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121,009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818,021</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09/28/2015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335,552(6)</w:t>
            </w:r>
          </w:p>
        </w:tc>
        <w:tc>
          <w:tcPr>
            <w:tcW w:w="1140" w:type="dxa"/>
            <w:vAlign w:val="bottom"/>
            <w:gridSpan w:val="2"/>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5.10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09/27/2025</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08/21/2017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144,566(5)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28,913</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7.66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08/20/2027</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08/17/2019</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9,375(3)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15,625</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7.01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08/16/2029</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Anushka Salinas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04/01/2020</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121,009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818,021</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03/02/2017</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156,666(3)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3,334</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7.66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03/01/2027</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03/08/2018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14,583(3)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5,417</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9.89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03/07/2028</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01/14/2019</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9,583(3)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10,417</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rPr>
              <w:t>7.01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01/13/2029</w:t>
            </w:r>
          </w:p>
        </w:tc>
        <w:tc>
          <w:tcPr>
            <w:tcW w:w="100" w:type="dxa"/>
            <w:vAlign w:val="bottom"/>
          </w:tcPr>
          <w:p>
            <w:pPr>
              <w:spacing w:after="0"/>
              <w:rPr>
                <w:sz w:val="14"/>
                <w:szCs w:val="1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07/03/2019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75,000(3)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125,000</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7.01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07/02/2029</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080" w:type="dxa"/>
            <w:vAlign w:val="bottom"/>
            <w:gridSpan w:val="2"/>
          </w:tcPr>
          <w:p>
            <w:pPr>
              <w:spacing w:after="0"/>
              <w:rPr>
                <w:sz w:val="20"/>
                <w:szCs w:val="20"/>
                <w:color w:val="auto"/>
              </w:rPr>
            </w:pPr>
            <w:r>
              <w:rPr>
                <w:rFonts w:ascii="Arial" w:cs="Arial" w:eastAsia="Arial" w:hAnsi="Arial"/>
                <w:sz w:val="14"/>
                <w:szCs w:val="14"/>
                <w:color w:val="auto"/>
              </w:rPr>
              <w:t>Brian Donato</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04/01/2020</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293"/>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300,000</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right="100" w:hanging="424"/>
        <w:spacing w:after="0" w:line="241"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540" w:right="500" w:hanging="424"/>
        <w:spacing w:after="0" w:line="241"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$6.76, the fair market value of our common stock as of January 31, 2021, as determined by our board of directors.</w:t>
      </w:r>
    </w:p>
    <w:p>
      <w:pPr>
        <w:ind w:left="540" w:right="120" w:hanging="424"/>
        <w:spacing w:after="0" w:line="241"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spacing w:after="0" w:line="2" w:lineRule="exact"/>
        <w:rPr>
          <w:rFonts w:ascii="Arial" w:cs="Arial" w:eastAsia="Arial" w:hAnsi="Arial"/>
          <w:sz w:val="14"/>
          <w:szCs w:val="14"/>
          <w:color w:val="auto"/>
        </w:rPr>
      </w:pPr>
    </w:p>
    <w:p>
      <w:pPr>
        <w:ind w:left="540" w:right="380" w:hanging="424"/>
        <w:spacing w:after="0" w:line="241"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January 31, 2016 such that the option became fully vested on January 31, 2020.</w:t>
      </w:r>
    </w:p>
    <w:p>
      <w:pPr>
        <w:jc w:val="both"/>
        <w:ind w:left="540" w:right="160" w:hanging="424"/>
        <w:spacing w:after="0" w:line="241"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spacing w:after="0" w:line="1" w:lineRule="exact"/>
        <w:rPr>
          <w:rFonts w:ascii="Arial" w:cs="Arial" w:eastAsia="Arial" w:hAnsi="Arial"/>
          <w:sz w:val="14"/>
          <w:szCs w:val="14"/>
          <w:color w:val="auto"/>
        </w:rPr>
      </w:pPr>
    </w:p>
    <w:p>
      <w:pPr>
        <w:ind w:left="540" w:right="300" w:hanging="424"/>
        <w:spacing w:after="0" w:line="258" w:lineRule="auto"/>
        <w:tabs>
          <w:tab w:leader="none" w:pos="5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 Arrangements</w:t>
      </w:r>
    </w:p>
    <w:p>
      <w:pPr>
        <w:spacing w:after="0" w:line="234"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97"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We intend to enter into a new employment agreement with Ms. Hyman to be effective upon the completion of this offering. The material terms of her new employment agreement have not yet been determined.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On July 6, 2015, we entered into an employment agreement with Ms. Hyman providing for her employment as our Co-Founder and Chief Executive Officer, which was subsequently amended on November 20, 2020 (as amended, the “CEO Agreement”).</w:t>
      </w:r>
    </w:p>
    <w:p>
      <w:pPr>
        <w:spacing w:after="0" w:line="197" w:lineRule="exact"/>
        <w:rPr>
          <w:sz w:val="20"/>
          <w:szCs w:val="20"/>
          <w:color w:val="auto"/>
        </w:rPr>
      </w:pPr>
    </w:p>
    <w:p>
      <w:pPr>
        <w:ind w:left="120" w:right="320" w:firstLine="551"/>
        <w:spacing w:after="0" w:line="257" w:lineRule="auto"/>
        <w:rPr>
          <w:sz w:val="20"/>
          <w:szCs w:val="20"/>
          <w:color w:val="auto"/>
        </w:rPr>
      </w:pPr>
      <w:r>
        <w:rPr>
          <w:rFonts w:ascii="Arial" w:cs="Arial" w:eastAsia="Arial" w:hAnsi="Arial"/>
          <w:sz w:val="17"/>
          <w:szCs w:val="17"/>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w:t>
      </w:r>
    </w:p>
    <w:p>
      <w:pPr>
        <w:spacing w:after="0" w:line="189"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206" w:lineRule="exact"/>
        <w:rPr>
          <w:sz w:val="20"/>
          <w:szCs w:val="20"/>
          <w:color w:val="auto"/>
        </w:rPr>
      </w:pPr>
    </w:p>
    <w:p>
      <w:pPr>
        <w:ind w:left="120" w:right="140" w:firstLine="551"/>
        <w:spacing w:after="0" w:line="236"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 control,” in lieu of (i), Ms. Hyman will be entitled to receive two times the Cash Severance Payment,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203"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In the event Ms. Hyman’s employment is terminated due to death or “disability,” she will be entitled to receive, subject to her timely execution and non-revocation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Scarlett O’Sullivan</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On September 4, 2015, we entered into an offer letter with Ms. O’Sullivan to employ her as our Chief Financial Officer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208" w:lineRule="exact"/>
        <w:rPr>
          <w:sz w:val="20"/>
          <w:szCs w:val="20"/>
          <w:color w:val="auto"/>
        </w:rPr>
      </w:pPr>
    </w:p>
    <w:p>
      <w:pPr>
        <w:jc w:val="both"/>
        <w:ind w:left="120" w:right="320" w:firstLine="551"/>
        <w:spacing w:after="0"/>
        <w:rPr>
          <w:sz w:val="20"/>
          <w:szCs w:val="20"/>
          <w:color w:val="auto"/>
        </w:rPr>
      </w:pPr>
      <w:r>
        <w:rPr>
          <w:rFonts w:ascii="Arial" w:cs="Arial" w:eastAsia="Arial" w:hAnsi="Arial"/>
          <w:sz w:val="18"/>
          <w:szCs w:val="18"/>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203"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In addition to the CFO Offer Letter, Ms. O’Sullivan entered into the company’s Invention and Non-Disclosure Agreement as well as Non-Competition and Non-Solicitation Agreement in connection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with her employment, which provides that Ms. O’Sullivan will be subject to 12-month post-termination non-competition and non-solicitation of customers and employees covenants, as well as perpetual non-disparagement covenants.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January 20, 2017, we entered into an offer letter with Ms. Salinas to employ her as our General Manager of Subscription, though she currently serves as our President and Chief Operating Officer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207"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202"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Brian Donato</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On January 17, 2020, we entered into an offer letter with Mr. Donato to employ him as our Chief Supply Chain Officer (the “CSO Offer Letter”). The CSO Offer Letter provides for an initial annual base salary of $600,000, a one-time signing bonus of $ 150,000,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202"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97"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 non-competition and non-solicitation of customers and employees covenants, as well as perpetual confidentiality and non-disparagement covenants.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Fees Earned</w:t>
            </w: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Option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480" w:type="dxa"/>
            <w:vAlign w:val="bottom"/>
            <w:vMerge w:val="restart"/>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or Paid in</w:t>
            </w: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Awards</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Cash ($)(1)</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52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Dan Rosensweig</w:t>
            </w:r>
          </w:p>
        </w:tc>
        <w:tc>
          <w:tcPr>
            <w:tcW w:w="880" w:type="dxa"/>
            <w:vAlign w:val="bottom"/>
            <w:tcBorders>
              <w:top w:val="single" w:sz="8" w:color="auto"/>
            </w:tcBorders>
            <w:shd w:val="clear" w:color="auto" w:fill="CCEEFF"/>
          </w:tcPr>
          <w:p>
            <w:pPr>
              <w:jc w:val="right"/>
              <w:ind w:right="21"/>
              <w:spacing w:after="0" w:line="189"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17,877</w:t>
            </w:r>
          </w:p>
        </w:tc>
        <w:tc>
          <w:tcPr>
            <w:tcW w:w="5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17,877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Mike Roth</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None of the non-employee directors received cash compensation for their service as a director during fiscal year 2020.</w:t>
      </w:r>
    </w:p>
    <w:p>
      <w:pPr>
        <w:spacing w:after="0" w:line="1" w:lineRule="exact"/>
        <w:rPr>
          <w:rFonts w:ascii="Arial" w:cs="Arial" w:eastAsia="Arial" w:hAnsi="Arial"/>
          <w:sz w:val="14"/>
          <w:szCs w:val="14"/>
          <w:color w:val="auto"/>
        </w:rPr>
      </w:pPr>
    </w:p>
    <w:p>
      <w:pPr>
        <w:ind w:left="540" w:right="20" w:hanging="424"/>
        <w:spacing w:after="0" w:line="243" w:lineRule="auto"/>
        <w:tabs>
          <w:tab w:leader="none" w:pos="5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363"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Shares Underlying</w:t>
            </w:r>
          </w:p>
        </w:tc>
        <w:tc>
          <w:tcPr>
            <w:tcW w:w="24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Shares Underlying</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Options Outstanding</w:t>
            </w:r>
          </w:p>
        </w:tc>
        <w:tc>
          <w:tcPr>
            <w:tcW w:w="24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Options Outstanding</w:t>
            </w: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Unvested Stock</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360" w:type="dxa"/>
            <w:vAlign w:val="bottom"/>
            <w:vMerge w:val="restart"/>
          </w:tcPr>
          <w:p>
            <w:pPr>
              <w:spacing w:after="0"/>
              <w:rPr>
                <w:sz w:val="14"/>
                <w:szCs w:val="14"/>
                <w:color w:val="auto"/>
              </w:rPr>
            </w:pPr>
          </w:p>
        </w:tc>
        <w:tc>
          <w:tcPr>
            <w:tcW w:w="24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(Vested) at Fiscal</w:t>
            </w:r>
          </w:p>
        </w:tc>
        <w:tc>
          <w:tcPr>
            <w:tcW w:w="24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(Unvested) at Fiscal</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Awards Outstanding</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24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Year End</w:t>
            </w:r>
          </w:p>
        </w:tc>
        <w:tc>
          <w:tcPr>
            <w:tcW w:w="24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Year End</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Beth Kaplan</w:t>
            </w:r>
          </w:p>
        </w:tc>
        <w:tc>
          <w:tcPr>
            <w:tcW w:w="1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55,167</w:t>
            </w:r>
          </w:p>
        </w:tc>
        <w:tc>
          <w:tcPr>
            <w:tcW w:w="10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Dan Rosensweig</w:t>
            </w:r>
          </w:p>
        </w:tc>
        <w:tc>
          <w:tcPr>
            <w:tcW w:w="246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45,016</w:t>
            </w:r>
          </w:p>
        </w:tc>
        <w:tc>
          <w:tcPr>
            <w:tcW w:w="244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10,000</w:t>
            </w: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Mike Roth</w:t>
            </w:r>
          </w:p>
        </w:tc>
        <w:tc>
          <w:tcPr>
            <w:tcW w:w="2460" w:type="dxa"/>
            <w:vAlign w:val="bottom"/>
            <w:gridSpan w:val="2"/>
            <w:shd w:val="clear" w:color="auto" w:fill="CCEEFF"/>
          </w:tcPr>
          <w:p>
            <w:pPr>
              <w:ind w:left="1160"/>
              <w:spacing w:after="0" w:line="202" w:lineRule="exact"/>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ind w:left="11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of an initial public offering or direct listing of our securities or (ii) a reorganization event (as defined in our 2019 Plan).</w:t>
      </w:r>
    </w:p>
    <w:p>
      <w:pPr>
        <w:spacing w:after="0" w:line="206"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We also granted RSUs to certain of our non-employee directors in early fiscal year 2021 (including Ms. Kaplan, Ms. Fleiss, Ms. Roney and Mr. Roth as well as to Mr. Bixby and Ms. Paltrow</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9"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205" w:lineRule="exact"/>
        <w:rPr>
          <w:sz w:val="20"/>
          <w:szCs w:val="20"/>
          <w:color w:val="auto"/>
        </w:rPr>
      </w:pPr>
    </w:p>
    <w:p>
      <w:pPr>
        <w:ind w:left="120" w:right="260" w:firstLine="551"/>
        <w:spacing w:after="0" w:line="274" w:lineRule="auto"/>
        <w:rPr>
          <w:sz w:val="20"/>
          <w:szCs w:val="20"/>
          <w:color w:val="auto"/>
        </w:rPr>
      </w:pPr>
      <w:r>
        <w:rPr>
          <w:rFonts w:ascii="Arial" w:cs="Arial" w:eastAsia="Arial" w:hAnsi="Arial"/>
          <w:sz w:val="17"/>
          <w:szCs w:val="17"/>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4"/>
          <w:szCs w:val="14"/>
          <w:color w:val="auto"/>
        </w:rPr>
        <w:t>th</w:t>
      </w:r>
      <w:r>
        <w:rPr>
          <w:rFonts w:ascii="Arial" w:cs="Arial" w:eastAsia="Arial" w:hAnsi="Arial"/>
          <w:sz w:val="17"/>
          <w:szCs w:val="17"/>
          <w:color w:val="auto"/>
        </w:rPr>
        <w:t xml:space="preserve"> of the year following) of this offering.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offering, we intend to adopt a new non-employee director compensation program.</w:t>
      </w: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Plans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Arrangements</w:t>
      </w:r>
    </w:p>
    <w:p>
      <w:pPr>
        <w:spacing w:after="0" w:line="212"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b w:val="1"/>
          <w:bCs w:val="1"/>
          <w:i w:val="1"/>
          <w:iCs w:val="1"/>
          <w:color w:val="auto"/>
        </w:rPr>
        <w:t xml:space="preserve">Existing Equity Plans. </w:t>
      </w:r>
      <w:r>
        <w:rPr>
          <w:rFonts w:ascii="Arial" w:cs="Arial" w:eastAsia="Arial" w:hAnsi="Arial"/>
          <w:sz w:val="18"/>
          <w:szCs w:val="18"/>
          <w:color w:val="auto"/>
        </w:rPr>
        <w:t>We currently maintain our 2009 Plan and 2019 Plan, as described above. On and after the closing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and following the effectiveness of the 2021 Plan, no further grants will be made under the 2019 Plan.</w:t>
      </w:r>
    </w:p>
    <w:p>
      <w:pPr>
        <w:spacing w:after="0" w:line="154" w:lineRule="exact"/>
        <w:rPr>
          <w:sz w:val="20"/>
          <w:szCs w:val="20"/>
          <w:color w:val="auto"/>
        </w:rPr>
      </w:pPr>
    </w:p>
    <w:p>
      <w:pPr>
        <w:ind w:left="120" w:right="3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2021 Incentive Award Plan. </w:t>
      </w:r>
      <w:r>
        <w:rPr>
          <w:rFonts w:ascii="Arial" w:cs="Arial" w:eastAsia="Arial" w:hAnsi="Arial"/>
          <w:sz w:val="18"/>
          <w:szCs w:val="18"/>
          <w:color w:val="auto"/>
        </w:rPr>
        <w:t>In connection with the offering, we intend to adopt the 2021 Plan, subject to approval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under which we may grant cash and equity incentive awards to eligible service providers in order to attract, motivate and retain the talent for which we compete. The material terms of the 2021 Plan have not yet been determined.</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02" w:lineRule="exact"/>
        <w:rPr>
          <w:sz w:val="20"/>
          <w:szCs w:val="20"/>
          <w:color w:val="auto"/>
        </w:rPr>
      </w:pPr>
    </w:p>
    <w:p>
      <w:pPr>
        <w:ind w:left="880" w:hanging="224"/>
        <w:spacing w:after="0"/>
        <w:tabs>
          <w:tab w:leader="none" w:pos="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880" w:right="40" w:hanging="224"/>
        <w:spacing w:after="0"/>
        <w:tabs>
          <w:tab w:leader="none" w:pos="8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3" w:lineRule="exact"/>
        <w:rPr>
          <w:sz w:val="20"/>
          <w:szCs w:val="20"/>
          <w:color w:val="auto"/>
        </w:rPr>
      </w:pPr>
    </w:p>
    <w:p>
      <w:pPr>
        <w:ind w:left="120" w:right="760" w:firstLine="551"/>
        <w:spacing w:after="0"/>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E Preferred Stock Financing</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Series E</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E</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7280" w:type="dxa"/>
            <w:vAlign w:val="bottom"/>
            <w:vMerge w:val="restart"/>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vMerge w:val="continue"/>
          </w:tcPr>
          <w:p>
            <w:pPr>
              <w:spacing w:after="0"/>
              <w:rPr>
                <w:sz w:val="15"/>
                <w:szCs w:val="15"/>
                <w:color w:val="auto"/>
              </w:rPr>
            </w:pPr>
          </w:p>
        </w:tc>
        <w:tc>
          <w:tcPr>
            <w:tcW w:w="7280" w:type="dxa"/>
            <w:vAlign w:val="bottom"/>
            <w:vMerge w:val="continue"/>
          </w:tcPr>
          <w:p>
            <w:pPr>
              <w:spacing w:after="0"/>
              <w:rPr>
                <w:sz w:val="15"/>
                <w:szCs w:val="15"/>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551,572</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12,000,000.43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15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174,430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3,794,899.08</w:t>
            </w:r>
          </w:p>
        </w:tc>
        <w:tc>
          <w:tcPr>
            <w:tcW w:w="0" w:type="dxa"/>
            <w:vAlign w:val="bottom"/>
          </w:tcPr>
          <w:p>
            <w:pPr>
              <w:spacing w:after="0"/>
              <w:rPr>
                <w:sz w:val="1"/>
                <w:szCs w:val="1"/>
                <w:color w:val="auto"/>
              </w:rPr>
            </w:pPr>
          </w:p>
        </w:tc>
      </w:tr>
      <w:tr>
        <w:trPr>
          <w:trHeight w:val="203"/>
        </w:trPr>
        <w:tc>
          <w:tcPr>
            <w:tcW w:w="8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15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153,640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3,342,591.84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ind w:left="540" w:right="160" w:hanging="424"/>
        <w:spacing w:after="0" w:line="24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540" w:right="300" w:hanging="424"/>
        <w:spacing w:after="0" w:line="241"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540" w:right="140" w:hanging="424"/>
        <w:spacing w:after="0" w:line="258" w:lineRule="auto"/>
        <w:tabs>
          <w:tab w:leader="none" w:pos="5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F Preferred Stock Financing</w:t>
      </w:r>
    </w:p>
    <w:p>
      <w:pPr>
        <w:spacing w:after="0" w:line="234"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Series F</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F</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4060" w:type="dxa"/>
            <w:vAlign w:val="bottom"/>
            <w:vMerge w:val="restart"/>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9"/>
        </w:trPr>
        <w:tc>
          <w:tcPr>
            <w:tcW w:w="4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3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559,192</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12,500,010.21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47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89,471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2,000,007.89</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478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223,676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4,999,986.20</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20" w:type="dxa"/>
            <w:vAlign w:val="bottom"/>
          </w:tcPr>
          <w:p>
            <w:pPr>
              <w:jc w:val="right"/>
              <w:ind w:right="2370"/>
              <w:spacing w:after="0"/>
              <w:rPr>
                <w:sz w:val="20"/>
                <w:szCs w:val="20"/>
                <w:color w:val="auto"/>
              </w:rPr>
            </w:pPr>
            <w:r>
              <w:rPr>
                <w:rFonts w:ascii="Arial" w:cs="Arial" w:eastAsia="Arial" w:hAnsi="Arial"/>
                <w:sz w:val="18"/>
                <w:szCs w:val="18"/>
                <w:color w:val="auto"/>
              </w:rPr>
              <w:t>149</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right="160" w:hanging="424"/>
        <w:spacing w:after="0" w:line="241" w:lineRule="auto"/>
        <w:tabs>
          <w:tab w:leader="none" w:pos="54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540" w:right="300" w:hanging="424"/>
        <w:spacing w:after="0" w:line="241" w:lineRule="auto"/>
        <w:tabs>
          <w:tab w:leader="none" w:pos="54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540" w:right="140" w:hanging="424"/>
        <w:spacing w:after="0" w:line="258" w:lineRule="auto"/>
        <w:tabs>
          <w:tab w:leader="none" w:pos="54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Series G Preferred Stock Financing</w:t>
      </w:r>
    </w:p>
    <w:p>
      <w:pPr>
        <w:spacing w:after="0" w:line="23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Series G</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Series 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7180" w:type="dxa"/>
            <w:vAlign w:val="bottom"/>
            <w:vMerge w:val="restart"/>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Redeemable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vMerge w:val="continue"/>
          </w:tcPr>
          <w:p>
            <w:pPr>
              <w:spacing w:after="0"/>
              <w:rPr>
                <w:sz w:val="15"/>
                <w:szCs w:val="15"/>
                <w:color w:val="auto"/>
              </w:rPr>
            </w:pPr>
          </w:p>
        </w:tc>
        <w:tc>
          <w:tcPr>
            <w:tcW w:w="7180" w:type="dxa"/>
            <w:vAlign w:val="bottom"/>
            <w:vMerge w:val="continue"/>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90"/>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Ares Corporate Opportunities Fund V, L.P.</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1,695,955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25,000,004.82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Bain Capital</w:t>
            </w:r>
            <w:r>
              <w:rPr>
                <w:rFonts w:ascii="Arial" w:cs="Arial" w:eastAsia="Arial" w:hAnsi="Arial"/>
                <w:sz w:val="15"/>
                <w:szCs w:val="15"/>
                <w:color w:val="auto"/>
              </w:rPr>
              <w:t>(1)</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135,677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2,000,009.23</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Highland Capital Partners</w:t>
            </w:r>
            <w:r>
              <w:rPr>
                <w:rFonts w:ascii="Arial" w:cs="Arial" w:eastAsia="Arial" w:hAnsi="Arial"/>
                <w:sz w:val="15"/>
                <w:szCs w:val="15"/>
                <w:color w:val="auto"/>
              </w:rPr>
              <w:t>(2)</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915,816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13,500,007.02</w:t>
            </w: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Technology Crossover Ventures</w:t>
            </w:r>
            <w:r>
              <w:rPr>
                <w:rFonts w:ascii="Arial" w:cs="Arial" w:eastAsia="Arial" w:hAnsi="Arial"/>
                <w:sz w:val="15"/>
                <w:szCs w:val="15"/>
                <w:color w:val="auto"/>
              </w:rPr>
              <w:t>(3)</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67,838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999,997.24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Larry Steinberg</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23,744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350,009.35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ind w:left="540" w:right="160" w:hanging="424"/>
        <w:spacing w:after="0" w:line="241" w:lineRule="auto"/>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Bain Capital holding our securities whose shares are aggregated for purposes of reporting share ownership information are aggregated for purposes of reporting share ownership information. These entities beneficially own more than 5% of our outstanding capital stock and Scott Friend, a member of our board of directors, is a managing director at Bain Capital.</w:t>
      </w:r>
    </w:p>
    <w:p>
      <w:pPr>
        <w:spacing w:after="0" w:line="1" w:lineRule="exact"/>
        <w:rPr>
          <w:rFonts w:ascii="Arial" w:cs="Arial" w:eastAsia="Arial" w:hAnsi="Arial"/>
          <w:sz w:val="14"/>
          <w:szCs w:val="14"/>
          <w:color w:val="auto"/>
        </w:rPr>
      </w:pPr>
    </w:p>
    <w:p>
      <w:pPr>
        <w:ind w:left="540" w:right="300" w:hanging="424"/>
        <w:spacing w:after="0" w:line="241" w:lineRule="auto"/>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Highland Capital Partners holding our securities whose shares are aggregated for purposes of reporting share ownership information are aggregated for purposes of reporting share ownership information. These entities beneficially own more than 5% of our outstanding capital stock and Dan Nova, a member of our board of directors, is a founding and general partner at Highland Capital Partners.</w:t>
      </w:r>
    </w:p>
    <w:p>
      <w:pPr>
        <w:spacing w:after="0" w:line="1" w:lineRule="exact"/>
        <w:rPr>
          <w:rFonts w:ascii="Arial" w:cs="Arial" w:eastAsia="Arial" w:hAnsi="Arial"/>
          <w:sz w:val="14"/>
          <w:szCs w:val="14"/>
          <w:color w:val="auto"/>
        </w:rPr>
      </w:pPr>
    </w:p>
    <w:p>
      <w:pPr>
        <w:ind w:left="540" w:right="140" w:hanging="424"/>
        <w:spacing w:after="0" w:line="258" w:lineRule="auto"/>
        <w:tabs>
          <w:tab w:leader="none" w:pos="5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Entities affiliated with Technology Crossover Ventures holding our securities whose shares are aggregated for purposes of reporting share ownership information are aggregated for purposes of reporting share ownership information.</w:t>
      </w:r>
    </w:p>
    <w:p>
      <w:pPr>
        <w:spacing w:after="0" w:line="188"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20" w:right="140" w:hanging="4"/>
        <w:spacing w:after="0" w:line="238" w:lineRule="auto"/>
        <w:tabs>
          <w:tab w:leader="none" w:pos="23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34"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Investors’ Rights Agreement, which we are a party to, along with certain holders of our capital stock, including our Chief Executive Officer and director, Jennifer Y. Hyman; our director Jennifer Fleiss; entities affiliated with Bain Capital, a holder of greater than 5% of our outstanding capital 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left="120" w:right="160" w:firstLine="551"/>
        <w:spacing w:after="0" w:line="257" w:lineRule="auto"/>
        <w:rPr>
          <w:sz w:val="20"/>
          <w:szCs w:val="20"/>
          <w:color w:val="auto"/>
        </w:rPr>
      </w:pPr>
      <w:r>
        <w:rPr>
          <w:rFonts w:ascii="Arial" w:cs="Arial" w:eastAsia="Arial" w:hAnsi="Arial"/>
          <w:sz w:val="17"/>
          <w:szCs w:val="17"/>
          <w:color w:val="auto"/>
        </w:rPr>
        <w:t>We are a party to an eighth amended and restated stockholders’ agreement, or, as amended, the Stockholders’ Agreement. The Stockholders’ Agreement provides us, or our assignees, and certain stockholders that are party thereto a right under certain circumstances to purchase shares of our capital stock which holders of our common stock propose to sell to other parties. We and those certain holders have historically waived those rights of first refusal in connection with the sale of certain shares of our capital stock.</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Transactions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203" w:lineRule="exact"/>
        <w:rPr>
          <w:sz w:val="20"/>
          <w:szCs w:val="20"/>
          <w:color w:val="auto"/>
        </w:rPr>
      </w:pPr>
    </w:p>
    <w:p>
      <w:pPr>
        <w:jc w:val="both"/>
        <w:ind w:left="120" w:right="100" w:firstLine="551"/>
        <w:spacing w:after="0" w:line="238" w:lineRule="auto"/>
        <w:rPr>
          <w:sz w:val="20"/>
          <w:szCs w:val="20"/>
          <w:color w:val="auto"/>
        </w:rPr>
      </w:pPr>
      <w:r>
        <w:rPr>
          <w:rFonts w:ascii="Arial" w:cs="Arial" w:eastAsia="Arial" w:hAnsi="Arial"/>
          <w:sz w:val="18"/>
          <w:szCs w:val="18"/>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Our Amended Charter that will be in effect immediately following the effectiveness of the registration statement of which this prospectus forms a part will contain provisions limiting the liability of directors to the fullest extent permitted under Delaware law, and our Amended Bylaws that will be in effect immediately following the effectiveness of the registration statement of which this prospectus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34"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 Class B</w:t>
      </w:r>
    </w:p>
    <w:p>
      <w:pPr>
        <w:ind w:left="120" w:right="80"/>
        <w:spacing w:after="0" w:line="246" w:lineRule="auto"/>
        <w:rPr>
          <w:sz w:val="20"/>
          <w:szCs w:val="20"/>
          <w:color w:val="auto"/>
        </w:rPr>
      </w:pPr>
      <w:r>
        <w:rPr>
          <w:rFonts w:ascii="Arial" w:cs="Arial" w:eastAsia="Arial" w:hAnsi="Arial"/>
          <w:sz w:val="18"/>
          <w:szCs w:val="18"/>
          <w:color w:val="auto"/>
        </w:rPr>
        <w:t>common stock (1) reflecting the automatic conversion of all outstanding shares of our redeemable preferred stock into shares of our Class A common, upon closing of this offering and (2) as adjusted to give effect to this offering, for:</w:t>
      </w:r>
    </w:p>
    <w:p>
      <w:pPr>
        <w:spacing w:after="0" w:line="102" w:lineRule="exact"/>
        <w:rPr>
          <w:sz w:val="20"/>
          <w:szCs w:val="20"/>
          <w:color w:val="auto"/>
        </w:rPr>
      </w:pPr>
    </w:p>
    <w:p>
      <w:pPr>
        <w:ind w:left="880" w:hanging="224"/>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w:t>
      </w:r>
    </w:p>
    <w:p>
      <w:pPr>
        <w:spacing w:after="0" w:line="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60 days of , 2021 and shares of RSUs that are vested or will become vested within 60 days of , 2021, are considered outstanding, although these shares are not considered outstanding for purposes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8220" w:val="left"/>
        </w:tabs>
        <w:rPr>
          <w:sz w:val="20"/>
          <w:szCs w:val="20"/>
          <w:color w:val="auto"/>
        </w:rPr>
      </w:pPr>
      <w:r>
        <w:rPr>
          <w:rFonts w:ascii="Arial" w:cs="Arial" w:eastAsia="Arial" w:hAnsi="Arial"/>
          <w:sz w:val="18"/>
          <w:szCs w:val="18"/>
          <w:color w:val="auto"/>
        </w:rPr>
        <w:t>The percentage ownership of each individual or entity before this offering is based on</w:t>
      </w:r>
      <w:r>
        <w:rPr>
          <w:sz w:val="20"/>
          <w:szCs w:val="20"/>
          <w:color w:val="auto"/>
        </w:rPr>
        <w:tab/>
      </w:r>
      <w:r>
        <w:rPr>
          <w:rFonts w:ascii="Arial" w:cs="Arial" w:eastAsia="Arial" w:hAnsi="Arial"/>
          <w:sz w:val="17"/>
          <w:szCs w:val="17"/>
          <w:color w:val="auto"/>
        </w:rPr>
        <w:t>shares of Class A common stock</w:t>
      </w:r>
    </w:p>
    <w:p>
      <w:pPr>
        <w:ind w:left="120"/>
        <w:spacing w:after="0"/>
        <w:tabs>
          <w:tab w:leader="none" w:pos="1200" w:val="left"/>
          <w:tab w:leader="none" w:pos="50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shares of Class B common stock as of</w:t>
      </w:r>
      <w:r>
        <w:rPr>
          <w:sz w:val="20"/>
          <w:szCs w:val="20"/>
          <w:color w:val="auto"/>
        </w:rPr>
        <w:tab/>
      </w:r>
      <w:r>
        <w:rPr>
          <w:rFonts w:ascii="Arial" w:cs="Arial" w:eastAsia="Arial" w:hAnsi="Arial"/>
          <w:sz w:val="17"/>
          <w:szCs w:val="17"/>
          <w:color w:val="auto"/>
        </w:rPr>
        <w:t>, after giving effect to the automatic conversion of all outstanding shares of</w:t>
      </w:r>
    </w:p>
    <w:p>
      <w:pPr>
        <w:ind w:left="120"/>
        <w:spacing w:after="0"/>
        <w:tabs>
          <w:tab w:leader="none" w:pos="3740" w:val="left"/>
        </w:tabs>
        <w:rPr>
          <w:sz w:val="20"/>
          <w:szCs w:val="20"/>
          <w:color w:val="auto"/>
        </w:rPr>
      </w:pPr>
      <w:r>
        <w:rPr>
          <w:rFonts w:ascii="Arial" w:cs="Arial" w:eastAsia="Arial" w:hAnsi="Arial"/>
          <w:sz w:val="18"/>
          <w:szCs w:val="18"/>
          <w:color w:val="auto"/>
        </w:rPr>
        <w:t>our redeemable preferred stock into</w:t>
      </w:r>
      <w:r>
        <w:rPr>
          <w:sz w:val="20"/>
          <w:szCs w:val="20"/>
          <w:color w:val="auto"/>
        </w:rPr>
        <w:tab/>
      </w:r>
      <w:r>
        <w:rPr>
          <w:rFonts w:ascii="Arial" w:cs="Arial" w:eastAsia="Arial" w:hAnsi="Arial"/>
          <w:sz w:val="17"/>
          <w:szCs w:val="17"/>
          <w:color w:val="auto"/>
        </w:rPr>
        <w:t>shares of our Class A common stock, upon closing of this offering. The applicable</w:t>
      </w:r>
    </w:p>
    <w:p>
      <w:pPr>
        <w:ind w:left="120"/>
        <w:spacing w:after="0"/>
        <w:tabs>
          <w:tab w:leader="none" w:pos="5020" w:val="left"/>
          <w:tab w:leader="none" w:pos="10080" w:val="left"/>
        </w:tabs>
        <w:rPr>
          <w:sz w:val="20"/>
          <w:szCs w:val="20"/>
          <w:color w:val="auto"/>
        </w:rPr>
      </w:pPr>
      <w:r>
        <w:rPr>
          <w:rFonts w:ascii="Arial" w:cs="Arial" w:eastAsia="Arial" w:hAnsi="Arial"/>
          <w:sz w:val="18"/>
          <w:szCs w:val="18"/>
          <w:color w:val="auto"/>
        </w:rPr>
        <w:t>percentage ownership after this offering is based on</w:t>
      </w:r>
      <w:r>
        <w:rPr>
          <w:sz w:val="20"/>
          <w:szCs w:val="20"/>
          <w:color w:val="auto"/>
        </w:rPr>
        <w:tab/>
      </w:r>
      <w:r>
        <w:rPr>
          <w:rFonts w:ascii="Arial" w:cs="Arial" w:eastAsia="Arial" w:hAnsi="Arial"/>
          <w:sz w:val="18"/>
          <w:szCs w:val="18"/>
          <w:color w:val="auto"/>
        </w:rPr>
        <w:t>shares of our Class A common stock outstanding and</w:t>
      </w:r>
      <w:r>
        <w:rPr>
          <w:sz w:val="20"/>
          <w:szCs w:val="20"/>
          <w:color w:val="auto"/>
        </w:rPr>
        <w:tab/>
      </w:r>
      <w:r>
        <w:rPr>
          <w:rFonts w:ascii="Arial" w:cs="Arial" w:eastAsia="Arial" w:hAnsi="Arial"/>
          <w:sz w:val="17"/>
          <w:szCs w:val="17"/>
          <w:color w:val="auto"/>
        </w:rPr>
        <w:t>shares of</w:t>
      </w:r>
    </w:p>
    <w:p>
      <w:pPr>
        <w:ind w:left="120" w:right="260"/>
        <w:spacing w:after="0" w:line="246" w:lineRule="auto"/>
        <w:rPr>
          <w:sz w:val="20"/>
          <w:szCs w:val="20"/>
          <w:color w:val="auto"/>
        </w:rPr>
      </w:pPr>
      <w:r>
        <w:rPr>
          <w:rFonts w:ascii="Arial" w:cs="Arial" w:eastAsia="Arial" w:hAnsi="Arial"/>
          <w:sz w:val="18"/>
          <w:szCs w:val="18"/>
          <w:color w:val="auto"/>
        </w:rPr>
        <w:t>our Class B common stock outstanding, in each case, immediately following the completion of this offering. Unless otherwise indicated, the address of all listed stockholders is 10 Jay Street, Brooklyn, New York 11201.</w:t>
      </w:r>
    </w:p>
    <w:p>
      <w:pPr>
        <w:spacing w:after="0" w:line="197"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right="1040"/>
        <w:spacing w:after="0" w:line="259" w:lineRule="auto"/>
        <w:rPr>
          <w:sz w:val="20"/>
          <w:szCs w:val="20"/>
          <w:color w:val="auto"/>
        </w:rPr>
      </w:pPr>
      <w:r>
        <w:rPr>
          <w:rFonts w:ascii="Arial" w:cs="Arial" w:eastAsia="Arial" w:hAnsi="Arial"/>
          <w:sz w:val="14"/>
          <w:szCs w:val="14"/>
          <w:b w:val="1"/>
          <w:bCs w:val="1"/>
          <w:u w:val="single" w:color="auto"/>
          <w:color w:val="auto"/>
        </w:rPr>
        <w:t xml:space="preserve">Name of Beneficial Owner </w:t>
      </w:r>
      <w:r>
        <w:rPr>
          <w:rFonts w:ascii="Arial" w:cs="Arial" w:eastAsia="Arial" w:hAnsi="Arial"/>
          <w:sz w:val="14"/>
          <w:szCs w:val="14"/>
          <w:b w:val="1"/>
          <w:bCs w:val="1"/>
          <w:color w:val="auto"/>
        </w:rPr>
        <w:t>5% Stockholders:</w:t>
      </w:r>
    </w:p>
    <w:p>
      <w:pPr>
        <w:spacing w:after="0" w:line="1" w:lineRule="exact"/>
        <w:rPr>
          <w:sz w:val="20"/>
          <w:szCs w:val="20"/>
          <w:color w:val="auto"/>
        </w:rPr>
      </w:pPr>
    </w:p>
    <w:p>
      <w:pPr>
        <w:ind w:left="120"/>
        <w:spacing w:after="0" w:line="182" w:lineRule="auto"/>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Entities affiliated with Bain Capital</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Entities affiliated with Highland Capital</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Entities affiliated with Technology Crossover</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Ventures</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400" w:type="dxa"/>
            <w:vAlign w:val="bottom"/>
            <w:gridSpan w:val="11"/>
          </w:tcPr>
          <w:p>
            <w:pPr>
              <w:jc w:val="center"/>
              <w:ind w:right="700"/>
              <w:spacing w:after="0"/>
              <w:rPr>
                <w:sz w:val="20"/>
                <w:szCs w:val="20"/>
                <w:color w:val="auto"/>
              </w:rPr>
            </w:pPr>
            <w:r>
              <w:rPr>
                <w:rFonts w:ascii="Arial" w:cs="Arial" w:eastAsia="Arial" w:hAnsi="Arial"/>
                <w:sz w:val="14"/>
                <w:szCs w:val="14"/>
                <w:b w:val="1"/>
                <w:bCs w:val="1"/>
                <w:color w:val="auto"/>
              </w:rPr>
              <w:t>Class A Common Stock</w:t>
            </w:r>
          </w:p>
        </w:tc>
        <w:tc>
          <w:tcPr>
            <w:tcW w:w="560" w:type="dxa"/>
            <w:vAlign w:val="bottom"/>
          </w:tcPr>
          <w:p>
            <w:pPr>
              <w:spacing w:after="0"/>
              <w:rPr>
                <w:sz w:val="14"/>
                <w:szCs w:val="14"/>
                <w:color w:val="auto"/>
              </w:rPr>
            </w:pPr>
          </w:p>
        </w:tc>
        <w:tc>
          <w:tcPr>
            <w:tcW w:w="2400" w:type="dxa"/>
            <w:vAlign w:val="bottom"/>
            <w:gridSpan w:val="11"/>
          </w:tcPr>
          <w:p>
            <w:pPr>
              <w:jc w:val="center"/>
              <w:ind w:right="700"/>
              <w:spacing w:after="0"/>
              <w:rPr>
                <w:sz w:val="20"/>
                <w:szCs w:val="20"/>
                <w:color w:val="auto"/>
              </w:rPr>
            </w:pPr>
            <w:r>
              <w:rPr>
                <w:rFonts w:ascii="Arial" w:cs="Arial" w:eastAsia="Arial" w:hAnsi="Arial"/>
                <w:sz w:val="14"/>
                <w:szCs w:val="14"/>
                <w:b w:val="1"/>
                <w:bCs w:val="1"/>
                <w:color w:val="auto"/>
              </w:rPr>
              <w:t>Class B Common Stock</w:t>
            </w:r>
          </w:p>
        </w:tc>
        <w:tc>
          <w:tcPr>
            <w:tcW w:w="1860" w:type="dxa"/>
            <w:vAlign w:val="bottom"/>
            <w:gridSpan w:val="7"/>
          </w:tcPr>
          <w:p>
            <w:pPr>
              <w:jc w:val="center"/>
              <w:spacing w:after="0"/>
              <w:rPr>
                <w:sz w:val="20"/>
                <w:szCs w:val="20"/>
                <w:color w:val="auto"/>
              </w:rPr>
            </w:pPr>
            <w:r>
              <w:rPr>
                <w:rFonts w:ascii="Arial" w:cs="Arial" w:eastAsia="Arial" w:hAnsi="Arial"/>
                <w:sz w:val="14"/>
                <w:szCs w:val="14"/>
                <w:b w:val="1"/>
                <w:bCs w:val="1"/>
                <w:color w:val="auto"/>
              </w:rPr>
              <w:t>Combined Voting</w:t>
            </w:r>
          </w:p>
        </w:tc>
      </w:tr>
      <w:tr>
        <w:trPr>
          <w:trHeight w:val="175"/>
        </w:trPr>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rPr>
              <w:t>Beneficially Owned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10"/>
          </w:tcPr>
          <w:p>
            <w:pPr>
              <w:jc w:val="center"/>
              <w:ind w:right="860"/>
              <w:spacing w:after="0"/>
              <w:rPr>
                <w:sz w:val="20"/>
                <w:szCs w:val="20"/>
                <w:color w:val="auto"/>
              </w:rPr>
            </w:pPr>
            <w:r>
              <w:rPr>
                <w:rFonts w:ascii="Arial" w:cs="Arial" w:eastAsia="Arial" w:hAnsi="Arial"/>
                <w:sz w:val="14"/>
                <w:szCs w:val="14"/>
                <w:b w:val="1"/>
                <w:bCs w:val="1"/>
                <w:color w:val="auto"/>
              </w:rPr>
              <w:t>Beneficially Owned</w:t>
            </w:r>
          </w:p>
        </w:tc>
        <w:tc>
          <w:tcPr>
            <w:tcW w:w="560" w:type="dxa"/>
            <w:vAlign w:val="bottom"/>
          </w:tcPr>
          <w:p>
            <w:pPr>
              <w:spacing w:after="0"/>
              <w:rPr>
                <w:sz w:val="15"/>
                <w:szCs w:val="15"/>
                <w:color w:val="auto"/>
              </w:rPr>
            </w:pPr>
          </w:p>
        </w:tc>
        <w:tc>
          <w:tcPr>
            <w:tcW w:w="13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Power(1)</w:t>
            </w:r>
          </w:p>
        </w:tc>
      </w:tr>
      <w:tr>
        <w:trPr>
          <w:trHeight w:val="142"/>
        </w:trPr>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rPr>
              <w:t>After this</w:t>
            </w:r>
          </w:p>
        </w:tc>
        <w:tc>
          <w:tcPr>
            <w:tcW w:w="8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rPr>
              <w:t>After this</w:t>
            </w:r>
          </w:p>
        </w:tc>
        <w:tc>
          <w:tcPr>
            <w:tcW w:w="8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980" w:type="dxa"/>
            <w:vAlign w:val="bottom"/>
            <w:tcBorders>
              <w:top w:val="single" w:sz="8" w:color="auto"/>
            </w:tcBorders>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rPr>
              <w:t>After this</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this</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(With Full</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(No</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(With Full</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Offering</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(With Full</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 of</w:t>
            </w:r>
          </w:p>
        </w:tc>
      </w:tr>
      <w:tr>
        <w:trPr>
          <w:trHeight w:val="162"/>
        </w:trPr>
        <w:tc>
          <w:tcPr>
            <w:tcW w:w="7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Over-</w:t>
            </w:r>
          </w:p>
        </w:tc>
        <w:tc>
          <w:tcPr>
            <w:tcW w:w="7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Over-</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Over-</w:t>
            </w:r>
          </w:p>
        </w:tc>
      </w:tr>
      <w:tr>
        <w:trPr>
          <w:trHeight w:val="162"/>
        </w:trPr>
        <w:tc>
          <w:tcPr>
            <w:tcW w:w="7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this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7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this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allotment</w:t>
            </w:r>
          </w:p>
        </w:tc>
      </w:tr>
      <w:tr>
        <w:trPr>
          <w:trHeight w:val="175"/>
        </w:trPr>
        <w:tc>
          <w:tcPr>
            <w:tcW w:w="7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Offering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55"/>
        </w:trPr>
        <w:tc>
          <w:tcPr>
            <w:tcW w:w="5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9"/>
              </w:rPr>
              <w:t>%</w:t>
            </w:r>
          </w:p>
        </w:tc>
        <w:tc>
          <w:tcPr>
            <w:tcW w:w="160" w:type="dxa"/>
            <w:vAlign w:val="bottom"/>
          </w:tcPr>
          <w:p>
            <w:pPr>
              <w:spacing w:after="0"/>
              <w:rPr>
                <w:sz w:val="13"/>
                <w:szCs w:val="13"/>
                <w:color w:val="auto"/>
              </w:rPr>
            </w:pPr>
          </w:p>
        </w:tc>
        <w:tc>
          <w:tcPr>
            <w:tcW w:w="840" w:type="dxa"/>
            <w:vAlign w:val="bottom"/>
            <w:tcBorders>
              <w:top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8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r>
      <w:tr>
        <w:trPr>
          <w:trHeight w:val="20"/>
        </w:trPr>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-8255</wp:posOffset>
            </wp:positionV>
            <wp:extent cx="6995160" cy="1028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196850</wp:posOffset>
            </wp:positionV>
            <wp:extent cx="699516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403225</wp:posOffset>
            </wp:positionV>
            <wp:extent cx="6995160"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153</w:t>
      </w:r>
    </w:p>
    <w:p>
      <w:pPr>
        <w:sectPr>
          <w:pgSz w:w="11900" w:h="16838" w:orient="portrait"/>
          <w:cols w:equalWidth="0" w:num="2">
            <w:col w:w="2940" w:space="380"/>
            <w:col w:w="7780"/>
          </w:cols>
          <w:pgMar w:left="320" w:top="459" w:right="479" w:bottom="1440" w:gutter="0" w:footer="0" w:header="0"/>
          <w:type w:val="continuous"/>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Named Executive Officers and Directors: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Jennifer Y. Hyman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Scarlett O’Sullivan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Anushka Salinas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Brian Donato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Tim Bixby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Jennifer Fleiss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Scott Friend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Beth Kaplan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Dan Nova</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Gwyneth Paltrow</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Carley Roney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Dan Rosensweig</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Mike Roth</w:t>
      </w:r>
    </w:p>
    <w:p>
      <w:pPr>
        <w:spacing w:after="0" w:line="11" w:lineRule="exact"/>
        <w:rPr>
          <w:sz w:val="20"/>
          <w:szCs w:val="20"/>
          <w:color w:val="auto"/>
        </w:rPr>
      </w:pPr>
    </w:p>
    <w:p>
      <w:pPr>
        <w:ind w:left="260" w:right="80" w:hanging="143"/>
        <w:spacing w:after="0" w:line="263" w:lineRule="auto"/>
        <w:rPr>
          <w:sz w:val="20"/>
          <w:szCs w:val="20"/>
          <w:color w:val="auto"/>
        </w:rPr>
      </w:pPr>
      <w:r>
        <w:rPr>
          <w:rFonts w:ascii="Arial" w:cs="Arial" w:eastAsia="Arial" w:hAnsi="Arial"/>
          <w:sz w:val="14"/>
          <w:szCs w:val="14"/>
          <w:b w:val="1"/>
          <w:bCs w:val="1"/>
          <w:color w:val="auto"/>
        </w:rPr>
        <w:t>All executive officers and directors as a group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400" w:type="dxa"/>
            <w:vAlign w:val="bottom"/>
            <w:gridSpan w:val="11"/>
          </w:tcPr>
          <w:p>
            <w:pPr>
              <w:jc w:val="center"/>
              <w:ind w:right="700"/>
              <w:spacing w:after="0"/>
              <w:rPr>
                <w:sz w:val="20"/>
                <w:szCs w:val="20"/>
                <w:color w:val="auto"/>
              </w:rPr>
            </w:pPr>
            <w:r>
              <w:rPr>
                <w:rFonts w:ascii="Arial" w:cs="Arial" w:eastAsia="Arial" w:hAnsi="Arial"/>
                <w:sz w:val="14"/>
                <w:szCs w:val="14"/>
                <w:b w:val="1"/>
                <w:bCs w:val="1"/>
                <w:color w:val="auto"/>
              </w:rPr>
              <w:t>Class A Common Stock</w:t>
            </w:r>
          </w:p>
        </w:tc>
        <w:tc>
          <w:tcPr>
            <w:tcW w:w="560" w:type="dxa"/>
            <w:vAlign w:val="bottom"/>
          </w:tcPr>
          <w:p>
            <w:pPr>
              <w:spacing w:after="0"/>
              <w:rPr>
                <w:sz w:val="14"/>
                <w:szCs w:val="14"/>
                <w:color w:val="auto"/>
              </w:rPr>
            </w:pPr>
          </w:p>
        </w:tc>
        <w:tc>
          <w:tcPr>
            <w:tcW w:w="2400" w:type="dxa"/>
            <w:vAlign w:val="bottom"/>
            <w:gridSpan w:val="11"/>
          </w:tcPr>
          <w:p>
            <w:pPr>
              <w:jc w:val="center"/>
              <w:ind w:right="700"/>
              <w:spacing w:after="0"/>
              <w:rPr>
                <w:sz w:val="20"/>
                <w:szCs w:val="20"/>
                <w:color w:val="auto"/>
              </w:rPr>
            </w:pPr>
            <w:r>
              <w:rPr>
                <w:rFonts w:ascii="Arial" w:cs="Arial" w:eastAsia="Arial" w:hAnsi="Arial"/>
                <w:sz w:val="14"/>
                <w:szCs w:val="14"/>
                <w:b w:val="1"/>
                <w:bCs w:val="1"/>
                <w:color w:val="auto"/>
              </w:rPr>
              <w:t>Class B Common Stock</w:t>
            </w:r>
          </w:p>
        </w:tc>
        <w:tc>
          <w:tcPr>
            <w:tcW w:w="1860" w:type="dxa"/>
            <w:vAlign w:val="bottom"/>
            <w:gridSpan w:val="7"/>
          </w:tcPr>
          <w:p>
            <w:pPr>
              <w:jc w:val="center"/>
              <w:spacing w:after="0"/>
              <w:rPr>
                <w:sz w:val="20"/>
                <w:szCs w:val="20"/>
                <w:color w:val="auto"/>
              </w:rPr>
            </w:pPr>
            <w:r>
              <w:rPr>
                <w:rFonts w:ascii="Arial" w:cs="Arial" w:eastAsia="Arial" w:hAnsi="Arial"/>
                <w:sz w:val="14"/>
                <w:szCs w:val="14"/>
                <w:b w:val="1"/>
                <w:bCs w:val="1"/>
                <w:color w:val="auto"/>
              </w:rPr>
              <w:t>Combined Voting</w:t>
            </w:r>
          </w:p>
        </w:tc>
      </w:tr>
      <w:tr>
        <w:trPr>
          <w:trHeight w:val="175"/>
        </w:trPr>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rPr>
              <w:t>Beneficially Owned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10"/>
          </w:tcPr>
          <w:p>
            <w:pPr>
              <w:jc w:val="center"/>
              <w:ind w:right="860"/>
              <w:spacing w:after="0"/>
              <w:rPr>
                <w:sz w:val="20"/>
                <w:szCs w:val="20"/>
                <w:color w:val="auto"/>
              </w:rPr>
            </w:pPr>
            <w:r>
              <w:rPr>
                <w:rFonts w:ascii="Arial" w:cs="Arial" w:eastAsia="Arial" w:hAnsi="Arial"/>
                <w:sz w:val="14"/>
                <w:szCs w:val="14"/>
                <w:b w:val="1"/>
                <w:bCs w:val="1"/>
                <w:color w:val="auto"/>
              </w:rPr>
              <w:t>Beneficially Owned</w:t>
            </w:r>
          </w:p>
        </w:tc>
        <w:tc>
          <w:tcPr>
            <w:tcW w:w="560" w:type="dxa"/>
            <w:vAlign w:val="bottom"/>
          </w:tcPr>
          <w:p>
            <w:pPr>
              <w:spacing w:after="0"/>
              <w:rPr>
                <w:sz w:val="15"/>
                <w:szCs w:val="15"/>
                <w:color w:val="auto"/>
              </w:rPr>
            </w:pPr>
          </w:p>
        </w:tc>
        <w:tc>
          <w:tcPr>
            <w:tcW w:w="13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Power(1)</w:t>
            </w:r>
          </w:p>
        </w:tc>
      </w:tr>
      <w:tr>
        <w:trPr>
          <w:trHeight w:val="142"/>
        </w:trPr>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rPr>
              <w:t>After this</w:t>
            </w:r>
          </w:p>
        </w:tc>
        <w:tc>
          <w:tcPr>
            <w:tcW w:w="8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center"/>
              <w:ind w:right="160"/>
              <w:spacing w:after="0" w:line="143" w:lineRule="exact"/>
              <w:rPr>
                <w:sz w:val="20"/>
                <w:szCs w:val="20"/>
                <w:color w:val="auto"/>
              </w:rPr>
            </w:pPr>
            <w:r>
              <w:rPr>
                <w:rFonts w:ascii="Arial" w:cs="Arial" w:eastAsia="Arial" w:hAnsi="Arial"/>
                <w:sz w:val="14"/>
                <w:szCs w:val="14"/>
                <w:b w:val="1"/>
                <w:bCs w:val="1"/>
                <w:color w:val="auto"/>
              </w:rPr>
              <w:t>After this</w:t>
            </w:r>
          </w:p>
        </w:tc>
        <w:tc>
          <w:tcPr>
            <w:tcW w:w="840" w:type="dxa"/>
            <w:vAlign w:val="bottom"/>
            <w:tcBorders>
              <w:top w:val="single" w:sz="8" w:color="auto"/>
            </w:tcBorders>
            <w:gridSpan w:val="3"/>
          </w:tcPr>
          <w:p>
            <w:pPr>
              <w:jc w:val="center"/>
              <w:spacing w:after="0" w:line="143" w:lineRule="exact"/>
              <w:rPr>
                <w:sz w:val="20"/>
                <w:szCs w:val="20"/>
                <w:color w:val="auto"/>
              </w:rPr>
            </w:pPr>
            <w:r>
              <w:rPr>
                <w:rFonts w:ascii="Arial" w:cs="Arial" w:eastAsia="Arial" w:hAnsi="Arial"/>
                <w:sz w:val="14"/>
                <w:szCs w:val="14"/>
                <w:b w:val="1"/>
                <w:bCs w:val="1"/>
                <w:color w:val="auto"/>
              </w:rPr>
              <w:t>After this</w:t>
            </w:r>
          </w:p>
        </w:tc>
        <w:tc>
          <w:tcPr>
            <w:tcW w:w="140" w:type="dxa"/>
            <w:vAlign w:val="bottom"/>
          </w:tcPr>
          <w:p>
            <w:pPr>
              <w:spacing w:after="0"/>
              <w:rPr>
                <w:sz w:val="12"/>
                <w:szCs w:val="12"/>
                <w:color w:val="auto"/>
              </w:rPr>
            </w:pPr>
          </w:p>
        </w:tc>
        <w:tc>
          <w:tcPr>
            <w:tcW w:w="980" w:type="dxa"/>
            <w:vAlign w:val="bottom"/>
            <w:tcBorders>
              <w:top w:val="single" w:sz="8" w:color="auto"/>
            </w:tcBorders>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rPr>
              <w:t>After this</w:t>
            </w: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Offering</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this</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(With Full</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(No</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(With Full</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Offering</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(With Full</w:t>
            </w:r>
          </w:p>
        </w:tc>
      </w:tr>
      <w:tr>
        <w:trPr>
          <w:trHeight w:val="162"/>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of</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 of</w:t>
            </w:r>
          </w:p>
        </w:tc>
      </w:tr>
      <w:tr>
        <w:trPr>
          <w:trHeight w:val="162"/>
        </w:trPr>
        <w:tc>
          <w:tcPr>
            <w:tcW w:w="7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Over-</w:t>
            </w:r>
          </w:p>
        </w:tc>
        <w:tc>
          <w:tcPr>
            <w:tcW w:w="7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Over-</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Over-</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Over-</w:t>
            </w:r>
          </w:p>
        </w:tc>
      </w:tr>
      <w:tr>
        <w:trPr>
          <w:trHeight w:val="162"/>
        </w:trPr>
        <w:tc>
          <w:tcPr>
            <w:tcW w:w="7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this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7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this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allotment</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allotment</w:t>
            </w:r>
          </w:p>
        </w:tc>
      </w:tr>
      <w:tr>
        <w:trPr>
          <w:trHeight w:val="175"/>
        </w:trPr>
        <w:tc>
          <w:tcPr>
            <w:tcW w:w="7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Offering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Offering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55"/>
        </w:trPr>
        <w:tc>
          <w:tcPr>
            <w:tcW w:w="5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9"/>
              </w:rPr>
              <w:t>%</w:t>
            </w:r>
          </w:p>
        </w:tc>
        <w:tc>
          <w:tcPr>
            <w:tcW w:w="160" w:type="dxa"/>
            <w:vAlign w:val="bottom"/>
          </w:tcPr>
          <w:p>
            <w:pPr>
              <w:spacing w:after="0"/>
              <w:rPr>
                <w:sz w:val="13"/>
                <w:szCs w:val="13"/>
                <w:color w:val="auto"/>
              </w:rPr>
            </w:pPr>
          </w:p>
        </w:tc>
        <w:tc>
          <w:tcPr>
            <w:tcW w:w="840" w:type="dxa"/>
            <w:vAlign w:val="bottom"/>
            <w:tcBorders>
              <w:top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7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8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6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c>
          <w:tcPr>
            <w:tcW w:w="140" w:type="dxa"/>
            <w:vAlign w:val="bottom"/>
          </w:tcPr>
          <w:p>
            <w:pPr>
              <w:spacing w:after="0"/>
              <w:rPr>
                <w:sz w:val="13"/>
                <w:szCs w:val="13"/>
                <w:color w:val="auto"/>
              </w:rPr>
            </w:pPr>
          </w:p>
        </w:tc>
        <w:tc>
          <w:tcPr>
            <w:tcW w:w="8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Number   %</w:t>
            </w:r>
          </w:p>
        </w:tc>
      </w:tr>
      <w:tr>
        <w:trPr>
          <w:trHeight w:val="20"/>
        </w:trPr>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-7620</wp:posOffset>
            </wp:positionV>
            <wp:extent cx="699516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197485</wp:posOffset>
            </wp:positionV>
            <wp:extent cx="699516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403225</wp:posOffset>
            </wp:positionV>
            <wp:extent cx="699516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608965</wp:posOffset>
            </wp:positionV>
            <wp:extent cx="699516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814705</wp:posOffset>
            </wp:positionV>
            <wp:extent cx="6995160"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1176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1037590</wp:posOffset>
            </wp:positionV>
            <wp:extent cx="6995160" cy="1111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11125"/>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1260475</wp:posOffset>
            </wp:positionV>
            <wp:extent cx="6995160" cy="1111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11125"/>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1483360</wp:posOffset>
            </wp:positionV>
            <wp:extent cx="6995160"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852" w:lineRule="exact"/>
        <w:rPr>
          <w:sz w:val="20"/>
          <w:szCs w:val="20"/>
          <w:color w:val="auto"/>
        </w:rPr>
      </w:pPr>
    </w:p>
    <w:p>
      <w:pPr>
        <w:sectPr>
          <w:pgSz w:w="11900" w:h="16838" w:orient="portrait"/>
          <w:cols w:equalWidth="0" w:num="2">
            <w:col w:w="2900" w:space="420"/>
            <w:col w:w="7780"/>
          </w:cols>
          <w:pgMar w:left="320" w:top="459" w:right="479" w:bottom="1440" w:gutter="0" w:footer="0" w:header="0"/>
          <w:type w:val="continuous"/>
        </w:sectPr>
      </w:pPr>
    </w:p>
    <w:p>
      <w:pPr>
        <w:ind w:left="540" w:hanging="424"/>
        <w:spacing w:after="0"/>
        <w:tabs>
          <w:tab w:leader="none" w:pos="5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and Class B common stock voting as a single class. Each holder of Class A common stock</w:t>
      </w:r>
    </w:p>
    <w:p>
      <w:pPr>
        <w:spacing w:after="0" w:line="1" w:lineRule="exact"/>
        <w:rPr>
          <w:sz w:val="20"/>
          <w:szCs w:val="20"/>
          <w:color w:val="auto"/>
        </w:rPr>
      </w:pPr>
    </w:p>
    <w:p>
      <w:pPr>
        <w:ind w:left="540" w:right="40"/>
        <w:spacing w:after="0" w:line="241" w:lineRule="auto"/>
        <w:rPr>
          <w:sz w:val="20"/>
          <w:szCs w:val="20"/>
          <w:color w:val="auto"/>
        </w:rPr>
      </w:pPr>
      <w:r>
        <w:rPr>
          <w:rFonts w:ascii="Arial" w:cs="Arial" w:eastAsia="Arial" w:hAnsi="Arial"/>
          <w:sz w:val="14"/>
          <w:szCs w:val="14"/>
          <w:color w:val="auto"/>
        </w:rPr>
        <w:t>shall be entitled to one vote per share of Class A common stock and each holder of Class B common stock shall be entitled to votes per share . The Class A common stock and Class B common stock will vote as a single class on all matters presented to stockholders for a vote generally, including the election of directors, except as required by law or the certificate.</w:t>
      </w:r>
    </w:p>
    <w:p>
      <w:pPr>
        <w:spacing w:after="0" w:line="1" w:lineRule="exact"/>
        <w:rPr>
          <w:sz w:val="20"/>
          <w:szCs w:val="20"/>
          <w:color w:val="auto"/>
        </w:rPr>
      </w:pPr>
    </w:p>
    <w:p>
      <w:pPr>
        <w:ind w:left="1340" w:hanging="1224"/>
        <w:spacing w:after="0"/>
        <w:tabs>
          <w:tab w:leader="none" w:pos="1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1340" w:hanging="1224"/>
        <w:spacing w:after="0"/>
        <w:tabs>
          <w:tab w:leader="none" w:pos="1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1340" w:hanging="1224"/>
        <w:spacing w:after="0"/>
        <w:tabs>
          <w:tab w:leader="none" w:pos="1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1340" w:hanging="1224"/>
        <w:spacing w:after="0"/>
        <w:tabs>
          <w:tab w:leader="none" w:pos="13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2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Certain provisions of our Amended Charter and our Amended Bylaws summarized below may be deemed to have an anti -takeover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20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In connection with this offering, we will file an Amended Charter, and we will adopt our Amended Bylaws. Our Amended Charter will authorize capital stock consisting of:</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380"/>
              <w:spacing w:after="0"/>
              <w:rPr>
                <w:sz w:val="20"/>
                <w:szCs w:val="20"/>
                <w:color w:val="auto"/>
              </w:rPr>
            </w:pPr>
            <w:r>
              <w:rPr>
                <w:rFonts w:ascii="Arial" w:cs="Arial" w:eastAsia="Arial" w:hAnsi="Arial"/>
                <w:sz w:val="18"/>
                <w:szCs w:val="18"/>
                <w:color w:val="auto"/>
              </w:rPr>
              <w:t>shares of Class A common stock, par value $</w:t>
            </w:r>
          </w:p>
        </w:tc>
        <w:tc>
          <w:tcPr>
            <w:tcW w:w="1880" w:type="dxa"/>
            <w:vAlign w:val="bottom"/>
          </w:tcPr>
          <w:p>
            <w:pPr>
              <w:ind w:left="720"/>
              <w:spacing w:after="0"/>
              <w:rPr>
                <w:sz w:val="20"/>
                <w:szCs w:val="20"/>
                <w:color w:val="auto"/>
              </w:rPr>
            </w:pPr>
            <w:r>
              <w:rPr>
                <w:rFonts w:ascii="Arial" w:cs="Arial" w:eastAsia="Arial" w:hAnsi="Arial"/>
                <w:sz w:val="18"/>
                <w:szCs w:val="18"/>
                <w:color w:val="auto"/>
              </w:rPr>
              <w:t>per share;</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380"/>
              <w:spacing w:after="0"/>
              <w:rPr>
                <w:sz w:val="20"/>
                <w:szCs w:val="20"/>
                <w:color w:val="auto"/>
              </w:rPr>
            </w:pPr>
            <w:r>
              <w:rPr>
                <w:rFonts w:ascii="Arial" w:cs="Arial" w:eastAsia="Arial" w:hAnsi="Arial"/>
                <w:sz w:val="18"/>
                <w:szCs w:val="18"/>
                <w:color w:val="auto"/>
              </w:rPr>
              <w:t>shares of Class B common stock, par value $</w:t>
            </w:r>
          </w:p>
        </w:tc>
        <w:tc>
          <w:tcPr>
            <w:tcW w:w="1880" w:type="dxa"/>
            <w:vAlign w:val="bottom"/>
          </w:tcPr>
          <w:p>
            <w:pPr>
              <w:ind w:left="720"/>
              <w:spacing w:after="0"/>
              <w:rPr>
                <w:sz w:val="20"/>
                <w:szCs w:val="20"/>
                <w:color w:val="auto"/>
              </w:rPr>
            </w:pPr>
            <w:r>
              <w:rPr>
                <w:rFonts w:ascii="Arial" w:cs="Arial" w:eastAsia="Arial" w:hAnsi="Arial"/>
                <w:sz w:val="18"/>
                <w:szCs w:val="18"/>
                <w:color w:val="auto"/>
                <w:w w:val="98"/>
              </w:rPr>
              <w:t>per share; and</w:t>
            </w:r>
          </w:p>
        </w:tc>
      </w:tr>
      <w:tr>
        <w:trPr>
          <w:trHeight w:val="324"/>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380"/>
              <w:spacing w:after="0"/>
              <w:rPr>
                <w:sz w:val="20"/>
                <w:szCs w:val="20"/>
                <w:color w:val="auto"/>
              </w:rPr>
            </w:pPr>
            <w:r>
              <w:rPr>
                <w:rFonts w:ascii="Arial" w:cs="Arial" w:eastAsia="Arial" w:hAnsi="Arial"/>
                <w:sz w:val="18"/>
                <w:szCs w:val="18"/>
                <w:color w:val="auto"/>
              </w:rPr>
              <w:t>shares of preferred stock, par value $</w:t>
            </w:r>
          </w:p>
        </w:tc>
        <w:tc>
          <w:tcPr>
            <w:tcW w:w="1880" w:type="dxa"/>
            <w:vAlign w:val="bottom"/>
          </w:tcPr>
          <w:p>
            <w:pPr>
              <w:ind w:left="100"/>
              <w:spacing w:after="0"/>
              <w:rPr>
                <w:sz w:val="20"/>
                <w:szCs w:val="20"/>
                <w:color w:val="auto"/>
              </w:rPr>
            </w:pPr>
            <w:r>
              <w:rPr>
                <w:rFonts w:ascii="Arial" w:cs="Arial" w:eastAsia="Arial" w:hAnsi="Arial"/>
                <w:sz w:val="18"/>
                <w:szCs w:val="18"/>
                <w:color w:val="auto"/>
              </w:rPr>
              <w:t>per share.</w:t>
            </w:r>
          </w:p>
        </w:tc>
      </w:tr>
    </w:tbl>
    <w:p>
      <w:pPr>
        <w:spacing w:after="0" w:line="20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selling shares of Class A common stock in this offering ( shares if the underwriters exercise in full their option to purchase additional shares). All shares of our Class A common stock outstanding upon consummation of this offering will be fully paid and non-assessable.</w:t>
      </w:r>
    </w:p>
    <w:p>
      <w:pPr>
        <w:spacing w:after="0" w:line="203"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7"/>
          <w:szCs w:val="17"/>
          <w:color w:val="auto"/>
        </w:rPr>
        <w:t>Assuming the conversion of all outstanding shares of our redeemable preferred stock into shares of our common stock and the reclassification of the shares of common stock (including those shares of common stock resulting from the conversion of our redeemable</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preferred stock) into shares of Class A common stock, which will occur upon the closing of this offering, as of , 2021, there will be shares of our Class A common stock outstanding, held by stockholders of record, shares of our Class B common stock outstanding held by stockholders of record, and no shares of our preferred stock outstanding.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75" w:lineRule="exact"/>
        <w:rPr>
          <w:sz w:val="20"/>
          <w:szCs w:val="20"/>
          <w:color w:val="auto"/>
        </w:rPr>
      </w:pPr>
    </w:p>
    <w:p>
      <w:pPr>
        <w:jc w:val="both"/>
        <w:ind w:left="120" w:right="1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Holders of shares of our Class A common stock are entitled to one vote for each share held of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all matters submitted to a vote of stockholders. The holders of our Class A common stock do not have cumulative voting rights in the election of directors.</w:t>
      </w:r>
    </w:p>
    <w:p>
      <w:pPr>
        <w:spacing w:after="0" w:line="19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 Any amendment of our Amended Charter that gives holders of our Class B common stock (1) any additional rights to receive dividends or any other kind of distribution, (2) any additional right to convert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175"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Each share of our Class B common stock entitles its holders to votes per share on all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submitted to a vote of stockholders. The holders of shares of our Class B common stock do not have cumulative voting rights in the election of directors.</w:t>
      </w:r>
    </w:p>
    <w:p>
      <w:pPr>
        <w:spacing w:after="0" w:line="191"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outstanding share of Class B common stock held by a stockholder who is a natural person, or held by the permitted entities and permitted transferees of such natural person (as described in our Amended Charter), will convert automatically into one fully paid and nonassessable share of Class A common stock upon the death of such natural person.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207"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Holders of our Class B common stock do not have preemptive, subscription or redemption rights. There will be no redemption or sinking fund provisions applicable to the Class B common stock.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stockholder approval, the affirmative vote of the holders of Class A common stock representing a majority of the voting power of the outstanding shares of Class A common stock, voting separately as a class.</w:t>
      </w:r>
    </w:p>
    <w:p>
      <w:pPr>
        <w:spacing w:after="0" w:line="18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Common Stock Dividend Rights. </w:t>
      </w:r>
      <w:r>
        <w:rPr>
          <w:rFonts w:ascii="Arial" w:cs="Arial" w:eastAsia="Arial" w:hAnsi="Arial"/>
          <w:sz w:val="18"/>
          <w:szCs w:val="18"/>
          <w:color w:val="auto"/>
        </w:rPr>
        <w:t>The holders of our Class A and Class B common stock are entitled to receive dividends out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20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Shares of Class A and Class B common stock shall be treated equally, identically and ratably, on a per share basis, with respect to any dividends as may be declared and paid from time to time by our board of directors out of any legally available assets of the Corporation.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99"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81" w:lineRule="exact"/>
        <w:rPr>
          <w:sz w:val="20"/>
          <w:szCs w:val="20"/>
          <w:color w:val="auto"/>
        </w:rPr>
      </w:pPr>
    </w:p>
    <w:p>
      <w:pPr>
        <w:ind w:left="120" w:right="100" w:firstLine="551"/>
        <w:spacing w:after="0" w:line="247" w:lineRule="auto"/>
        <w:rPr>
          <w:sz w:val="20"/>
          <w:szCs w:val="20"/>
          <w:color w:val="auto"/>
        </w:rPr>
      </w:pPr>
      <w:r>
        <w:rPr>
          <w:rFonts w:ascii="Arial" w:cs="Arial" w:eastAsia="Arial" w:hAnsi="Arial"/>
          <w:sz w:val="18"/>
          <w:szCs w:val="18"/>
          <w:b w:val="1"/>
          <w:bCs w:val="1"/>
          <w:i w:val="1"/>
          <w:iCs w:val="1"/>
          <w:color w:val="auto"/>
        </w:rPr>
        <w:t xml:space="preserve">Right to Receive Liquidation Distributions. </w:t>
      </w:r>
      <w:r>
        <w:rPr>
          <w:rFonts w:ascii="Arial" w:cs="Arial" w:eastAsia="Arial" w:hAnsi="Arial"/>
          <w:sz w:val="18"/>
          <w:szCs w:val="18"/>
          <w:color w:val="auto"/>
        </w:rPr>
        <w:t>If we become subject to a liquidation, dissolution, or winding-up, the assets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74"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Treatment of Common Stock in Reclassifications and Mergers. </w:t>
      </w:r>
      <w:r>
        <w:rPr>
          <w:rFonts w:ascii="Arial" w:cs="Arial" w:eastAsia="Arial" w:hAnsi="Arial"/>
          <w:sz w:val="18"/>
          <w:szCs w:val="18"/>
          <w:color w:val="auto"/>
        </w:rPr>
        <w:t>The affirmative vote of the holders of Class A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20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upon the consummation of such merger or consolidation, holders of each class of common stock will receive (or be entitled to receive) the same per share consideration in the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ectPr>
          <w:pgSz w:w="11900" w:h="16838" w:orient="portrait"/>
          <w:cols w:equalWidth="0" w:num="1">
            <w:col w:w="11120"/>
          </w:cols>
          <w:pgMar w:left="320" w:top="459" w:right="45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be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80" w:hanging="748"/>
        <w:spacing w:after="0" w:line="246" w:lineRule="auto"/>
        <w:rPr>
          <w:sz w:val="20"/>
          <w:szCs w:val="20"/>
          <w:color w:val="auto"/>
        </w:rPr>
      </w:pPr>
      <w:r>
        <w:rPr>
          <w:rFonts w:ascii="Arial" w:cs="Arial" w:eastAsia="Arial" w:hAnsi="Arial"/>
          <w:sz w:val="18"/>
          <w:szCs w:val="18"/>
          <w:color w:val="auto"/>
        </w:rPr>
        <w:t>Upon the consummation of this offering and pursuant to our Amended Charter, the total of our authorized shares of preferred stock shares. Upon the consummation of this offering, we will have no shares of preferred stock outstanding.</w:t>
      </w:r>
    </w:p>
    <w:p>
      <w:pPr>
        <w:spacing w:after="0" w:line="197" w:lineRule="exact"/>
        <w:rPr>
          <w:sz w:val="20"/>
          <w:szCs w:val="20"/>
          <w:color w:val="auto"/>
        </w:rPr>
      </w:pPr>
    </w:p>
    <w:p>
      <w:pPr>
        <w:sectPr>
          <w:pgSz w:w="11900" w:h="16838" w:orient="portrait"/>
          <w:cols w:equalWidth="0" w:num="2">
            <w:col w:w="700" w:space="720"/>
            <w:col w:w="9700"/>
          </w:cols>
          <w:pgMar w:left="320" w:top="459" w:right="459" w:bottom="1440" w:gutter="0" w:footer="0" w:header="0"/>
          <w:type w:val="continuous"/>
        </w:sectPr>
      </w:pPr>
    </w:p>
    <w:p>
      <w:pPr>
        <w:ind w:left="120" w:right="140" w:firstLine="551"/>
        <w:spacing w:after="0"/>
        <w:rPr>
          <w:sz w:val="20"/>
          <w:szCs w:val="20"/>
          <w:color w:val="auto"/>
        </w:rPr>
      </w:pPr>
      <w:r>
        <w:rPr>
          <w:rFonts w:ascii="Arial" w:cs="Arial" w:eastAsia="Arial" w:hAnsi="Arial"/>
          <w:sz w:val="18"/>
          <w:szCs w:val="18"/>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20"/>
        <w:spacing w:after="0" w:line="246" w:lineRule="auto"/>
        <w:rPr>
          <w:sz w:val="20"/>
          <w:szCs w:val="20"/>
          <w:color w:val="auto"/>
        </w:rPr>
      </w:pPr>
      <w:r>
        <w:rPr>
          <w:rFonts w:ascii="Arial" w:cs="Arial" w:eastAsia="Arial" w:hAnsi="Arial"/>
          <w:sz w:val="18"/>
          <w:szCs w:val="18"/>
          <w:color w:val="auto"/>
        </w:rPr>
        <w:t>and restrictions, including without limitation voting rights, dividend rights, conversion rights, redemption privileges and liquidation preferences, of each series of preferred stock.</w:t>
      </w:r>
    </w:p>
    <w:p>
      <w:pPr>
        <w:spacing w:after="0" w:line="197" w:lineRule="exact"/>
        <w:rPr>
          <w:sz w:val="20"/>
          <w:szCs w:val="20"/>
          <w:color w:val="auto"/>
        </w:rPr>
      </w:pPr>
    </w:p>
    <w:p>
      <w:pPr>
        <w:ind w:left="120" w:right="80" w:firstLine="551"/>
        <w:spacing w:after="0" w:line="253"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ectPr>
          <w:pgSz w:w="11900" w:h="16838" w:orient="portrait"/>
          <w:cols w:equalWidth="0" w:num="1">
            <w:col w:w="11100"/>
          </w:cols>
          <w:pgMar w:left="320" w:top="459" w:right="47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440" w:firstLine="611"/>
        <w:spacing w:after="0" w:line="246" w:lineRule="auto"/>
        <w:rPr>
          <w:sz w:val="20"/>
          <w:szCs w:val="20"/>
          <w:color w:val="auto"/>
        </w:rPr>
      </w:pPr>
      <w:r>
        <w:rPr>
          <w:rFonts w:ascii="Arial" w:cs="Arial" w:eastAsia="Arial" w:hAnsi="Arial"/>
          <w:sz w:val="18"/>
          <w:szCs w:val="18"/>
          <w:color w:val="auto"/>
        </w:rPr>
        <w:t>, 2021, we had outstanding options under our 2009 Plan and 2019 Plan to purchase an aggregate shares of our Class A common stock, with a weighted-average exercise price of $ per share.</w:t>
      </w:r>
    </w:p>
    <w:p>
      <w:pPr>
        <w:spacing w:after="0" w:line="200" w:lineRule="exact"/>
        <w:rPr>
          <w:sz w:val="20"/>
          <w:szCs w:val="20"/>
          <w:color w:val="auto"/>
        </w:rPr>
      </w:pPr>
    </w:p>
    <w:p>
      <w:pPr>
        <w:sectPr>
          <w:pgSz w:w="11900" w:h="16838" w:orient="portrait"/>
          <w:cols w:equalWidth="0" w:num="3">
            <w:col w:w="260" w:space="400"/>
            <w:col w:w="420" w:space="180"/>
            <w:col w:w="9840"/>
          </w:cols>
          <w:pgMar w:left="320" w:top="459" w:right="479" w:bottom="1440" w:gutter="0" w:footer="0" w:header="0"/>
          <w:type w:val="continuous"/>
        </w:sectPr>
      </w:pPr>
    </w:p>
    <w:p>
      <w:pPr>
        <w:spacing w:after="0" w:line="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Restricted Stock Units</w:t>
      </w:r>
    </w:p>
    <w:p>
      <w:pPr>
        <w:sectPr>
          <w:pgSz w:w="11900" w:h="16838" w:orient="portrait"/>
          <w:cols w:equalWidth="0" w:num="1">
            <w:col w:w="11100"/>
          </w:cols>
          <w:pgMar w:left="320" w:top="459" w:right="479" w:bottom="1440" w:gutter="0" w:footer="0" w:header="0"/>
          <w:type w:val="continuous"/>
        </w:sectPr>
      </w:pP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 2021, we had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A common stock subject to outstanding RSUs under our 2019 Plan.</w:t>
      </w:r>
    </w:p>
    <w:p>
      <w:pPr>
        <w:spacing w:after="0" w:line="211" w:lineRule="exact"/>
        <w:rPr>
          <w:sz w:val="20"/>
          <w:szCs w:val="20"/>
          <w:color w:val="auto"/>
        </w:rPr>
      </w:pPr>
    </w:p>
    <w:p>
      <w:pPr>
        <w:sectPr>
          <w:pgSz w:w="11900" w:h="16838" w:orient="portrait"/>
          <w:cols w:equalWidth="0" w:num="3">
            <w:col w:w="1160" w:space="720"/>
            <w:col w:w="1260" w:space="720"/>
            <w:col w:w="7240"/>
          </w:cols>
          <w:pgMar w:left="320" w:top="459" w:right="47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of , 2021, there were warrants to purchase shares of Class A common stock and shares of Series preferred stock. Upon the consummation of this offering, certain warrants may remain outstanding. The warrants to purchase the Series preferred stock, if outstanding upon the closing of this offering, shall become warrants to purchase shares of common stock into which each share of Series preferred stock is convertible at the time of such exercise.</w:t>
      </w:r>
    </w:p>
    <w:p>
      <w:pPr>
        <w:sectPr>
          <w:pgSz w:w="11900" w:h="16838" w:orient="portrait"/>
          <w:cols w:equalWidth="0" w:num="1">
            <w:col w:w="11100"/>
          </w:cols>
          <w:pgMar w:left="320" w:top="459" w:right="479" w:bottom="1440" w:gutter="0" w:footer="0" w:header="0"/>
          <w:type w:val="continuous"/>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Investors’ Rights Agreement to which we are party provides certain holders of our capital stock registration rights as set forth below. The registration of shares of our capital stock by the 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83"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b w:val="1"/>
          <w:bCs w:val="1"/>
          <w:i w:val="1"/>
          <w:iCs w:val="1"/>
          <w:color w:val="auto"/>
        </w:rPr>
        <w:t xml:space="preserve">Demand Registration Rights. </w:t>
      </w:r>
      <w:r>
        <w:rPr>
          <w:rFonts w:ascii="Arial" w:cs="Arial" w:eastAsia="Arial" w:hAnsi="Arial"/>
          <w:sz w:val="18"/>
          <w:szCs w:val="18"/>
          <w:color w:val="auto"/>
        </w:rPr>
        <w:t>Subject to certain exceptions, at any time beginning six months after the closing date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upon election by one or more holders holding at least 20% of the registrable securities held by such holders, certain holders will be entitled to certain demand</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8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i w:val="1"/>
          <w:iCs w:val="1"/>
          <w:color w:val="auto"/>
        </w:rPr>
        <w:t xml:space="preserve">Piggyback Registration Rights. </w:t>
      </w:r>
      <w:r>
        <w:rPr>
          <w:rFonts w:ascii="Arial" w:cs="Arial" w:eastAsia="Arial" w:hAnsi="Arial"/>
          <w:sz w:val="18"/>
          <w:szCs w:val="18"/>
          <w:color w:val="auto"/>
        </w:rPr>
        <w:t>After the closing date of this offering, in the event that we propose to register any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80"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Form S-3 Registration Rights. </w:t>
      </w:r>
      <w:r>
        <w:rPr>
          <w:rFonts w:ascii="Arial" w:cs="Arial" w:eastAsia="Arial" w:hAnsi="Arial"/>
          <w:sz w:val="18"/>
          <w:szCs w:val="18"/>
          <w:color w:val="auto"/>
        </w:rPr>
        <w:t>Subject to certain exceptions, holders of at least 10% of the registrable securities held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204"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w:t>
      </w:r>
    </w:p>
    <w:p>
      <w:pPr>
        <w:spacing w:after="0" w:line="189"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Moreover, Section 27 of the Exchange Act creates exclusive federal jurisdiction over all claims brought to enforce any duty or liability created by the Exchange Act or the rules and regulations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Additionally, our Amended Charter will provide that any person or entity holding, owning, or otherwise acquiring any interest in any of our securities shall be deemed to have notice of and consented to these provisions.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80"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8"/>
          <w:szCs w:val="18"/>
          <w:b w:val="1"/>
          <w:bCs w:val="1"/>
          <w:i w:val="1"/>
          <w:iCs w:val="1"/>
          <w:color w:val="auto"/>
        </w:rPr>
        <w:t>Authorized but Unissued Shares.</w:t>
      </w:r>
      <w:r>
        <w:rPr>
          <w:sz w:val="20"/>
          <w:szCs w:val="20"/>
          <w:color w:val="auto"/>
        </w:rPr>
        <w:tab/>
      </w:r>
      <w:r>
        <w:rPr>
          <w:rFonts w:ascii="Arial" w:cs="Arial" w:eastAsia="Arial" w:hAnsi="Arial"/>
          <w:sz w:val="17"/>
          <w:szCs w:val="17"/>
          <w:color w:val="auto"/>
        </w:rPr>
        <w:t>The authorized but unissued shares of our common stock and our preferred stock are</w:t>
      </w:r>
    </w:p>
    <w:p>
      <w:pPr>
        <w:spacing w:after="0" w:line="18"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available for future issuance without stockholder approval, subject to any limitations imposed by the listing standards of the .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83"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b w:val="1"/>
          <w:bCs w:val="1"/>
          <w:i w:val="1"/>
          <w:iCs w:val="1"/>
          <w:color w:val="auto"/>
        </w:rPr>
        <w:t xml:space="preserve">Dual Class Stock. </w:t>
      </w:r>
      <w:r>
        <w:rPr>
          <w:rFonts w:ascii="Arial" w:cs="Arial" w:eastAsia="Arial" w:hAnsi="Arial"/>
          <w:sz w:val="18"/>
          <w:szCs w:val="18"/>
          <w:color w:val="auto"/>
        </w:rPr>
        <w:t>As described above in “—Common Stock—Voting Rights,” our Amended Charter will provide for a dual 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76"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Amended Charter will provide that our board of directors will be divided into three classes,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number of directors in each class being as nearly equal in number as possible. The directors in each class will serve for a three-year term, one class being elected each year by our stockholders, with staggered three-year terms. Our Amended Charter will provide that directors may only be removed from our board of directors for cause by the affirmative vote of a majority of the shares entitled to vote generally in the election of directors. See “Management—Composition of our Board of Directors.” These provisions may have the effect of deferring, delaying or discouraging hostile takeovers, or changes in control of us or our management.</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Charter will provide that our stockholders may not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In addition, our Amended Bylaws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b w:val="1"/>
          <w:bCs w:val="1"/>
          <w:i w:val="1"/>
          <w:iCs w:val="1"/>
          <w:color w:val="auto"/>
        </w:rPr>
        <w:t xml:space="preserve">Amendment of Certificate of Incorporation or Bylaws. </w:t>
      </w:r>
      <w:r>
        <w:rPr>
          <w:rFonts w:ascii="Arial" w:cs="Arial" w:eastAsia="Arial" w:hAnsi="Arial"/>
          <w:sz w:val="18"/>
          <w:szCs w:val="18"/>
          <w:color w:val="auto"/>
        </w:rPr>
        <w:t>Our Amended Bylaws may be amended or repealed by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or by the affirmative vote of a majority of the votes which all our stockholders would be eligible to cast in an election of directors. Generally, the approval by our board of directors and the affirmative vote of the holders of a majority in voting power of the outstanding shares entitled to vote thereon would be required to amend our Amended Charter. In addition, any amendment of our Amended Charter that gives holders of our Class B common stock (1) any additional rights to receive dividends or any other kind of distribution, (2) any additional right to convert into or be exchanged for Class A common stock or (3) any other additional economic rights will require, in addition to any other stockholder approval required by applicable law or the Amended Charter, the affirmative vote of the holders of our Class A common stock voting separately as a class.</w:t>
      </w:r>
    </w:p>
    <w:p>
      <w:pPr>
        <w:spacing w:after="0" w:line="180"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i w:val="1"/>
          <w:iCs w:val="1"/>
          <w:color w:val="auto"/>
        </w:rPr>
        <w:t xml:space="preserve">Section 203 of the DGCL. </w:t>
      </w:r>
      <w:r>
        <w:rPr>
          <w:rFonts w:ascii="Arial" w:cs="Arial" w:eastAsia="Arial" w:hAnsi="Arial"/>
          <w:sz w:val="18"/>
          <w:szCs w:val="18"/>
          <w:color w:val="auto"/>
        </w:rPr>
        <w:t>We will opt out of Section 203 of the DGCL. However, our Amended Charter will contain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207" w:lineRule="exact"/>
        <w:rPr>
          <w:sz w:val="20"/>
          <w:szCs w:val="20"/>
          <w:color w:val="auto"/>
        </w:rPr>
      </w:pPr>
    </w:p>
    <w:p>
      <w:pPr>
        <w:ind w:left="120" w:right="420" w:firstLine="551"/>
        <w:spacing w:after="0"/>
        <w:rPr>
          <w:sz w:val="20"/>
          <w:szCs w:val="20"/>
          <w:color w:val="auto"/>
        </w:rPr>
      </w:pPr>
      <w:r>
        <w:rPr>
          <w:rFonts w:ascii="Arial" w:cs="Arial" w:eastAsia="Arial" w:hAnsi="Arial"/>
          <w:sz w:val="18"/>
          <w:szCs w:val="18"/>
          <w:color w:val="auto"/>
        </w:rPr>
        <w:t>However, under our Amended Charter, and any of their respective affiliates will be deemed to not be interested stockholders regardless of the percentage of our outstanding voting stock owned by them, and accordingly will not be subject to such restrictions.</w:t>
      </w: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Opportunity Doctrine</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(i) any director who is not an employee of Rent the Runway or any of its subsidiaries or (ii) any holder of preferred stock or any partner, member, director, stockholder, employee or agent of any such holder, other than someone who is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26" w:lineRule="exact"/>
        <w:rPr>
          <w:sz w:val="20"/>
          <w:szCs w:val="20"/>
          <w:color w:val="auto"/>
        </w:rPr>
      </w:pPr>
    </w:p>
    <w:p>
      <w:pPr>
        <w:jc w:val="both"/>
        <w:ind w:left="120" w:right="400" w:firstLine="551"/>
        <w:spacing w:after="0"/>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26" w:lineRule="exact"/>
        <w:rPr>
          <w:sz w:val="20"/>
          <w:szCs w:val="20"/>
          <w:color w:val="auto"/>
        </w:rPr>
      </w:pPr>
    </w:p>
    <w:p>
      <w:pPr>
        <w:ind w:left="660"/>
        <w:spacing w:after="0"/>
        <w:tabs>
          <w:tab w:leader="none" w:pos="6600" w:val="left"/>
        </w:tabs>
        <w:rPr>
          <w:sz w:val="20"/>
          <w:szCs w:val="20"/>
          <w:color w:val="auto"/>
        </w:rPr>
      </w:pPr>
      <w:r>
        <w:rPr>
          <w:rFonts w:ascii="Arial" w:cs="Arial" w:eastAsia="Arial" w:hAnsi="Arial"/>
          <w:sz w:val="18"/>
          <w:szCs w:val="18"/>
          <w:color w:val="auto"/>
        </w:rPr>
        <w:t>The transfer agent and registrar for our Class A common stock is</w:t>
      </w:r>
      <w:r>
        <w:rPr>
          <w:sz w:val="20"/>
          <w:szCs w:val="20"/>
          <w:color w:val="auto"/>
        </w:rPr>
        <w:tab/>
      </w:r>
      <w:r>
        <w:rPr>
          <w:rFonts w:ascii="Arial" w:cs="Arial" w:eastAsia="Arial" w:hAnsi="Arial"/>
          <w:sz w:val="13"/>
          <w:szCs w:val="13"/>
          <w:color w:val="auto"/>
        </w:rPr>
        <w: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Trading Symbol and Market</w:t>
      </w:r>
    </w:p>
    <w:p>
      <w:pPr>
        <w:spacing w:after="0" w:line="126" w:lineRule="exact"/>
        <w:rPr>
          <w:sz w:val="20"/>
          <w:szCs w:val="20"/>
          <w:color w:val="auto"/>
        </w:rPr>
      </w:pPr>
    </w:p>
    <w:p>
      <w:pPr>
        <w:ind w:left="660"/>
        <w:spacing w:after="0"/>
        <w:tabs>
          <w:tab w:leader="none" w:pos="6140" w:val="left"/>
          <w:tab w:leader="none" w:pos="842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right="60" w:firstLine="551"/>
        <w:spacing w:after="0" w:line="234" w:lineRule="auto"/>
        <w:rPr>
          <w:sz w:val="20"/>
          <w:szCs w:val="20"/>
          <w:color w:val="auto"/>
        </w:rPr>
      </w:pPr>
      <w:r>
        <w:rPr>
          <w:rFonts w:ascii="Arial" w:cs="Arial" w:eastAsia="Arial" w:hAnsi="Arial"/>
          <w:sz w:val="18"/>
          <w:szCs w:val="18"/>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w:t>
      </w:r>
    </w:p>
    <w:p>
      <w:pPr>
        <w:spacing w:after="0" w:line="1"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Class A common stock. Although we have applied to have our Class A common stock listed on the , we cannot assure you that there will be an active public market for our Class A common stock.</w:t>
      </w:r>
    </w:p>
    <w:p>
      <w:pPr>
        <w:spacing w:after="0" w:line="197"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Upon the closing of this offering, we will have outstanding an aggregate of shares of Class A common stock, assuming the issuance of shares of Class A common stock offered by us in this offering. Of these shares, all shares sold in this offering will be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remaining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1" w:lineRule="exact"/>
        <w:rPr>
          <w:sz w:val="20"/>
          <w:szCs w:val="20"/>
          <w:color w:val="auto"/>
        </w:rPr>
      </w:pPr>
    </w:p>
    <w:p>
      <w:pPr>
        <w:ind w:left="660"/>
        <w:spacing w:after="0"/>
        <w:tabs>
          <w:tab w:leader="none" w:pos="9180" w:val="left"/>
        </w:tabs>
        <w:rPr>
          <w:sz w:val="20"/>
          <w:szCs w:val="20"/>
          <w:color w:val="auto"/>
        </w:rPr>
      </w:pPr>
      <w:r>
        <w:rPr>
          <w:rFonts w:ascii="Arial" w:cs="Arial" w:eastAsia="Arial" w:hAnsi="Arial"/>
          <w:sz w:val="18"/>
          <w:szCs w:val="18"/>
          <w:color w:val="auto"/>
        </w:rPr>
        <w:t>Pursuant to our Investors’ Rights Agreement, after the closing of this offering, the holders of up to</w:t>
      </w:r>
      <w:r>
        <w:rPr>
          <w:sz w:val="20"/>
          <w:szCs w:val="20"/>
          <w:color w:val="auto"/>
        </w:rPr>
        <w:tab/>
      </w:r>
      <w:r>
        <w:rPr>
          <w:rFonts w:ascii="Arial" w:cs="Arial" w:eastAsia="Arial" w:hAnsi="Arial"/>
          <w:sz w:val="17"/>
          <w:szCs w:val="17"/>
          <w:color w:val="auto"/>
        </w:rPr>
        <w:t>shares of our Class A</w:t>
      </w:r>
    </w:p>
    <w:p>
      <w:pPr>
        <w:ind w:left="120" w:right="160"/>
        <w:spacing w:after="0" w:line="238" w:lineRule="auto"/>
        <w:rPr>
          <w:sz w:val="20"/>
          <w:szCs w:val="20"/>
          <w:color w:val="auto"/>
        </w:rPr>
      </w:pPr>
      <w:r>
        <w:rPr>
          <w:rFonts w:ascii="Arial" w:cs="Arial" w:eastAsia="Arial" w:hAnsi="Arial"/>
          <w:sz w:val="18"/>
          <w:szCs w:val="18"/>
          <w:color w:val="auto"/>
        </w:rPr>
        <w:t>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ectPr>
          <w:pgSz w:w="11900" w:h="16838" w:orient="portrait"/>
          <w:cols w:equalWidth="0" w:num="1">
            <w:col w:w="11120"/>
          </w:cols>
          <w:pgMar w:left="320" w:top="459" w:right="459" w:bottom="1440" w:gutter="0" w:footer="0" w:header="0"/>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80" w:hanging="398"/>
        <w:spacing w:after="0" w:line="246" w:lineRule="auto"/>
        <w:rPr>
          <w:sz w:val="20"/>
          <w:szCs w:val="20"/>
          <w:color w:val="auto"/>
        </w:rPr>
      </w:pPr>
      <w:r>
        <w:rPr>
          <w:rFonts w:ascii="Arial" w:cs="Arial" w:eastAsia="Arial" w:hAnsi="Arial"/>
          <w:sz w:val="18"/>
          <w:szCs w:val="18"/>
          <w:color w:val="auto"/>
        </w:rPr>
        <w:t>We, our executive officers, directors and the holders of substantially all of our outstanding stock, without the prior written consent , we and they will not, subject to certain exceptions, during the period ending days after the date of this prospectus:</w:t>
      </w:r>
    </w:p>
    <w:p>
      <w:pPr>
        <w:spacing w:after="0" w:line="102" w:lineRule="exact"/>
        <w:rPr>
          <w:sz w:val="20"/>
          <w:szCs w:val="20"/>
          <w:color w:val="auto"/>
        </w:rPr>
      </w:pPr>
    </w:p>
    <w:p>
      <w:pPr>
        <w:sectPr>
          <w:pgSz w:w="11900" w:h="16838" w:orient="portrait"/>
          <w:cols w:equalWidth="0" w:num="2">
            <w:col w:w="340" w:space="720"/>
            <w:col w:w="10060"/>
          </w:cols>
          <w:pgMar w:left="320" w:top="459" w:right="459" w:bottom="1440" w:gutter="0" w:footer="0" w:header="0"/>
          <w:type w:val="continuous"/>
        </w:sectPr>
      </w:pPr>
    </w:p>
    <w:p>
      <w:pPr>
        <w:ind w:left="880" w:right="80" w:hanging="219"/>
        <w:spacing w:after="0" w:line="238" w:lineRule="auto"/>
        <w:tabs>
          <w:tab w:leader="none" w:pos="860" w:val="left"/>
        </w:tabs>
        <w:rPr>
          <w:sz w:val="20"/>
          <w:szCs w:val="20"/>
          <w:color w:val="auto"/>
        </w:rPr>
      </w:pPr>
      <w:r>
        <w:rPr>
          <w:rFonts w:ascii="Arial" w:cs="Arial" w:eastAsia="Arial" w:hAnsi="Arial"/>
          <w:sz w:val="18"/>
          <w:szCs w:val="18"/>
          <w:color w:val="auto"/>
        </w:rPr>
        <w:t>•</w:t>
        <w:tab/>
        <w:t>offer, sell, contract to sell, pledge, grant any option to purchase, make any short sale or otherwise transfer or dispose of, directly or indirectly or publicly disclose the intention to make any offer, sale, pledge or disposition of any shares of our Class A common stock, or any options or warrants to purchase any shares of our Class A common stock, or any securities convertible into, or exchangeable for, or that represent the right to receive, shares of our Class A common stock; or</w:t>
      </w:r>
    </w:p>
    <w:p>
      <w:pPr>
        <w:spacing w:after="0" w:line="110" w:lineRule="exact"/>
        <w:rPr>
          <w:sz w:val="20"/>
          <w:szCs w:val="20"/>
          <w:color w:val="auto"/>
        </w:rPr>
      </w:pPr>
    </w:p>
    <w:p>
      <w:pPr>
        <w:ind w:left="880" w:right="160" w:hanging="219"/>
        <w:spacing w:after="0"/>
        <w:tabs>
          <w:tab w:leader="none" w:pos="860" w:val="left"/>
        </w:tabs>
        <w:rPr>
          <w:sz w:val="20"/>
          <w:szCs w:val="20"/>
          <w:color w:val="auto"/>
        </w:rPr>
      </w:pPr>
      <w:r>
        <w:rPr>
          <w:rFonts w:ascii="Arial" w:cs="Arial" w:eastAsia="Arial" w:hAnsi="Arial"/>
          <w:sz w:val="18"/>
          <w:szCs w:val="18"/>
          <w:color w:val="auto"/>
        </w:rPr>
        <w:t>•</w:t>
        <w:tab/>
        <w:t>enter into any swap or other arrangement that transfers to another, all or a portion of the economic consequences of ownership of our Class A common stock or any securities convertible into or exercisable or exchangeable for shares of our Class A common stock,</w:t>
      </w:r>
    </w:p>
    <w:p>
      <w:pPr>
        <w:spacing w:after="0" w:line="203"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whether any transaction described above is to be settled by delivery of our Class A common stock or such other securities, in cash or otherwise.</w:t>
      </w:r>
    </w:p>
    <w:p>
      <w:pPr>
        <w:spacing w:after="0" w:line="19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have advised us that they have no present intent or arrangement to release any shares subject to a lock-up, and will</w:t>
      </w:r>
    </w:p>
    <w:p>
      <w:pPr>
        <w:ind w:left="120" w:right="200"/>
        <w:spacing w:after="0" w:line="246" w:lineRule="auto"/>
        <w:rPr>
          <w:sz w:val="20"/>
          <w:szCs w:val="20"/>
          <w:color w:val="auto"/>
        </w:rPr>
      </w:pPr>
      <w:r>
        <w:rPr>
          <w:rFonts w:ascii="Arial" w:cs="Arial" w:eastAsia="Arial" w:hAnsi="Arial"/>
          <w:sz w:val="18"/>
          <w:szCs w:val="18"/>
          <w:color w:val="auto"/>
        </w:rPr>
        <w:t>consider the release of any lock-up on a case-by-case basis. Upon a request to release any shares subject to a lock-up, would consider the particular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203"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Rule 144</w:t>
      </w:r>
    </w:p>
    <w:p>
      <w:pPr>
        <w:spacing w:after="0" w:line="104"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i w:val="1"/>
          <w:iCs w:val="1"/>
          <w:color w:val="auto"/>
        </w:rPr>
        <w:t xml:space="preserve">Affiliate Resales of Restricted Securities. </w:t>
      </w:r>
      <w:r>
        <w:rPr>
          <w:rFonts w:ascii="Arial" w:cs="Arial" w:eastAsia="Arial" w:hAnsi="Arial"/>
          <w:sz w:val="18"/>
          <w:szCs w:val="18"/>
          <w:color w:val="auto"/>
        </w:rPr>
        <w:t>In general, beginning 90 days after the effective date of the registration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04"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 of the number of shares of our Class A common stock then outstanding; and</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880" w:right="80" w:hanging="219"/>
        <w:spacing w:after="0" w:line="246" w:lineRule="auto"/>
        <w:tabs>
          <w:tab w:leader="none" w:pos="860" w:val="left"/>
        </w:tabs>
        <w:rPr>
          <w:sz w:val="20"/>
          <w:szCs w:val="20"/>
          <w:color w:val="auto"/>
        </w:rPr>
      </w:pPr>
      <w:r>
        <w:rPr>
          <w:rFonts w:ascii="Arial" w:cs="Arial" w:eastAsia="Arial" w:hAnsi="Arial"/>
          <w:sz w:val="18"/>
          <w:szCs w:val="18"/>
          <w:color w:val="auto"/>
        </w:rPr>
        <w:t>•</w:t>
        <w:tab/>
        <w:t>the average weekly trading volume in our Class A common stock on the filing of a notice on Form 144 with respect to such sale.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 calendar weeks preceding the</w:t>
      </w:r>
    </w:p>
    <w:p>
      <w:pPr>
        <w:spacing w:after="0" w:line="425" w:lineRule="exact"/>
        <w:rPr>
          <w:sz w:val="20"/>
          <w:szCs w:val="20"/>
          <w:color w:val="auto"/>
        </w:rPr>
      </w:pPr>
    </w:p>
    <w:p>
      <w:pPr>
        <w:sectPr>
          <w:pgSz w:w="11900" w:h="16838" w:orient="portrait"/>
          <w:cols w:equalWidth="0" w:num="2">
            <w:col w:w="6660" w:space="720"/>
            <w:col w:w="3740"/>
          </w:cols>
          <w:pgMar w:left="320" w:top="459" w:right="459" w:bottom="1440" w:gutter="0" w:footer="0" w:header="0"/>
          <w:type w:val="continuous"/>
        </w:sectPr>
      </w:pPr>
    </w:p>
    <w:p>
      <w:pPr>
        <w:ind w:left="120" w:right="60" w:firstLine="551"/>
        <w:spacing w:after="0" w:line="248"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w:t>
      </w:r>
    </w:p>
    <w:p>
      <w:pPr>
        <w:spacing w:after="0" w:line="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excess of $50,000, the seller must file a notice on Form 144 with the SEC and the concurrently with either the placing of a sale order with the broker or the execution directly with a market maker.</w:t>
      </w:r>
    </w:p>
    <w:p>
      <w:pPr>
        <w:spacing w:after="0" w:line="175"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b w:val="1"/>
          <w:bCs w:val="1"/>
          <w:i w:val="1"/>
          <w:iCs w:val="1"/>
          <w:color w:val="auto"/>
        </w:rPr>
        <w:t xml:space="preserve">Non-Affiliate Resales of Restricted Securities. </w:t>
      </w:r>
      <w:r>
        <w:rPr>
          <w:rFonts w:ascii="Arial" w:cs="Arial" w:eastAsia="Arial" w:hAnsi="Arial"/>
          <w:sz w:val="18"/>
          <w:szCs w:val="18"/>
          <w:color w:val="auto"/>
        </w:rPr>
        <w:t>Under Rule 144, a person who is not an affiliate of ours at the time of 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Rule 701</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2"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type w:val="continuous"/>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 intend to file one or more registration statements on Form S-8 under the Securities Act to register the offer and sale of all</w:t>
      </w:r>
    </w:p>
    <w:p>
      <w:pPr>
        <w:jc w:val="center"/>
        <w:ind w:right="-99"/>
        <w:spacing w:after="0" w:line="234" w:lineRule="auto"/>
        <w:rPr>
          <w:sz w:val="20"/>
          <w:szCs w:val="20"/>
          <w:color w:val="auto"/>
        </w:rPr>
      </w:pPr>
      <w:r>
        <w:rPr>
          <w:rFonts w:ascii="Arial" w:cs="Arial" w:eastAsia="Arial" w:hAnsi="Arial"/>
          <w:sz w:val="18"/>
          <w:szCs w:val="18"/>
          <w:color w:val="auto"/>
        </w:rPr>
        <w:t>shares of Class A common stock subject to outstanding stock options and shares of Class A common stock that will be issuable under our</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2009 Plan, 2019 Plan and 2021 Plan. As of , 2021, options to purchase shares of Class A common stock were outstanding.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20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08" w:lineRule="exact"/>
        <w:rPr>
          <w:sz w:val="20"/>
          <w:szCs w:val="20"/>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880" w:right="780" w:hanging="224"/>
        <w:spacing w:after="0" w:line="246"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02"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40"/>
          </w:cols>
          <w:pgMar w:left="320" w:top="459"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of a Non-U.S. Holder</w:t>
      </w:r>
    </w:p>
    <w:p>
      <w:pPr>
        <w:spacing w:after="0" w:line="126" w:lineRule="exact"/>
        <w:rPr>
          <w:sz w:val="20"/>
          <w:szCs w:val="20"/>
          <w:color w:val="auto"/>
        </w:rPr>
      </w:pPr>
    </w:p>
    <w:p>
      <w:pPr>
        <w:ind w:left="120" w:right="300" w:firstLine="551"/>
        <w:spacing w:after="0"/>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880" w:hanging="224"/>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880" w:right="40" w:hanging="224"/>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102" w:lineRule="exact"/>
        <w:rPr>
          <w:sz w:val="20"/>
          <w:szCs w:val="20"/>
          <w:color w:val="auto"/>
        </w:rPr>
      </w:pPr>
    </w:p>
    <w:p>
      <w:pPr>
        <w:ind w:left="880" w:right="240" w:hanging="224"/>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880" w:right="380" w:hanging="224"/>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 at any time within the shorter of the five-year period preceding such disposition or such Non-U.S. Holder’s holding period.</w:t>
      </w:r>
    </w:p>
    <w:p>
      <w:pPr>
        <w:spacing w:after="0" w:line="203" w:lineRule="exact"/>
        <w:rPr>
          <w:sz w:val="20"/>
          <w:szCs w:val="20"/>
          <w:color w:val="auto"/>
        </w:rPr>
      </w:pPr>
    </w:p>
    <w:p>
      <w:pPr>
        <w:jc w:val="both"/>
        <w:ind w:left="120" w:right="500" w:firstLine="551"/>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ind w:left="120"/>
        <w:spacing w:after="0"/>
        <w:rPr>
          <w:sz w:val="20"/>
          <w:szCs w:val="20"/>
          <w:color w:val="auto"/>
        </w:rPr>
      </w:pPr>
      <w:r>
        <w:rPr>
          <w:rFonts w:ascii="Arial" w:cs="Arial" w:eastAsia="Arial" w:hAnsi="Arial"/>
          <w:sz w:val="18"/>
          <w:szCs w:val="18"/>
          <w:color w:val="auto"/>
        </w:rPr>
        <w:t>rules.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207"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120" w:right="140" w:firstLine="551"/>
        <w:spacing w:after="0" w:line="274"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3"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89"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00" w:type="dxa"/>
            <w:vAlign w:val="bottom"/>
            <w:vMerge w:val="continue"/>
          </w:tcPr>
          <w:p>
            <w:pPr>
              <w:spacing w:after="0"/>
              <w:rPr>
                <w:sz w:val="15"/>
                <w:szCs w:val="15"/>
                <w:color w:val="auto"/>
              </w:rPr>
            </w:pPr>
          </w:p>
        </w:tc>
        <w:tc>
          <w:tcPr>
            <w:tcW w:w="5340" w:type="dxa"/>
            <w:vAlign w:val="bottom"/>
          </w:tcPr>
          <w:p>
            <w:pPr>
              <w:jc w:val="center"/>
              <w:ind w:left="454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-1905</wp:posOffset>
            </wp:positionV>
            <wp:extent cx="5911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5715</wp:posOffset>
            </wp:positionV>
            <wp:extent cx="5911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118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22860</wp:posOffset>
            </wp:positionV>
            <wp:extent cx="5911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5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underwriters have an option to buy up to an additional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w:t>
      </w:r>
    </w:p>
    <w:tbl>
      <w:tblPr>
        <w:tblLayout w:type="fixed"/>
        <w:tblInd w:w="120" w:type="dxa"/>
        <w:tblCellMar>
          <w:top w:w="0" w:type="dxa"/>
          <w:left w:w="0" w:type="dxa"/>
          <w:bottom w:w="0" w:type="dxa"/>
          <w:right w:w="0" w:type="dxa"/>
        </w:tblCellMar>
      </w:tblPr>
      <w:tr>
        <w:trPr>
          <w:trHeight w:val="203"/>
        </w:trPr>
        <w:tc>
          <w:tcPr>
            <w:tcW w:w="9720" w:type="dxa"/>
            <w:vAlign w:val="bottom"/>
            <w:gridSpan w:val="5"/>
          </w:tcPr>
          <w:p>
            <w:pPr>
              <w:spacing w:after="0" w:line="202"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8540" w:type="dxa"/>
            <w:vAlign w:val="bottom"/>
            <w:gridSpan w:val="4"/>
          </w:tcPr>
          <w:p>
            <w:pPr>
              <w:jc w:val="right"/>
              <w:ind w:right="4619"/>
              <w:spacing w:after="0"/>
              <w:rPr>
                <w:sz w:val="20"/>
                <w:szCs w:val="20"/>
                <w:color w:val="auto"/>
              </w:rPr>
            </w:pPr>
            <w:r>
              <w:rPr>
                <w:rFonts w:ascii="Arial" w:cs="Arial" w:eastAsia="Arial" w:hAnsi="Arial"/>
                <w:sz w:val="18"/>
                <w:szCs w:val="18"/>
                <w:color w:val="auto"/>
              </w:rPr>
              <w:t>additional shares of Class A common stock.</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80" w:type="dxa"/>
            <w:vAlign w:val="bottom"/>
            <w:gridSpan w:val="3"/>
          </w:tcPr>
          <w:p>
            <w:pPr>
              <w:jc w:val="right"/>
              <w:ind w:right="3279"/>
              <w:spacing w:after="0"/>
              <w:rPr>
                <w:sz w:val="20"/>
                <w:szCs w:val="20"/>
                <w:color w:val="auto"/>
              </w:rPr>
            </w:pPr>
            <w:r>
              <w:rPr>
                <w:rFonts w:ascii="Arial" w:cs="Arial" w:eastAsia="Arial" w:hAnsi="Arial"/>
                <w:sz w:val="18"/>
                <w:szCs w:val="18"/>
                <w:color w:val="auto"/>
                <w:w w:val="98"/>
              </w:rPr>
              <w:t>Paid by the Company</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No Exercise</w:t>
            </w:r>
          </w:p>
        </w:tc>
        <w:tc>
          <w:tcPr>
            <w:tcW w:w="28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4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b w:val="1"/>
                <w:bCs w:val="1"/>
                <w:color w:val="auto"/>
              </w:rPr>
              <w:t>Total</w:t>
            </w:r>
          </w:p>
        </w:tc>
        <w:tc>
          <w:tcPr>
            <w:tcW w:w="8540" w:type="dxa"/>
            <w:vAlign w:val="bottom"/>
            <w:gridSpan w:val="4"/>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79"/>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120" w:firstLine="551"/>
        <w:spacing w:after="0" w:line="248" w:lineRule="auto"/>
        <w:rPr>
          <w:sz w:val="20"/>
          <w:szCs w:val="20"/>
          <w:color w:val="auto"/>
        </w:rPr>
      </w:pPr>
      <w:r>
        <w:rPr>
          <w:rFonts w:ascii="Arial" w:cs="Arial" w:eastAsia="Arial" w:hAnsi="Arial"/>
          <w:sz w:val="17"/>
          <w:szCs w:val="17"/>
          <w:color w:val="auto"/>
        </w:rPr>
        <w:t>Shares of Class A common stock sold by the underwriters to the public will initially be offered at the initial public offering price set forth on the cover of this prospectus. Any shares of Class A common stock sold by the underwriters to securities dealers may be sold at a</w:t>
      </w:r>
    </w:p>
    <w:p>
      <w:pPr>
        <w:spacing w:after="0" w:line="1"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203" w:lineRule="exact"/>
        <w:rPr>
          <w:sz w:val="20"/>
          <w:szCs w:val="20"/>
          <w:color w:val="auto"/>
        </w:rPr>
      </w:pPr>
    </w:p>
    <w:p>
      <w:pPr>
        <w:ind w:left="120" w:right="580" w:firstLine="551"/>
        <w:spacing w:after="0"/>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Class A common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 or the Lock-up Restrictions, during the period from the date of this prospectus continuing, with respect to the company,</w:t>
      </w:r>
    </w:p>
    <w:p>
      <w:pPr>
        <w:ind w:left="120"/>
        <w:spacing w:after="0" w:line="234" w:lineRule="auto"/>
        <w:tabs>
          <w:tab w:leader="none" w:pos="11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days after the date of this prospectus, or the Lock-up Period, except with the prior written consent of Goldman Sachs &amp; Co.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LLC, Morgan Stanley &amp; Co. LLC and Barclays Capital Inc., and subject to certain exceptions.</w:t>
      </w:r>
    </w:p>
    <w:p>
      <w:pPr>
        <w:spacing w:after="0" w:line="21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ectPr>
          <w:pgSz w:w="11900" w:h="16838" w:orient="portrait"/>
          <w:cols w:equalWidth="0" w:num="1">
            <w:col w:w="11100"/>
          </w:cols>
          <w:pgMar w:left="320" w:top="459" w:right="479" w:bottom="1440" w:gutter="0" w:footer="0" w:header="0"/>
        </w:sectPr>
      </w:pPr>
    </w:p>
    <w:p>
      <w:pPr>
        <w:spacing w:after="0" w:line="2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intend to apply to list our Class A common stock on requirements for listing the Class A common stock on the a minimum of 400 beneficial holders.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600"/>
        <w:spacing w:after="0"/>
        <w:tabs>
          <w:tab w:leader="none" w:pos="2860" w:val="left"/>
        </w:tabs>
        <w:rPr>
          <w:sz w:val="20"/>
          <w:szCs w:val="20"/>
          <w:color w:val="auto"/>
        </w:rPr>
      </w:pPr>
      <w:r>
        <w:rPr>
          <w:rFonts w:ascii="Arial" w:cs="Arial" w:eastAsia="Arial" w:hAnsi="Arial"/>
          <w:sz w:val="18"/>
          <w:szCs w:val="18"/>
          <w:color w:val="auto"/>
        </w:rPr>
        <w:t>under the symbol “</w:t>
      </w:r>
      <w:r>
        <w:rPr>
          <w:sz w:val="20"/>
          <w:szCs w:val="20"/>
          <w:color w:val="auto"/>
        </w:rPr>
        <w:tab/>
      </w:r>
      <w:r>
        <w:rPr>
          <w:rFonts w:ascii="Arial" w:cs="Arial" w:eastAsia="Arial" w:hAnsi="Arial"/>
          <w:sz w:val="17"/>
          <w:szCs w:val="17"/>
          <w:color w:val="auto"/>
        </w:rPr>
        <w:t>.” In order to meet one of the</w:t>
      </w:r>
    </w:p>
    <w:p>
      <w:pPr>
        <w:spacing w:after="0"/>
        <w:rPr>
          <w:sz w:val="20"/>
          <w:szCs w:val="20"/>
          <w:color w:val="auto"/>
        </w:rPr>
      </w:pPr>
      <w:r>
        <w:rPr>
          <w:rFonts w:ascii="Arial" w:cs="Arial" w:eastAsia="Arial" w:hAnsi="Arial"/>
          <w:sz w:val="17"/>
          <w:szCs w:val="17"/>
          <w:color w:val="auto"/>
        </w:rPr>
        <w:t>, the underwriters have undertaken to sell lots of 100 or more shares to</w:t>
      </w:r>
    </w:p>
    <w:p>
      <w:pPr>
        <w:spacing w:after="0" w:line="422" w:lineRule="exact"/>
        <w:rPr>
          <w:sz w:val="20"/>
          <w:szCs w:val="20"/>
          <w:color w:val="auto"/>
        </w:rPr>
      </w:pPr>
    </w:p>
    <w:p>
      <w:pPr>
        <w:sectPr>
          <w:pgSz w:w="11900" w:h="16838" w:orient="portrait"/>
          <w:cols w:equalWidth="0" w:num="2">
            <w:col w:w="5060" w:space="400"/>
            <w:col w:w="5640"/>
          </w:cols>
          <w:pgMar w:left="320" w:top="459" w:right="479" w:bottom="1440" w:gutter="0" w:footer="0" w:header="0"/>
          <w:type w:val="continuous"/>
        </w:sectPr>
      </w:pPr>
    </w:p>
    <w:p>
      <w:pPr>
        <w:spacing w:after="0" w:line="3"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21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120" w:firstLine="551"/>
        <w:spacing w:after="0" w:line="234"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w:t>
      </w:r>
    </w:p>
    <w:p>
      <w:pPr>
        <w:spacing w:after="0" w:line="3"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 in the over-the-counter market or otherwise.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estimates that its share of the total expenses of the offering, excluding underwriting discounts and commissions, will</w:t>
      </w:r>
    </w:p>
    <w:p>
      <w:pPr>
        <w:ind w:left="120"/>
        <w:spacing w:after="0" w:line="234" w:lineRule="auto"/>
        <w:tabs>
          <w:tab w:leader="none" w:pos="2660" w:val="left"/>
        </w:tabs>
        <w:rPr>
          <w:sz w:val="20"/>
          <w:szCs w:val="20"/>
          <w:color w:val="auto"/>
        </w:rPr>
      </w:pPr>
      <w:r>
        <w:rPr>
          <w:rFonts w:ascii="Arial" w:cs="Arial" w:eastAsia="Arial" w:hAnsi="Arial"/>
          <w:sz w:val="18"/>
          <w:szCs w:val="18"/>
          <w:color w:val="auto"/>
        </w:rPr>
        <w:t>be approximately $</w:t>
      </w:r>
      <w:r>
        <w:rPr>
          <w:sz w:val="20"/>
          <w:szCs w:val="20"/>
          <w:color w:val="auto"/>
        </w:rPr>
        <w:tab/>
      </w:r>
      <w:r>
        <w:rPr>
          <w:rFonts w:ascii="Arial" w:cs="Arial" w:eastAsia="Arial" w:hAnsi="Arial"/>
          <w:sz w:val="18"/>
          <w:szCs w:val="18"/>
          <w:color w:val="auto"/>
        </w:rPr>
        <w:t>million. We have agreed to reimburse the underwriters for certain of their expenses in an amount up to</w:t>
      </w:r>
    </w:p>
    <w:p>
      <w:pPr>
        <w:spacing w:after="0" w:line="1" w:lineRule="exact"/>
        <w:rPr>
          <w:sz w:val="20"/>
          <w:szCs w:val="20"/>
          <w:color w:val="auto"/>
        </w:rPr>
      </w:pPr>
    </w:p>
    <w:p>
      <w:pPr>
        <w:ind w:left="120" w:right="520" w:hanging="4"/>
        <w:spacing w:after="0" w:line="246" w:lineRule="auto"/>
        <w:tabs>
          <w:tab w:leader="none" w:pos="10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The underwriters have agreed to reimburse us for certain expenses incurred by us in connection with this offering upon closing of this offering.</w:t>
      </w:r>
    </w:p>
    <w:p>
      <w:pPr>
        <w:spacing w:after="0" w:line="197"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of 1933.</w:t>
      </w:r>
    </w:p>
    <w:p>
      <w:pPr>
        <w:spacing w:after="0" w:line="197"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0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202" w:lineRule="exact"/>
        <w:rPr>
          <w:sz w:val="20"/>
          <w:szCs w:val="20"/>
          <w:color w:val="auto"/>
        </w:rPr>
      </w:pPr>
    </w:p>
    <w:p>
      <w:pPr>
        <w:ind w:left="940" w:hanging="273"/>
        <w:spacing w:after="0"/>
        <w:tabs>
          <w:tab w:leader="none" w:pos="9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11" w:lineRule="exact"/>
        <w:rPr>
          <w:rFonts w:ascii="Arial" w:cs="Arial" w:eastAsia="Arial" w:hAnsi="Arial"/>
          <w:sz w:val="18"/>
          <w:szCs w:val="18"/>
          <w:color w:val="auto"/>
        </w:rPr>
      </w:pPr>
    </w:p>
    <w:p>
      <w:pPr>
        <w:ind w:left="120" w:right="880" w:firstLine="547"/>
        <w:spacing w:after="0" w:line="246" w:lineRule="auto"/>
        <w:tabs>
          <w:tab w:leader="none" w:pos="9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20" w:hanging="253"/>
        <w:spacing w:after="0"/>
        <w:tabs>
          <w:tab w:leader="none" w:pos="9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203" w:lineRule="exact"/>
        <w:rPr>
          <w:sz w:val="20"/>
          <w:szCs w:val="20"/>
          <w:color w:val="auto"/>
        </w:rPr>
      </w:pPr>
    </w:p>
    <w:p>
      <w:pPr>
        <w:ind w:left="940" w:hanging="273"/>
        <w:spacing w:after="0"/>
        <w:tabs>
          <w:tab w:leader="none" w:pos="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11" w:lineRule="exact"/>
        <w:rPr>
          <w:rFonts w:ascii="Arial" w:cs="Arial" w:eastAsia="Arial" w:hAnsi="Arial"/>
          <w:sz w:val="18"/>
          <w:szCs w:val="18"/>
          <w:color w:val="auto"/>
        </w:rPr>
      </w:pPr>
    </w:p>
    <w:p>
      <w:pPr>
        <w:ind w:left="120" w:right="620" w:firstLine="547"/>
        <w:spacing w:after="0" w:line="246" w:lineRule="auto"/>
        <w:tabs>
          <w:tab w:leader="none" w:pos="94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96" w:lineRule="exact"/>
        <w:rPr>
          <w:rFonts w:ascii="Arial" w:cs="Arial" w:eastAsia="Arial" w:hAnsi="Arial"/>
          <w:sz w:val="18"/>
          <w:szCs w:val="18"/>
          <w:color w:val="auto"/>
        </w:rPr>
      </w:pPr>
    </w:p>
    <w:p>
      <w:pPr>
        <w:ind w:left="920" w:hanging="253"/>
        <w:spacing w:after="0"/>
        <w:tabs>
          <w:tab w:leader="none" w:pos="9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w:t>
      </w:r>
    </w:p>
    <w:p>
      <w:pPr>
        <w:spacing w:after="0" w:line="3" w:lineRule="exact"/>
        <w:rPr>
          <w:sz w:val="20"/>
          <w:szCs w:val="20"/>
          <w:color w:val="auto"/>
        </w:rPr>
      </w:pPr>
    </w:p>
    <w:p>
      <w:pPr>
        <w:ind w:left="120" w:right="20" w:hanging="4"/>
        <w:spacing w:after="0" w:line="237" w:lineRule="auto"/>
        <w:tabs>
          <w:tab w:leader="none" w:pos="41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207" w:lineRule="exact"/>
        <w:rPr>
          <w:sz w:val="20"/>
          <w:szCs w:val="20"/>
          <w:color w:val="auto"/>
        </w:rPr>
      </w:pPr>
    </w:p>
    <w:p>
      <w:pPr>
        <w:ind w:left="120" w:right="360" w:firstLine="551"/>
        <w:spacing w:after="0" w:line="237"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0"/>
          </w:cols>
          <w:pgMar w:left="320" w:top="459"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RENT THE RUNWAY,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46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82">
              <w:r>
                <w:rPr>
                  <w:rFonts w:ascii="Arial" w:cs="Arial" w:eastAsia="Arial" w:hAnsi="Arial"/>
                  <w:sz w:val="18"/>
                  <w:szCs w:val="18"/>
                  <w:color w:val="0000EE"/>
                  <w:w w:val="99"/>
                </w:rPr>
                <w:t>Report of Independent Registered Public Accounting Firm</w:t>
              </w:r>
            </w:hyperlink>
          </w:p>
        </w:tc>
        <w:tc>
          <w:tcPr>
            <w:tcW w:w="5780" w:type="dxa"/>
            <w:vAlign w:val="bottom"/>
            <w:gridSpan w:val="5"/>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90"/>
        </w:trPr>
        <w:tc>
          <w:tcPr>
            <w:tcW w:w="50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83">
              <w:r>
                <w:rPr>
                  <w:rFonts w:ascii="Arial" w:cs="Arial" w:eastAsia="Arial" w:hAnsi="Arial"/>
                  <w:sz w:val="18"/>
                  <w:szCs w:val="18"/>
                  <w:color w:val="0000EE"/>
                  <w:w w:val="99"/>
                </w:rPr>
                <w:t>Consolidated Balance Sheets as of January 31, 2020 and 2021</w:t>
              </w:r>
            </w:hyperlink>
          </w:p>
        </w:tc>
        <w:tc>
          <w:tcPr>
            <w:tcW w:w="534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91"/>
        </w:trPr>
        <w:tc>
          <w:tcPr>
            <w:tcW w:w="10380" w:type="dxa"/>
            <w:vAlign w:val="bottom"/>
            <w:gridSpan w:val="9"/>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Statements of Operations for the years ended January 31, 2020 and 2021</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0"/>
        </w:trPr>
        <w:tc>
          <w:tcPr>
            <w:tcW w:w="101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185">
              <w:r>
                <w:rPr>
                  <w:rFonts w:ascii="Arial" w:cs="Arial" w:eastAsia="Arial" w:hAnsi="Arial"/>
                  <w:sz w:val="18"/>
                  <w:szCs w:val="18"/>
                  <w:color w:val="0000EE"/>
                  <w:w w:val="99"/>
                </w:rPr>
                <w:t>Consolidated Statements of Changes in Redeemable Preferred Stock and Stockholders’ Deficit for the years ended January 31,</w:t>
              </w:r>
            </w:hyperlink>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180" w:type="dxa"/>
            <w:vAlign w:val="bottom"/>
          </w:tcPr>
          <w:p>
            <w:pPr>
              <w:spacing w:after="0"/>
              <w:rPr>
                <w:sz w:val="15"/>
                <w:szCs w:val="15"/>
                <w:color w:val="auto"/>
              </w:rPr>
            </w:pPr>
          </w:p>
        </w:tc>
        <w:tc>
          <w:tcPr>
            <w:tcW w:w="12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185">
              <w:r>
                <w:rPr>
                  <w:rFonts w:ascii="Arial" w:cs="Arial" w:eastAsia="Arial" w:hAnsi="Arial"/>
                  <w:sz w:val="18"/>
                  <w:szCs w:val="18"/>
                  <w:color w:val="0000EE"/>
                  <w:w w:val="98"/>
                </w:rPr>
                <w:t>2020 and 2021</w:t>
              </w:r>
            </w:hyperlink>
          </w:p>
        </w:tc>
        <w:tc>
          <w:tcPr>
            <w:tcW w:w="9000" w:type="dxa"/>
            <w:vAlign w:val="bottom"/>
            <w:gridSpan w:val="7"/>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291"/>
        </w:trPr>
        <w:tc>
          <w:tcPr>
            <w:tcW w:w="10380" w:type="dxa"/>
            <w:vAlign w:val="bottom"/>
            <w:gridSpan w:val="9"/>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Consolidated Statements of Cash Flows for the years ended January 31, 2020 and 2021</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90"/>
        </w:trPr>
        <w:tc>
          <w:tcPr>
            <w:tcW w:w="70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Notes to Consolidated Financial Statements</w:t>
            </w:r>
          </w:p>
        </w:tc>
        <w:tc>
          <w:tcPr>
            <w:tcW w:w="33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72"/>
        </w:trPr>
        <w:tc>
          <w:tcPr>
            <w:tcW w:w="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gridSpan w:val="4"/>
          </w:tcPr>
          <w:p>
            <w:pPr>
              <w:ind w:left="320"/>
              <w:spacing w:after="0"/>
              <w:rPr>
                <w:sz w:val="20"/>
                <w:szCs w:val="20"/>
                <w:color w:val="auto"/>
              </w:rPr>
            </w:pPr>
            <w:r>
              <w:rPr>
                <w:rFonts w:ascii="Arial" w:cs="Arial" w:eastAsia="Arial" w:hAnsi="Arial"/>
                <w:sz w:val="18"/>
                <w:szCs w:val="18"/>
                <w:color w:val="auto"/>
              </w:rPr>
              <w:t>F-1</w:t>
            </w:r>
          </w:p>
        </w:tc>
        <w:tc>
          <w:tcPr>
            <w:tcW w:w="5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840105" cy="642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4010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Rent the Runway, Inc.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ind w:left="1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16,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56"/>
        </w:trPr>
        <w:tc>
          <w:tcPr>
            <w:tcW w:w="88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31,448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95,260</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 current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10,500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4,951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46,899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103,397</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Rental product, net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115,960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97,642</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65,387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64,744</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9,034</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34,530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34,909</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4,139</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275,949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320,768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12,698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14,014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14,111</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13,728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Customer credit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6,190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5,107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51,737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40,652</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Line of credit</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44,000</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171,118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355,068</w:t>
            </w:r>
          </w:p>
        </w:tc>
        <w:tc>
          <w:tcPr>
            <w:tcW w:w="0" w:type="dxa"/>
            <w:vAlign w:val="bottom"/>
          </w:tcPr>
          <w:p>
            <w:pPr>
              <w:spacing w:after="0"/>
              <w:rPr>
                <w:sz w:val="1"/>
                <w:szCs w:val="1"/>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41,678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51,520</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02"/>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591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309,734</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459,311</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preferred stock, $0.001 par value; 27,096,062 and 35,236,646 shares authorized at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January 31, 2020 and 2021, respectively; 26,992,271 and 31,137,921 shares issued and outstanding at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January 31, 2020 and 2021, respectively; liquidation preference of $332,637 and $393,748 at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January 31, 2020 and 2021, respectively</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330,518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388,072</w:t>
            </w: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48,000,000 and 60,000,000 shares authorized at January 31, 2020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and 2021, respectively; 10,371,636 and 10,456,521 shares issued and outstanding at January 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2020 and 2021, respectively</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53,980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62,748</w:t>
            </w:r>
          </w:p>
        </w:tc>
        <w:tc>
          <w:tcPr>
            <w:tcW w:w="0" w:type="dxa"/>
            <w:vAlign w:val="bottom"/>
          </w:tcPr>
          <w:p>
            <w:pPr>
              <w:spacing w:after="0"/>
              <w:rPr>
                <w:sz w:val="1"/>
                <w:szCs w:val="1"/>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(418,293)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(589,373)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(364,303)</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(526,615)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redeemable preferred stock and stockholders’ deficit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275,949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320,768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6"/>
        </w:trPr>
        <w:tc>
          <w:tcPr>
            <w:tcW w:w="76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360"/>
              <w:spacing w:after="0" w:line="202" w:lineRule="exact"/>
              <w:rPr>
                <w:sz w:val="20"/>
                <w:szCs w:val="20"/>
                <w:color w:val="auto"/>
              </w:rPr>
            </w:pPr>
            <w:r>
              <w:rPr>
                <w:rFonts w:ascii="Arial" w:cs="Arial" w:eastAsia="Arial" w:hAnsi="Arial"/>
                <w:sz w:val="18"/>
                <w:szCs w:val="18"/>
                <w:color w:val="auto"/>
              </w:rPr>
              <w:t>Subscription and Reserve rental revenue</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235,417</w:t>
            </w:r>
          </w:p>
        </w:tc>
        <w:tc>
          <w:tcPr>
            <w:tcW w:w="5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135,895</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revenue</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21,449</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Total revenue,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256,866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157,499</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expenses:</w:t>
            </w:r>
          </w:p>
        </w:tc>
        <w:tc>
          <w:tcPr>
            <w:tcW w:w="7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360"/>
              <w:spacing w:after="0" w:line="202" w:lineRule="exact"/>
              <w:rPr>
                <w:sz w:val="20"/>
                <w:szCs w:val="20"/>
                <w:color w:val="auto"/>
              </w:rPr>
            </w:pPr>
            <w:r>
              <w:rPr>
                <w:rFonts w:ascii="Arial" w:cs="Arial" w:eastAsia="Arial" w:hAnsi="Arial"/>
                <w:sz w:val="18"/>
                <w:szCs w:val="18"/>
                <w:color w:val="auto"/>
              </w:rPr>
              <w:t>Fulfillment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118,111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52,951</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40,186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37,657</w:t>
            </w:r>
          </w:p>
        </w:tc>
        <w:tc>
          <w:tcPr>
            <w:tcW w:w="0" w:type="dxa"/>
            <w:vAlign w:val="bottom"/>
          </w:tcPr>
          <w:p>
            <w:pPr>
              <w:spacing w:after="0"/>
              <w:rPr>
                <w:sz w:val="1"/>
                <w:szCs w:val="1"/>
                <w:color w:val="auto"/>
              </w:rPr>
            </w:pPr>
          </w:p>
        </w:tc>
      </w:tr>
      <w:tr>
        <w:trPr>
          <w:trHeight w:val="203"/>
        </w:trPr>
        <w:tc>
          <w:tcPr>
            <w:tcW w:w="7620" w:type="dxa"/>
            <w:vAlign w:val="bottom"/>
          </w:tcPr>
          <w:p>
            <w:pPr>
              <w:ind w:left="360"/>
              <w:spacing w:after="0" w:line="202" w:lineRule="exact"/>
              <w:rPr>
                <w:sz w:val="20"/>
                <w:szCs w:val="20"/>
                <w:color w:val="auto"/>
              </w:rPr>
            </w:pPr>
            <w:r>
              <w:rPr>
                <w:rFonts w:ascii="Arial" w:cs="Arial" w:eastAsia="Arial" w:hAnsi="Arial"/>
                <w:sz w:val="18"/>
                <w:szCs w:val="18"/>
                <w:color w:val="auto"/>
              </w:rPr>
              <w:t>Marketing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22,913</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98,876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77,229</w:t>
            </w:r>
          </w:p>
        </w:tc>
        <w:tc>
          <w:tcPr>
            <w:tcW w:w="0" w:type="dxa"/>
            <w:vAlign w:val="bottom"/>
          </w:tcPr>
          <w:p>
            <w:pPr>
              <w:spacing w:after="0"/>
              <w:rPr>
                <w:sz w:val="1"/>
                <w:szCs w:val="1"/>
                <w:color w:val="auto"/>
              </w:rPr>
            </w:pPr>
          </w:p>
        </w:tc>
      </w:tr>
      <w:tr>
        <w:trPr>
          <w:trHeight w:val="203"/>
        </w:trPr>
        <w:tc>
          <w:tcPr>
            <w:tcW w:w="7620" w:type="dxa"/>
            <w:vAlign w:val="bottom"/>
          </w:tcPr>
          <w:p>
            <w:pPr>
              <w:ind w:left="360"/>
              <w:spacing w:after="0" w:line="202" w:lineRule="exact"/>
              <w:rPr>
                <w:sz w:val="20"/>
                <w:szCs w:val="20"/>
                <w:color w:val="auto"/>
              </w:rPr>
            </w:pPr>
            <w:r>
              <w:rPr>
                <w:rFonts w:ascii="Arial" w:cs="Arial" w:eastAsia="Arial" w:hAnsi="Arial"/>
                <w:sz w:val="18"/>
                <w:szCs w:val="18"/>
                <w:color w:val="auto"/>
              </w:rPr>
              <w:t>Rental product depreciation and revenue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85,185</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depreciation and amortization</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21,580</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2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386,851</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Operating loss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(129,985)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(130,495)</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(24,048)</w:t>
            </w:r>
          </w:p>
        </w:tc>
        <w:tc>
          <w:tcPr>
            <w:tcW w:w="10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(46,621)</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 (expense),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tcPr>
          <w:p>
            <w:pPr>
              <w:ind w:left="1080"/>
              <w:spacing w:after="0"/>
              <w:rPr>
                <w:sz w:val="20"/>
                <w:szCs w:val="20"/>
                <w:color w:val="auto"/>
              </w:rPr>
            </w:pPr>
            <w:r>
              <w:rPr>
                <w:rFonts w:ascii="Arial" w:cs="Arial" w:eastAsia="Arial" w:hAnsi="Arial"/>
                <w:sz w:val="18"/>
                <w:szCs w:val="18"/>
                <w:color w:val="auto"/>
              </w:rPr>
              <w:t>Net loss before benefit from income taxes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(154,107)</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(171,081)</w:t>
            </w:r>
          </w:p>
        </w:tc>
        <w:tc>
          <w:tcPr>
            <w:tcW w:w="0" w:type="dxa"/>
            <w:vAlign w:val="bottom"/>
          </w:tcPr>
          <w:p>
            <w:pPr>
              <w:spacing w:after="0"/>
              <w:rPr>
                <w:sz w:val="1"/>
                <w:szCs w:val="1"/>
                <w:color w:val="auto"/>
              </w:rPr>
            </w:pPr>
          </w:p>
        </w:tc>
      </w:tr>
      <w:tr>
        <w:trPr>
          <w:trHeight w:val="203"/>
        </w:trPr>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from income taxes</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108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(153,956)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(171,080)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ind w:left="180"/>
              <w:spacing w:after="0" w:line="203" w:lineRule="exact"/>
              <w:rPr>
                <w:sz w:val="20"/>
                <w:szCs w:val="20"/>
                <w:color w:val="auto"/>
              </w:rPr>
            </w:pPr>
            <w:r>
              <w:rPr>
                <w:rFonts w:ascii="Arial" w:cs="Arial" w:eastAsia="Arial" w:hAnsi="Arial"/>
                <w:sz w:val="18"/>
                <w:szCs w:val="18"/>
                <w:color w:val="auto"/>
              </w:rPr>
              <w:t>stockholders, basic and diluted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7"/>
              </w:rPr>
              <w:t>10,964,634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9"/>
              </w:rPr>
              <w:t>11,138,851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1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Redeemable Preferred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100" w:type="dxa"/>
            <w:vAlign w:val="bottom"/>
          </w:tcPr>
          <w:p>
            <w:pPr>
              <w:spacing w:after="0"/>
              <w:rPr>
                <w:sz w:val="15"/>
                <w:szCs w:val="15"/>
                <w:color w:val="auto"/>
              </w:rPr>
            </w:pPr>
          </w:p>
        </w:tc>
        <w:tc>
          <w:tcPr>
            <w:tcW w:w="21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41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right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3"/>
                <w:szCs w:val="13"/>
                <w:color w:val="auto"/>
              </w:rPr>
            </w:pPr>
          </w:p>
        </w:tc>
      </w:tr>
      <w:tr>
        <w:trPr>
          <w:trHeight w:val="183"/>
        </w:trPr>
        <w:tc>
          <w:tcPr>
            <w:tcW w:w="41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Balances at January 31, 2019</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20,891,652</w:t>
            </w:r>
          </w:p>
        </w:tc>
        <w:tc>
          <w:tcPr>
            <w:tcW w:w="1120" w:type="dxa"/>
            <w:vAlign w:val="bottom"/>
            <w:tcBorders>
              <w:right w:val="single" w:sz="8" w:color="auto"/>
            </w:tcBorders>
            <w:gridSpan w:val="3"/>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$196,740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10,100,658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10</w:t>
            </w:r>
          </w:p>
        </w:tc>
        <w:tc>
          <w:tcPr>
            <w:tcW w:w="20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6"/>
                <w:szCs w:val="16"/>
                <w:color w:val="auto"/>
              </w:rPr>
              <w:t>45,437</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6"/>
                <w:szCs w:val="16"/>
                <w:color w:val="auto"/>
              </w:rPr>
              <w:t>(266,944)</w:t>
            </w:r>
          </w:p>
        </w:tc>
        <w:tc>
          <w:tcPr>
            <w:tcW w:w="260" w:type="dxa"/>
            <w:vAlign w:val="bottom"/>
            <w:gridSpan w:val="2"/>
            <w:shd w:val="clear" w:color="auto" w:fill="CCEEFF"/>
          </w:tcPr>
          <w:p>
            <w:pPr>
              <w:ind w:left="80"/>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(221,497)</w:t>
            </w:r>
          </w:p>
        </w:tc>
      </w:tr>
      <w:tr>
        <w:trPr>
          <w:trHeight w:val="189"/>
        </w:trPr>
        <w:tc>
          <w:tcPr>
            <w:tcW w:w="4100" w:type="dxa"/>
            <w:vAlign w:val="bottom"/>
          </w:tcPr>
          <w:p>
            <w:pPr>
              <w:ind w:left="320"/>
              <w:spacing w:after="0"/>
              <w:rPr>
                <w:sz w:val="20"/>
                <w:szCs w:val="20"/>
                <w:color w:val="auto"/>
              </w:rPr>
            </w:pPr>
            <w:r>
              <w:rPr>
                <w:rFonts w:ascii="Arial" w:cs="Arial" w:eastAsia="Arial" w:hAnsi="Arial"/>
                <w:sz w:val="16"/>
                <w:szCs w:val="16"/>
                <w:color w:val="auto"/>
              </w:rPr>
              <w:t>Issuance of redeemable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6,100,619</w:t>
            </w:r>
          </w:p>
        </w:tc>
        <w:tc>
          <w:tcPr>
            <w:tcW w:w="11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133,778</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issued under stock incentive plan</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270,978</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1,777</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1,777</w:t>
            </w:r>
          </w:p>
        </w:tc>
      </w:tr>
      <w:tr>
        <w:trPr>
          <w:trHeight w:val="189"/>
        </w:trPr>
        <w:tc>
          <w:tcPr>
            <w:tcW w:w="410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6,766</w:t>
            </w: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6,766</w:t>
            </w:r>
          </w:p>
        </w:tc>
      </w:tr>
      <w:tr>
        <w:trPr>
          <w:trHeight w:val="191"/>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 to accumulated deficit, cumulative</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4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ASC 606 adoption</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2,607</w:t>
            </w:r>
          </w:p>
        </w:tc>
      </w:tr>
      <w:tr>
        <w:trPr>
          <w:trHeight w:val="189"/>
        </w:trPr>
        <w:tc>
          <w:tcPr>
            <w:tcW w:w="410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(153,956)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(153,956)</w:t>
            </w:r>
          </w:p>
        </w:tc>
      </w:tr>
      <w:tr>
        <w:trPr>
          <w:trHeight w:val="27"/>
        </w:trPr>
        <w:tc>
          <w:tcPr>
            <w:tcW w:w="4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Balances at January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26,992,271</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330,518</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10,371,636</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53,980</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(418,293)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(364,303)</w:t>
            </w:r>
          </w:p>
        </w:tc>
      </w:tr>
      <w:tr>
        <w:trPr>
          <w:trHeight w:val="189"/>
        </w:trPr>
        <w:tc>
          <w:tcPr>
            <w:tcW w:w="4100" w:type="dxa"/>
            <w:vAlign w:val="bottom"/>
          </w:tcPr>
          <w:p>
            <w:pPr>
              <w:ind w:left="320"/>
              <w:spacing w:after="0"/>
              <w:rPr>
                <w:sz w:val="20"/>
                <w:szCs w:val="20"/>
                <w:color w:val="auto"/>
              </w:rPr>
            </w:pPr>
            <w:r>
              <w:rPr>
                <w:rFonts w:ascii="Arial" w:cs="Arial" w:eastAsia="Arial" w:hAnsi="Arial"/>
                <w:sz w:val="16"/>
                <w:szCs w:val="16"/>
                <w:color w:val="auto"/>
              </w:rPr>
              <w:t>Issuance of redeemable preferred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4,145,650</w:t>
            </w:r>
          </w:p>
        </w:tc>
        <w:tc>
          <w:tcPr>
            <w:tcW w:w="11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57,554</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issued under stock incentive plan</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84,885</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578</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r>
      <w:tr>
        <w:trPr>
          <w:trHeight w:val="189"/>
        </w:trPr>
        <w:tc>
          <w:tcPr>
            <w:tcW w:w="410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8,190</w:t>
            </w:r>
          </w:p>
        </w:tc>
        <w:tc>
          <w:tcPr>
            <w:tcW w:w="1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8,190</w:t>
            </w:r>
          </w:p>
        </w:tc>
      </w:tr>
      <w:tr>
        <w:trPr>
          <w:trHeight w:val="189"/>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(171,080)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(171,080)</w:t>
            </w:r>
          </w:p>
        </w:tc>
      </w:tr>
      <w:tr>
        <w:trPr>
          <w:trHeight w:val="20"/>
        </w:trPr>
        <w:tc>
          <w:tcPr>
            <w:tcW w:w="4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6"/>
                <w:szCs w:val="16"/>
                <w:color w:val="auto"/>
              </w:rPr>
              <w:t>Balances at January 31, 2021</w:t>
            </w:r>
          </w:p>
        </w:tc>
        <w:tc>
          <w:tcPr>
            <w:tcW w:w="880" w:type="dxa"/>
            <w:vAlign w:val="bottom"/>
          </w:tcPr>
          <w:p>
            <w:pPr>
              <w:jc w:val="right"/>
              <w:spacing w:after="0"/>
              <w:rPr>
                <w:sz w:val="20"/>
                <w:szCs w:val="20"/>
                <w:color w:val="auto"/>
              </w:rPr>
            </w:pPr>
            <w:r>
              <w:rPr>
                <w:rFonts w:ascii="Arial" w:cs="Arial" w:eastAsia="Arial" w:hAnsi="Arial"/>
                <w:sz w:val="16"/>
                <w:szCs w:val="16"/>
                <w:color w:val="auto"/>
              </w:rPr>
              <w:t>31,137,921</w:t>
            </w:r>
          </w:p>
        </w:tc>
        <w:tc>
          <w:tcPr>
            <w:tcW w:w="11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388,072</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10,456,521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62,748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(589,373)</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(526,615)</w:t>
            </w:r>
          </w:p>
        </w:tc>
      </w:tr>
      <w:tr>
        <w:trPr>
          <w:trHeight w:val="20"/>
        </w:trPr>
        <w:tc>
          <w:tcPr>
            <w:tcW w:w="4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90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69"/>
        </w:trPr>
        <w:tc>
          <w:tcPr>
            <w:tcW w:w="90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OPERATING ACTIVITIES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(153,956)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(171,080)</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Rental product depreciation and write-offs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61,682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55,878</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depreciation and amortization</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Payment-in-kind interest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19,004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36,901</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debt discount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5,042</w:t>
            </w: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6,766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8,190</w:t>
            </w: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rental product sold</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(17,894)</w:t>
            </w: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Write-off of rental product sold</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13,997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14,040</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from liquidation of rental product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w:t>
            </w: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Loss on debt extinguishment</w:t>
            </w: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571</w:t>
            </w: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Remeasurement of warrant liability</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(414)</w:t>
            </w:r>
          </w:p>
        </w:tc>
      </w:tr>
      <w:tr>
        <w:trPr>
          <w:trHeight w:val="189"/>
        </w:trPr>
        <w:tc>
          <w:tcPr>
            <w:tcW w:w="902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w:t>
            </w:r>
          </w:p>
        </w:tc>
      </w:tr>
      <w:tr>
        <w:trPr>
          <w:trHeight w:val="189"/>
        </w:trPr>
        <w:tc>
          <w:tcPr>
            <w:tcW w:w="9020" w:type="dxa"/>
            <w:vAlign w:val="bottom"/>
          </w:tcPr>
          <w:p>
            <w:pPr>
              <w:ind w:left="640"/>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(34,530)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(379)</w:t>
            </w:r>
          </w:p>
        </w:tc>
      </w:tr>
      <w:tr>
        <w:trPr>
          <w:trHeight w:val="189"/>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1,798</w:t>
            </w:r>
          </w:p>
        </w:tc>
      </w:tr>
      <w:tr>
        <w:trPr>
          <w:trHeight w:val="189"/>
        </w:trPr>
        <w:tc>
          <w:tcPr>
            <w:tcW w:w="9020" w:type="dxa"/>
            <w:vAlign w:val="bottom"/>
          </w:tcPr>
          <w:p>
            <w:pPr>
              <w:ind w:left="6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5,994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(4,499)</w:t>
            </w:r>
          </w:p>
        </w:tc>
      </w:tr>
      <w:tr>
        <w:trPr>
          <w:trHeight w:val="189"/>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revenue and customer credit liabilities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(7,288)</w:t>
            </w:r>
          </w:p>
        </w:tc>
      </w:tr>
      <w:tr>
        <w:trPr>
          <w:trHeight w:val="189"/>
        </w:trPr>
        <w:tc>
          <w:tcPr>
            <w:tcW w:w="9020" w:type="dxa"/>
            <w:vAlign w:val="bottom"/>
          </w:tcPr>
          <w:p>
            <w:pPr>
              <w:ind w:left="64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46,785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11,431</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liabilities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(299)</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9020" w:type="dxa"/>
            <w:vAlign w:val="bottom"/>
          </w:tcPr>
          <w:p>
            <w:pPr>
              <w:ind w:left="960"/>
              <w:spacing w:after="0"/>
              <w:rPr>
                <w:sz w:val="20"/>
                <w:szCs w:val="20"/>
                <w:color w:val="auto"/>
              </w:rPr>
            </w:pPr>
            <w:r>
              <w:rPr>
                <w:rFonts w:ascii="Arial" w:cs="Arial" w:eastAsia="Arial" w:hAnsi="Arial"/>
                <w:sz w:val="16"/>
                <w:szCs w:val="16"/>
                <w:color w:val="auto"/>
              </w:rPr>
              <w:t>Net cash (used in) provided by operating activities</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(37,602)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(42,816)</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Purchases of rental product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(117,716)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(54,893)</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liquidation of rental product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2,363</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Proceeds from sale of rental product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17,894</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fixed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(43,847)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(23,832)</w:t>
            </w: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9020" w:type="dxa"/>
            <w:vAlign w:val="bottom"/>
          </w:tcPr>
          <w:p>
            <w:pPr>
              <w:ind w:left="960"/>
              <w:spacing w:after="0"/>
              <w:rPr>
                <w:sz w:val="20"/>
                <w:szCs w:val="20"/>
                <w:color w:val="auto"/>
              </w:rPr>
            </w:pPr>
            <w:r>
              <w:rPr>
                <w:rFonts w:ascii="Arial" w:cs="Arial" w:eastAsia="Arial" w:hAnsi="Arial"/>
                <w:sz w:val="16"/>
                <w:szCs w:val="16"/>
                <w:color w:val="auto"/>
              </w:rPr>
              <w:t>Net cash (used in) provided by investing activities</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(138,596)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(58,468)</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Proceeds from issuance of redeemable preferred stock</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133,778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60,445</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Deferred financing costs paid</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(3,363)</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Principal payments on financing lease obligations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Proceeds from line of credit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86,000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long-term debt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20" w:type="dxa"/>
            <w:vAlign w:val="bottom"/>
            <w:shd w:val="clear" w:color="auto" w:fill="CCEEFF"/>
          </w:tcPr>
          <w:p>
            <w:pPr>
              <w:spacing w:after="0"/>
              <w:rPr>
                <w:sz w:val="16"/>
                <w:szCs w:val="16"/>
                <w:color w:val="auto"/>
              </w:rPr>
            </w:pP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Principal repayments on line of credit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(92,500)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(59,000)</w:t>
            </w:r>
          </w:p>
        </w:tc>
      </w:tr>
      <w:tr>
        <w:trPr>
          <w:trHeight w:val="189"/>
        </w:trPr>
        <w:tc>
          <w:tcPr>
            <w:tcW w:w="90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Net cash (used in) provided by financing activities</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177,902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168,506</w:t>
            </w:r>
          </w:p>
        </w:tc>
        <w:tc>
          <w:tcPr>
            <w:tcW w:w="120" w:type="dxa"/>
            <w:vAlign w:val="bottom"/>
            <w:shd w:val="clear" w:color="auto" w:fill="CCEEFF"/>
          </w:tcPr>
          <w:p>
            <w:pPr>
              <w:spacing w:after="0"/>
              <w:rPr>
                <w:sz w:val="16"/>
                <w:szCs w:val="16"/>
                <w:color w:val="auto"/>
              </w:rPr>
            </w:pP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Net increase in cash and cash equivalents and restricted cash</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67,222</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41,948</w:t>
            </w:r>
          </w:p>
        </w:tc>
        <w:tc>
          <w:tcPr>
            <w:tcW w:w="120" w:type="dxa"/>
            <w:vAlign w:val="bottom"/>
            <w:shd w:val="clear" w:color="auto" w:fill="CCEEFF"/>
          </w:tcPr>
          <w:p>
            <w:pPr>
              <w:spacing w:after="0"/>
              <w:rPr>
                <w:sz w:val="16"/>
                <w:szCs w:val="16"/>
                <w:color w:val="auto"/>
              </w:rPr>
            </w:pP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41,948</w:t>
            </w:r>
          </w:p>
        </w:tc>
        <w:tc>
          <w:tcPr>
            <w:tcW w:w="2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109,170</w:t>
            </w:r>
          </w:p>
        </w:tc>
        <w:tc>
          <w:tcPr>
            <w:tcW w:w="120" w:type="dxa"/>
            <w:vAlign w:val="bottom"/>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9020" w:type="dxa"/>
            <w:vAlign w:val="bottom"/>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RECONCILIATION OF CASH AND CASH EQUIVALENTS AND RESTRICTED CASH TO THE CONSOLIDATED</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7"/>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BALANCE SHEETS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31,448</w:t>
            </w:r>
          </w:p>
        </w:tc>
        <w:tc>
          <w:tcPr>
            <w:tcW w:w="200" w:type="dxa"/>
            <w:vAlign w:val="bottom"/>
          </w:tcPr>
          <w:p>
            <w:pPr>
              <w:spacing w:after="0"/>
              <w:rPr>
                <w:sz w:val="16"/>
                <w:szCs w:val="16"/>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95,260</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current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3,404</w:t>
            </w: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cash and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41,948</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109,170</w:t>
            </w:r>
          </w:p>
        </w:tc>
        <w:tc>
          <w:tcPr>
            <w:tcW w:w="120" w:type="dxa"/>
            <w:vAlign w:val="bottom"/>
            <w:shd w:val="clear" w:color="auto" w:fill="CCEEFF"/>
          </w:tcPr>
          <w:p>
            <w:pPr>
              <w:spacing w:after="0"/>
              <w:rPr>
                <w:sz w:val="16"/>
                <w:szCs w:val="16"/>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0"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5" w:lineRule="exact"/>
        <w:rPr>
          <w:rFonts w:ascii="Arial" w:cs="Arial" w:eastAsia="Arial" w:hAnsi="Arial"/>
          <w:sz w:val="18"/>
          <w:szCs w:val="18"/>
          <w:b w:val="1"/>
          <w:bCs w:val="1"/>
          <w:color w:val="auto"/>
        </w:rPr>
      </w:pPr>
    </w:p>
    <w:p>
      <w:pPr>
        <w:ind w:left="660" w:right="1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204" w:lineRule="exact"/>
        <w:rPr>
          <w:rFonts w:ascii="Arial" w:cs="Arial" w:eastAsia="Arial" w:hAnsi="Arial"/>
          <w:sz w:val="18"/>
          <w:szCs w:val="18"/>
          <w:b w:val="1"/>
          <w:bCs w:val="1"/>
          <w:color w:val="auto"/>
        </w:rPr>
      </w:pPr>
    </w:p>
    <w:p>
      <w:pPr>
        <w:ind w:left="660" w:right="6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1" w:lineRule="exact"/>
        <w:rPr>
          <w:rFonts w:ascii="Arial" w:cs="Arial" w:eastAsia="Arial" w:hAnsi="Arial"/>
          <w:sz w:val="18"/>
          <w:szCs w:val="18"/>
          <w:b w:val="1"/>
          <w:bCs w:val="1"/>
          <w:color w:val="auto"/>
        </w:rPr>
      </w:pPr>
    </w:p>
    <w:p>
      <w:pPr>
        <w:ind w:left="660" w:right="6680" w:hanging="544"/>
        <w:spacing w:after="0" w:line="372" w:lineRule="auto"/>
        <w:tabs>
          <w:tab w:leader="none" w:pos="649"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8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8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6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8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5" w:lineRule="exact"/>
        <w:rPr>
          <w:rFonts w:ascii="Arial" w:cs="Arial" w:eastAsia="Arial" w:hAnsi="Arial"/>
          <w:sz w:val="18"/>
          <w:szCs w:val="18"/>
          <w:b w:val="1"/>
          <w:bCs w:val="1"/>
          <w:color w:val="auto"/>
        </w:rPr>
      </w:pPr>
    </w:p>
    <w:p>
      <w:pPr>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460"/>
        <w:spacing w:after="0"/>
        <w:rPr>
          <w:sz w:val="20"/>
          <w:szCs w:val="20"/>
          <w:color w:val="auto"/>
        </w:rPr>
      </w:pPr>
      <w:r>
        <w:rPr>
          <w:rFonts w:ascii="Arial" w:cs="Arial" w:eastAsia="Arial" w:hAnsi="Arial"/>
          <w:sz w:val="18"/>
          <w:szCs w:val="18"/>
          <w:color w:val="auto"/>
        </w:rPr>
        <w:t>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203"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As of January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Concentrations of Credit Risks</w:t>
      </w:r>
    </w:p>
    <w:p>
      <w:pPr>
        <w:spacing w:after="0" w:line="126" w:lineRule="exact"/>
        <w:rPr>
          <w:sz w:val="20"/>
          <w:szCs w:val="20"/>
          <w:color w:val="auto"/>
        </w:rPr>
      </w:pPr>
    </w:p>
    <w:p>
      <w:pPr>
        <w:ind w:left="660" w:right="460"/>
        <w:spacing w:after="0"/>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accounted for more than 5% of the Company’s revenue during the years ended January 31, 2020 or 2021.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2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205"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23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quoted prices in active markets for identical assets and liabilities.</w:t>
      </w:r>
    </w:p>
    <w:p>
      <w:pPr>
        <w:spacing w:after="0" w:line="23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39" w:lineRule="exact"/>
        <w:rPr>
          <w:sz w:val="20"/>
          <w:szCs w:val="20"/>
          <w:color w:val="auto"/>
        </w:rPr>
      </w:pPr>
    </w:p>
    <w:p>
      <w:pPr>
        <w:ind w:left="1640" w:right="880" w:hanging="984"/>
        <w:spacing w:after="0" w:line="246" w:lineRule="auto"/>
        <w:tabs>
          <w:tab w:leader="none" w:pos="16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which require the Company to develop its own assumptions.</w:t>
      </w:r>
    </w:p>
    <w:p>
      <w:pPr>
        <w:spacing w:after="0" w:line="197"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categorization of financial instruments within the valuation hierarchy is based upon the lowest level of input that is significant to the fair value measurement.</w:t>
      </w:r>
    </w:p>
    <w:p>
      <w:pPr>
        <w:spacing w:after="0" w:line="197" w:lineRule="exact"/>
        <w:rPr>
          <w:sz w:val="20"/>
          <w:szCs w:val="20"/>
          <w:color w:val="auto"/>
        </w:rPr>
      </w:pPr>
    </w:p>
    <w:p>
      <w:pPr>
        <w:ind w:left="660" w:right="560"/>
        <w:spacing w:after="0" w:line="246" w:lineRule="auto"/>
        <w:rPr>
          <w:sz w:val="20"/>
          <w:szCs w:val="20"/>
          <w:color w:val="auto"/>
        </w:rPr>
      </w:pPr>
      <w:r>
        <w:rPr>
          <w:rFonts w:ascii="Arial" w:cs="Arial" w:eastAsia="Arial" w:hAnsi="Arial"/>
          <w:sz w:val="18"/>
          <w:szCs w:val="18"/>
          <w:color w:val="auto"/>
        </w:rPr>
        <w:t>The carrying amounts of financial instruments, including cash, cash equivalents and restricted cash approximate fair value at January 31, 2020 and 2021, due to the relatively short duration of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these instruments. The carrying value of the Company’s long-term debt instruments approximate their fair values as of January 31, 2021.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all highly liquid investments with a maturity of 3 months or less when purchased to be cash equivalents.</w:t>
      </w:r>
    </w:p>
    <w:p>
      <w:pPr>
        <w:ind w:left="660"/>
        <w:spacing w:after="0" w:line="234" w:lineRule="auto"/>
        <w:rPr>
          <w:sz w:val="20"/>
          <w:szCs w:val="20"/>
          <w:color w:val="auto"/>
        </w:rPr>
      </w:pPr>
      <w:r>
        <w:rPr>
          <w:rFonts w:ascii="Arial" w:cs="Arial" w:eastAsia="Arial" w:hAnsi="Arial"/>
          <w:sz w:val="18"/>
          <w:szCs w:val="18"/>
          <w:color w:val="auto"/>
        </w:rPr>
        <w:t>Cash and cash equivalents include funds in transit from banks for customer credit card transactions that settle in less than 7 days.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funds totaled $2,642 and $1,802 at January 31, 2020 and 2021, respectively.</w:t>
      </w:r>
    </w:p>
    <w:p>
      <w:pPr>
        <w:spacing w:after="0" w:line="212" w:lineRule="exact"/>
        <w:rPr>
          <w:sz w:val="20"/>
          <w:szCs w:val="20"/>
          <w:color w:val="auto"/>
        </w:rPr>
      </w:pPr>
    </w:p>
    <w:p>
      <w:pPr>
        <w:jc w:val="both"/>
        <w:ind w:left="660" w:right="160"/>
        <w:spacing w:after="0"/>
        <w:rPr>
          <w:sz w:val="20"/>
          <w:szCs w:val="20"/>
          <w:color w:val="auto"/>
        </w:rPr>
      </w:pPr>
      <w:r>
        <w:rPr>
          <w:rFonts w:ascii="Arial" w:cs="Arial" w:eastAsia="Arial" w:hAnsi="Arial"/>
          <w:sz w:val="18"/>
          <w:szCs w:val="18"/>
          <w:color w:val="auto"/>
        </w:rPr>
        <w:t>At January 31, 2020 and 2021, the Company had approximately $ 10,500 and $13,910 of current and non-current restricted cash, respectively, that consisted primarily of letters of credit pledged as security deposits for the headquarters and operational facilities leases.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Rental Product, Net</w:t>
      </w:r>
    </w:p>
    <w:p>
      <w:pPr>
        <w:spacing w:after="0" w:line="126"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consolidated balance sheets.</w:t>
      </w:r>
    </w:p>
    <w:p>
      <w:pPr>
        <w:spacing w:after="0" w:line="197" w:lineRule="exact"/>
        <w:rPr>
          <w:sz w:val="20"/>
          <w:szCs w:val="20"/>
          <w:color w:val="auto"/>
        </w:rPr>
      </w:pPr>
    </w:p>
    <w:p>
      <w:pPr>
        <w:ind w:left="660" w:right="200"/>
        <w:spacing w:after="0" w:line="238"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0"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Useful Life</w:t>
            </w:r>
          </w:p>
        </w:tc>
        <w:tc>
          <w:tcPr>
            <w:tcW w:w="7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Salvage Value</w:t>
            </w:r>
          </w:p>
        </w:tc>
        <w:tc>
          <w:tcPr>
            <w:tcW w:w="0" w:type="dxa"/>
            <w:vAlign w:val="bottom"/>
          </w:tcPr>
          <w:p>
            <w:pPr>
              <w:spacing w:after="0"/>
              <w:rPr>
                <w:sz w:val="1"/>
                <w:szCs w:val="1"/>
                <w:color w:val="auto"/>
              </w:rPr>
            </w:pPr>
          </w:p>
        </w:tc>
      </w:tr>
      <w:tr>
        <w:trPr>
          <w:trHeight w:val="20"/>
        </w:trPr>
        <w:tc>
          <w:tcPr>
            <w:tcW w:w="7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Apparel</w:t>
            </w:r>
          </w:p>
        </w:tc>
        <w:tc>
          <w:tcPr>
            <w:tcW w:w="7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 years</w:t>
            </w:r>
          </w:p>
        </w:tc>
        <w:tc>
          <w:tcPr>
            <w:tcW w:w="76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2 years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 xml:space="preserve">In accordance with its policy, the Company reviews the estimated useful lives and salvage values of rental product on an ongoing basis. See </w:t>
      </w:r>
      <w:r>
        <w:rPr>
          <w:rFonts w:ascii="Arial" w:cs="Arial" w:eastAsia="Arial" w:hAnsi="Arial"/>
          <w:sz w:val="18"/>
          <w:szCs w:val="18"/>
          <w:i w:val="1"/>
          <w:iCs w:val="1"/>
          <w:color w:val="auto"/>
        </w:rPr>
        <w:t>Long-Lived Asset Impairment</w:t>
      </w:r>
      <w:r>
        <w:rPr>
          <w:rFonts w:ascii="Arial" w:cs="Arial" w:eastAsia="Arial" w:hAnsi="Arial"/>
          <w:sz w:val="18"/>
          <w:szCs w:val="18"/>
          <w:color w:val="auto"/>
        </w:rPr>
        <w:t xml:space="preserve"> disclosure for long-lived asset impairment procedures.</w:t>
      </w:r>
    </w:p>
    <w:p>
      <w:pPr>
        <w:spacing w:after="0" w:line="197"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Rental product is classified as held for sale and written down to salvage value at the time it is no longer considered rentable. The value of rental product held for sale at January 31, 2020 and 2021 was $6,386 and $6,396, net, respectively. The accelerated depreciation related to rental product held for sale was $14,836 and $7,699 for the years ended January 31, 2020 and 2021, respectively. The accelerated depreciation is presented on the consolidated statements of operations within rental product depreciation and revenue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203"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Cash outflows for the purchase of rental product, net of changes in related accounts payable and accrued liabilities, as well as the cash inflows received from the liquidation of apparel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$3,638 and $2,363, respectively.</w:t>
      </w:r>
    </w:p>
    <w:p>
      <w:pPr>
        <w:spacing w:after="0" w:line="202"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sold are classified as cash flows from investing activities on the consolidated statements of cash flows, because the predominant activity of the rental product purchased is to generate subscription and a-la-carte rental revenue. The cash proceeds associated with these sales were $19,329 and $17,894 in fiscal years 2019 and 2020, respectively.</w:t>
      </w:r>
    </w:p>
    <w:p>
      <w:pPr>
        <w:spacing w:after="0" w:line="203" w:lineRule="exact"/>
        <w:rPr>
          <w:sz w:val="20"/>
          <w:szCs w:val="20"/>
          <w:color w:val="auto"/>
        </w:rPr>
      </w:pPr>
    </w:p>
    <w:p>
      <w:pPr>
        <w:ind w:left="660" w:right="120"/>
        <w:spacing w:after="0" w:line="238" w:lineRule="auto"/>
        <w:rPr>
          <w:sz w:val="20"/>
          <w:szCs w:val="20"/>
          <w:color w:val="auto"/>
        </w:rPr>
      </w:pPr>
      <w:r>
        <w:rPr>
          <w:rFonts w:ascii="Arial" w:cs="Arial" w:eastAsia="Arial" w:hAnsi="Arial"/>
          <w:sz w:val="18"/>
          <w:szCs w:val="18"/>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8% and 14% of total revenue for the years ended January 31, 2020 and 2021, respectively.</w:t>
      </w:r>
    </w:p>
    <w:p>
      <w:pPr>
        <w:spacing w:after="0" w:line="202" w:lineRule="exact"/>
        <w:rPr>
          <w:sz w:val="20"/>
          <w:szCs w:val="20"/>
          <w:color w:val="auto"/>
        </w:rPr>
      </w:pPr>
    </w:p>
    <w:p>
      <w:pPr>
        <w:ind w:left="660" w:right="280"/>
        <w:spacing w:after="0"/>
        <w:rPr>
          <w:sz w:val="20"/>
          <w:szCs w:val="20"/>
          <w:color w:val="auto"/>
        </w:rPr>
      </w:pPr>
      <w:r>
        <w:rPr>
          <w:rFonts w:ascii="Arial" w:cs="Arial" w:eastAsia="Arial" w:hAnsi="Arial"/>
          <w:sz w:val="18"/>
          <w:szCs w:val="18"/>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3"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$ 1,223 of credits included in the customer credit liability as of January 31, 2020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period financial statements but calculated the breakage income retrospectively at the beginning of the period of adoption through a cumulative-effect adjustment. The impact of this adjustment at February 1, 2019 was $2,607. The Company continues to maintain the full liability for the unredeemed portion of the credits and gift cards when the Company has any legal obligation to remit such credits to government authorities in relevant jurisdictions.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205" w:lineRule="exact"/>
        <w:rPr>
          <w:sz w:val="20"/>
          <w:szCs w:val="20"/>
          <w:color w:val="auto"/>
        </w:rPr>
      </w:pPr>
    </w:p>
    <w:p>
      <w:pPr>
        <w:ind w:left="660" w:right="320"/>
        <w:spacing w:after="0" w:line="238"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evenly over the 4-or 8-day rental period.</w:t>
      </w:r>
    </w:p>
    <w:p>
      <w:pPr>
        <w:spacing w:after="0" w:line="205" w:lineRule="exact"/>
        <w:rPr>
          <w:sz w:val="20"/>
          <w:szCs w:val="20"/>
          <w:color w:val="auto"/>
        </w:rPr>
      </w:pPr>
    </w:p>
    <w:p>
      <w:pPr>
        <w:ind w:left="660" w:right="640"/>
        <w:spacing w:after="0" w:line="246"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and these amounts were not material as of January 31, 2020 and 2021.</w:t>
      </w:r>
    </w:p>
    <w:p>
      <w:pPr>
        <w:spacing w:after="0" w:line="197"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22"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w:t>
      </w:r>
    </w:p>
    <w:p>
      <w:pPr>
        <w:spacing w:after="0" w:line="1" w:lineRule="exact"/>
        <w:rPr>
          <w:sz w:val="20"/>
          <w:szCs w:val="20"/>
          <w:color w:val="auto"/>
        </w:rPr>
      </w:pPr>
    </w:p>
    <w:p>
      <w:pPr>
        <w:ind w:left="660" w:right="160" w:firstLine="7"/>
        <w:spacing w:after="0" w:line="238" w:lineRule="auto"/>
        <w:tabs>
          <w:tab w:leader="none" w:pos="91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 Lessee Accounting</w:t>
      </w:r>
    </w:p>
    <w:p>
      <w:pPr>
        <w:spacing w:after="0" w:line="126" w:lineRule="exact"/>
        <w:rPr>
          <w:sz w:val="20"/>
          <w:szCs w:val="20"/>
          <w:color w:val="auto"/>
        </w:rPr>
      </w:pPr>
    </w:p>
    <w:p>
      <w:pPr>
        <w:ind w:left="660" w:right="420"/>
        <w:spacing w:after="0" w:line="246" w:lineRule="auto"/>
        <w:rPr>
          <w:sz w:val="20"/>
          <w:szCs w:val="20"/>
          <w:color w:val="auto"/>
        </w:rPr>
      </w:pPr>
      <w:r>
        <w:rPr>
          <w:rFonts w:ascii="Arial" w:cs="Arial" w:eastAsia="Arial" w:hAnsi="Arial"/>
          <w:sz w:val="18"/>
          <w:szCs w:val="18"/>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0"/>
        <w:spacing w:after="0" w:line="237" w:lineRule="auto"/>
        <w:rPr>
          <w:sz w:val="20"/>
          <w:szCs w:val="20"/>
          <w:color w:val="auto"/>
        </w:rPr>
      </w:pPr>
      <w:r>
        <w:rPr>
          <w:rFonts w:ascii="Arial" w:cs="Arial" w:eastAsia="Arial" w:hAnsi="Arial"/>
          <w:sz w:val="18"/>
          <w:szCs w:val="18"/>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205"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20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97"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Fixed and Intangible Assets, Net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and intangible assets are stated at cost less accumulated depreciation and amortization.</w:t>
      </w:r>
    </w:p>
    <w:p>
      <w:pPr>
        <w:spacing w:after="0" w:line="212"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Depreciation and amortization of fixed and intangible assets is calculated on a straight-line basis over the estimated useful lives of the assets.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useful lives of fixed and intangible assets are described below:</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760" w:type="dxa"/>
            <w:vAlign w:val="bottom"/>
          </w:tcPr>
          <w:p>
            <w:pPr>
              <w:jc w:val="center"/>
              <w:ind w:left="2170"/>
              <w:spacing w:after="0"/>
              <w:rPr>
                <w:sz w:val="20"/>
                <w:szCs w:val="20"/>
                <w:color w:val="auto"/>
              </w:rPr>
            </w:pPr>
            <w:r>
              <w:rPr>
                <w:rFonts w:ascii="Arial" w:cs="Arial" w:eastAsia="Arial" w:hAnsi="Arial"/>
                <w:sz w:val="18"/>
                <w:szCs w:val="18"/>
                <w:color w:val="auto"/>
                <w:w w:val="99"/>
              </w:rPr>
              <w:t>shorter of estimated useful life or lease term</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5760" w:type="dxa"/>
            <w:vAlign w:val="bottom"/>
          </w:tcPr>
          <w:p>
            <w:pPr>
              <w:jc w:val="center"/>
              <w:ind w:left="2170"/>
              <w:spacing w:after="0" w:line="202" w:lineRule="exact"/>
              <w:rPr>
                <w:sz w:val="20"/>
                <w:szCs w:val="20"/>
                <w:color w:val="auto"/>
              </w:rPr>
            </w:pPr>
            <w:r>
              <w:rPr>
                <w:rFonts w:ascii="Arial" w:cs="Arial" w:eastAsia="Arial" w:hAnsi="Arial"/>
                <w:sz w:val="18"/>
                <w:szCs w:val="18"/>
                <w:color w:val="auto"/>
                <w:w w:val="99"/>
              </w:rPr>
              <w:t>5 to 6 years</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5760" w:type="dxa"/>
            <w:vAlign w:val="bottom"/>
          </w:tcPr>
          <w:p>
            <w:pPr>
              <w:jc w:val="center"/>
              <w:ind w:left="2190"/>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Computer hardware</w:t>
            </w:r>
          </w:p>
        </w:tc>
        <w:tc>
          <w:tcPr>
            <w:tcW w:w="5760" w:type="dxa"/>
            <w:vAlign w:val="bottom"/>
          </w:tcPr>
          <w:p>
            <w:pPr>
              <w:jc w:val="center"/>
              <w:ind w:left="219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Reusable packaging</w:t>
            </w:r>
          </w:p>
        </w:tc>
        <w:tc>
          <w:tcPr>
            <w:tcW w:w="5760" w:type="dxa"/>
            <w:vAlign w:val="bottom"/>
          </w:tcPr>
          <w:p>
            <w:pPr>
              <w:jc w:val="center"/>
              <w:ind w:left="2170"/>
              <w:spacing w:after="0" w:line="202" w:lineRule="exact"/>
              <w:rPr>
                <w:sz w:val="20"/>
                <w:szCs w:val="20"/>
                <w:color w:val="auto"/>
              </w:rPr>
            </w:pPr>
            <w:r>
              <w:rPr>
                <w:rFonts w:ascii="Arial" w:cs="Arial" w:eastAsia="Arial" w:hAnsi="Arial"/>
                <w:sz w:val="18"/>
                <w:szCs w:val="18"/>
                <w:color w:val="auto"/>
                <w:w w:val="99"/>
              </w:rPr>
              <w:t>1.5 years</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Capitalized third-party software</w:t>
            </w:r>
          </w:p>
        </w:tc>
        <w:tc>
          <w:tcPr>
            <w:tcW w:w="5760" w:type="dxa"/>
            <w:vAlign w:val="bottom"/>
          </w:tcPr>
          <w:p>
            <w:pPr>
              <w:jc w:val="center"/>
              <w:ind w:left="2190"/>
              <w:spacing w:after="0" w:line="202" w:lineRule="exact"/>
              <w:rPr>
                <w:sz w:val="20"/>
                <w:szCs w:val="20"/>
                <w:color w:val="auto"/>
              </w:rPr>
            </w:pPr>
            <w:r>
              <w:rPr>
                <w:rFonts w:ascii="Arial" w:cs="Arial" w:eastAsia="Arial" w:hAnsi="Arial"/>
                <w:sz w:val="18"/>
                <w:szCs w:val="18"/>
                <w:color w:val="auto"/>
              </w:rPr>
              <w:t>3 years</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Capitalized internally developed software</w:t>
            </w:r>
          </w:p>
        </w:tc>
        <w:tc>
          <w:tcPr>
            <w:tcW w:w="5760" w:type="dxa"/>
            <w:vAlign w:val="bottom"/>
          </w:tcPr>
          <w:p>
            <w:pPr>
              <w:jc w:val="center"/>
              <w:ind w:left="2190"/>
              <w:spacing w:after="0"/>
              <w:rPr>
                <w:sz w:val="20"/>
                <w:szCs w:val="20"/>
                <w:color w:val="auto"/>
              </w:rPr>
            </w:pPr>
            <w:r>
              <w:rPr>
                <w:rFonts w:ascii="Arial" w:cs="Arial" w:eastAsia="Arial" w:hAnsi="Arial"/>
                <w:sz w:val="18"/>
                <w:szCs w:val="18"/>
                <w:color w:val="auto"/>
              </w:rPr>
              <w:t>2 years</w:t>
            </w:r>
          </w:p>
        </w:tc>
      </w:tr>
      <w:tr>
        <w:trPr>
          <w:trHeight w:val="351"/>
        </w:trPr>
        <w:tc>
          <w:tcPr>
            <w:tcW w:w="4300" w:type="dxa"/>
            <w:vAlign w:val="bottom"/>
          </w:tcPr>
          <w:p>
            <w:pPr>
              <w:spacing w:after="0"/>
              <w:rPr>
                <w:sz w:val="24"/>
                <w:szCs w:val="24"/>
                <w:color w:val="auto"/>
              </w:rPr>
            </w:pPr>
          </w:p>
        </w:tc>
        <w:tc>
          <w:tcPr>
            <w:tcW w:w="5760" w:type="dxa"/>
            <w:vAlign w:val="bottom"/>
          </w:tcPr>
          <w:p>
            <w:pPr>
              <w:ind w:left="1020"/>
              <w:spacing w:after="0"/>
              <w:rPr>
                <w:sz w:val="20"/>
                <w:szCs w:val="20"/>
                <w:color w:val="auto"/>
              </w:rPr>
            </w:pPr>
            <w:r>
              <w:rPr>
                <w:rFonts w:ascii="Arial" w:cs="Arial" w:eastAsia="Arial" w:hAnsi="Arial"/>
                <w:sz w:val="18"/>
                <w:szCs w:val="18"/>
                <w:color w:val="auto"/>
              </w:rPr>
              <w:t>F-12</w:t>
            </w:r>
          </w:p>
        </w:tc>
      </w:tr>
    </w:tbl>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460"/>
        <w:spacing w:after="0"/>
        <w:rPr>
          <w:sz w:val="20"/>
          <w:szCs w:val="20"/>
          <w:color w:val="auto"/>
        </w:rPr>
      </w:pPr>
      <w:r>
        <w:rPr>
          <w:rFonts w:ascii="Arial" w:cs="Arial" w:eastAsia="Arial" w:hAnsi="Arial"/>
          <w:sz w:val="18"/>
          <w:szCs w:val="18"/>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6"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Prepaid expenses and other current assets consist primarily of prepaid rental packing materials, prepaid insurance, and prepaid technology expenses. The balance of prepaid expenses included in prepaid expenses and other current assets on the consolidated statement of operations was $4,229 and $2,830 as of January 31, 2020 and 2021,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Assets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assets consist primarily of deposits for periods that exceed one year from the balance sheet date.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Expenses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Fulfillment</w:t>
      </w:r>
    </w:p>
    <w:p>
      <w:pPr>
        <w:spacing w:after="0" w:line="122"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Fulfillment expenses consist of fulfillment variable costs to receive, process and fulfill customer orders, including fulfillment labor payroll and related costs, third-party shipping expenses, cost of packing materials, cleaning expenses, and other fulfillment related costs.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22"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Technology expenses consist of technology payroll and related costs, professional services, and third-party software and license fees.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Marketing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expenses include online and mobile marketing, search engine optimization and email costs, marketing payroll and</w:t>
      </w:r>
    </w:p>
    <w:p>
      <w:pPr>
        <w:ind w:left="660"/>
        <w:spacing w:after="0" w:line="234" w:lineRule="auto"/>
        <w:rPr>
          <w:sz w:val="20"/>
          <w:szCs w:val="20"/>
          <w:color w:val="auto"/>
        </w:rPr>
      </w:pPr>
      <w:r>
        <w:rPr>
          <w:rFonts w:ascii="Arial" w:cs="Arial" w:eastAsia="Arial" w:hAnsi="Arial"/>
          <w:sz w:val="18"/>
          <w:szCs w:val="18"/>
          <w:color w:val="auto"/>
        </w:rPr>
        <w:t>related expenses, agency fees, printed collateral, consumer research, and other related costs. Advertising costs amounted to</w:t>
      </w:r>
    </w:p>
    <w:p>
      <w:pPr>
        <w:ind w:left="660"/>
        <w:spacing w:after="0" w:line="235" w:lineRule="auto"/>
        <w:rPr>
          <w:sz w:val="20"/>
          <w:szCs w:val="20"/>
          <w:color w:val="auto"/>
        </w:rPr>
      </w:pPr>
      <w:r>
        <w:rPr>
          <w:rFonts w:ascii="Arial" w:cs="Arial" w:eastAsia="Arial" w:hAnsi="Arial"/>
          <w:sz w:val="18"/>
          <w:szCs w:val="18"/>
          <w:color w:val="auto"/>
        </w:rPr>
        <w:t>$18,112 and $4,233 for the years ended January 31, 2020 and 2021, respectively. Costs associated with advertising campaigns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expensed when the advertising first appears in the media, and other advertising costs are expensed as incurred.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the rental products on the Company’s website, and other administrative costs.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Rental Product Depreciation and Revenue Share</w:t>
      </w:r>
    </w:p>
    <w:p>
      <w:pPr>
        <w:spacing w:after="0" w:line="122" w:lineRule="exact"/>
        <w:rPr>
          <w:sz w:val="20"/>
          <w:szCs w:val="20"/>
          <w:color w:val="auto"/>
        </w:rPr>
      </w:pPr>
    </w:p>
    <w:p>
      <w:pPr>
        <w:ind w:left="660" w:right="580"/>
        <w:spacing w:after="0" w:line="246" w:lineRule="auto"/>
        <w:rPr>
          <w:sz w:val="20"/>
          <w:szCs w:val="20"/>
          <w:color w:val="auto"/>
        </w:rPr>
      </w:pPr>
      <w:r>
        <w:rPr>
          <w:rFonts w:ascii="Arial" w:cs="Arial" w:eastAsia="Arial" w:hAnsi="Arial"/>
          <w:sz w:val="18"/>
          <w:szCs w:val="18"/>
          <w:color w:val="auto"/>
        </w:rPr>
        <w:t>Rental product depreciation and revenue share expenses are comprised of depreciation and write-offs of rental product, and payments under revenue share arrangements with brand partners.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Depreciation and Amortization</w:t>
      </w:r>
    </w:p>
    <w:p>
      <w:pPr>
        <w:spacing w:after="0" w:line="122"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Other depreciation and amortization expenses are comprised of depreciation and amortization amounts for fixed assets, intangible assets, and financing right-of-use assets.</w:t>
      </w:r>
    </w:p>
    <w:p>
      <w:pPr>
        <w:spacing w:after="0" w:line="197" w:lineRule="exact"/>
        <w:rPr>
          <w:sz w:val="20"/>
          <w:szCs w:val="20"/>
          <w:color w:val="auto"/>
        </w:rPr>
      </w:pPr>
    </w:p>
    <w:p>
      <w:pPr>
        <w:ind w:left="660" w:right="920"/>
        <w:spacing w:after="0" w:line="246" w:lineRule="auto"/>
        <w:rPr>
          <w:sz w:val="20"/>
          <w:szCs w:val="20"/>
          <w:color w:val="auto"/>
        </w:rPr>
      </w:pPr>
      <w:r>
        <w:rPr>
          <w:rFonts w:ascii="Arial" w:cs="Arial" w:eastAsia="Arial" w:hAnsi="Arial"/>
          <w:sz w:val="18"/>
          <w:szCs w:val="18"/>
          <w:color w:val="auto"/>
        </w:rPr>
        <w:t>The classification of expenses varies across industries. Accordingly, the Company’s categories of expenses may not be comparable to those of other companies.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Compensation</w:t>
      </w:r>
    </w:p>
    <w:p>
      <w:pPr>
        <w:spacing w:after="0" w:line="126"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203"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 has granted restricted stock units (“RSUs”) which vest only upon satisfaction of both time-based service and performance-based conditions. At January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 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for a description of the accounting for share-based awards.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left="660" w:right="100"/>
        <w:spacing w:after="0"/>
        <w:rPr>
          <w:sz w:val="20"/>
          <w:szCs w:val="20"/>
          <w:color w:val="auto"/>
        </w:rPr>
      </w:pPr>
      <w:r>
        <w:rPr>
          <w:rFonts w:ascii="Arial" w:cs="Arial" w:eastAsia="Arial" w:hAnsi="Arial"/>
          <w:sz w:val="18"/>
          <w:szCs w:val="18"/>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203"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 change in tax rates is recognized in income in the period that includes the enactment date. The Company recognizes interest and penalties related to unrecognized tax benefits in income tax expense.</w:t>
      </w:r>
    </w:p>
    <w:p>
      <w:pPr>
        <w:spacing w:after="0" w:line="197" w:lineRule="exact"/>
        <w:rPr>
          <w:sz w:val="20"/>
          <w:szCs w:val="20"/>
          <w:color w:val="auto"/>
        </w:rPr>
      </w:pPr>
    </w:p>
    <w:p>
      <w:pPr>
        <w:ind w:left="660" w:right="4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Long-Lived Asset Impairment</w:t>
      </w:r>
    </w:p>
    <w:p>
      <w:pPr>
        <w:spacing w:after="0" w:line="126"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except for the write-off of apparel and accessories in the normal course of business (see </w:t>
      </w:r>
      <w:r>
        <w:rPr>
          <w:rFonts w:ascii="Arial" w:cs="Arial" w:eastAsia="Arial" w:hAnsi="Arial"/>
          <w:sz w:val="18"/>
          <w:szCs w:val="18"/>
          <w:i w:val="1"/>
          <w:iCs w:val="1"/>
          <w:color w:val="auto"/>
        </w:rPr>
        <w:t>Rental Product</w:t>
      </w:r>
      <w:r>
        <w:rPr>
          <w:rFonts w:ascii="Arial" w:cs="Arial" w:eastAsia="Arial" w:hAnsi="Arial"/>
          <w:sz w:val="18"/>
          <w:szCs w:val="18"/>
          <w:color w:val="auto"/>
        </w:rPr>
        <w:t xml:space="preserve"> disclosure).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205" w:lineRule="exact"/>
        <w:rPr>
          <w:sz w:val="20"/>
          <w:szCs w:val="20"/>
          <w:color w:val="auto"/>
        </w:rPr>
      </w:pPr>
    </w:p>
    <w:p>
      <w:pPr>
        <w:ind w:left="660" w:right="800"/>
        <w:spacing w:after="0" w:line="246"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97" w:lineRule="exact"/>
        <w:rPr>
          <w:sz w:val="20"/>
          <w:szCs w:val="20"/>
          <w:color w:val="auto"/>
        </w:rPr>
      </w:pPr>
    </w:p>
    <w:p>
      <w:pPr>
        <w:ind w:left="660" w:right="120"/>
        <w:spacing w:after="0" w:line="238" w:lineRule="auto"/>
        <w:rPr>
          <w:sz w:val="20"/>
          <w:szCs w:val="20"/>
          <w:color w:val="auto"/>
        </w:rPr>
      </w:pPr>
      <w:r>
        <w:rPr>
          <w:rFonts w:ascii="Arial" w:cs="Arial" w:eastAsia="Arial" w:hAnsi="Arial"/>
          <w:sz w:val="18"/>
          <w:szCs w:val="18"/>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205" w:lineRule="exact"/>
        <w:rPr>
          <w:sz w:val="20"/>
          <w:szCs w:val="20"/>
          <w:color w:val="auto"/>
        </w:rPr>
      </w:pPr>
    </w:p>
    <w:p>
      <w:pPr>
        <w:ind w:left="660" w:right="500"/>
        <w:spacing w:after="0" w:line="246" w:lineRule="auto"/>
        <w:rPr>
          <w:sz w:val="20"/>
          <w:szCs w:val="20"/>
          <w:color w:val="auto"/>
        </w:rPr>
      </w:pPr>
      <w:r>
        <w:rPr>
          <w:rFonts w:ascii="Arial" w:cs="Arial" w:eastAsia="Arial" w:hAnsi="Arial"/>
          <w:sz w:val="18"/>
          <w:szCs w:val="18"/>
          <w:color w:val="auto"/>
        </w:rPr>
        <w:t>The shares of common stock associated with the equity-classified common stock warrants with an exercise price of $0.01 are considered outstanding for the purposes of computing basic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diluted net loss per share attributable to common stockholders because the shares may be issued for little or no consideration, are fully vested, and are exercisable after the original issuance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 and Contingencies</w:t>
      </w:r>
    </w:p>
    <w:p>
      <w:pPr>
        <w:spacing w:after="0" w:line="126" w:lineRule="exact"/>
        <w:rPr>
          <w:sz w:val="20"/>
          <w:szCs w:val="20"/>
          <w:color w:val="auto"/>
        </w:rPr>
      </w:pPr>
    </w:p>
    <w:p>
      <w:pPr>
        <w:ind w:left="660" w:right="220"/>
        <w:spacing w:after="0"/>
        <w:rPr>
          <w:sz w:val="20"/>
          <w:szCs w:val="20"/>
          <w:color w:val="auto"/>
        </w:rPr>
      </w:pPr>
      <w:r>
        <w:rPr>
          <w:rFonts w:ascii="Arial" w:cs="Arial" w:eastAsia="Arial" w:hAnsi="Arial"/>
          <w:sz w:val="18"/>
          <w:szCs w:val="18"/>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Proceeds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January 31, 2021, the Company recorded an insurance recovery of $5,000 related to a network issue during the year ended January 31, 2020. This amount is recorded in other income / (expense), net in the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w:t>
      </w:r>
    </w:p>
    <w:p>
      <w:pPr>
        <w:spacing w:after="0" w:line="12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04" w:lineRule="exact"/>
        <w:rPr>
          <w:sz w:val="20"/>
          <w:szCs w:val="20"/>
          <w:color w:val="auto"/>
        </w:rPr>
      </w:pPr>
    </w:p>
    <w:p>
      <w:pPr>
        <w:ind w:left="660" w:right="120"/>
        <w:spacing w:after="0" w:line="239" w:lineRule="auto"/>
        <w:rPr>
          <w:sz w:val="20"/>
          <w:szCs w:val="20"/>
          <w:color w:val="auto"/>
        </w:rPr>
      </w:pPr>
      <w:r>
        <w:rPr>
          <w:rFonts w:ascii="Arial" w:cs="Arial" w:eastAsia="Arial" w:hAnsi="Arial"/>
          <w:sz w:val="18"/>
          <w:szCs w:val="18"/>
          <w:color w:val="auto"/>
        </w:rPr>
        <w:t xml:space="preserve">In November 2019, the Financial Accounting Standards Board (“FASB”) issued ASU 2019-08,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and Revenue from Contracts with Customers (Topic 606): Codification Improvements – Share-Based Consideration Payable to a Customer</w:t>
      </w:r>
      <w:r>
        <w:rPr>
          <w:rFonts w:ascii="Arial" w:cs="Arial" w:eastAsia="Arial" w:hAnsi="Arial"/>
          <w:sz w:val="18"/>
          <w:szCs w:val="18"/>
          <w:color w:val="auto"/>
        </w:rPr>
        <w:t>. The guidance identifies, evaluates, and improves areas of U.S. GAAP for which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104" w:lineRule="exact"/>
        <w:rPr>
          <w:sz w:val="20"/>
          <w:szCs w:val="20"/>
          <w:color w:val="auto"/>
        </w:rPr>
      </w:pPr>
    </w:p>
    <w:p>
      <w:pPr>
        <w:ind w:left="660" w:right="240"/>
        <w:spacing w:after="0" w:line="250"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which modifies the disclosure requirements in Topic 820. This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annual reporting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660" w:right="20"/>
        <w:spacing w:after="0" w:line="258"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04" w:lineRule="exact"/>
        <w:rPr>
          <w:sz w:val="20"/>
          <w:szCs w:val="20"/>
          <w:color w:val="auto"/>
        </w:rPr>
      </w:pPr>
    </w:p>
    <w:p>
      <w:pPr>
        <w:ind w:left="660"/>
        <w:spacing w:after="0" w:line="23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which requires an entity to utilize a new impairment model known as the current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Internal-Use Software</w:t>
      </w:r>
    </w:p>
    <w:p>
      <w:pPr>
        <w:spacing w:after="0" w:line="104"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 The Company will adopt this standard in the fiscal year ending January 31, 2022 and the adoption of this update is not expected to have a material impact on the Company’s consolidated financial statements.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60"/>
          </w:cols>
          <w:pgMar w:left="320" w:top="459"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0"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Impact of COVID-19 Pandemic</w:t>
      </w:r>
    </w:p>
    <w:p>
      <w:pPr>
        <w:spacing w:after="0" w:line="125" w:lineRule="exact"/>
        <w:rPr>
          <w:rFonts w:ascii="Arial" w:cs="Arial" w:eastAsia="Arial" w:hAnsi="Arial"/>
          <w:sz w:val="18"/>
          <w:szCs w:val="18"/>
          <w:b w:val="1"/>
          <w:bCs w:val="1"/>
          <w:color w:val="auto"/>
        </w:rPr>
      </w:pPr>
    </w:p>
    <w:p>
      <w:pPr>
        <w:ind w:left="66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207" w:lineRule="exact"/>
        <w:rPr>
          <w:rFonts w:ascii="Arial" w:cs="Arial" w:eastAsia="Arial" w:hAnsi="Arial"/>
          <w:sz w:val="18"/>
          <w:szCs w:val="18"/>
          <w:b w:val="1"/>
          <w:bCs w:val="1"/>
          <w:color w:val="auto"/>
        </w:rPr>
      </w:pPr>
    </w:p>
    <w:p>
      <w:pPr>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and May 2021, the Company sold additional shares of Series G redeemable preferred stock in exchange for approximately $20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further details.</w:t>
      </w:r>
    </w:p>
    <w:p>
      <w:pPr>
        <w:spacing w:after="0" w:line="204" w:lineRule="exact"/>
        <w:rPr>
          <w:rFonts w:ascii="Arial" w:cs="Arial" w:eastAsia="Arial" w:hAnsi="Arial"/>
          <w:sz w:val="18"/>
          <w:szCs w:val="18"/>
          <w:b w:val="1"/>
          <w:bCs w:val="1"/>
          <w:color w:val="auto"/>
        </w:rPr>
      </w:pPr>
    </w:p>
    <w:p>
      <w:pPr>
        <w:ind w:left="660"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As of June 30, 2021, the Company held cash and cash equivalents of approximately $100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125" w:lineRule="exact"/>
        <w:rPr>
          <w:rFonts w:ascii="Arial" w:cs="Arial" w:eastAsia="Arial" w:hAnsi="Arial"/>
          <w:sz w:val="18"/>
          <w:szCs w:val="18"/>
          <w:b w:val="1"/>
          <w:bCs w:val="1"/>
          <w:color w:val="auto"/>
        </w:rPr>
      </w:pPr>
    </w:p>
    <w:p>
      <w:pPr>
        <w:ind w:left="660" w:right="2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202" w:lineRule="exact"/>
        <w:rPr>
          <w:rFonts w:ascii="Arial" w:cs="Arial" w:eastAsia="Arial" w:hAnsi="Arial"/>
          <w:sz w:val="18"/>
          <w:szCs w:val="18"/>
          <w:b w:val="1"/>
          <w:bCs w:val="1"/>
          <w:color w:val="auto"/>
        </w:rPr>
      </w:pPr>
    </w:p>
    <w:p>
      <w:pPr>
        <w:ind w:left="660" w:right="2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$5,094 to the related ROU assets and lease liabilities, as a result of lease modification accounting. No other renewal options were included in the ROU assets and lease liabilities on the consolidated balance sheets at January 31, 2020 and 2021.</w:t>
      </w:r>
    </w:p>
    <w:p>
      <w:pPr>
        <w:spacing w:after="0" w:line="205" w:lineRule="exact"/>
        <w:rPr>
          <w:sz w:val="20"/>
          <w:szCs w:val="20"/>
          <w:color w:val="auto"/>
        </w:rPr>
      </w:pPr>
    </w:p>
    <w:p>
      <w:pPr>
        <w:ind w:left="660" w:right="340"/>
        <w:spacing w:after="0" w:line="246" w:lineRule="auto"/>
        <w:rPr>
          <w:sz w:val="20"/>
          <w:szCs w:val="20"/>
          <w:color w:val="auto"/>
        </w:rPr>
      </w:pPr>
      <w:r>
        <w:rPr>
          <w:rFonts w:ascii="Arial" w:cs="Arial" w:eastAsia="Arial" w:hAnsi="Arial"/>
          <w:sz w:val="18"/>
          <w:szCs w:val="18"/>
          <w:color w:val="auto"/>
        </w:rPr>
        <w:t>During fiscal year 2020, the Company decided it would no longer fully utilize the space within three of its real estate leases and obtained subleases for those leased facilities. The subleases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203"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At January 31, 2020 and 2021, the weighted-average remaining lease term for operating leases was 9.74 years and 9.43 years, respectively, and weighted-average discount rate was 16.66% and 16.77%. respectively. At January 31, 2020 and 2021, the weighted-average remaining lease term for financing leases was 3.18 years and 2.41 years, respectively, and weighted-average discount rate was 15.02% and 14.24%, respectively.</w:t>
      </w:r>
    </w:p>
    <w:p>
      <w:pPr>
        <w:spacing w:after="0" w:line="205"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following table summarizes the components of lease costs incurred by the Company during the years ended January 31, 2020 and 2021:</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January 31,</w:t>
            </w:r>
          </w:p>
        </w:tc>
      </w:tr>
      <w:tr>
        <w:trPr>
          <w:trHeight w:val="156"/>
        </w:trPr>
        <w:tc>
          <w:tcPr>
            <w:tcW w:w="7640" w:type="dxa"/>
            <w:vAlign w:val="bottom"/>
          </w:tcPr>
          <w:p>
            <w:pPr>
              <w:spacing w:after="0"/>
              <w:rPr>
                <w:sz w:val="13"/>
                <w:szCs w:val="13"/>
                <w:color w:val="auto"/>
              </w:rPr>
            </w:pPr>
          </w:p>
        </w:tc>
        <w:tc>
          <w:tcPr>
            <w:tcW w:w="6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196"/>
        </w:trPr>
        <w:tc>
          <w:tcPr>
            <w:tcW w:w="7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$11,698</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$13,100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Short-term lease costs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2,403</w:t>
            </w:r>
          </w:p>
        </w:tc>
      </w:tr>
      <w:tr>
        <w:trPr>
          <w:trHeight w:val="27"/>
        </w:trPr>
        <w:tc>
          <w:tcPr>
            <w:tcW w:w="7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fixed lease costs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$12,607</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$15,503</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11,873</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19,844</w:t>
            </w:r>
          </w:p>
        </w:tc>
      </w:tr>
      <w:tr>
        <w:trPr>
          <w:trHeight w:val="27"/>
        </w:trPr>
        <w:tc>
          <w:tcPr>
            <w:tcW w:w="7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lease costs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24,480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35,347</w:t>
            </w:r>
          </w:p>
        </w:tc>
      </w:tr>
      <w:tr>
        <w:trPr>
          <w:trHeight w:val="20"/>
        </w:trPr>
        <w:tc>
          <w:tcPr>
            <w:tcW w:w="7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Sublease income</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(1,785)</w:t>
            </w:r>
          </w:p>
        </w:tc>
      </w:tr>
      <w:tr>
        <w:trPr>
          <w:trHeight w:val="27"/>
        </w:trPr>
        <w:tc>
          <w:tcPr>
            <w:tcW w:w="7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lease costs, net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24,480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33,562</w:t>
            </w:r>
          </w:p>
        </w:tc>
      </w:tr>
      <w:tr>
        <w:trPr>
          <w:trHeight w:val="20"/>
        </w:trPr>
        <w:tc>
          <w:tcPr>
            <w:tcW w:w="7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at January 31, 2021:</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Financing</w:t>
            </w:r>
          </w:p>
        </w:tc>
      </w:tr>
      <w:tr>
        <w:trPr>
          <w:trHeight w:val="183"/>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Fiscal year:</w:t>
            </w:r>
          </w:p>
        </w:tc>
        <w:tc>
          <w:tcPr>
            <w:tcW w:w="3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4160" w:type="dxa"/>
            <w:vAlign w:val="bottom"/>
          </w:tcPr>
          <w:p>
            <w:pPr>
              <w:ind w:left="360"/>
              <w:spacing w:after="0" w:line="202" w:lineRule="exact"/>
              <w:rPr>
                <w:sz w:val="20"/>
                <w:szCs w:val="20"/>
                <w:color w:val="auto"/>
              </w:rPr>
            </w:pPr>
            <w:r>
              <w:rPr>
                <w:rFonts w:ascii="Arial" w:cs="Arial" w:eastAsia="Arial" w:hAnsi="Arial"/>
                <w:sz w:val="18"/>
                <w:szCs w:val="18"/>
                <w:color w:val="auto"/>
              </w:rPr>
              <w:t>2021</w:t>
            </w:r>
          </w:p>
        </w:tc>
        <w:tc>
          <w:tcPr>
            <w:tcW w:w="3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15,692</w:t>
            </w:r>
          </w:p>
        </w:tc>
        <w:tc>
          <w:tcPr>
            <w:tcW w:w="6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w:t>
            </w: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2022</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13,298</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w:t>
            </w:r>
          </w:p>
        </w:tc>
      </w:tr>
      <w:tr>
        <w:trPr>
          <w:trHeight w:val="203"/>
        </w:trPr>
        <w:tc>
          <w:tcPr>
            <w:tcW w:w="4160" w:type="dxa"/>
            <w:vAlign w:val="bottom"/>
          </w:tcPr>
          <w:p>
            <w:pPr>
              <w:ind w:left="360"/>
              <w:spacing w:after="0" w:line="202" w:lineRule="exact"/>
              <w:rPr>
                <w:sz w:val="20"/>
                <w:szCs w:val="20"/>
                <w:color w:val="auto"/>
              </w:rPr>
            </w:pPr>
            <w:r>
              <w:rPr>
                <w:rFonts w:ascii="Arial" w:cs="Arial" w:eastAsia="Arial" w:hAnsi="Arial"/>
                <w:sz w:val="18"/>
                <w:szCs w:val="18"/>
                <w:color w:val="auto"/>
              </w:rPr>
              <w:t>2023</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11,501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2024</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10,395</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tcPr>
          <w:p>
            <w:pPr>
              <w:ind w:left="360"/>
              <w:spacing w:after="0" w:line="202" w:lineRule="exact"/>
              <w:rPr>
                <w:sz w:val="20"/>
                <w:szCs w:val="20"/>
                <w:color w:val="auto"/>
              </w:rPr>
            </w:pPr>
            <w:r>
              <w:rPr>
                <w:rFonts w:ascii="Arial" w:cs="Arial" w:eastAsia="Arial" w:hAnsi="Arial"/>
                <w:sz w:val="18"/>
                <w:szCs w:val="18"/>
                <w:color w:val="auto"/>
              </w:rPr>
              <w:t>2025</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9,108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57,786</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
        </w:trPr>
        <w:tc>
          <w:tcPr>
            <w:tcW w:w="4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tcPr>
          <w:p>
            <w:pPr>
              <w:ind w:left="720"/>
              <w:spacing w:after="0"/>
              <w:rPr>
                <w:sz w:val="20"/>
                <w:szCs w:val="20"/>
                <w:color w:val="auto"/>
              </w:rPr>
            </w:pPr>
            <w:r>
              <w:rPr>
                <w:rFonts w:ascii="Arial" w:cs="Arial" w:eastAsia="Arial" w:hAnsi="Arial"/>
                <w:sz w:val="18"/>
                <w:szCs w:val="18"/>
                <w:color w:val="auto"/>
              </w:rPr>
              <w:t>Total minimum lease payments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117,780</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r>
      <w:tr>
        <w:trPr>
          <w:trHeight w:val="203"/>
        </w:trPr>
        <w:tc>
          <w:tcPr>
            <w:tcW w:w="4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Imputed interest</w:t>
            </w: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(59,564)</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0"/>
        </w:trPr>
        <w:tc>
          <w:tcPr>
            <w:tcW w:w="4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tcPr>
          <w:p>
            <w:pPr>
              <w:ind w:left="720"/>
              <w:spacing w:after="0"/>
              <w:rPr>
                <w:sz w:val="20"/>
                <w:szCs w:val="20"/>
                <w:color w:val="auto"/>
              </w:rPr>
            </w:pPr>
            <w:r>
              <w:rPr>
                <w:rFonts w:ascii="Arial" w:cs="Arial" w:eastAsia="Arial" w:hAnsi="Arial"/>
                <w:sz w:val="18"/>
                <w:szCs w:val="18"/>
                <w:color w:val="auto"/>
              </w:rPr>
              <w:t>Lease liabilities at January 31, 2021</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58,216</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r>
      <w:tr>
        <w:trPr>
          <w:trHeight w:val="20"/>
        </w:trPr>
        <w:tc>
          <w:tcPr>
            <w:tcW w:w="4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3400" w:type="dxa"/>
            <w:vAlign w:val="bottom"/>
            <w:gridSpan w:val="2"/>
          </w:tcPr>
          <w:p>
            <w:pPr>
              <w:jc w:val="right"/>
              <w:ind w:right="2408"/>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8240" w:type="dxa"/>
            <w:vAlign w:val="bottom"/>
            <w:gridSpan w:val="3"/>
          </w:tcPr>
          <w:p>
            <w:pPr>
              <w:spacing w:after="0"/>
              <w:rPr>
                <w:sz w:val="20"/>
                <w:szCs w:val="20"/>
                <w:color w:val="auto"/>
              </w:rPr>
            </w:pPr>
            <w:r>
              <w:rPr>
                <w:rFonts w:ascii="Arial" w:cs="Arial" w:eastAsia="Arial" w:hAnsi="Arial"/>
                <w:sz w:val="18"/>
                <w:szCs w:val="18"/>
                <w:i w:val="1"/>
                <w:iCs w:val="1"/>
                <w:color w:val="auto"/>
              </w:rPr>
              <w:t>(Dollars in thousands, except share and per share amounts)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1"/>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900" w:type="dxa"/>
            <w:vAlign w:val="bottom"/>
            <w:gridSpan w:val="2"/>
          </w:tcPr>
          <w:p>
            <w:pPr>
              <w:ind w:left="200"/>
              <w:spacing w:after="0"/>
              <w:rPr>
                <w:sz w:val="20"/>
                <w:szCs w:val="20"/>
                <w:color w:val="auto"/>
              </w:rPr>
            </w:pPr>
            <w:r>
              <w:rPr>
                <w:rFonts w:ascii="Arial" w:cs="Arial" w:eastAsia="Arial" w:hAnsi="Arial"/>
                <w:sz w:val="18"/>
                <w:szCs w:val="18"/>
                <w:b w:val="1"/>
                <w:bCs w:val="1"/>
                <w:color w:val="auto"/>
              </w:rPr>
              <w:t>Rental Product, Net</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7900" w:type="dxa"/>
            <w:vAlign w:val="bottom"/>
            <w:gridSpan w:val="2"/>
          </w:tcPr>
          <w:p>
            <w:pPr>
              <w:ind w:left="200"/>
              <w:spacing w:after="0"/>
              <w:rPr>
                <w:sz w:val="20"/>
                <w:szCs w:val="20"/>
                <w:color w:val="auto"/>
              </w:rPr>
            </w:pPr>
            <w:r>
              <w:rPr>
                <w:rFonts w:ascii="Arial" w:cs="Arial" w:eastAsia="Arial" w:hAnsi="Arial"/>
                <w:sz w:val="18"/>
                <w:szCs w:val="18"/>
                <w:color w:val="auto"/>
              </w:rPr>
              <w:t>Rental product consisted of the following:</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January 31,</w:t>
            </w:r>
          </w:p>
        </w:tc>
      </w:tr>
      <w:tr>
        <w:trPr>
          <w:trHeight w:val="156"/>
        </w:trPr>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Apparel</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$176,329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183,846</w:t>
            </w:r>
          </w:p>
        </w:tc>
        <w:tc>
          <w:tcPr>
            <w:tcW w:w="12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10,624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8,889</w:t>
            </w:r>
          </w:p>
        </w:tc>
      </w:tr>
      <w:tr>
        <w:trPr>
          <w:trHeight w:val="27"/>
        </w:trPr>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186,953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192,735</w:t>
            </w:r>
          </w:p>
        </w:tc>
      </w:tr>
      <w:tr>
        <w:trPr>
          <w:trHeight w:val="203"/>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(70,993)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(95,093)</w:t>
            </w:r>
          </w:p>
        </w:tc>
      </w:tr>
      <w:tr>
        <w:trPr>
          <w:trHeight w:val="27"/>
        </w:trPr>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Rental product, net</w:t>
            </w: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115,960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97,642</w:t>
            </w:r>
          </w:p>
        </w:tc>
      </w:tr>
      <w:tr>
        <w:trPr>
          <w:trHeight w:val="20"/>
        </w:trPr>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$75,679 and $69,835 for the years ended January 31, 2020 and 2021, respectively.</w:t>
      </w:r>
    </w:p>
    <w:p>
      <w:pPr>
        <w:spacing w:after="0" w:line="323"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Fixed and Intangible Assets,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Fixed and intangible assets consisted of the following:</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January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4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48,339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55,015</w:t>
            </w:r>
          </w:p>
        </w:tc>
        <w:tc>
          <w:tcPr>
            <w:tcW w:w="120" w:type="dxa"/>
            <w:vAlign w:val="bottom"/>
            <w:shd w:val="clear" w:color="auto" w:fill="CCEEFF"/>
          </w:tcPr>
          <w:p>
            <w:pPr>
              <w:spacing w:after="0"/>
              <w:rPr>
                <w:sz w:val="17"/>
                <w:szCs w:val="17"/>
                <w:color w:val="auto"/>
              </w:rPr>
            </w:pPr>
          </w:p>
        </w:tc>
      </w:tr>
      <w:tr>
        <w:trPr>
          <w:trHeight w:val="202"/>
        </w:trPr>
        <w:tc>
          <w:tcPr>
            <w:tcW w:w="746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40,161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44,451</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Reusable packaging</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7,015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5,567</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Computer hardware</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6,383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5,942</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3,784</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4,505</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Financing lease ROU assets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721</w:t>
            </w:r>
          </w:p>
        </w:tc>
      </w:tr>
      <w:tr>
        <w:trPr>
          <w:trHeight w:val="27"/>
        </w:trPr>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106,383</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116,201</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10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(40,996)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(51,457)</w:t>
            </w:r>
          </w:p>
        </w:tc>
      </w:tr>
      <w:tr>
        <w:trPr>
          <w:trHeight w:val="27"/>
        </w:trPr>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Fixed assets, net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65,387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64,744</w:t>
            </w:r>
          </w:p>
        </w:tc>
      </w:tr>
      <w:tr>
        <w:trPr>
          <w:trHeight w:val="20"/>
        </w:trPr>
        <w:tc>
          <w:tcPr>
            <w:tcW w:w="7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60" w:type="dxa"/>
            <w:vAlign w:val="bottom"/>
          </w:tcPr>
          <w:p>
            <w:pPr>
              <w:spacing w:after="0" w:line="196" w:lineRule="exact"/>
              <w:rPr>
                <w:sz w:val="20"/>
                <w:szCs w:val="20"/>
                <w:color w:val="auto"/>
              </w:rPr>
            </w:pPr>
            <w:r>
              <w:rPr>
                <w:rFonts w:ascii="Arial" w:cs="Arial" w:eastAsia="Arial" w:hAnsi="Arial"/>
                <w:sz w:val="18"/>
                <w:szCs w:val="18"/>
                <w:color w:val="auto"/>
              </w:rPr>
              <w:t>Software assets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17,177</w:t>
            </w:r>
          </w:p>
        </w:tc>
        <w:tc>
          <w:tcPr>
            <w:tcW w:w="3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20,239</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(8,143)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(12,439)</w:t>
            </w:r>
          </w:p>
        </w:tc>
      </w:tr>
      <w:tr>
        <w:trPr>
          <w:trHeight w:val="20"/>
        </w:trPr>
        <w:tc>
          <w:tcPr>
            <w:tcW w:w="7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6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9,034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7,800</w:t>
            </w:r>
          </w:p>
        </w:tc>
      </w:tr>
      <w:tr>
        <w:trPr>
          <w:trHeight w:val="20"/>
        </w:trPr>
        <w:tc>
          <w:tcPr>
            <w:tcW w:w="7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00"/>
        <w:spacing w:after="0" w:line="261" w:lineRule="auto"/>
        <w:rPr>
          <w:sz w:val="20"/>
          <w:szCs w:val="20"/>
          <w:color w:val="auto"/>
        </w:rPr>
      </w:pPr>
      <w:r>
        <w:rPr>
          <w:rFonts w:ascii="Arial" w:cs="Arial" w:eastAsia="Arial" w:hAnsi="Arial"/>
          <w:sz w:val="17"/>
          <w:szCs w:val="17"/>
          <w:color w:val="auto"/>
        </w:rPr>
        <w:t>Depreciation related to fixed assets was $16,527 and $18,438 for the years ended January 31, 2020 and 2021, respectively. Amortization of intangible assets was $5,059 and $5,656 for the years ended January 31, 2020 and 2021, respectively. Refer to Note 4 for further details related to the finance lease ROU assets included in fixed assets on the consolidated balance sheets.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900"/>
          </w:cols>
          <w:pgMar w:left="320" w:top="459" w:right="6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2021, expected amortization of intangible assets (excluding software projects not yet deployed) is as follows:</w:t>
      </w:r>
    </w:p>
    <w:p>
      <w:pPr>
        <w:spacing w:after="0" w:line="235"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9180" w:type="dxa"/>
            <w:vAlign w:val="bottom"/>
          </w:tcPr>
          <w:p>
            <w:pPr>
              <w:ind w:left="360"/>
              <w:spacing w:after="0" w:line="202" w:lineRule="exact"/>
              <w:rPr>
                <w:sz w:val="20"/>
                <w:szCs w:val="20"/>
                <w:color w:val="auto"/>
              </w:rPr>
            </w:pPr>
            <w:r>
              <w:rPr>
                <w:rFonts w:ascii="Arial" w:cs="Arial" w:eastAsia="Arial" w:hAnsi="Arial"/>
                <w:sz w:val="18"/>
                <w:szCs w:val="18"/>
                <w:color w:val="auto"/>
              </w:rPr>
              <w:t>2021</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$3,685</w:t>
            </w:r>
          </w:p>
        </w:tc>
        <w:tc>
          <w:tcPr>
            <w:tcW w:w="40" w:type="dxa"/>
            <w:vAlign w:val="bottom"/>
          </w:tcPr>
          <w:p>
            <w:pPr>
              <w:spacing w:after="0"/>
              <w:rPr>
                <w:sz w:val="17"/>
                <w:szCs w:val="17"/>
                <w:color w:val="auto"/>
              </w:rPr>
            </w:pPr>
          </w:p>
        </w:tc>
      </w:tr>
      <w:tr>
        <w:trPr>
          <w:trHeight w:val="202"/>
        </w:trPr>
        <w:tc>
          <w:tcPr>
            <w:tcW w:w="9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1,478</w:t>
            </w:r>
          </w:p>
        </w:tc>
        <w:tc>
          <w:tcPr>
            <w:tcW w:w="40" w:type="dxa"/>
            <w:vAlign w:val="bottom"/>
            <w:shd w:val="clear" w:color="auto" w:fill="CCEEFF"/>
          </w:tcPr>
          <w:p>
            <w:pPr>
              <w:spacing w:after="0"/>
              <w:rPr>
                <w:sz w:val="17"/>
                <w:szCs w:val="17"/>
                <w:color w:val="auto"/>
              </w:rPr>
            </w:pPr>
          </w:p>
        </w:tc>
      </w:tr>
      <w:tr>
        <w:trPr>
          <w:trHeight w:val="203"/>
        </w:trPr>
        <w:tc>
          <w:tcPr>
            <w:tcW w:w="9180" w:type="dxa"/>
            <w:vAlign w:val="bottom"/>
          </w:tcPr>
          <w:p>
            <w:pPr>
              <w:ind w:left="360"/>
              <w:spacing w:after="0" w:line="202" w:lineRule="exact"/>
              <w:rPr>
                <w:sz w:val="20"/>
                <w:szCs w:val="20"/>
                <w:color w:val="auto"/>
              </w:rPr>
            </w:pPr>
            <w:r>
              <w:rPr>
                <w:rFonts w:ascii="Arial" w:cs="Arial" w:eastAsia="Arial" w:hAnsi="Arial"/>
                <w:sz w:val="18"/>
                <w:szCs w:val="18"/>
                <w:color w:val="auto"/>
              </w:rPr>
              <w:t>2023</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40" w:type="dxa"/>
            <w:vAlign w:val="bottom"/>
          </w:tcPr>
          <w:p>
            <w:pPr>
              <w:spacing w:after="0"/>
              <w:rPr>
                <w:sz w:val="17"/>
                <w:szCs w:val="17"/>
                <w:color w:val="auto"/>
              </w:rPr>
            </w:pPr>
          </w:p>
        </w:tc>
      </w:tr>
      <w:tr>
        <w:trPr>
          <w:trHeight w:val="203"/>
        </w:trPr>
        <w:tc>
          <w:tcPr>
            <w:tcW w:w="9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2024</w:t>
            </w:r>
          </w:p>
        </w:tc>
        <w:tc>
          <w:tcPr>
            <w:tcW w:w="6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203"/>
        </w:trPr>
        <w:tc>
          <w:tcPr>
            <w:tcW w:w="9180" w:type="dxa"/>
            <w:vAlign w:val="bottom"/>
          </w:tcPr>
          <w:p>
            <w:pPr>
              <w:ind w:left="360"/>
              <w:spacing w:after="0" w:line="202" w:lineRule="exact"/>
              <w:rPr>
                <w:sz w:val="20"/>
                <w:szCs w:val="20"/>
                <w:color w:val="auto"/>
              </w:rPr>
            </w:pPr>
            <w:r>
              <w:rPr>
                <w:rFonts w:ascii="Arial" w:cs="Arial" w:eastAsia="Arial" w:hAnsi="Arial"/>
                <w:sz w:val="18"/>
                <w:szCs w:val="18"/>
                <w:color w:val="auto"/>
              </w:rPr>
              <w:t>2025</w:t>
            </w:r>
          </w:p>
        </w:tc>
        <w:tc>
          <w:tcPr>
            <w:tcW w:w="6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r>
      <w:tr>
        <w:trPr>
          <w:trHeight w:val="203"/>
        </w:trPr>
        <w:tc>
          <w:tcPr>
            <w:tcW w:w="9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Thereafter</w:t>
            </w:r>
          </w:p>
        </w:tc>
        <w:tc>
          <w:tcPr>
            <w:tcW w:w="6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210"/>
        </w:trPr>
        <w:tc>
          <w:tcPr>
            <w:tcW w:w="9180" w:type="dxa"/>
            <w:vAlign w:val="bottom"/>
          </w:tcPr>
          <w:p>
            <w:pPr>
              <w:ind w:left="720"/>
              <w:spacing w:after="0"/>
              <w:rPr>
                <w:sz w:val="20"/>
                <w:szCs w:val="20"/>
                <w:color w:val="auto"/>
              </w:rPr>
            </w:pPr>
            <w:r>
              <w:rPr>
                <w:rFonts w:ascii="Arial" w:cs="Arial" w:eastAsia="Arial" w:hAnsi="Arial"/>
                <w:sz w:val="18"/>
                <w:szCs w:val="18"/>
                <w:color w:val="auto"/>
              </w:rPr>
              <w:t>Total future amortization</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5,420</w:t>
            </w:r>
          </w:p>
        </w:tc>
        <w:tc>
          <w:tcPr>
            <w:tcW w:w="4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right="9040" w:hanging="544"/>
        <w:spacing w:after="0" w:line="372" w:lineRule="auto"/>
        <w:tabs>
          <w:tab w:leader="none" w:pos="649"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at January 31, 2020 and 2021:</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Bank of America Line of Credit</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gridSpan w:val="2"/>
          </w:tcPr>
          <w:p>
            <w:pPr>
              <w:spacing w:after="0"/>
              <w:rPr>
                <w:sz w:val="20"/>
                <w:szCs w:val="20"/>
                <w:color w:val="auto"/>
              </w:rPr>
            </w:pPr>
            <w:r>
              <w:rPr>
                <w:rFonts w:ascii="Arial" w:cs="Arial" w:eastAsia="Arial" w:hAnsi="Arial"/>
                <w:sz w:val="18"/>
                <w:szCs w:val="18"/>
                <w:color w:val="auto"/>
              </w:rPr>
              <w:t>Temasek Facility principal outstanding</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 payment-in-kind interest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26,963</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340"/>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(5,845)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Temasek Facility,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171,118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290,331</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color w:val="auto"/>
              </w:rPr>
              <w:t>Ares Facility principal outstanding</w:t>
            </w:r>
          </w:p>
        </w:tc>
        <w:tc>
          <w:tcPr>
            <w:tcW w:w="1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 payment-in-kind interest</w:t>
            </w: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340"/>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Ares Facility,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65,675</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tcPr>
          <w:p>
            <w:pPr>
              <w:spacing w:after="0"/>
              <w:rPr>
                <w:sz w:val="20"/>
                <w:szCs w:val="20"/>
                <w:color w:val="auto"/>
              </w:rPr>
            </w:pPr>
            <w:r>
              <w:rPr>
                <w:rFonts w:ascii="Arial" w:cs="Arial" w:eastAsia="Arial" w:hAnsi="Arial"/>
                <w:sz w:val="18"/>
                <w:szCs w:val="18"/>
                <w:color w:val="auto"/>
              </w:rPr>
              <w:t>Total net carrying value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215,118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356,006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Less: current portion of long-term debt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tcPr>
          <w:p>
            <w:pPr>
              <w:spacing w:after="0"/>
              <w:rPr>
                <w:sz w:val="20"/>
                <w:szCs w:val="20"/>
                <w:color w:val="auto"/>
              </w:rPr>
            </w:pPr>
            <w:r>
              <w:rPr>
                <w:rFonts w:ascii="Arial" w:cs="Arial" w:eastAsia="Arial" w:hAnsi="Arial"/>
                <w:sz w:val="18"/>
                <w:szCs w:val="18"/>
                <w:color w:val="auto"/>
              </w:rPr>
              <w:t>Total noncurrent line of credit and long-term debt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215,118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355,068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 of America Line of Credit</w:t>
      </w:r>
    </w:p>
    <w:p>
      <w:pPr>
        <w:spacing w:after="0" w:line="126"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$100,000, with an incremental uncommitted accordion of $50,000.</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97"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203" w:lineRule="exact"/>
        <w:rPr>
          <w:sz w:val="20"/>
          <w:szCs w:val="20"/>
          <w:color w:val="auto"/>
        </w:rPr>
      </w:pPr>
    </w:p>
    <w:p>
      <w:pPr>
        <w:ind w:left="660" w:right="180"/>
        <w:spacing w:after="0" w:line="238" w:lineRule="auto"/>
        <w:rPr>
          <w:sz w:val="20"/>
          <w:szCs w:val="20"/>
          <w:color w:val="auto"/>
        </w:rPr>
      </w:pPr>
      <w:r>
        <w:rPr>
          <w:rFonts w:ascii="Arial" w:cs="Arial" w:eastAsia="Arial" w:hAnsi="Arial"/>
          <w:sz w:val="18"/>
          <w:szCs w:val="18"/>
          <w:color w:val="auto"/>
        </w:rPr>
        <w:t>In June 2020, the Company executed an amendment to the Line of Credit. The amendment adjusted certain borrowing base related definitions, certain reporting requirements and certain negative and financial covenants, and increased the interest rate to LIBOR plus 300 to 350 basis points. In connection with this amendment, the Company moved $15,000 into a segregated account for the benefit of the lenders.</w:t>
      </w:r>
    </w:p>
    <w:p>
      <w:pPr>
        <w:spacing w:after="0" w:line="205"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$571 loss on debt extinguishment related to this transaction.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Temasek Facility</w:t>
      </w:r>
    </w:p>
    <w:p>
      <w:pPr>
        <w:spacing w:after="0" w:line="126" w:lineRule="exact"/>
        <w:rPr>
          <w:sz w:val="20"/>
          <w:szCs w:val="20"/>
          <w:color w:val="auto"/>
        </w:rPr>
      </w:pPr>
    </w:p>
    <w:p>
      <w:pPr>
        <w:ind w:left="660" w:right="260"/>
        <w:spacing w:after="0" w:line="238"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$100,000 under the Temasek Facility at closing with the ability to draw an additional $100,000 in multiple drawings at any time prior to July 23, 2020 (the “Initial Temasek Commitments”) based on meeting certain performance and financial tests at each draw.</w:t>
      </w:r>
    </w:p>
    <w:p>
      <w:pPr>
        <w:spacing w:after="0" w:line="205"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In November 2019, the Company drew an additional $50,000 of the Initial Temasek Commitments and amended the Temasek Facility to include an additional $30,000 of committed availability (the “Subsequent Temasek Commitments”) which were not subject to the financial tests described above. In March 2020, the Company drew the remaining $ 50,000 of the Initial Temasek Commitments and the $30,000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203" w:lineRule="exact"/>
        <w:rPr>
          <w:sz w:val="20"/>
          <w:szCs w:val="20"/>
          <w:color w:val="auto"/>
        </w:rPr>
      </w:pPr>
    </w:p>
    <w:p>
      <w:pPr>
        <w:jc w:val="both"/>
        <w:ind w:left="660" w:right="60"/>
        <w:spacing w:after="0"/>
        <w:rPr>
          <w:sz w:val="20"/>
          <w:szCs w:val="20"/>
          <w:color w:val="auto"/>
        </w:rPr>
      </w:pPr>
      <w:r>
        <w:rPr>
          <w:rFonts w:ascii="Arial" w:cs="Arial" w:eastAsia="Arial" w:hAnsi="Arial"/>
          <w:sz w:val="18"/>
          <w:szCs w:val="18"/>
          <w:color w:val="auto"/>
        </w:rPr>
        <w:t>In addition, the Temasek Facility includes an incremental uncommitted $70,000, which may be provided by existing or new lenders, but is subject to a right of first refusal for existing lenders and requires that the full $200,000 of Initial Temasek Commitments have been drawn.</w:t>
      </w:r>
    </w:p>
    <w:p>
      <w:pPr>
        <w:spacing w:after="0" w:line="203"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Temasek Facility matures in July 2023. The Initial Temasek Commitments bear an interest rate of 15% per annum that accrue as noncash interest. After the third anniversary of the loan,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80"/>
        <w:spacing w:after="0" w:line="253" w:lineRule="auto"/>
        <w:rPr>
          <w:sz w:val="20"/>
          <w:szCs w:val="20"/>
          <w:color w:val="auto"/>
        </w:rPr>
      </w:pPr>
      <w:r>
        <w:rPr>
          <w:rFonts w:ascii="Arial" w:cs="Arial" w:eastAsia="Arial" w:hAnsi="Arial"/>
          <w:sz w:val="17"/>
          <w:szCs w:val="17"/>
          <w:color w:val="auto"/>
        </w:rPr>
        <w:t>the Company can elect to pay cash interest at 13% per annum in lieu of the 15% noncash interest on the Initial Temasek Commitments. The Subsequent Temasek Commitments bear a cash interest rate of 13% per annum, payable quarterly. The Temasek facility principal balance of $292,229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91" w:lineRule="exact"/>
        <w:rPr>
          <w:sz w:val="20"/>
          <w:szCs w:val="20"/>
          <w:color w:val="auto"/>
        </w:rPr>
      </w:pPr>
    </w:p>
    <w:p>
      <w:pPr>
        <w:ind w:left="660" w:right="320"/>
        <w:spacing w:after="0" w:line="238" w:lineRule="auto"/>
        <w:rPr>
          <w:sz w:val="20"/>
          <w:szCs w:val="20"/>
          <w:color w:val="auto"/>
        </w:rPr>
      </w:pPr>
      <w:r>
        <w:rPr>
          <w:rFonts w:ascii="Arial" w:cs="Arial" w:eastAsia="Arial" w:hAnsi="Arial"/>
          <w:sz w:val="18"/>
          <w:szCs w:val="18"/>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205"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208"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In July 2018, the Company recorded a debt discount of $11,473, of which $1,386 related to closing fees paid and $10,357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was 15.95%.</w:t>
      </w:r>
    </w:p>
    <w:p>
      <w:pPr>
        <w:spacing w:after="0" w:line="202" w:lineRule="exact"/>
        <w:rPr>
          <w:sz w:val="20"/>
          <w:szCs w:val="20"/>
          <w:color w:val="auto"/>
        </w:rPr>
      </w:pPr>
    </w:p>
    <w:p>
      <w:pPr>
        <w:ind w:left="660" w:right="340"/>
        <w:spacing w:after="0"/>
        <w:rPr>
          <w:sz w:val="20"/>
          <w:szCs w:val="20"/>
          <w:color w:val="auto"/>
        </w:rPr>
      </w:pPr>
      <w:r>
        <w:rPr>
          <w:rFonts w:ascii="Arial" w:cs="Arial" w:eastAsia="Arial" w:hAnsi="Arial"/>
          <w:sz w:val="18"/>
          <w:szCs w:val="18"/>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Ares Facility</w:t>
      </w:r>
    </w:p>
    <w:p>
      <w:pPr>
        <w:spacing w:after="0" w:line="12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In October 2020, the Company entered into the Ares Facility with Alter Domus (US) LLC as administrative agent for Ares Corporate Opportunities Fund V, L.P. (“Ares”). The Company received gross proceeds equal to $75,000 (the “Ares Original Principal”). In conjunction with the incurrence of the Ares Facility, the Company received proceeds from Ares of $25,000 for the issuance of 1,695,955 shares of Series G redeemable preferred stock. The total transaction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resulted in the receipt of $100,000 in exchange for the Ares Facility, Series G redeemable preferred stock and issuance of common stock warrants (the “Ares Financing Transaction”).</w:t>
      </w:r>
    </w:p>
    <w:p>
      <w:pPr>
        <w:spacing w:after="0" w:line="197" w:lineRule="exact"/>
        <w:rPr>
          <w:sz w:val="20"/>
          <w:szCs w:val="20"/>
          <w:color w:val="auto"/>
        </w:rPr>
      </w:pPr>
    </w:p>
    <w:p>
      <w:pPr>
        <w:ind w:left="660" w:right="60"/>
        <w:spacing w:after="0" w:line="237" w:lineRule="auto"/>
        <w:rPr>
          <w:sz w:val="20"/>
          <w:szCs w:val="20"/>
          <w:color w:val="auto"/>
        </w:rPr>
      </w:pPr>
      <w:r>
        <w:rPr>
          <w:rFonts w:ascii="Arial" w:cs="Arial" w:eastAsia="Arial" w:hAnsi="Arial"/>
          <w:sz w:val="18"/>
          <w:szCs w:val="18"/>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amount to $938, $750 and $375 in 2021, 2022 and 2023, respectively. The remaining principal balance of $74,572 becomes due in 2023. The Ares Facility requires an exit payment of $1,500 to be paid once the Ares Facility matures or the Ares Original Principal is paid in full.</w:t>
      </w:r>
    </w:p>
    <w:p>
      <w:pPr>
        <w:spacing w:after="0" w:line="205" w:lineRule="exact"/>
        <w:rPr>
          <w:sz w:val="20"/>
          <w:szCs w:val="20"/>
          <w:color w:val="auto"/>
        </w:rPr>
      </w:pPr>
    </w:p>
    <w:p>
      <w:pPr>
        <w:ind w:left="660" w:right="140"/>
        <w:spacing w:after="0" w:line="238" w:lineRule="auto"/>
        <w:rPr>
          <w:sz w:val="20"/>
          <w:szCs w:val="20"/>
          <w:color w:val="auto"/>
        </w:rPr>
      </w:pPr>
      <w:r>
        <w:rPr>
          <w:rFonts w:ascii="Arial" w:cs="Arial" w:eastAsia="Arial" w:hAnsi="Arial"/>
          <w:sz w:val="18"/>
          <w:szCs w:val="18"/>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205" w:lineRule="exact"/>
        <w:rPr>
          <w:sz w:val="20"/>
          <w:szCs w:val="20"/>
          <w:color w:val="auto"/>
        </w:rPr>
      </w:pPr>
    </w:p>
    <w:p>
      <w:pPr>
        <w:ind w:left="660"/>
        <w:spacing w:after="0" w:line="234" w:lineRule="auto"/>
        <w:rPr>
          <w:sz w:val="20"/>
          <w:szCs w:val="20"/>
          <w:color w:val="auto"/>
        </w:rPr>
      </w:pPr>
      <w:r>
        <w:rPr>
          <w:rFonts w:ascii="Arial" w:cs="Arial" w:eastAsia="Arial" w:hAnsi="Arial"/>
          <w:sz w:val="18"/>
          <w:szCs w:val="18"/>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 million for the nine month period ending January 31, 2022, and $22 million for the twelve 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5"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97" w:lineRule="exact"/>
        <w:rPr>
          <w:sz w:val="20"/>
          <w:szCs w:val="20"/>
          <w:color w:val="auto"/>
        </w:rPr>
      </w:pPr>
    </w:p>
    <w:p>
      <w:pPr>
        <w:ind w:left="660" w:right="240"/>
        <w:spacing w:after="0" w:line="238" w:lineRule="auto"/>
        <w:rPr>
          <w:sz w:val="20"/>
          <w:szCs w:val="20"/>
          <w:color w:val="auto"/>
        </w:rPr>
      </w:pPr>
      <w:r>
        <w:rPr>
          <w:rFonts w:ascii="Arial" w:cs="Arial" w:eastAsia="Arial" w:hAnsi="Arial"/>
          <w:sz w:val="18"/>
          <w:szCs w:val="18"/>
          <w:color w:val="auto"/>
        </w:rPr>
        <w:t>The Ares Facility also requires the Company to comply with a minimum fixed charge coverage ratio of 1:1 when liquidity is below the minimum specified threshold of $20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205"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20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Company allocated the debt discount and debt issuance costs amongst the various instruments issued in the Ares Financing Transaction. The amount allocated as a debt discount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was $10,398, of which $1,725 related to fees paid to the lender and $8,673 related to the allocation of proceeds to the warrants issued. The Company also recorded debt issuance costs of $ 1,638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was 13.35%.</w:t>
      </w:r>
    </w:p>
    <w:p>
      <w:pPr>
        <w:spacing w:after="0" w:line="205" w:lineRule="exact"/>
        <w:rPr>
          <w:sz w:val="20"/>
          <w:szCs w:val="20"/>
          <w:color w:val="auto"/>
        </w:rPr>
      </w:pPr>
    </w:p>
    <w:p>
      <w:pPr>
        <w:ind w:left="660" w:right="60"/>
        <w:spacing w:after="0"/>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Covenants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was in compliance with all applicable financial and nonfinancial covenants at January 31, 2021.</w:t>
      </w:r>
    </w:p>
    <w:p>
      <w:pPr>
        <w:spacing w:after="0" w:line="338"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loss before income taxes includes the following components: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right"/>
              <w:ind w:right="1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2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$(154,150)</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$(171,386)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(154,107)</w:t>
            </w:r>
          </w:p>
        </w:tc>
        <w:tc>
          <w:tcPr>
            <w:tcW w:w="11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(171,081)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Total income taxes allocated to operations are as follows:</w:t>
            </w: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Current provision:</w:t>
            </w:r>
          </w:p>
        </w:tc>
        <w:tc>
          <w:tcPr>
            <w:tcW w:w="2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 and local</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600" w:type="dxa"/>
            <w:vAlign w:val="bottom"/>
          </w:tcPr>
          <w:p>
            <w:pPr>
              <w:ind w:left="360"/>
              <w:spacing w:after="0" w:line="202" w:lineRule="exact"/>
              <w:rPr>
                <w:sz w:val="20"/>
                <w:szCs w:val="20"/>
                <w:color w:val="auto"/>
              </w:rPr>
            </w:pPr>
            <w:r>
              <w:rPr>
                <w:rFonts w:ascii="Arial" w:cs="Arial" w:eastAsia="Arial" w:hAnsi="Arial"/>
                <w:sz w:val="18"/>
                <w:szCs w:val="18"/>
                <w:color w:val="auto"/>
              </w:rPr>
              <w:t>Foreign</w:t>
            </w:r>
          </w:p>
        </w:tc>
        <w:tc>
          <w:tcPr>
            <w:tcW w:w="2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provision</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60"/>
              <w:spacing w:after="0"/>
              <w:rPr>
                <w:sz w:val="20"/>
                <w:szCs w:val="20"/>
                <w:color w:val="auto"/>
              </w:rPr>
            </w:pPr>
            <w:r>
              <w:rPr>
                <w:rFonts w:ascii="Arial" w:cs="Arial" w:eastAsia="Arial" w:hAnsi="Arial"/>
                <w:sz w:val="18"/>
                <w:szCs w:val="18"/>
                <w:color w:val="auto"/>
              </w:rPr>
              <w:t>Deferred provision:</w:t>
            </w: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gridSpan w:val="2"/>
            <w:vMerge w:val="continue"/>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tcPr>
          <w:p>
            <w:pPr>
              <w:ind w:left="360"/>
              <w:spacing w:after="0" w:line="202" w:lineRule="exact"/>
              <w:rPr>
                <w:sz w:val="20"/>
                <w:szCs w:val="20"/>
                <w:color w:val="auto"/>
              </w:rPr>
            </w:pPr>
            <w:r>
              <w:rPr>
                <w:rFonts w:ascii="Arial" w:cs="Arial" w:eastAsia="Arial" w:hAnsi="Arial"/>
                <w:sz w:val="18"/>
                <w:szCs w:val="18"/>
                <w:color w:val="auto"/>
              </w:rPr>
              <w:t>State and local</w:t>
            </w: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4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4600" w:type="dxa"/>
            <w:vAlign w:val="bottom"/>
          </w:tcPr>
          <w:p>
            <w:pPr>
              <w:ind w:left="720"/>
              <w:spacing w:after="0"/>
              <w:rPr>
                <w:sz w:val="20"/>
                <w:szCs w:val="20"/>
                <w:color w:val="auto"/>
              </w:rPr>
            </w:pPr>
            <w:r>
              <w:rPr>
                <w:rFonts w:ascii="Arial" w:cs="Arial" w:eastAsia="Arial" w:hAnsi="Arial"/>
                <w:sz w:val="18"/>
                <w:szCs w:val="18"/>
                <w:color w:val="auto"/>
              </w:rPr>
              <w:t>Total deferred provision</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vMerge w:val="continue"/>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benefit from (provision for) income taxes</w:t>
            </w:r>
          </w:p>
        </w:tc>
        <w:tc>
          <w:tcPr>
            <w:tcW w:w="2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920" w:type="dxa"/>
            <w:vAlign w:val="bottom"/>
            <w:gridSpan w:val="2"/>
          </w:tcPr>
          <w:p>
            <w:pPr>
              <w:jc w:val="right"/>
              <w:ind w:right="2350"/>
              <w:spacing w:after="0"/>
              <w:rPr>
                <w:sz w:val="20"/>
                <w:szCs w:val="20"/>
                <w:color w:val="auto"/>
              </w:rPr>
            </w:pPr>
            <w:r>
              <w:rPr>
                <w:rFonts w:ascii="Arial" w:cs="Arial" w:eastAsia="Arial" w:hAnsi="Arial"/>
                <w:sz w:val="18"/>
                <w:szCs w:val="18"/>
                <w:color w:val="auto"/>
              </w:rPr>
              <w:t>F-25</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Company’s net deferred tax assets (liabilities) are as follows: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Federal and state net operating loss carryforwards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87,261</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Customer credits liability</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1,803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Interest limitation</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10,184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3,280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Tax credits</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2,234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Operating lease liability</w:t>
            </w:r>
          </w:p>
        </w:tc>
        <w:tc>
          <w:tcPr>
            <w:tcW w:w="100" w:type="dxa"/>
            <w:vAlign w:val="bottom"/>
          </w:tcPr>
          <w:p>
            <w:pPr>
              <w:spacing w:after="0"/>
              <w:rPr>
                <w:sz w:val="17"/>
                <w:szCs w:val="17"/>
                <w:color w:val="auto"/>
              </w:rPr>
            </w:pP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13,042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119,783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170,378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Operating lease right-of-use-asset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(9,727)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(9,731)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110,052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(109,881)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(159,049)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171</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At January 31, 2020 and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$46,772 and $49,130 and, respectively. The Company’s deferred tax assets are included in other assets on the consolidated balance sheets.</w:t>
      </w:r>
    </w:p>
    <w:p>
      <w:pPr>
        <w:spacing w:after="0" w:line="205" w:lineRule="exact"/>
        <w:rPr>
          <w:sz w:val="20"/>
          <w:szCs w:val="20"/>
          <w:color w:val="auto"/>
        </w:rPr>
      </w:pPr>
    </w:p>
    <w:p>
      <w:pPr>
        <w:ind w:left="660" w:right="220"/>
        <w:spacing w:after="0" w:line="274" w:lineRule="auto"/>
        <w:rPr>
          <w:sz w:val="20"/>
          <w:szCs w:val="20"/>
          <w:color w:val="auto"/>
        </w:rPr>
      </w:pPr>
      <w:r>
        <w:rPr>
          <w:rFonts w:ascii="Arial" w:cs="Arial" w:eastAsia="Arial" w:hAnsi="Arial"/>
          <w:sz w:val="17"/>
          <w:szCs w:val="17"/>
          <w:color w:val="auto"/>
        </w:rPr>
        <w:t>At January 31, 2021, the Company had federal net operating loss tax carryforwards of approximately $459,332. Approximately $152,053 of the net operating loss carryforwards will expire at various times through 2038, while $307,279 will not expire.</w:t>
      </w:r>
    </w:p>
    <w:p>
      <w:pPr>
        <w:spacing w:after="0" w:line="175"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920"/>
          </w:cols>
          <w:pgMar w:left="320" w:top="459" w:right="6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The benefit for income taxes differs from the amount computed by applying the statutory U.S. Federal income tax rate to pretax loss because of the effect of the following items: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54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2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 “expected” tax benefit</w:t>
            </w:r>
          </w:p>
        </w:tc>
        <w:tc>
          <w:tcPr>
            <w:tcW w:w="1060" w:type="dxa"/>
            <w:vAlign w:val="bottom"/>
            <w:gridSpan w:val="3"/>
            <w:shd w:val="clear" w:color="auto" w:fill="CCEEFF"/>
          </w:tcPr>
          <w:p>
            <w:pPr>
              <w:jc w:val="right"/>
              <w:ind w:right="194"/>
              <w:spacing w:after="0" w:line="196" w:lineRule="exact"/>
              <w:rPr>
                <w:sz w:val="20"/>
                <w:szCs w:val="20"/>
                <w:color w:val="auto"/>
              </w:rPr>
            </w:pPr>
            <w:r>
              <w:rPr>
                <w:rFonts w:ascii="Arial" w:cs="Arial" w:eastAsia="Arial" w:hAnsi="Arial"/>
                <w:sz w:val="18"/>
                <w:szCs w:val="18"/>
                <w:color w:val="auto"/>
              </w:rPr>
              <w:t>21.00%</w:t>
            </w:r>
          </w:p>
        </w:tc>
        <w:tc>
          <w:tcPr>
            <w:tcW w:w="5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60" w:type="dxa"/>
            <w:vAlign w:val="bottom"/>
            <w:gridSpan w:val="3"/>
          </w:tcPr>
          <w:p>
            <w:pPr>
              <w:jc w:val="right"/>
              <w:ind w:right="134"/>
              <w:spacing w:after="0" w:line="202" w:lineRule="exact"/>
              <w:rPr>
                <w:sz w:val="20"/>
                <w:szCs w:val="20"/>
                <w:color w:val="auto"/>
              </w:rPr>
            </w:pPr>
            <w:r>
              <w:rPr>
                <w:rFonts w:ascii="Arial" w:cs="Arial" w:eastAsia="Arial" w:hAnsi="Arial"/>
                <w:sz w:val="18"/>
                <w:szCs w:val="18"/>
                <w:color w:val="auto"/>
              </w:rPr>
              <w:t>(0.01)%</w:t>
            </w:r>
          </w:p>
        </w:tc>
        <w:tc>
          <w:tcPr>
            <w:tcW w:w="560" w:type="dxa"/>
            <w:vAlign w:val="bottom"/>
          </w:tcPr>
          <w:p>
            <w:pPr>
              <w:spacing w:after="0"/>
              <w:rPr>
                <w:sz w:val="17"/>
                <w:szCs w:val="17"/>
                <w:color w:val="auto"/>
              </w:rPr>
            </w:pPr>
          </w:p>
        </w:tc>
        <w:tc>
          <w:tcPr>
            <w:tcW w:w="9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year change in valuation allowance</w:t>
            </w:r>
          </w:p>
        </w:tc>
        <w:tc>
          <w:tcPr>
            <w:tcW w:w="1060" w:type="dxa"/>
            <w:vAlign w:val="bottom"/>
            <w:gridSpan w:val="3"/>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(20.91)%</w:t>
            </w:r>
          </w:p>
        </w:tc>
        <w:tc>
          <w:tcPr>
            <w:tcW w:w="5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60" w:type="dxa"/>
            <w:vAlign w:val="bottom"/>
            <w:gridSpan w:val="3"/>
          </w:tcPr>
          <w:p>
            <w:pPr>
              <w:jc w:val="right"/>
              <w:ind w:right="194"/>
              <w:spacing w:after="0" w:line="202" w:lineRule="exact"/>
              <w:rPr>
                <w:sz w:val="20"/>
                <w:szCs w:val="20"/>
                <w:color w:val="auto"/>
              </w:rPr>
            </w:pPr>
            <w:r>
              <w:rPr>
                <w:rFonts w:ascii="Arial" w:cs="Arial" w:eastAsia="Arial" w:hAnsi="Arial"/>
                <w:sz w:val="18"/>
                <w:szCs w:val="18"/>
                <w:color w:val="auto"/>
              </w:rPr>
              <w:t>0.03%</w:t>
            </w:r>
          </w:p>
        </w:tc>
        <w:tc>
          <w:tcPr>
            <w:tcW w:w="560" w:type="dxa"/>
            <w:vAlign w:val="bottom"/>
          </w:tcPr>
          <w:p>
            <w:pPr>
              <w:spacing w:after="0"/>
              <w:rPr>
                <w:sz w:val="17"/>
                <w:szCs w:val="17"/>
                <w:color w:val="auto"/>
              </w:rPr>
            </w:pPr>
          </w:p>
        </w:tc>
        <w:tc>
          <w:tcPr>
            <w:tcW w:w="8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vMerge w:val="continue"/>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106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0.11%</w:t>
            </w:r>
          </w:p>
        </w:tc>
        <w:tc>
          <w:tcPr>
            <w:tcW w:w="5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6"/>
          </w:tcPr>
          <w:p>
            <w:pPr>
              <w:spacing w:after="0"/>
              <w:rPr>
                <w:sz w:val="20"/>
                <w:szCs w:val="20"/>
                <w:color w:val="auto"/>
              </w:rPr>
            </w:pPr>
            <w:r>
              <w:rPr>
                <w:rFonts w:ascii="Arial" w:cs="Arial" w:eastAsia="Arial" w:hAnsi="Arial"/>
                <w:sz w:val="18"/>
                <w:szCs w:val="18"/>
                <w:color w:val="auto"/>
              </w:rPr>
              <w:t>The following table summarizes the unrecognized tax benefit activity for the periods indicated:</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the beginning of period</w:t>
            </w: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0"/>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4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Settlements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the end of the period</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amount of unrecognized tax benefits included on the consolidated balance sheets as of January 31, 2020 and 2021 are $0 and $570, respectively.</w:t>
      </w:r>
    </w:p>
    <w:p>
      <w:pPr>
        <w:spacing w:after="0" w:line="197" w:lineRule="exact"/>
        <w:rPr>
          <w:sz w:val="20"/>
          <w:szCs w:val="20"/>
          <w:color w:val="auto"/>
        </w:rPr>
      </w:pPr>
    </w:p>
    <w:p>
      <w:pPr>
        <w:ind w:left="660" w:right="140"/>
        <w:spacing w:after="0" w:line="238"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205"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205"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27, 2020, the Coronavirus Aid, Relief, and Economic Security Act (“CARES Act”) was enacted and signed into law.</w:t>
      </w:r>
    </w:p>
    <w:p>
      <w:pPr>
        <w:ind w:left="660"/>
        <w:spacing w:after="0" w:line="234" w:lineRule="auto"/>
        <w:rPr>
          <w:sz w:val="20"/>
          <w:szCs w:val="20"/>
          <w:color w:val="auto"/>
        </w:rPr>
      </w:pPr>
      <w:r>
        <w:rPr>
          <w:rFonts w:ascii="Arial" w:cs="Arial" w:eastAsia="Arial" w:hAnsi="Arial"/>
          <w:sz w:val="18"/>
          <w:szCs w:val="18"/>
          <w:color w:val="auto"/>
        </w:rPr>
        <w:t>Among other things, the CARES Act has modified the Internal Revenue Code of 1986, as amended, including, but not limited to:</w:t>
      </w:r>
    </w:p>
    <w:p>
      <w:pPr>
        <w:spacing w:after="0" w:line="1" w:lineRule="exact"/>
        <w:rPr>
          <w:sz w:val="20"/>
          <w:szCs w:val="20"/>
          <w:color w:val="auto"/>
        </w:rPr>
      </w:pPr>
    </w:p>
    <w:p>
      <w:pPr>
        <w:ind w:left="660" w:firstLine="7"/>
        <w:spacing w:after="0" w:line="238" w:lineRule="auto"/>
        <w:tabs>
          <w:tab w:leader="none" w:pos="9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205"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331"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ind w:left="320"/>
              <w:spacing w:after="0"/>
              <w:rPr>
                <w:sz w:val="20"/>
                <w:szCs w:val="20"/>
                <w:color w:val="auto"/>
              </w:rPr>
            </w:pPr>
            <w:r>
              <w:rPr>
                <w:rFonts w:ascii="Arial" w:cs="Arial" w:eastAsia="Arial" w:hAnsi="Arial"/>
                <w:sz w:val="14"/>
                <w:szCs w:val="14"/>
                <w:b w:val="1"/>
                <w:bCs w:val="1"/>
                <w:color w:val="auto"/>
              </w:rPr>
              <w:t>January 31,</w:t>
            </w:r>
          </w:p>
        </w:tc>
      </w:tr>
      <w:tr>
        <w:trPr>
          <w:trHeight w:val="156"/>
        </w:trPr>
        <w:tc>
          <w:tcPr>
            <w:tcW w:w="8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 share payable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3,631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4,256</w:t>
            </w:r>
          </w:p>
        </w:tc>
        <w:tc>
          <w:tcPr>
            <w:tcW w:w="4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Accrued operating and general expenses</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5,074</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3,730</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 related expenses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2,746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3,430</w:t>
            </w: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Sales and other taxes</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1,898</w:t>
            </w:r>
          </w:p>
        </w:tc>
        <w:tc>
          <w:tcPr>
            <w:tcW w:w="12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1,038</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938</w:t>
            </w:r>
          </w:p>
        </w:tc>
      </w:tr>
      <w:tr>
        <w:trPr>
          <w:trHeight w:val="210"/>
        </w:trPr>
        <w:tc>
          <w:tcPr>
            <w:tcW w:w="8080" w:type="dxa"/>
            <w:vAlign w:val="bottom"/>
          </w:tcPr>
          <w:p>
            <w:pPr>
              <w:spacing w:after="0" w:line="202" w:lineRule="exact"/>
              <w:rPr>
                <w:sz w:val="20"/>
                <w:szCs w:val="20"/>
                <w:color w:val="auto"/>
              </w:rPr>
            </w:pPr>
            <w:r>
              <w:rPr>
                <w:rFonts w:ascii="Arial" w:cs="Arial" w:eastAsia="Arial" w:hAnsi="Arial"/>
                <w:sz w:val="18"/>
                <w:szCs w:val="18"/>
                <w:color w:val="auto"/>
              </w:rPr>
              <w:t>Gift card liability</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719</w:t>
            </w:r>
          </w:p>
        </w:tc>
        <w:tc>
          <w:tcPr>
            <w:tcW w:w="40" w:type="dxa"/>
            <w:vAlign w:val="bottom"/>
          </w:tcPr>
          <w:p>
            <w:pPr>
              <w:spacing w:after="0"/>
              <w:rPr>
                <w:sz w:val="18"/>
                <w:szCs w:val="18"/>
                <w:color w:val="auto"/>
              </w:rPr>
            </w:pPr>
          </w:p>
        </w:tc>
      </w:tr>
      <w:tr>
        <w:trPr>
          <w:trHeight w:val="203"/>
        </w:trPr>
        <w:tc>
          <w:tcPr>
            <w:tcW w:w="8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9"/>
              </w:rPr>
              <w:t>$</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14,014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14,111</w:t>
            </w:r>
          </w:p>
        </w:tc>
      </w:tr>
      <w:tr>
        <w:trPr>
          <w:trHeight w:val="20"/>
        </w:trPr>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5" w:lineRule="exact"/>
        <w:rPr>
          <w:rFonts w:ascii="Arial" w:cs="Arial" w:eastAsia="Arial" w:hAnsi="Arial"/>
          <w:sz w:val="18"/>
          <w:szCs w:val="18"/>
          <w:b w:val="1"/>
          <w:bCs w:val="1"/>
          <w:color w:val="auto"/>
        </w:rPr>
      </w:pPr>
    </w:p>
    <w:p>
      <w:pPr>
        <w:ind w:left="660" w:right="8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5" w:lineRule="exact"/>
        <w:rPr>
          <w:sz w:val="20"/>
          <w:szCs w:val="20"/>
          <w:color w:val="auto"/>
        </w:rPr>
      </w:pPr>
    </w:p>
    <w:p>
      <w:pPr>
        <w:ind w:left="660" w:right="460"/>
        <w:spacing w:after="0" w:line="234"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w:t>
      </w:r>
    </w:p>
    <w:p>
      <w:pPr>
        <w:spacing w:after="0" w:line="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value certain financial instruments. This hierarchy requires the Company to use observable market data, when available, and to minimize the use of unobservable inputs when determining fair value.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20" w:type="dxa"/>
            <w:vAlign w:val="bottom"/>
            <w:vMerge w:val="restart"/>
          </w:tcPr>
          <w:p>
            <w:pPr>
              <w:spacing w:after="0"/>
              <w:rPr>
                <w:sz w:val="15"/>
                <w:szCs w:val="15"/>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Level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ind w:left="2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vMerge w:val="continue"/>
          </w:tcPr>
          <w:p>
            <w:pPr>
              <w:spacing w:after="0"/>
              <w:rPr>
                <w:sz w:val="14"/>
                <w:szCs w:val="14"/>
                <w:color w:val="auto"/>
              </w:rPr>
            </w:pPr>
          </w:p>
        </w:tc>
        <w:tc>
          <w:tcPr>
            <w:tcW w:w="66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w:t>
            </w:r>
          </w:p>
        </w:tc>
        <w:tc>
          <w:tcPr>
            <w:tcW w:w="3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Warrant liability – Common stock warrants</w:t>
            </w:r>
          </w:p>
        </w:tc>
        <w:tc>
          <w:tcPr>
            <w:tcW w:w="8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03"/>
        </w:trPr>
        <w:tc>
          <w:tcPr>
            <w:tcW w:w="74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 liability – Preferred stock warrants</w:t>
            </w:r>
          </w:p>
        </w:tc>
        <w:tc>
          <w:tcPr>
            <w:tcW w:w="8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610</w:t>
            </w:r>
          </w:p>
        </w:tc>
        <w:tc>
          <w:tcPr>
            <w:tcW w:w="4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610</w:t>
            </w:r>
          </w:p>
        </w:tc>
        <w:tc>
          <w:tcPr>
            <w:tcW w:w="4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11,779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the fair value of the level 3 liabilities recorded at fair value for the year ended</w:t>
      </w:r>
    </w:p>
    <w:p>
      <w:pPr>
        <w:ind w:left="660"/>
        <w:spacing w:after="0"/>
        <w:rPr>
          <w:sz w:val="20"/>
          <w:szCs w:val="20"/>
          <w:color w:val="auto"/>
        </w:rPr>
      </w:pPr>
      <w:r>
        <w:rPr>
          <w:rFonts w:ascii="Arial" w:cs="Arial" w:eastAsia="Arial" w:hAnsi="Arial"/>
          <w:sz w:val="18"/>
          <w:szCs w:val="18"/>
          <w:color w:val="auto"/>
        </w:rPr>
        <w:t>January 31, 2021:</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Balance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-130175</wp:posOffset>
            </wp:positionV>
            <wp:extent cx="6223635"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23635"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Issuance of common stock warrants</w:t>
      </w:r>
    </w:p>
    <w:p>
      <w:pPr>
        <w:ind w:left="1080"/>
        <w:spacing w:after="0" w:line="234" w:lineRule="auto"/>
        <w:rPr>
          <w:sz w:val="20"/>
          <w:szCs w:val="20"/>
          <w:color w:val="auto"/>
        </w:rPr>
      </w:pPr>
      <w:r>
        <w:rPr>
          <w:rFonts w:ascii="Arial" w:cs="Arial" w:eastAsia="Arial" w:hAnsi="Arial"/>
          <w:sz w:val="18"/>
          <w:szCs w:val="18"/>
          <w:color w:val="auto"/>
        </w:rPr>
        <w:t>Issuance of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-127000</wp:posOffset>
            </wp:positionV>
            <wp:extent cx="6223635"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estimated fair value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Balance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-130175</wp:posOffset>
            </wp:positionV>
            <wp:extent cx="6223635"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2363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Warrant</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Liability</w:t>
      </w:r>
    </w:p>
    <w:p>
      <w:pPr>
        <w:spacing w:after="0" w:line="4" w:lineRule="exact"/>
        <w:rPr>
          <w:sz w:val="20"/>
          <w:szCs w:val="20"/>
          <w:color w:val="auto"/>
        </w:rPr>
      </w:pPr>
    </w:p>
    <w:p>
      <w:pPr>
        <w:ind w:left="420" w:hanging="413"/>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610</w:t>
      </w: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11,564</w:t>
      </w:r>
    </w:p>
    <w:p>
      <w:pPr>
        <w:ind w:left="520"/>
        <w:spacing w:after="0" w:line="234" w:lineRule="auto"/>
        <w:rPr>
          <w:rFonts w:ascii="Arial" w:cs="Arial" w:eastAsia="Arial" w:hAnsi="Arial"/>
          <w:sz w:val="18"/>
          <w:szCs w:val="18"/>
          <w:color w:val="auto"/>
        </w:rPr>
      </w:pPr>
      <w:r>
        <w:rPr>
          <w:rFonts w:ascii="Arial" w:cs="Arial" w:eastAsia="Arial" w:hAnsi="Arial"/>
          <w:sz w:val="18"/>
          <w:szCs w:val="18"/>
          <w:color w:val="auto"/>
        </w:rPr>
        <w:t>19</w:t>
      </w:r>
    </w:p>
    <w:p>
      <w:pPr>
        <w:ind w:left="360"/>
        <w:spacing w:after="0"/>
        <w:rPr>
          <w:rFonts w:ascii="Arial" w:cs="Arial" w:eastAsia="Arial" w:hAnsi="Arial"/>
          <w:sz w:val="18"/>
          <w:szCs w:val="18"/>
          <w:color w:val="auto"/>
        </w:rPr>
      </w:pPr>
      <w:r>
        <w:rPr>
          <w:rFonts w:ascii="Arial" w:cs="Arial" w:eastAsia="Arial" w:hAnsi="Arial"/>
          <w:sz w:val="17"/>
          <w:szCs w:val="17"/>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546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$ 11,779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546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420"/>
          </w:cols>
          <w:pgMar w:left="320" w:top="459" w:right="479" w:bottom="1440" w:gutter="0" w:footer="0" w:header="0"/>
          <w:type w:val="continuous"/>
        </w:sectPr>
      </w:pPr>
    </w:p>
    <w:p>
      <w:pPr>
        <w:spacing w:after="0" w:line="66"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There were no issuances of warrants during the year ended January 31, 2020. The changes in estimated fair value of preferred stock warrants during the years ended January 31, 2020 and January 31, 2021 were not material.</w:t>
      </w:r>
    </w:p>
    <w:p>
      <w:pPr>
        <w:spacing w:after="0" w:line="197"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The key assumptions used in the Black-Scholes option pricing model for the valuation of the common stock warrant liabilities were as follows:</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35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January 31, 2021</w:t>
            </w:r>
          </w:p>
        </w:tc>
      </w:tr>
      <w:tr>
        <w:trPr>
          <w:trHeight w:val="183"/>
        </w:trPr>
        <w:tc>
          <w:tcPr>
            <w:tcW w:w="3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Valuation assumptions:</w:t>
            </w:r>
          </w:p>
        </w:tc>
        <w:tc>
          <w:tcPr>
            <w:tcW w:w="49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03"/>
        </w:trPr>
        <w:tc>
          <w:tcPr>
            <w:tcW w:w="3520" w:type="dxa"/>
            <w:vAlign w:val="bottom"/>
          </w:tcPr>
          <w:p>
            <w:pPr>
              <w:ind w:left="360"/>
              <w:spacing w:after="0" w:line="202" w:lineRule="exact"/>
              <w:rPr>
                <w:sz w:val="20"/>
                <w:szCs w:val="20"/>
                <w:color w:val="auto"/>
              </w:rPr>
            </w:pPr>
            <w:r>
              <w:rPr>
                <w:rFonts w:ascii="Arial" w:cs="Arial" w:eastAsia="Arial" w:hAnsi="Arial"/>
                <w:sz w:val="18"/>
                <w:szCs w:val="18"/>
                <w:color w:val="auto"/>
              </w:rPr>
              <w:t>Expected dividend yield</w:t>
            </w:r>
          </w:p>
        </w:tc>
        <w:tc>
          <w:tcPr>
            <w:tcW w:w="4900" w:type="dxa"/>
            <w:vAlign w:val="bottom"/>
          </w:tcPr>
          <w:p>
            <w:pPr>
              <w:spacing w:after="0"/>
              <w:rPr>
                <w:sz w:val="17"/>
                <w:szCs w:val="17"/>
                <w:color w:val="auto"/>
              </w:rPr>
            </w:pP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Expected volatility</w:t>
            </w:r>
          </w:p>
        </w:tc>
        <w:tc>
          <w:tcPr>
            <w:tcW w:w="6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87.68%</w:t>
            </w:r>
          </w:p>
        </w:tc>
      </w:tr>
      <w:tr>
        <w:trPr>
          <w:trHeight w:val="203"/>
        </w:trPr>
        <w:tc>
          <w:tcPr>
            <w:tcW w:w="3520" w:type="dxa"/>
            <w:vAlign w:val="bottom"/>
          </w:tcPr>
          <w:p>
            <w:pPr>
              <w:ind w:left="360"/>
              <w:spacing w:after="0" w:line="202" w:lineRule="exact"/>
              <w:rPr>
                <w:sz w:val="20"/>
                <w:szCs w:val="20"/>
                <w:color w:val="auto"/>
              </w:rPr>
            </w:pPr>
            <w:r>
              <w:rPr>
                <w:rFonts w:ascii="Arial" w:cs="Arial" w:eastAsia="Arial" w:hAnsi="Arial"/>
                <w:sz w:val="18"/>
                <w:szCs w:val="18"/>
                <w:color w:val="auto"/>
              </w:rPr>
              <w:t>Expected term (in years)</w:t>
            </w:r>
          </w:p>
        </w:tc>
        <w:tc>
          <w:tcPr>
            <w:tcW w:w="62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3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Risk-free interest rate</w:t>
            </w:r>
          </w:p>
        </w:tc>
        <w:tc>
          <w:tcPr>
            <w:tcW w:w="62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0.79%</w:t>
            </w:r>
          </w:p>
        </w:tc>
      </w:tr>
      <w:tr>
        <w:trPr>
          <w:trHeight w:val="365"/>
        </w:trPr>
        <w:tc>
          <w:tcPr>
            <w:tcW w:w="3520" w:type="dxa"/>
            <w:vAlign w:val="bottom"/>
          </w:tcPr>
          <w:p>
            <w:pPr>
              <w:spacing w:after="0"/>
              <w:rPr>
                <w:sz w:val="24"/>
                <w:szCs w:val="24"/>
                <w:color w:val="auto"/>
              </w:rPr>
            </w:pPr>
          </w:p>
        </w:tc>
        <w:tc>
          <w:tcPr>
            <w:tcW w:w="6280" w:type="dxa"/>
            <w:vAlign w:val="bottom"/>
            <w:gridSpan w:val="3"/>
          </w:tcPr>
          <w:p>
            <w:pPr>
              <w:jc w:val="right"/>
              <w:ind w:right="4720"/>
              <w:spacing w:after="0"/>
              <w:rPr>
                <w:sz w:val="20"/>
                <w:szCs w:val="20"/>
                <w:color w:val="auto"/>
              </w:rPr>
            </w:pPr>
            <w:r>
              <w:rPr>
                <w:rFonts w:ascii="Arial" w:cs="Arial" w:eastAsia="Arial" w:hAnsi="Arial"/>
                <w:sz w:val="18"/>
                <w:szCs w:val="18"/>
                <w:color w:val="auto"/>
              </w:rPr>
              <w:t>F-29</w:t>
            </w:r>
          </w:p>
        </w:tc>
      </w:tr>
    </w:tbl>
    <w:p>
      <w:pPr>
        <w:sectPr>
          <w:pgSz w:w="11900" w:h="16838" w:orient="portrait"/>
          <w:cols w:equalWidth="0" w:num="1">
            <w:col w:w="11100"/>
          </w:cols>
          <w:pgMar w:left="320" w:top="459" w:right="47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0" w:lineRule="exact"/>
        <w:rPr>
          <w:sz w:val="20"/>
          <w:szCs w:val="20"/>
          <w:color w:val="auto"/>
        </w:rPr>
      </w:pPr>
    </w:p>
    <w:p>
      <w:pPr>
        <w:ind w:left="660" w:hanging="544"/>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redeemable preferred stock:</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January 31, 2020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Net of</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Issued and</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Issuance</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80" w:type="dxa"/>
            <w:vAlign w:val="bottom"/>
          </w:tcPr>
          <w:p>
            <w:pPr>
              <w:spacing w:after="0"/>
              <w:rPr>
                <w:sz w:val="15"/>
                <w:szCs w:val="15"/>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Authorized</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Seed Series</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4,375,000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A</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5,187,500</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5,187,500</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15,000</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3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1,949,256</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1,949,256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15,487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15,487</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1,861,323</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1,845,569</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20,500</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C-1</w:t>
            </w: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351,108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351,108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3,900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3,609,493</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3,521,456</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59,784</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3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3,723,110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3,723,110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80,806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81,000</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6,039,272</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6,039,272</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133,291</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7"/>
        </w:trPr>
        <w:tc>
          <w:tcPr>
            <w:tcW w:w="49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9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27,096,062</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26,992,271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330,518</w:t>
            </w: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$ 332,637</w:t>
            </w:r>
          </w:p>
        </w:tc>
      </w:tr>
      <w:tr>
        <w:trPr>
          <w:trHeight w:val="20"/>
        </w:trPr>
        <w:tc>
          <w:tcPr>
            <w:tcW w:w="4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January 31, 2021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 Net of</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Issued and</w:t>
            </w:r>
          </w:p>
        </w:tc>
        <w:tc>
          <w:tcPr>
            <w:tcW w:w="12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Issuance</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80" w:type="dxa"/>
            <w:vAlign w:val="bottom"/>
          </w:tcPr>
          <w:p>
            <w:pPr>
              <w:spacing w:after="0"/>
              <w:rPr>
                <w:sz w:val="15"/>
                <w:szCs w:val="15"/>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Authorized</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Seed Series</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4,375,000</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A</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5,187,500</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5,187,500</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15,000</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3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1,949,256</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1,949,256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15,487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15,487</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1,861,323</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1,845,569</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20,500</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C-1</w:t>
            </w:r>
          </w:p>
        </w:tc>
        <w:tc>
          <w:tcPr>
            <w:tcW w:w="10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351,108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351,108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3,900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3,900</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3,609,493</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3,521,456</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59,784</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60,000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3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3,723,110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3,723,110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80,806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81,000</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3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6,039,272</w:t>
            </w: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6,039,272</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133,291</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135,000</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3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8,140,584</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4,145,650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57,554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61,111</w:t>
            </w:r>
          </w:p>
        </w:tc>
      </w:tr>
      <w:tr>
        <w:trPr>
          <w:trHeight w:val="20"/>
        </w:trPr>
        <w:tc>
          <w:tcPr>
            <w:tcW w:w="4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35,236,646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31,137,921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388,072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$ 393,748</w:t>
            </w:r>
          </w:p>
        </w:tc>
      </w:tr>
      <w:tr>
        <w:trPr>
          <w:trHeight w:val="20"/>
        </w:trPr>
        <w:tc>
          <w:tcPr>
            <w:tcW w:w="4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The holders of redeemable preferred stock are entitled to receive dividends if and when declared by the Board of Directors. In the event the Board of Directors declares a dividend payable 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380"/>
        <w:spacing w:after="0"/>
        <w:rPr>
          <w:sz w:val="20"/>
          <w:szCs w:val="20"/>
          <w:color w:val="auto"/>
        </w:rPr>
      </w:pPr>
      <w:r>
        <w:rPr>
          <w:rFonts w:ascii="Arial" w:cs="Arial" w:eastAsia="Arial" w:hAnsi="Arial"/>
          <w:sz w:val="18"/>
          <w:szCs w:val="18"/>
          <w:color w:val="auto"/>
        </w:rPr>
        <w:t>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6" w:lineRule="exact"/>
        <w:rPr>
          <w:sz w:val="20"/>
          <w:szCs w:val="20"/>
          <w:color w:val="auto"/>
        </w:rPr>
      </w:pPr>
    </w:p>
    <w:p>
      <w:pPr>
        <w:ind w:left="660"/>
        <w:spacing w:after="0" w:line="250" w:lineRule="auto"/>
        <w:rPr>
          <w:sz w:val="20"/>
          <w:szCs w:val="20"/>
          <w:color w:val="auto"/>
        </w:rPr>
      </w:pPr>
      <w:r>
        <w:rPr>
          <w:rFonts w:ascii="Arial" w:cs="Arial" w:eastAsia="Arial" w:hAnsi="Arial"/>
          <w:sz w:val="17"/>
          <w:szCs w:val="17"/>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 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660" w:right="20"/>
        <w:spacing w:after="0" w:line="236" w:lineRule="auto"/>
        <w:rPr>
          <w:sz w:val="20"/>
          <w:szCs w:val="20"/>
          <w:color w:val="auto"/>
        </w:rPr>
      </w:pPr>
      <w:r>
        <w:rPr>
          <w:rFonts w:ascii="Arial" w:cs="Arial" w:eastAsia="Arial" w:hAnsi="Arial"/>
          <w:sz w:val="18"/>
          <w:szCs w:val="18"/>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$100,000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(collectively BCIP Venture Associates, BCIP Venture Associates-B and Bain Capital Venture Fund 2009, L.P.) as long as it holds the requisite amount of Series F or Franklin (collectively Franklin Strategic Series - Franklin Small Cap Growth Fund and Franklin Templeton Investment Funds - 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205" w:lineRule="exact"/>
        <w:rPr>
          <w:sz w:val="20"/>
          <w:szCs w:val="20"/>
          <w:color w:val="auto"/>
        </w:rPr>
      </w:pPr>
    </w:p>
    <w:p>
      <w:pPr>
        <w:ind w:left="660" w:right="880"/>
        <w:spacing w:after="0" w:line="246" w:lineRule="auto"/>
        <w:rPr>
          <w:sz w:val="20"/>
          <w:szCs w:val="20"/>
          <w:color w:val="auto"/>
        </w:rPr>
      </w:pPr>
      <w:r>
        <w:rPr>
          <w:rFonts w:ascii="Arial" w:cs="Arial" w:eastAsia="Arial" w:hAnsi="Arial"/>
          <w:sz w:val="18"/>
          <w:szCs w:val="18"/>
          <w:color w:val="auto"/>
        </w:rPr>
        <w:t>The issuance of Series G redeemable preferred stock did not result in any anti-dilution adjustments to the other series of redeemable preferred stock.</w:t>
      </w:r>
    </w:p>
    <w:p>
      <w:pPr>
        <w:spacing w:after="0" w:line="197" w:lineRule="exact"/>
        <w:rPr>
          <w:sz w:val="20"/>
          <w:szCs w:val="20"/>
          <w:color w:val="auto"/>
        </w:rPr>
      </w:pPr>
    </w:p>
    <w:p>
      <w:pPr>
        <w:ind w:left="660" w:right="180"/>
        <w:spacing w:after="0" w:line="238" w:lineRule="auto"/>
        <w:rPr>
          <w:sz w:val="20"/>
          <w:szCs w:val="20"/>
          <w:color w:val="auto"/>
        </w:rPr>
      </w:pPr>
      <w:r>
        <w:rPr>
          <w:rFonts w:ascii="Arial" w:cs="Arial" w:eastAsia="Arial" w:hAnsi="Arial"/>
          <w:sz w:val="18"/>
          <w:szCs w:val="18"/>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w:t>
      </w:r>
    </w:p>
    <w:p>
      <w:pPr>
        <w:spacing w:after="0" w:line="329" w:lineRule="exact"/>
        <w:rPr>
          <w:sz w:val="20"/>
          <w:szCs w:val="20"/>
          <w:color w:val="auto"/>
        </w:rPr>
      </w:pPr>
    </w:p>
    <w:p>
      <w:pPr>
        <w:ind w:left="660" w:right="8660" w:hanging="544"/>
        <w:spacing w:after="0" w:line="394" w:lineRule="auto"/>
        <w:tabs>
          <w:tab w:leader="none" w:pos="649"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660" w:right="180"/>
        <w:spacing w:after="0" w:line="238" w:lineRule="auto"/>
        <w:rPr>
          <w:rFonts w:ascii="Arial" w:cs="Arial" w:eastAsia="Arial" w:hAnsi="Arial"/>
          <w:sz w:val="17"/>
          <w:szCs w:val="17"/>
          <w:b w:val="1"/>
          <w:bCs w:val="1"/>
          <w:color w:val="auto"/>
        </w:rPr>
      </w:pPr>
      <w:r>
        <w:rPr>
          <w:rFonts w:ascii="Arial" w:cs="Arial" w:eastAsia="Arial" w:hAnsi="Arial"/>
          <w:sz w:val="18"/>
          <w:szCs w:val="18"/>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2020 and 2021, the Company had the following outstanding warrants: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January 31, 2020</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60" w:type="dxa"/>
            <w:vAlign w:val="bottom"/>
            <w:gridSpan w:val="4"/>
          </w:tcPr>
          <w:p>
            <w:pPr>
              <w:jc w:val="right"/>
              <w:ind w:right="580"/>
              <w:spacing w:after="0" w:line="143"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3"/>
          </w:tcPr>
          <w:p>
            <w:pPr>
              <w:jc w:val="center"/>
              <w:ind w:right="148"/>
              <w:spacing w:after="0" w:line="143"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140" w:type="dxa"/>
            <w:vAlign w:val="bottom"/>
            <w:gridSpan w:val="4"/>
          </w:tcPr>
          <w:p>
            <w:pPr>
              <w:jc w:val="center"/>
              <w:ind w:right="340"/>
              <w:spacing w:after="0" w:line="143" w:lineRule="exact"/>
              <w:rPr>
                <w:sz w:val="20"/>
                <w:szCs w:val="20"/>
                <w:color w:val="auto"/>
              </w:rPr>
            </w:pPr>
            <w:r>
              <w:rPr>
                <w:rFonts w:ascii="Arial" w:cs="Arial" w:eastAsia="Arial" w:hAnsi="Arial"/>
                <w:sz w:val="14"/>
                <w:szCs w:val="14"/>
                <w:b w:val="1"/>
                <w:bCs w:val="1"/>
                <w:color w:val="auto"/>
              </w:rPr>
              <w:t>Class of</w:t>
            </w:r>
          </w:p>
        </w:tc>
        <w:tc>
          <w:tcPr>
            <w:tcW w:w="80" w:type="dxa"/>
            <w:vAlign w:val="bottom"/>
          </w:tcPr>
          <w:p>
            <w:pPr>
              <w:spacing w:after="0"/>
              <w:rPr>
                <w:sz w:val="12"/>
                <w:szCs w:val="12"/>
                <w:color w:val="auto"/>
              </w:rPr>
            </w:pPr>
          </w:p>
        </w:tc>
        <w:tc>
          <w:tcPr>
            <w:tcW w:w="980" w:type="dxa"/>
            <w:vAlign w:val="bottom"/>
            <w:gridSpan w:val="4"/>
          </w:tcPr>
          <w:p>
            <w:pPr>
              <w:jc w:val="right"/>
              <w:ind w:right="380"/>
              <w:spacing w:after="0" w:line="143" w:lineRule="exact"/>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1280"/>
              <w:spacing w:after="0"/>
              <w:rPr>
                <w:sz w:val="20"/>
                <w:szCs w:val="20"/>
                <w:color w:val="auto"/>
              </w:rPr>
            </w:pPr>
            <w:r>
              <w:rPr>
                <w:rFonts w:ascii="Arial" w:cs="Arial" w:eastAsia="Arial" w:hAnsi="Arial"/>
                <w:sz w:val="14"/>
                <w:szCs w:val="14"/>
                <w:b w:val="1"/>
                <w:bCs w:val="1"/>
                <w:color w:val="auto"/>
              </w:rPr>
              <w:t>Outstanding Warrants</w:t>
            </w:r>
          </w:p>
        </w:tc>
        <w:tc>
          <w:tcPr>
            <w:tcW w:w="1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5"/>
                <w:szCs w:val="15"/>
                <w:color w:val="auto"/>
              </w:rPr>
            </w:pPr>
          </w:p>
        </w:tc>
        <w:tc>
          <w:tcPr>
            <w:tcW w:w="8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classified:</w:t>
            </w: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Nov-16</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82,891</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  7.54</w:t>
            </w:r>
          </w:p>
        </w:tc>
        <w:tc>
          <w:tcPr>
            <w:tcW w:w="340" w:type="dxa"/>
            <w:vAlign w:val="bottom"/>
          </w:tcPr>
          <w:p>
            <w:pPr>
              <w:spacing w:after="0"/>
              <w:rPr>
                <w:sz w:val="17"/>
                <w:szCs w:val="17"/>
                <w:color w:val="auto"/>
              </w:rPr>
            </w:pPr>
          </w:p>
        </w:tc>
        <w:tc>
          <w:tcPr>
            <w:tcW w:w="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Jun-17</w:t>
            </w:r>
          </w:p>
        </w:tc>
        <w:tc>
          <w:tcPr>
            <w:tcW w:w="102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18,236</w:t>
            </w:r>
          </w:p>
        </w:tc>
        <w:tc>
          <w:tcPr>
            <w:tcW w:w="2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Sep-17</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14,920</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7.54</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Jan-18</w:t>
            </w:r>
          </w:p>
        </w:tc>
        <w:tc>
          <w:tcPr>
            <w:tcW w:w="102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16,578</w:t>
            </w:r>
          </w:p>
        </w:tc>
        <w:tc>
          <w:tcPr>
            <w:tcW w:w="2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Apr-18</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16,578</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7.54</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Double Helix (Temasek)</w:t>
            </w:r>
          </w:p>
        </w:tc>
        <w:tc>
          <w:tcPr>
            <w:tcW w:w="10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Jul-18</w:t>
            </w:r>
          </w:p>
        </w:tc>
        <w:tc>
          <w:tcPr>
            <w:tcW w:w="102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730,000</w:t>
            </w:r>
          </w:p>
        </w:tc>
        <w:tc>
          <w:tcPr>
            <w:tcW w:w="2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Double Helix (Temasek)</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Jul-18</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730,000</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Common</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27.40</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1,609,203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classified:</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Comerica Bank</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Oct-13</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15,754</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Series C</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11.11</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Nov-15</w:t>
            </w:r>
          </w:p>
        </w:tc>
        <w:tc>
          <w:tcPr>
            <w:tcW w:w="102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35,215</w:t>
            </w:r>
          </w:p>
        </w:tc>
        <w:tc>
          <w:tcPr>
            <w:tcW w:w="2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Series D</w:t>
            </w: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17.04</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Jun-16</w:t>
            </w:r>
          </w:p>
        </w:tc>
        <w:tc>
          <w:tcPr>
            <w:tcW w:w="10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28,172</w:t>
            </w:r>
          </w:p>
        </w:tc>
        <w:tc>
          <w:tcPr>
            <w:tcW w:w="200" w:type="dxa"/>
            <w:vAlign w:val="bottom"/>
          </w:tcPr>
          <w:p>
            <w:pPr>
              <w:spacing w:after="0"/>
              <w:rPr>
                <w:sz w:val="17"/>
                <w:szCs w:val="17"/>
                <w:color w:val="auto"/>
              </w:rPr>
            </w:pPr>
          </w:p>
        </w:tc>
        <w:tc>
          <w:tcPr>
            <w:tcW w:w="11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Series D</w:t>
            </w: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17.04</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10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Sep-16</w:t>
            </w:r>
          </w:p>
        </w:tc>
        <w:tc>
          <w:tcPr>
            <w:tcW w:w="102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24,650</w:t>
            </w:r>
          </w:p>
        </w:tc>
        <w:tc>
          <w:tcPr>
            <w:tcW w:w="2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Series D</w:t>
            </w: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17.04</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8"/>
              <w:spacing w:after="0"/>
              <w:rPr>
                <w:sz w:val="20"/>
                <w:szCs w:val="20"/>
                <w:color w:val="auto"/>
              </w:rPr>
            </w:pPr>
            <w:r>
              <w:rPr>
                <w:rFonts w:ascii="Arial" w:cs="Arial" w:eastAsia="Arial" w:hAnsi="Arial"/>
                <w:sz w:val="18"/>
                <w:szCs w:val="18"/>
                <w:color w:val="auto"/>
              </w:rPr>
              <w:t>103,791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January 31, 2021</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tcPr>
          <w:p>
            <w:pPr>
              <w:jc w:val="right"/>
              <w:ind w:right="340"/>
              <w:spacing w:after="0" w:line="143"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320"/>
              <w:spacing w:after="0" w:line="143" w:lineRule="exact"/>
              <w:rPr>
                <w:sz w:val="20"/>
                <w:szCs w:val="20"/>
                <w:color w:val="auto"/>
              </w:rPr>
            </w:pPr>
            <w:r>
              <w:rPr>
                <w:rFonts w:ascii="Arial" w:cs="Arial" w:eastAsia="Arial" w:hAnsi="Arial"/>
                <w:sz w:val="14"/>
                <w:szCs w:val="14"/>
                <w:b w:val="1"/>
                <w:bCs w:val="1"/>
                <w:color w:val="auto"/>
              </w:rPr>
              <w:t>Class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340"/>
              <w:spacing w:after="0" w:line="143" w:lineRule="exact"/>
              <w:rPr>
                <w:sz w:val="20"/>
                <w:szCs w:val="20"/>
                <w:color w:val="auto"/>
              </w:rPr>
            </w:pPr>
            <w:r>
              <w:rPr>
                <w:rFonts w:ascii="Arial" w:cs="Arial" w:eastAsia="Arial" w:hAnsi="Arial"/>
                <w:sz w:val="14"/>
                <w:szCs w:val="14"/>
                <w:b w:val="1"/>
                <w:bCs w:val="1"/>
                <w:color w:val="auto"/>
                <w:w w:val="97"/>
              </w:rPr>
              <w:t>Exercise</w:t>
            </w:r>
          </w:p>
        </w:tc>
        <w:tc>
          <w:tcPr>
            <w:tcW w:w="4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40" w:type="dxa"/>
            <w:vAlign w:val="bottom"/>
          </w:tcPr>
          <w:p>
            <w:pPr>
              <w:ind w:left="1460"/>
              <w:spacing w:after="0"/>
              <w:rPr>
                <w:sz w:val="20"/>
                <w:szCs w:val="20"/>
                <w:color w:val="auto"/>
              </w:rPr>
            </w:pPr>
            <w:r>
              <w:rPr>
                <w:rFonts w:ascii="Arial" w:cs="Arial" w:eastAsia="Arial" w:hAnsi="Arial"/>
                <w:sz w:val="14"/>
                <w:szCs w:val="14"/>
                <w:b w:val="1"/>
                <w:bCs w:val="1"/>
                <w:color w:val="auto"/>
              </w:rPr>
              <w:t>Outstanding Warrants</w:t>
            </w:r>
          </w:p>
        </w:tc>
        <w:tc>
          <w:tcPr>
            <w:tcW w:w="24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at Issuance</w:t>
            </w: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classified:</w:t>
            </w:r>
          </w:p>
        </w:tc>
        <w:tc>
          <w:tcPr>
            <w:tcW w:w="2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Nov-16</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82,891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  7.54</w:t>
            </w:r>
          </w:p>
        </w:tc>
        <w:tc>
          <w:tcPr>
            <w:tcW w:w="2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Jun-17</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18,236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Sep-17</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7.54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Jan-18</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16,578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Apr-18</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16,578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7.54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Double Helix (Temasek)</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Jul-18</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730,000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line="202" w:lineRule="exact"/>
              <w:rPr>
                <w:sz w:val="20"/>
                <w:szCs w:val="20"/>
                <w:color w:val="auto"/>
              </w:rPr>
            </w:pPr>
            <w:r>
              <w:rPr>
                <w:rFonts w:ascii="Arial" w:cs="Arial" w:eastAsia="Arial" w:hAnsi="Arial"/>
                <w:sz w:val="18"/>
                <w:szCs w:val="18"/>
                <w:color w:val="auto"/>
              </w:rPr>
              <w:t>Double Helix (Temasek)</w:t>
            </w:r>
          </w:p>
        </w:tc>
        <w:tc>
          <w:tcPr>
            <w:tcW w:w="240" w:type="dxa"/>
            <w:vAlign w:val="bottom"/>
          </w:tcPr>
          <w:p>
            <w:pPr>
              <w:spacing w:after="0"/>
              <w:rPr>
                <w:sz w:val="18"/>
                <w:szCs w:val="18"/>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Jul-18</w:t>
            </w:r>
          </w:p>
        </w:tc>
        <w:tc>
          <w:tcPr>
            <w:tcW w:w="16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27.40</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1,609,203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Liability classified:</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Nov-15</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35,215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Series D</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Jun-16</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28,172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Series D</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17.04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TriplePoint</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Sep-16</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24,650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Series D</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10 Jay</w:t>
            </w:r>
          </w:p>
        </w:tc>
        <w:tc>
          <w:tcPr>
            <w:tcW w:w="24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Oct-20</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76,627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Series G</w:t>
            </w:r>
          </w:p>
        </w:tc>
        <w:tc>
          <w:tcPr>
            <w:tcW w:w="1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14.74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Ares</w:t>
            </w: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Oct-20</w:t>
            </w:r>
          </w:p>
        </w:tc>
        <w:tc>
          <w:tcPr>
            <w:tcW w:w="160" w:type="dxa"/>
            <w:vAlign w:val="bottom"/>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1,651,701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Common</w:t>
            </w:r>
          </w:p>
        </w:tc>
        <w:tc>
          <w:tcPr>
            <w:tcW w:w="1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1,816,365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fair value is estimated using the Black-Scholes option pricing model. The fair value is subjective and is affected by changes in inputs to the valuation model including the fair value per</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00"/>
          </w:cols>
          <w:pgMar w:left="320" w:top="459" w:right="5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share of the underlying stock, the expected term of each warrant, volatility of the Company’s stock and peer company stock, and risk-free rates based on U.S. Treasury yield curves.</w:t>
      </w:r>
    </w:p>
    <w:p>
      <w:pPr>
        <w:spacing w:after="0" w:line="89"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815 -40. This provision expires in October 2021. The common stock warrants issued to Ares were allocated a portion of the proceeds received from the Ares Financing Transaction equal to their fair value.</w:t>
      </w:r>
    </w:p>
    <w:p>
      <w:pPr>
        <w:spacing w:after="0" w:line="94"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January 31, 2020 and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329" w:lineRule="exact"/>
        <w:rPr>
          <w:sz w:val="20"/>
          <w:szCs w:val="20"/>
          <w:color w:val="auto"/>
        </w:rPr>
      </w:pPr>
    </w:p>
    <w:p>
      <w:pPr>
        <w:ind w:left="660" w:hanging="544"/>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w:t>
      </w:r>
    </w:p>
    <w:p>
      <w:pPr>
        <w:spacing w:after="0" w:line="125" w:lineRule="exact"/>
        <w:rPr>
          <w:rFonts w:ascii="Arial" w:cs="Arial" w:eastAsia="Arial" w:hAnsi="Arial"/>
          <w:sz w:val="18"/>
          <w:szCs w:val="18"/>
          <w:b w:val="1"/>
          <w:bCs w:val="1"/>
          <w:color w:val="auto"/>
        </w:rPr>
      </w:pPr>
    </w:p>
    <w:p>
      <w:pPr>
        <w:ind w:left="660" w:right="4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96" w:lineRule="exact"/>
        <w:rPr>
          <w:rFonts w:ascii="Arial" w:cs="Arial" w:eastAsia="Arial" w:hAnsi="Arial"/>
          <w:sz w:val="18"/>
          <w:szCs w:val="18"/>
          <w:b w:val="1"/>
          <w:bCs w:val="1"/>
          <w:color w:val="auto"/>
        </w:rPr>
      </w:pPr>
    </w:p>
    <w:p>
      <w:pPr>
        <w:ind w:left="660" w:right="18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At January 31, 2020 and 2021, there were 582,258 and 2,459,983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color w:val="auto"/>
        </w:rPr>
        <w:t>awards. The Company uses Company-specific historical data to estimate the expected term of the option, such as employee option exercise and employee post vesting departure behavior. Since the Company’s shares are not publicly traded and its shares are infrequently traded privately,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9"/>
          </w:tcPr>
          <w:p>
            <w:pPr>
              <w:ind w:left="24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60" w:type="dxa"/>
            <w:vAlign w:val="bottom"/>
          </w:tcPr>
          <w:p>
            <w:pPr>
              <w:spacing w:after="0"/>
              <w:rPr>
                <w:sz w:val="13"/>
                <w:szCs w:val="13"/>
                <w:color w:val="auto"/>
              </w:rPr>
            </w:pPr>
          </w:p>
        </w:tc>
        <w:tc>
          <w:tcPr>
            <w:tcW w:w="51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0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83"/>
        </w:trPr>
        <w:tc>
          <w:tcPr>
            <w:tcW w:w="60" w:type="dxa"/>
            <w:vAlign w:val="bottom"/>
          </w:tcPr>
          <w:p>
            <w:pPr>
              <w:spacing w:after="0"/>
              <w:rPr>
                <w:sz w:val="15"/>
                <w:szCs w:val="15"/>
                <w:color w:val="auto"/>
              </w:rPr>
            </w:pPr>
          </w:p>
        </w:tc>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Valuation assumptions:</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6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Expected dividend yield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w:t>
            </w: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Expected volatility</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56.04%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4"/>
              </w:rPr>
              <w:t>63.91%</w:t>
            </w:r>
          </w:p>
        </w:tc>
        <w:tc>
          <w:tcPr>
            <w:tcW w:w="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Expected term (in years)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6.10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4.89</w:t>
            </w: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17"/>
                <w:szCs w:val="17"/>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518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Contract</w:t>
            </w:r>
          </w:p>
        </w:tc>
        <w:tc>
          <w:tcPr>
            <w:tcW w:w="14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8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96"/>
        </w:trPr>
        <w:tc>
          <w:tcPr>
            <w:tcW w:w="6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January 31, 2019</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5,355,557</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7.78</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24,663</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2,310,773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(270,978)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(371,818)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January 31, 2020</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7,023,534</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9.52</w:t>
            </w:r>
          </w:p>
        </w:tc>
        <w:tc>
          <w:tcPr>
            <w:tcW w:w="140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7.31</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34,800</w:t>
            </w:r>
          </w:p>
        </w:tc>
      </w:tr>
      <w:tr>
        <w:trPr>
          <w:trHeight w:val="203"/>
        </w:trPr>
        <w:tc>
          <w:tcPr>
            <w:tcW w:w="6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Granted (1)</w:t>
            </w:r>
          </w:p>
        </w:tc>
        <w:tc>
          <w:tcPr>
            <w:tcW w:w="12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3,153,275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7.47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(84,885)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60" w:type="dxa"/>
            <w:vAlign w:val="bottom"/>
          </w:tcPr>
          <w:p>
            <w:pPr>
              <w:spacing w:after="0"/>
              <w:rPr>
                <w:sz w:val="18"/>
                <w:szCs w:val="18"/>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Forfeited (1)</w:t>
            </w: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(4,031,817)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January 31, 2021</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6,060,107</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6.76</w:t>
            </w:r>
          </w:p>
        </w:tc>
        <w:tc>
          <w:tcPr>
            <w:tcW w:w="140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6.45</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3,740</w:t>
            </w:r>
          </w:p>
        </w:tc>
      </w:tr>
      <w:tr>
        <w:trPr>
          <w:trHeight w:val="20"/>
        </w:trPr>
        <w:tc>
          <w:tcPr>
            <w:tcW w:w="518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180" w:type="dxa"/>
            <w:vAlign w:val="bottom"/>
            <w:gridSpan w:val="2"/>
          </w:tcPr>
          <w:p>
            <w:pPr>
              <w:ind w:left="60"/>
              <w:spacing w:after="0"/>
              <w:rPr>
                <w:sz w:val="20"/>
                <w:szCs w:val="20"/>
                <w:color w:val="auto"/>
              </w:rPr>
            </w:pPr>
            <w:r>
              <w:rPr>
                <w:rFonts w:ascii="Arial" w:cs="Arial" w:eastAsia="Arial" w:hAnsi="Arial"/>
                <w:sz w:val="18"/>
                <w:szCs w:val="18"/>
                <w:color w:val="auto"/>
              </w:rPr>
              <w:t>Exercisable at January 31, 2021</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4,036,611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1400" w:type="dxa"/>
            <w:vAlign w:val="bottom"/>
            <w:gridSpan w:val="4"/>
          </w:tcPr>
          <w:p>
            <w:pPr>
              <w:jc w:val="right"/>
              <w:ind w:right="380"/>
              <w:spacing w:after="0"/>
              <w:rPr>
                <w:sz w:val="20"/>
                <w:szCs w:val="20"/>
                <w:color w:val="auto"/>
              </w:rPr>
            </w:pPr>
            <w:r>
              <w:rPr>
                <w:rFonts w:ascii="Arial" w:cs="Arial" w:eastAsia="Arial" w:hAnsi="Arial"/>
                <w:sz w:val="18"/>
                <w:szCs w:val="18"/>
                <w:color w:val="auto"/>
              </w:rPr>
              <w:t>5.53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3,740</w:t>
            </w:r>
          </w:p>
        </w:tc>
      </w:tr>
    </w:tbl>
    <w:p>
      <w:pPr>
        <w:spacing w:after="0" w:line="9"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24"/>
          <w:szCs w:val="24"/>
          <w:color w:val="auto"/>
          <w:vertAlign w:val="superscript"/>
        </w:rPr>
      </w:pPr>
      <w:r>
        <w:rPr>
          <w:rFonts w:ascii="Arial" w:cs="Arial" w:eastAsia="Arial" w:hAnsi="Arial"/>
          <w:sz w:val="14"/>
          <w:szCs w:val="14"/>
          <w:color w:val="auto"/>
        </w:rPr>
        <w:t>Includes options that were canceled and re-granted as part of the option repricing modification, as further discussed below.</w:t>
      </w:r>
    </w:p>
    <w:p>
      <w:pPr>
        <w:spacing w:after="0" w:line="92"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The weighted average grant date fair values of stock options granted during fiscal years 2019 and 2020 were $7.21 and $1.53, as adjusted for the option repricing modification as further discussed below, respectively. The total intrinsic value of stock options exercised during the fiscal years 2019 and 2020 were $1,857 and $307, respectively.</w:t>
      </w:r>
    </w:p>
    <w:p>
      <w:pPr>
        <w:spacing w:after="0" w:line="95" w:lineRule="exact"/>
        <w:rPr>
          <w:sz w:val="20"/>
          <w:szCs w:val="20"/>
          <w:color w:val="auto"/>
        </w:rPr>
      </w:pPr>
    </w:p>
    <w:p>
      <w:pPr>
        <w:ind w:left="660" w:right="280"/>
        <w:spacing w:after="0" w:line="274" w:lineRule="auto"/>
        <w:rPr>
          <w:sz w:val="20"/>
          <w:szCs w:val="20"/>
          <w:color w:val="auto"/>
        </w:rPr>
      </w:pPr>
      <w:r>
        <w:rPr>
          <w:rFonts w:ascii="Arial" w:cs="Arial" w:eastAsia="Arial" w:hAnsi="Arial"/>
          <w:sz w:val="17"/>
          <w:szCs w:val="17"/>
          <w:color w:val="auto"/>
        </w:rPr>
        <w:t>At January 31, 2020 and 2021, there were $ 12,959 and $9,600 of unrecognized compensation costs related to stock options granted under the Plan and are expected to be recognized over a weighted average period of 2.82 and 2.23 years, respectively.</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exercising of stock option awards.</w:t>
      </w:r>
    </w:p>
    <w:p>
      <w:pPr>
        <w:spacing w:after="0" w:line="10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$1,205 was recognized related to vested options as incremental compensation expense during the year ended January 31, 2021. The Company will recognize the remaining $1,104 of incremental compensation costs on a straight-line basis over the remaining requisite service period.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RSUs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RSUs activity during the periods indicated is as follows: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Grant-Date</w:t>
            </w:r>
          </w:p>
        </w:tc>
      </w:tr>
      <w:tr>
        <w:trPr>
          <w:trHeight w:val="162"/>
        </w:trPr>
        <w:tc>
          <w:tcPr>
            <w:tcW w:w="762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7620" w:type="dxa"/>
            <w:vAlign w:val="bottom"/>
          </w:tcPr>
          <w:p>
            <w:pPr>
              <w:spacing w:after="0"/>
              <w:rPr>
                <w:sz w:val="15"/>
                <w:szCs w:val="15"/>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and outstanding at February 1, 2020</w:t>
            </w:r>
          </w:p>
        </w:tc>
        <w:tc>
          <w:tcPr>
            <w:tcW w:w="86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5"/>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762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1,689,217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12.29</w:t>
            </w:r>
          </w:p>
        </w:tc>
      </w:tr>
      <w:tr>
        <w:trPr>
          <w:trHeight w:val="203"/>
        </w:trPr>
        <w:tc>
          <w:tcPr>
            <w:tcW w:w="7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(179,616)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13.34</w:t>
            </w:r>
          </w:p>
        </w:tc>
      </w:tr>
      <w:tr>
        <w:trPr>
          <w:trHeight w:val="209"/>
        </w:trPr>
        <w:tc>
          <w:tcPr>
            <w:tcW w:w="7620" w:type="dxa"/>
            <w:vAlign w:val="bottom"/>
          </w:tcPr>
          <w:p>
            <w:pPr>
              <w:spacing w:after="0"/>
              <w:rPr>
                <w:sz w:val="20"/>
                <w:szCs w:val="20"/>
                <w:color w:val="auto"/>
              </w:rPr>
            </w:pPr>
            <w:r>
              <w:rPr>
                <w:rFonts w:ascii="Arial" w:cs="Arial" w:eastAsia="Arial" w:hAnsi="Arial"/>
                <w:sz w:val="18"/>
                <w:szCs w:val="18"/>
                <w:color w:val="auto"/>
              </w:rPr>
              <w:t>Unvested and outstanding at January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1,509,601</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r>
      <w:tr>
        <w:trPr>
          <w:trHeight w:val="20"/>
        </w:trPr>
        <w:tc>
          <w:tcPr>
            <w:tcW w:w="7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240"/>
        <w:spacing w:after="0"/>
        <w:rPr>
          <w:sz w:val="20"/>
          <w:szCs w:val="20"/>
          <w:color w:val="auto"/>
        </w:rPr>
      </w:pPr>
      <w:r>
        <w:rPr>
          <w:rFonts w:ascii="Arial" w:cs="Arial" w:eastAsia="Arial" w:hAnsi="Arial"/>
          <w:sz w:val="18"/>
          <w:szCs w:val="18"/>
          <w:color w:val="auto"/>
        </w:rPr>
        <w:t>The total unrecorded share-based compensation expense relating to RSUs which were partially vested at January 31, 2021 was $7,634. This amount relates to awards for which the service-based vesting condition had been satisfied or partially satisfied at January 31, 2021.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classification of share-based compensation by line item within the consolidated statements of operations is as follows: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3840" w:type="dxa"/>
            <w:vAlign w:val="bottom"/>
            <w:tcBorders>
              <w:bottom w:val="single" w:sz="8" w:color="CCEEFF"/>
            </w:tcBorders>
          </w:tcPr>
          <w:p>
            <w:pPr>
              <w:spacing w:after="0"/>
              <w:rPr>
                <w:sz w:val="13"/>
                <w:szCs w:val="13"/>
                <w:color w:val="auto"/>
              </w:rPr>
            </w:pPr>
          </w:p>
        </w:tc>
        <w:tc>
          <w:tcPr>
            <w:tcW w:w="38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38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1,983</w:t>
            </w:r>
          </w:p>
        </w:tc>
        <w:tc>
          <w:tcPr>
            <w:tcW w:w="40" w:type="dxa"/>
            <w:vAlign w:val="bottom"/>
            <w:shd w:val="clear" w:color="auto" w:fill="CCEE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Marketing</w:t>
            </w: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351</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4,745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5,856</w:t>
            </w:r>
          </w:p>
        </w:tc>
      </w:tr>
      <w:tr>
        <w:trPr>
          <w:trHeight w:val="20"/>
        </w:trPr>
        <w:tc>
          <w:tcPr>
            <w:tcW w:w="3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840" w:type="dxa"/>
            <w:vAlign w:val="bottom"/>
          </w:tcPr>
          <w:p>
            <w:pPr>
              <w:ind w:left="360"/>
              <w:spacing w:after="0"/>
              <w:rPr>
                <w:sz w:val="20"/>
                <w:szCs w:val="20"/>
                <w:color w:val="auto"/>
              </w:rPr>
            </w:pPr>
            <w:r>
              <w:rPr>
                <w:rFonts w:ascii="Arial" w:cs="Arial" w:eastAsia="Arial" w:hAnsi="Arial"/>
                <w:sz w:val="18"/>
                <w:szCs w:val="18"/>
                <w:color w:val="auto"/>
              </w:rPr>
              <w:t>Total share-based compensation</w:t>
            </w:r>
          </w:p>
        </w:tc>
        <w:tc>
          <w:tcPr>
            <w:tcW w:w="3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6,766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8,190</w:t>
            </w:r>
          </w:p>
        </w:tc>
      </w:tr>
      <w:tr>
        <w:trPr>
          <w:trHeight w:val="20"/>
        </w:trPr>
        <w:tc>
          <w:tcPr>
            <w:tcW w:w="3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4000" w:type="dxa"/>
            <w:vAlign w:val="bottom"/>
            <w:gridSpan w:val="2"/>
          </w:tcPr>
          <w:p>
            <w:pPr>
              <w:jc w:val="right"/>
              <w:ind w:right="267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40" w:lineRule="exact"/>
        <w:rPr>
          <w:sz w:val="20"/>
          <w:szCs w:val="20"/>
          <w:color w:val="auto"/>
        </w:rPr>
      </w:pPr>
    </w:p>
    <w:p>
      <w:pPr>
        <w:ind w:left="660" w:hanging="544"/>
        <w:spacing w:after="0"/>
        <w:tabs>
          <w:tab w:leader="none" w:pos="6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5" w:lineRule="exact"/>
        <w:rPr>
          <w:rFonts w:ascii="Arial" w:cs="Arial" w:eastAsia="Arial" w:hAnsi="Arial"/>
          <w:sz w:val="18"/>
          <w:szCs w:val="18"/>
          <w:b w:val="1"/>
          <w:bCs w:val="1"/>
          <w:color w:val="auto"/>
        </w:rPr>
      </w:pPr>
    </w:p>
    <w:p>
      <w:pPr>
        <w:ind w:left="660" w:right="6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participating securities. The Company has one class of common stock.</w:t>
      </w:r>
    </w:p>
    <w:p>
      <w:pPr>
        <w:spacing w:after="0" w:line="19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69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83"/>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900" w:type="dxa"/>
            <w:vAlign w:val="bottom"/>
          </w:tcPr>
          <w:p>
            <w:pPr>
              <w:ind w:left="36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(153,956)</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(171,080)</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690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loss per share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Pr>
          <w:p>
            <w:pPr>
              <w:ind w:left="54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w w:val="99"/>
              </w:rPr>
              <w:t>10,964,634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7"/>
              </w:rPr>
              <w:t>11,138,851</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(14.04)</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(15.36)</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17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1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preferred stock</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26,992,271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31,137,921</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Stock options</w:t>
            </w:r>
          </w:p>
        </w:tc>
        <w:tc>
          <w:tcPr>
            <w:tcW w:w="14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7,023,534</w:t>
            </w:r>
          </w:p>
        </w:tc>
        <w:tc>
          <w:tcPr>
            <w:tcW w:w="2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6,060,107</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warrants</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879,203</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2,530,904</w:t>
            </w:r>
          </w:p>
        </w:tc>
      </w:tr>
      <w:tr>
        <w:trPr>
          <w:trHeight w:val="209"/>
        </w:trPr>
        <w:tc>
          <w:tcPr>
            <w:tcW w:w="7140" w:type="dxa"/>
            <w:vAlign w:val="bottom"/>
          </w:tcPr>
          <w:p>
            <w:pPr>
              <w:spacing w:after="0" w:line="202" w:lineRule="exact"/>
              <w:rPr>
                <w:sz w:val="20"/>
                <w:szCs w:val="20"/>
                <w:color w:val="auto"/>
              </w:rPr>
            </w:pPr>
            <w:r>
              <w:rPr>
                <w:rFonts w:ascii="Arial" w:cs="Arial" w:eastAsia="Arial" w:hAnsi="Arial"/>
                <w:sz w:val="18"/>
                <w:szCs w:val="18"/>
                <w:color w:val="auto"/>
              </w:rPr>
              <w:t>Preferred stock warrants</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103,791</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164,664</w:t>
            </w:r>
          </w:p>
        </w:tc>
        <w:tc>
          <w:tcPr>
            <w:tcW w:w="60" w:type="dxa"/>
            <w:vAlign w:val="bottom"/>
          </w:tcPr>
          <w:p>
            <w:pPr>
              <w:spacing w:after="0"/>
              <w:rPr>
                <w:sz w:val="18"/>
                <w:szCs w:val="18"/>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34,998,799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39,893,596</w:t>
            </w:r>
          </w:p>
        </w:tc>
      </w:tr>
      <w:tr>
        <w:trPr>
          <w:trHeight w:val="20"/>
        </w:trPr>
        <w:tc>
          <w:tcPr>
            <w:tcW w:w="7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At January 31, 2021, RSUs to be settled in 1,509,601 shares of common stock were excluded from the table above because they are subject to performance-based vesting conditions that were not achieved as of such date.</w:t>
      </w:r>
    </w:p>
    <w:p>
      <w:pPr>
        <w:spacing w:after="0" w:line="323" w:lineRule="exact"/>
        <w:rPr>
          <w:sz w:val="20"/>
          <w:szCs w:val="20"/>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disclosures for the years ended January 31, 2020 and 2021, are as follows:</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January 31,</w:t>
            </w:r>
          </w:p>
        </w:tc>
      </w:tr>
      <w:tr>
        <w:trPr>
          <w:trHeight w:val="155"/>
        </w:trPr>
        <w:tc>
          <w:tcPr>
            <w:tcW w:w="3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7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payments for:</w:t>
            </w:r>
          </w:p>
        </w:tc>
        <w:tc>
          <w:tcPr>
            <w:tcW w:w="38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3840" w:type="dxa"/>
            <w:vAlign w:val="bottom"/>
          </w:tcPr>
          <w:p>
            <w:pPr>
              <w:ind w:left="360"/>
              <w:spacing w:after="0" w:line="202" w:lineRule="exact"/>
              <w:rPr>
                <w:sz w:val="20"/>
                <w:szCs w:val="20"/>
                <w:color w:val="auto"/>
              </w:rPr>
            </w:pPr>
            <w:r>
              <w:rPr>
                <w:rFonts w:ascii="Arial" w:cs="Arial" w:eastAsia="Arial" w:hAnsi="Arial"/>
                <w:sz w:val="18"/>
                <w:szCs w:val="18"/>
                <w:color w:val="auto"/>
              </w:rPr>
              <w:t>Interest paid on loans</w:t>
            </w:r>
          </w:p>
        </w:tc>
        <w:tc>
          <w:tcPr>
            <w:tcW w:w="48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  1,523</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  3,660</w:t>
            </w:r>
          </w:p>
        </w:tc>
      </w:tr>
      <w:tr>
        <w:trPr>
          <w:trHeight w:val="203"/>
        </w:trPr>
        <w:tc>
          <w:tcPr>
            <w:tcW w:w="3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paid on financing leases</w:t>
            </w:r>
          </w:p>
        </w:tc>
        <w:tc>
          <w:tcPr>
            <w:tcW w:w="48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53</w:t>
            </w:r>
          </w:p>
        </w:tc>
        <w:tc>
          <w:tcPr>
            <w:tcW w:w="10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w:t>
            </w:r>
          </w:p>
        </w:tc>
      </w:tr>
      <w:tr>
        <w:trPr>
          <w:trHeight w:val="217"/>
        </w:trPr>
        <w:tc>
          <w:tcPr>
            <w:tcW w:w="3840" w:type="dxa"/>
            <w:vAlign w:val="bottom"/>
          </w:tcPr>
          <w:p>
            <w:pPr>
              <w:ind w:left="360"/>
              <w:spacing w:after="0"/>
              <w:rPr>
                <w:sz w:val="20"/>
                <w:szCs w:val="20"/>
                <w:color w:val="auto"/>
              </w:rPr>
            </w:pPr>
            <w:r>
              <w:rPr>
                <w:rFonts w:ascii="Arial" w:cs="Arial" w:eastAsia="Arial" w:hAnsi="Arial"/>
                <w:sz w:val="18"/>
                <w:szCs w:val="18"/>
                <w:color w:val="auto"/>
              </w:rPr>
              <w:t>Fixed operating leases</w:t>
            </w:r>
          </w:p>
        </w:tc>
        <w:tc>
          <w:tcPr>
            <w:tcW w:w="4880" w:type="dxa"/>
            <w:vAlign w:val="bottom"/>
            <w:gridSpan w:val="3"/>
          </w:tcPr>
          <w:p>
            <w:pPr>
              <w:jc w:val="right"/>
              <w:ind w:right="320"/>
              <w:spacing w:after="0"/>
              <w:rPr>
                <w:sz w:val="20"/>
                <w:szCs w:val="20"/>
                <w:color w:val="auto"/>
              </w:rPr>
            </w:pPr>
            <w:r>
              <w:rPr>
                <w:rFonts w:ascii="Arial" w:cs="Arial" w:eastAsia="Arial" w:hAnsi="Arial"/>
                <w:sz w:val="18"/>
                <w:szCs w:val="18"/>
                <w:color w:val="auto"/>
              </w:rPr>
              <w:t>6,988</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2,563</w:t>
            </w:r>
          </w:p>
        </w:tc>
      </w:tr>
      <w:tr>
        <w:trPr>
          <w:trHeight w:val="350"/>
        </w:trPr>
        <w:tc>
          <w:tcPr>
            <w:tcW w:w="3840" w:type="dxa"/>
            <w:vAlign w:val="bottom"/>
          </w:tcPr>
          <w:p>
            <w:pPr>
              <w:spacing w:after="0"/>
              <w:rPr>
                <w:sz w:val="24"/>
                <w:szCs w:val="24"/>
                <w:color w:val="auto"/>
              </w:rPr>
            </w:pPr>
          </w:p>
        </w:tc>
        <w:tc>
          <w:tcPr>
            <w:tcW w:w="4880" w:type="dxa"/>
            <w:vAlign w:val="bottom"/>
            <w:gridSpan w:val="3"/>
          </w:tcPr>
          <w:p>
            <w:pPr>
              <w:jc w:val="right"/>
              <w:ind w:right="3640"/>
              <w:spacing w:after="0"/>
              <w:rPr>
                <w:sz w:val="20"/>
                <w:szCs w:val="20"/>
                <w:color w:val="auto"/>
              </w:rPr>
            </w:pPr>
            <w:r>
              <w:rPr>
                <w:rFonts w:ascii="Arial" w:cs="Arial" w:eastAsia="Arial" w:hAnsi="Arial"/>
                <w:sz w:val="18"/>
                <w:szCs w:val="18"/>
                <w:color w:val="auto"/>
              </w:rPr>
              <w:t>F-37</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59" w:right="6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RENT THE RUNWAY,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(Dollars in thousands, except share and per share amounts)</w:t>
      </w:r>
    </w:p>
    <w:p>
      <w:pPr>
        <w:spacing w:after="0" w:line="150"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780" w:type="dxa"/>
            <w:vAlign w:val="bottom"/>
          </w:tcPr>
          <w:p>
            <w:pPr>
              <w:spacing w:after="0"/>
              <w:rPr>
                <w:sz w:val="15"/>
                <w:szCs w:val="15"/>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January 31,</w:t>
            </w:r>
          </w:p>
        </w:tc>
      </w:tr>
      <w:tr>
        <w:trPr>
          <w:trHeight w:val="156"/>
        </w:trPr>
        <w:tc>
          <w:tcPr>
            <w:tcW w:w="77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3"/>
                <w:szCs w:val="13"/>
                <w:color w:val="auto"/>
              </w:rPr>
            </w:pPr>
          </w:p>
        </w:tc>
      </w:tr>
      <w:tr>
        <w:trPr>
          <w:trHeight w:val="183"/>
        </w:trPr>
        <w:tc>
          <w:tcPr>
            <w:tcW w:w="7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Non-cash financing and investing activities:</w:t>
            </w: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7780" w:type="dxa"/>
            <w:vAlign w:val="bottom"/>
          </w:tcPr>
          <w:p>
            <w:pPr>
              <w:ind w:left="360"/>
              <w:spacing w:after="0" w:line="202" w:lineRule="exact"/>
              <w:rPr>
                <w:sz w:val="20"/>
                <w:szCs w:val="20"/>
                <w:color w:val="auto"/>
              </w:rPr>
            </w:pPr>
            <w:r>
              <w:rPr>
                <w:rFonts w:ascii="Arial" w:cs="Arial" w:eastAsia="Arial" w:hAnsi="Arial"/>
                <w:sz w:val="18"/>
                <w:szCs w:val="18"/>
                <w:color w:val="auto"/>
              </w:rPr>
              <w:t>Financing leases right-of-use asset amortization</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147</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w:t>
            </w:r>
          </w:p>
        </w:tc>
      </w:tr>
      <w:tr>
        <w:trPr>
          <w:trHeight w:val="202"/>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ROU assets obtained in exchange for lease liabilities (1)</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39,970</w:t>
            </w: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w:t>
            </w:r>
          </w:p>
        </w:tc>
      </w:tr>
      <w:tr>
        <w:trPr>
          <w:trHeight w:val="202"/>
        </w:trPr>
        <w:tc>
          <w:tcPr>
            <w:tcW w:w="7780" w:type="dxa"/>
            <w:vAlign w:val="bottom"/>
          </w:tcPr>
          <w:p>
            <w:pPr>
              <w:ind w:left="360"/>
              <w:spacing w:after="0" w:line="201" w:lineRule="exact"/>
              <w:rPr>
                <w:sz w:val="20"/>
                <w:szCs w:val="20"/>
                <w:color w:val="auto"/>
              </w:rPr>
            </w:pPr>
            <w:r>
              <w:rPr>
                <w:rFonts w:ascii="Arial" w:cs="Arial" w:eastAsia="Arial" w:hAnsi="Arial"/>
                <w:sz w:val="18"/>
                <w:szCs w:val="18"/>
                <w:color w:val="auto"/>
              </w:rPr>
              <w:t>Adjustments to ROU assets or lease liabilities due to modification or other</w:t>
            </w: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7780" w:type="dxa"/>
            <w:vAlign w:val="bottom"/>
          </w:tcPr>
          <w:p>
            <w:pPr>
              <w:ind w:left="540"/>
              <w:spacing w:after="0" w:line="203" w:lineRule="exact"/>
              <w:rPr>
                <w:sz w:val="20"/>
                <w:szCs w:val="20"/>
                <w:color w:val="auto"/>
              </w:rPr>
            </w:pPr>
            <w:r>
              <w:rPr>
                <w:rFonts w:ascii="Arial" w:cs="Arial" w:eastAsia="Arial" w:hAnsi="Arial"/>
                <w:sz w:val="18"/>
                <w:szCs w:val="18"/>
                <w:color w:val="auto"/>
              </w:rPr>
              <w:t>reassessment events</w:t>
            </w:r>
          </w:p>
        </w:tc>
        <w:tc>
          <w:tcPr>
            <w:tcW w:w="124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8</w:t>
            </w:r>
          </w:p>
        </w:tc>
        <w:tc>
          <w:tcPr>
            <w:tcW w:w="7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5,211</w:t>
            </w: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Purchases of fixed assets not yet settled</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2,079</w:t>
            </w: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463</w:t>
            </w:r>
          </w:p>
        </w:tc>
      </w:tr>
      <w:tr>
        <w:trPr>
          <w:trHeight w:val="217"/>
        </w:trPr>
        <w:tc>
          <w:tcPr>
            <w:tcW w:w="7780" w:type="dxa"/>
            <w:vAlign w:val="bottom"/>
          </w:tcPr>
          <w:p>
            <w:pPr>
              <w:ind w:left="360"/>
              <w:spacing w:after="0"/>
              <w:rPr>
                <w:sz w:val="20"/>
                <w:szCs w:val="20"/>
                <w:color w:val="auto"/>
              </w:rPr>
            </w:pPr>
            <w:r>
              <w:rPr>
                <w:rFonts w:ascii="Arial" w:cs="Arial" w:eastAsia="Arial" w:hAnsi="Arial"/>
                <w:sz w:val="18"/>
                <w:szCs w:val="18"/>
                <w:color w:val="auto"/>
              </w:rPr>
              <w:t>Purchases of rental product not yet settled</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3,642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3,585</w:t>
            </w:r>
          </w:p>
        </w:tc>
      </w:tr>
    </w:tbl>
    <w:p>
      <w:pPr>
        <w:spacing w:after="0" w:line="8" w:lineRule="exact"/>
        <w:rPr>
          <w:sz w:val="20"/>
          <w:szCs w:val="20"/>
          <w:color w:val="auto"/>
        </w:rPr>
      </w:pPr>
    </w:p>
    <w:p>
      <w:pPr>
        <w:ind w:left="1300" w:hanging="644"/>
        <w:spacing w:after="0"/>
        <w:tabs>
          <w:tab w:leader="none" w:pos="1300" w:val="left"/>
        </w:tabs>
        <w:numPr>
          <w:ilvl w:val="1"/>
          <w:numId w:val="185"/>
        </w:numPr>
        <w:rPr>
          <w:rFonts w:ascii="Arial" w:cs="Arial" w:eastAsia="Arial" w:hAnsi="Arial"/>
          <w:sz w:val="24"/>
          <w:szCs w:val="24"/>
          <w:color w:val="auto"/>
          <w:vertAlign w:val="superscript"/>
        </w:rPr>
      </w:pPr>
      <w:r>
        <w:rPr>
          <w:rFonts w:ascii="Arial" w:cs="Arial" w:eastAsia="Arial" w:hAnsi="Arial"/>
          <w:sz w:val="14"/>
          <w:szCs w:val="14"/>
          <w:color w:val="auto"/>
        </w:rPr>
        <w:t>Includes non-cash ROU assets obtained in exchange for lease liabilities in accordance with the adoption of ASC 842 as of February 1, 2019.</w:t>
      </w:r>
    </w:p>
    <w:p>
      <w:pPr>
        <w:spacing w:after="0" w:line="326" w:lineRule="exact"/>
        <w:rPr>
          <w:rFonts w:ascii="Arial" w:cs="Arial" w:eastAsia="Arial" w:hAnsi="Arial"/>
          <w:sz w:val="24"/>
          <w:szCs w:val="24"/>
          <w:color w:val="auto"/>
          <w:vertAlign w:val="superscript"/>
        </w:rPr>
      </w:pPr>
    </w:p>
    <w:p>
      <w:pPr>
        <w:ind w:left="660" w:hanging="544"/>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at January 31, 2020 and 2021 of</w:t>
      </w:r>
    </w:p>
    <w:p>
      <w:pPr>
        <w:ind w:left="660" w:right="2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$10,500 and $13,910, respectively (see Note 2), primarily to satisfy security deposit requirements on its leases (see Note 4). At January 31, 2020, the Company had the ability and intent to redeem the restricted cash balances and issue letters of credit to satisfy security deposit requirements on its leases. Additionally, at January 31, 2020 and 2021, the Company had non-cash collateralized standby outstanding letters of credit of $1,709 and $0, respectively.</w:t>
      </w:r>
    </w:p>
    <w:p>
      <w:pPr>
        <w:spacing w:after="0" w:line="9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At January 31, 2021, there was no litigation or contingency with at least a reasonable possibility of a material loss.</w:t>
      </w:r>
    </w:p>
    <w:p>
      <w:pPr>
        <w:spacing w:after="0" w:line="338" w:lineRule="exact"/>
        <w:rPr>
          <w:rFonts w:ascii="Arial" w:cs="Arial" w:eastAsia="Arial" w:hAnsi="Arial"/>
          <w:sz w:val="18"/>
          <w:szCs w:val="18"/>
          <w:b w:val="1"/>
          <w:bCs w:val="1"/>
          <w:color w:val="auto"/>
        </w:rPr>
      </w:pPr>
    </w:p>
    <w:p>
      <w:pPr>
        <w:ind w:left="660" w:hanging="544"/>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5" w:lineRule="exact"/>
        <w:rPr>
          <w:rFonts w:ascii="Arial" w:cs="Arial" w:eastAsia="Arial" w:hAnsi="Arial"/>
          <w:sz w:val="18"/>
          <w:szCs w:val="18"/>
          <w:b w:val="1"/>
          <w:bCs w:val="1"/>
          <w:color w:val="auto"/>
        </w:rPr>
      </w:pPr>
    </w:p>
    <w:p>
      <w:pPr>
        <w:ind w:left="660" w:right="4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Subsequent events have been evaluated through July 16, 2021, which is the date the consolidated financial statements were available to be issued.</w:t>
      </w:r>
    </w:p>
    <w:p>
      <w:pPr>
        <w:spacing w:after="0" w:line="88" w:lineRule="exact"/>
        <w:rPr>
          <w:rFonts w:ascii="Arial" w:cs="Arial" w:eastAsia="Arial" w:hAnsi="Arial"/>
          <w:sz w:val="18"/>
          <w:szCs w:val="18"/>
          <w:b w:val="1"/>
          <w:bCs w:val="1"/>
          <w:color w:val="auto"/>
        </w:rPr>
      </w:pPr>
    </w:p>
    <w:p>
      <w:pPr>
        <w:ind w:left="66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April and May 2021, the Company issued an additional 1,360,914 Series G redeemable preferred stock at $14.74096 per share, for a total amount of $20,061.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40"/>
          </w:cols>
          <w:pgMar w:left="320" w:top="459" w:right="53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1128395</wp:posOffset>
            </wp:positionV>
            <wp:extent cx="1474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4214495</wp:posOffset>
            </wp:positionV>
            <wp:extent cx="1474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1479550</wp:posOffset>
            </wp:positionV>
            <wp:extent cx="1714500" cy="23488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5860" w:val="left"/>
          <w:tab w:leader="none" w:pos="968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439420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490855</wp:posOffset>
            </wp:positionV>
            <wp:extent cx="699516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00"/>
          </w:cols>
          <w:pgMar w:left="320" w:top="459" w:right="67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Amount</w:t>
            </w:r>
          </w:p>
        </w:tc>
      </w:tr>
      <w:tr>
        <w:trPr>
          <w:trHeight w:val="196"/>
        </w:trPr>
        <w:tc>
          <w:tcPr>
            <w:tcW w:w="10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listing fee</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Printing fees and expenses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Custodian, transfer agent, and registrar fees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Other advisors’ fees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10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6" w:lineRule="exact"/>
        <w:rPr>
          <w:sz w:val="20"/>
          <w:szCs w:val="20"/>
          <w:color w:val="auto"/>
        </w:rPr>
      </w:pPr>
    </w:p>
    <w:p>
      <w:pPr>
        <w:ind w:left="120" w:right="240" w:firstLine="551"/>
        <w:spacing w:after="0" w:line="236"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202"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past three years, we issued the following securities which that were not registered under the Securities Act:</w:t>
      </w:r>
    </w:p>
    <w:p>
      <w:pPr>
        <w:spacing w:after="0" w:line="190"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b w:val="1"/>
          <w:bCs w:val="1"/>
          <w:i w:val="1"/>
          <w:iCs w:val="1"/>
          <w:color w:val="auto"/>
        </w:rPr>
        <w:t>Preferred Stock Issuances</w:t>
      </w:r>
      <w:r>
        <w:rPr>
          <w:rFonts w:ascii="Arial" w:cs="Arial" w:eastAsia="Arial" w:hAnsi="Arial"/>
          <w:sz w:val="18"/>
          <w:szCs w:val="18"/>
          <w:color w:val="auto"/>
        </w:rPr>
        <w:t>. Between December 2016 and February 2019, we issued an aggregate of 3,723,110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E redeemable preferred stock at a purchase price of $21.7560 per share, for an aggregate purchase price of $81.0 million.</w:t>
      </w:r>
    </w:p>
    <w:p>
      <w:pPr>
        <w:spacing w:after="0" w:line="17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Between March 2019 and January 2020, we issued an aggregate of 6,039,272 shares of our Series F redeemable preferred stock at a purchase price of $22.3537 per share, for an aggregate purchase price of $135.0 million.</w:t>
      </w:r>
    </w:p>
    <w:p>
      <w:pPr>
        <w:spacing w:after="0" w:line="197"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Between April 2020 and May 2021, we issued an aggregate of 5,506,564 shares of our Series G redeemable preferred stock at a purchase price of $14.74096 per share, for an aggregate purchase price of $81.2 million.</w:t>
      </w:r>
    </w:p>
    <w:p>
      <w:pPr>
        <w:spacing w:after="0" w:line="175" w:lineRule="exact"/>
        <w:rPr>
          <w:sz w:val="20"/>
          <w:szCs w:val="20"/>
          <w:color w:val="auto"/>
        </w:rPr>
      </w:pPr>
    </w:p>
    <w:p>
      <w:pPr>
        <w:jc w:val="both"/>
        <w:ind w:left="120" w:right="360" w:firstLine="551"/>
        <w:spacing w:after="0" w:line="253" w:lineRule="auto"/>
        <w:rPr>
          <w:sz w:val="20"/>
          <w:szCs w:val="20"/>
          <w:color w:val="auto"/>
        </w:rPr>
      </w:pPr>
      <w:r>
        <w:rPr>
          <w:rFonts w:ascii="Arial" w:cs="Arial" w:eastAsia="Arial" w:hAnsi="Arial"/>
          <w:sz w:val="18"/>
          <w:szCs w:val="18"/>
          <w:b w:val="1"/>
          <w:bCs w:val="1"/>
          <w:i w:val="1"/>
          <w:iCs w:val="1"/>
          <w:color w:val="auto"/>
        </w:rPr>
        <w:t xml:space="preserve">Plan-Related Issuances. </w:t>
      </w:r>
      <w:r>
        <w:rPr>
          <w:rFonts w:ascii="Arial" w:cs="Arial" w:eastAsia="Arial" w:hAnsi="Arial"/>
          <w:sz w:val="18"/>
          <w:szCs w:val="18"/>
          <w:color w:val="auto"/>
        </w:rPr>
        <w:t>Since June 30, 2018, we granted to certain directors, officers, employees, consultants,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91"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75" w:lineRule="exact"/>
        <w:rPr>
          <w:sz w:val="20"/>
          <w:szCs w:val="20"/>
          <w:color w:val="auto"/>
        </w:rPr>
      </w:pPr>
    </w:p>
    <w:p>
      <w:pPr>
        <w:ind w:left="120" w:right="520" w:firstLine="551"/>
        <w:spacing w:after="0" w:line="271" w:lineRule="auto"/>
        <w:rPr>
          <w:sz w:val="20"/>
          <w:szCs w:val="20"/>
          <w:color w:val="auto"/>
        </w:rPr>
      </w:pPr>
      <w:r>
        <w:rPr>
          <w:rFonts w:ascii="Arial" w:cs="Arial" w:eastAsia="Arial" w:hAnsi="Arial"/>
          <w:sz w:val="18"/>
          <w:szCs w:val="18"/>
          <w:b w:val="1"/>
          <w:bCs w:val="1"/>
          <w:i w:val="1"/>
          <w:iCs w:val="1"/>
          <w:color w:val="auto"/>
        </w:rPr>
        <w:t xml:space="preserve">Warrant Issuances. </w:t>
      </w:r>
      <w:r>
        <w:rPr>
          <w:rFonts w:ascii="Arial" w:cs="Arial" w:eastAsia="Arial" w:hAnsi="Arial"/>
          <w:sz w:val="18"/>
          <w:szCs w:val="18"/>
          <w:color w:val="auto"/>
        </w:rPr>
        <w:t>Since June 30, 2018, we issued warrants to purchase up to an aggregate of 1,692,529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to accredited investors at an exercise price of $0.01 per share.</w:t>
      </w:r>
    </w:p>
    <w:p>
      <w:pPr>
        <w:spacing w:after="0" w:line="158" w:lineRule="exact"/>
        <w:rPr>
          <w:sz w:val="20"/>
          <w:szCs w:val="20"/>
          <w:color w:val="auto"/>
        </w:rPr>
      </w:pPr>
    </w:p>
    <w:p>
      <w:pPr>
        <w:ind w:left="120" w:right="620" w:firstLine="551"/>
        <w:spacing w:after="0" w:line="267" w:lineRule="auto"/>
        <w:rPr>
          <w:sz w:val="20"/>
          <w:szCs w:val="20"/>
          <w:color w:val="auto"/>
        </w:rPr>
      </w:pPr>
      <w:r>
        <w:rPr>
          <w:rFonts w:ascii="Arial" w:cs="Arial" w:eastAsia="Arial" w:hAnsi="Arial"/>
          <w:sz w:val="18"/>
          <w:szCs w:val="18"/>
          <w:color w:val="auto"/>
        </w:rPr>
        <w:t xml:space="preserve">Since June 30, 2018, we issued one warrant to purchase up to an aggregate of 76,627 shares of our Series G </w:t>
      </w:r>
      <w:r>
        <w:rPr>
          <w:rFonts w:ascii="Arial" w:cs="Arial" w:eastAsia="Arial" w:hAnsi="Arial"/>
          <w:sz w:val="18"/>
          <w:szCs w:val="18"/>
          <w:i w:val="1"/>
          <w:iCs w:val="1"/>
          <w:color w:val="auto"/>
        </w:rPr>
        <w:t>redeemable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preferred </w:t>
      </w:r>
      <w:r>
        <w:rPr>
          <w:rFonts w:ascii="Arial" w:cs="Arial" w:eastAsia="Arial" w:hAnsi="Arial"/>
          <w:sz w:val="18"/>
          <w:szCs w:val="18"/>
          <w:color w:val="auto"/>
        </w:rPr>
        <w:t>stock at an exercise price of $14.7410 per share.</w:t>
      </w:r>
    </w:p>
    <w:p>
      <w:pPr>
        <w:spacing w:after="0" w:line="178" w:lineRule="exact"/>
        <w:rPr>
          <w:sz w:val="20"/>
          <w:szCs w:val="20"/>
          <w:color w:val="auto"/>
        </w:rPr>
      </w:pPr>
    </w:p>
    <w:p>
      <w:pPr>
        <w:ind w:left="120" w:right="520" w:firstLine="551"/>
        <w:spacing w:after="0" w:line="274" w:lineRule="auto"/>
        <w:rPr>
          <w:sz w:val="20"/>
          <w:szCs w:val="20"/>
          <w:color w:val="auto"/>
        </w:rPr>
      </w:pPr>
      <w:r>
        <w:rPr>
          <w:rFonts w:ascii="Arial" w:cs="Arial" w:eastAsia="Arial" w:hAnsi="Arial"/>
          <w:sz w:val="17"/>
          <w:szCs w:val="17"/>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75" w:lineRule="exact"/>
        <w:rPr>
          <w:sz w:val="20"/>
          <w:szCs w:val="20"/>
          <w:color w:val="auto"/>
        </w:rPr>
      </w:pPr>
    </w:p>
    <w:p>
      <w:pPr>
        <w:ind w:left="120" w:right="500" w:firstLine="551"/>
        <w:spacing w:after="0" w:line="274" w:lineRule="auto"/>
        <w:rPr>
          <w:sz w:val="20"/>
          <w:szCs w:val="20"/>
          <w:color w:val="auto"/>
        </w:rPr>
      </w:pPr>
      <w:r>
        <w:rPr>
          <w:rFonts w:ascii="Arial" w:cs="Arial" w:eastAsia="Arial" w:hAnsi="Arial"/>
          <w:sz w:val="17"/>
          <w:szCs w:val="17"/>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20"/>
          </w:cols>
          <w:pgMar w:left="320" w:top="459" w:right="5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180" w:type="dxa"/>
            <w:vAlign w:val="bottom"/>
          </w:tcPr>
          <w:p>
            <w:pPr>
              <w:spacing w:after="0"/>
              <w:rPr>
                <w:sz w:val="14"/>
                <w:szCs w:val="1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76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8180" w:type="dxa"/>
            <w:vAlign w:val="bottom"/>
          </w:tcPr>
          <w:p>
            <w:pPr>
              <w:spacing w:after="0"/>
              <w:rPr>
                <w:sz w:val="15"/>
                <w:szCs w:val="15"/>
                <w:color w:val="auto"/>
              </w:rPr>
            </w:pPr>
          </w:p>
        </w:tc>
      </w:tr>
      <w:tr>
        <w:trPr>
          <w:trHeight w:val="318"/>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96"/>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9"/>
              </w:rPr>
              <w:t>Eleventh Amended and Restated Certificate of Incorporation of the Registrant, dated as of October 26, 2020, as amended</w:t>
            </w:r>
          </w:p>
        </w:tc>
      </w:tr>
      <w:tr>
        <w:trPr>
          <w:trHeight w:val="203"/>
        </w:trPr>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by that first certificate of amendment to the Eleventh Amended and Restated Certificate of Incorporation, dated as of</w:t>
            </w:r>
          </w:p>
        </w:tc>
      </w:tr>
      <w:tr>
        <w:trPr>
          <w:trHeight w:val="203"/>
        </w:trPr>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March 22, 2021 and that second certificate of amendment to the Eleventh Amended and Restated Certificate of</w:t>
            </w:r>
          </w:p>
        </w:tc>
      </w:tr>
      <w:tr>
        <w:trPr>
          <w:trHeight w:val="217"/>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Incorporation, dated April 30, 2021, as currently in effect.</w:t>
            </w:r>
          </w:p>
        </w:tc>
      </w:tr>
      <w:tr>
        <w:trPr>
          <w:trHeight w:val="311"/>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Third Amended and Restated Bylaws of the Registrant, as currently in effect.</w:t>
            </w:r>
          </w:p>
        </w:tc>
      </w:tr>
      <w:tr>
        <w:trPr>
          <w:trHeight w:val="296"/>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following the effectiveness of</w:t>
            </w:r>
          </w:p>
        </w:tc>
      </w:tr>
      <w:tr>
        <w:trPr>
          <w:trHeight w:val="217"/>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this registration statement.</w:t>
            </w:r>
          </w:p>
        </w:tc>
      </w:tr>
      <w:tr>
        <w:trPr>
          <w:trHeight w:val="296"/>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 to be effective following the effectiveness of this registration</w:t>
            </w:r>
          </w:p>
        </w:tc>
      </w:tr>
      <w:tr>
        <w:trPr>
          <w:trHeight w:val="217"/>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statement.</w:t>
            </w: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Specimen Class A common stock certificate of the Registrant.</w:t>
            </w:r>
          </w:p>
        </w:tc>
      </w:tr>
      <w:tr>
        <w:trPr>
          <w:trHeight w:val="296"/>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Eighth Amended and Restated Investors’ Rights Agreement, or the IRA, by and among the Registrant and certain of its</w:t>
            </w:r>
          </w:p>
        </w:tc>
      </w:tr>
      <w:tr>
        <w:trPr>
          <w:trHeight w:val="203"/>
        </w:trPr>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8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dated April 30, 2020, as amended by that amendment No. 1 to the IRA, dated October 26, 2020 and that</w:t>
            </w:r>
          </w:p>
        </w:tc>
      </w:tr>
      <w:tr>
        <w:trPr>
          <w:trHeight w:val="217"/>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amendment No. 2 to the IRA, dated April 30, 2021.</w:t>
            </w:r>
          </w:p>
        </w:tc>
      </w:tr>
      <w:tr>
        <w:trPr>
          <w:trHeight w:val="296"/>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Eighth Amended and Restated Stockholders Agreement by and among the Registrant and certain of its stockholders,</w:t>
            </w:r>
          </w:p>
        </w:tc>
      </w:tr>
      <w:tr>
        <w:trPr>
          <w:trHeight w:val="217"/>
        </w:trPr>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dated April 30, 2020</w:t>
            </w: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Opinion of Latham &amp; Watkins LLP.</w:t>
            </w: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10.1*</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2009 Stock Incentive Plan.</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(2009 Plan).</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10.4*+</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(2009 Plan).</w:t>
            </w:r>
          </w:p>
        </w:tc>
      </w:tr>
      <w:tr>
        <w:trPr>
          <w:trHeight w:val="311"/>
        </w:trPr>
        <w:tc>
          <w:tcPr>
            <w:tcW w:w="540" w:type="dxa"/>
            <w:vAlign w:val="bottom"/>
          </w:tcPr>
          <w:p>
            <w:pPr>
              <w:jc w:val="right"/>
              <w:spacing w:after="0"/>
              <w:rPr>
                <w:sz w:val="20"/>
                <w:szCs w:val="20"/>
                <w:color w:val="auto"/>
              </w:rPr>
            </w:pPr>
            <w:r>
              <w:rPr>
                <w:rFonts w:ascii="Arial" w:cs="Arial" w:eastAsia="Arial" w:hAnsi="Arial"/>
                <w:sz w:val="18"/>
                <w:szCs w:val="18"/>
                <w:color w:val="auto"/>
                <w:w w:val="95"/>
              </w:rPr>
              <w:t>10.5*+</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2019 Stock Incentive Plan.</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10.6*+</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(2019 Plan).</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10.7*+</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(2019 Plan).</w:t>
            </w: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7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Form of Restricted Stock Unit Agreement (2019 Plan).</w:t>
            </w:r>
          </w:p>
        </w:tc>
      </w:tr>
      <w:tr>
        <w:trPr>
          <w:trHeight w:val="351"/>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75"/>
        </w:trPr>
        <w:tc>
          <w:tcPr>
            <w:tcW w:w="40" w:type="dxa"/>
            <w:vAlign w:val="bottom"/>
          </w:tcPr>
          <w:p>
            <w:pPr>
              <w:spacing w:after="0"/>
              <w:rPr>
                <w:sz w:val="15"/>
                <w:szCs w:val="15"/>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Number</w:t>
            </w:r>
          </w:p>
        </w:tc>
        <w:tc>
          <w:tcPr>
            <w:tcW w:w="9640" w:type="dxa"/>
            <w:vAlign w:val="bottom"/>
            <w:gridSpan w:val="3"/>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2021 Incentive Award Plan.</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10.10*+</w:t>
            </w:r>
          </w:p>
        </w:tc>
        <w:tc>
          <w:tcPr>
            <w:tcW w:w="9640" w:type="dxa"/>
            <w:vAlign w:val="bottom"/>
            <w:gridSpan w:val="3"/>
          </w:tcPr>
          <w:p>
            <w:pPr>
              <w:spacing w:after="0"/>
              <w:rPr>
                <w:sz w:val="20"/>
                <w:szCs w:val="20"/>
                <w:color w:val="auto"/>
              </w:rPr>
            </w:pPr>
            <w:r>
              <w:rPr>
                <w:rFonts w:ascii="Arial" w:cs="Arial" w:eastAsia="Arial" w:hAnsi="Arial"/>
                <w:sz w:val="18"/>
                <w:szCs w:val="18"/>
                <w:color w:val="auto"/>
              </w:rPr>
              <w:t>Form of Stock Option Agreement (2021 Plan).</w:t>
            </w:r>
          </w:p>
        </w:tc>
      </w:tr>
      <w:tr>
        <w:trPr>
          <w:trHeight w:val="311"/>
        </w:trPr>
        <w:tc>
          <w:tcPr>
            <w:tcW w:w="1260" w:type="dxa"/>
            <w:vAlign w:val="bottom"/>
            <w:gridSpan w:val="3"/>
          </w:tcPr>
          <w:p>
            <w:pPr>
              <w:spacing w:after="0"/>
              <w:rPr>
                <w:sz w:val="20"/>
                <w:szCs w:val="20"/>
                <w:color w:val="auto"/>
              </w:rPr>
            </w:pPr>
            <w:r>
              <w:rPr>
                <w:rFonts w:ascii="Arial" w:cs="Arial" w:eastAsia="Arial" w:hAnsi="Arial"/>
                <w:sz w:val="18"/>
                <w:szCs w:val="18"/>
                <w:color w:val="auto"/>
              </w:rPr>
              <w:t>10.11*+</w:t>
            </w:r>
          </w:p>
        </w:tc>
        <w:tc>
          <w:tcPr>
            <w:tcW w:w="9640" w:type="dxa"/>
            <w:vAlign w:val="bottom"/>
            <w:gridSpan w:val="3"/>
          </w:tcPr>
          <w:p>
            <w:pPr>
              <w:spacing w:after="0"/>
              <w:rPr>
                <w:sz w:val="20"/>
                <w:szCs w:val="20"/>
                <w:color w:val="auto"/>
              </w:rPr>
            </w:pPr>
            <w:r>
              <w:rPr>
                <w:rFonts w:ascii="Arial" w:cs="Arial" w:eastAsia="Arial" w:hAnsi="Arial"/>
                <w:sz w:val="18"/>
                <w:szCs w:val="18"/>
                <w:color w:val="auto"/>
              </w:rPr>
              <w:t>Form of Restricted Stock Unit Agreement (2021 Plan).</w:t>
            </w:r>
          </w:p>
        </w:tc>
      </w:tr>
      <w:tr>
        <w:trPr>
          <w:trHeight w:val="311"/>
        </w:trPr>
        <w:tc>
          <w:tcPr>
            <w:tcW w:w="1260" w:type="dxa"/>
            <w:vAlign w:val="bottom"/>
            <w:gridSpan w:val="3"/>
          </w:tcPr>
          <w:p>
            <w:pPr>
              <w:spacing w:after="0"/>
              <w:rPr>
                <w:sz w:val="20"/>
                <w:szCs w:val="20"/>
                <w:color w:val="auto"/>
              </w:rPr>
            </w:pPr>
            <w:r>
              <w:rPr>
                <w:rFonts w:ascii="Arial" w:cs="Arial" w:eastAsia="Arial" w:hAnsi="Arial"/>
                <w:sz w:val="18"/>
                <w:szCs w:val="18"/>
                <w:color w:val="auto"/>
              </w:rPr>
              <w:t>10.12*+</w:t>
            </w:r>
          </w:p>
        </w:tc>
        <w:tc>
          <w:tcPr>
            <w:tcW w:w="9640" w:type="dxa"/>
            <w:vAlign w:val="bottom"/>
            <w:gridSpan w:val="3"/>
          </w:tcPr>
          <w:p>
            <w:pPr>
              <w:spacing w:after="0"/>
              <w:rPr>
                <w:sz w:val="20"/>
                <w:szCs w:val="20"/>
                <w:color w:val="auto"/>
              </w:rPr>
            </w:pPr>
            <w:r>
              <w:rPr>
                <w:rFonts w:ascii="Arial" w:cs="Arial" w:eastAsia="Arial" w:hAnsi="Arial"/>
                <w:sz w:val="18"/>
                <w:szCs w:val="18"/>
                <w:color w:val="auto"/>
              </w:rPr>
              <w:t>Non-Employee Director Compensation Policy.</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10.13*+</w:t>
            </w:r>
          </w:p>
        </w:tc>
        <w:tc>
          <w:tcPr>
            <w:tcW w:w="9640" w:type="dxa"/>
            <w:vAlign w:val="bottom"/>
            <w:gridSpan w:val="3"/>
          </w:tcPr>
          <w:p>
            <w:pPr>
              <w:spacing w:after="0"/>
              <w:rPr>
                <w:sz w:val="20"/>
                <w:szCs w:val="20"/>
                <w:color w:val="auto"/>
              </w:rPr>
            </w:pPr>
            <w:r>
              <w:rPr>
                <w:rFonts w:ascii="Arial" w:cs="Arial" w:eastAsia="Arial" w:hAnsi="Arial"/>
                <w:sz w:val="18"/>
                <w:szCs w:val="18"/>
                <w:color w:val="auto"/>
              </w:rPr>
              <w:t>Employment Agreement, by and between the Registrant and Jennifer Y. Hyman, dated July 6, 2015.</w:t>
            </w:r>
          </w:p>
        </w:tc>
      </w:tr>
      <w:tr>
        <w:trPr>
          <w:trHeight w:val="311"/>
        </w:trPr>
        <w:tc>
          <w:tcPr>
            <w:tcW w:w="1260" w:type="dxa"/>
            <w:vAlign w:val="bottom"/>
            <w:gridSpan w:val="3"/>
          </w:tcPr>
          <w:p>
            <w:pPr>
              <w:spacing w:after="0"/>
              <w:rPr>
                <w:sz w:val="20"/>
                <w:szCs w:val="20"/>
                <w:color w:val="auto"/>
              </w:rPr>
            </w:pPr>
            <w:r>
              <w:rPr>
                <w:rFonts w:ascii="Arial" w:cs="Arial" w:eastAsia="Arial" w:hAnsi="Arial"/>
                <w:sz w:val="18"/>
                <w:szCs w:val="18"/>
                <w:color w:val="auto"/>
              </w:rPr>
              <w:t>10.14*+</w:t>
            </w:r>
          </w:p>
        </w:tc>
        <w:tc>
          <w:tcPr>
            <w:tcW w:w="9640" w:type="dxa"/>
            <w:vAlign w:val="bottom"/>
            <w:gridSpan w:val="3"/>
          </w:tcPr>
          <w:p>
            <w:pPr>
              <w:spacing w:after="0"/>
              <w:rPr>
                <w:sz w:val="20"/>
                <w:szCs w:val="20"/>
                <w:color w:val="auto"/>
              </w:rPr>
            </w:pPr>
            <w:r>
              <w:rPr>
                <w:rFonts w:ascii="Arial" w:cs="Arial" w:eastAsia="Arial" w:hAnsi="Arial"/>
                <w:sz w:val="18"/>
                <w:szCs w:val="18"/>
                <w:color w:val="auto"/>
              </w:rPr>
              <w:t>Employment Agreement Amendment, by and between the Registrant and Jennifer Y. Hyman, dated November 20, 2020.</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10.15*+</w:t>
            </w:r>
          </w:p>
        </w:tc>
        <w:tc>
          <w:tcPr>
            <w:tcW w:w="9640" w:type="dxa"/>
            <w:vAlign w:val="bottom"/>
            <w:gridSpan w:val="3"/>
          </w:tcPr>
          <w:p>
            <w:pPr>
              <w:spacing w:after="0"/>
              <w:rPr>
                <w:sz w:val="20"/>
                <w:szCs w:val="20"/>
                <w:color w:val="auto"/>
              </w:rPr>
            </w:pPr>
            <w:r>
              <w:rPr>
                <w:rFonts w:ascii="Arial" w:cs="Arial" w:eastAsia="Arial" w:hAnsi="Arial"/>
                <w:sz w:val="18"/>
                <w:szCs w:val="18"/>
                <w:color w:val="auto"/>
              </w:rPr>
              <w:t>Offer Letter, by and between the Registrant and Scarlett O’Sullivan, dated September 4, 2015.</w:t>
            </w:r>
          </w:p>
        </w:tc>
      </w:tr>
      <w:tr>
        <w:trPr>
          <w:trHeight w:val="311"/>
        </w:trPr>
        <w:tc>
          <w:tcPr>
            <w:tcW w:w="1260" w:type="dxa"/>
            <w:vAlign w:val="bottom"/>
            <w:gridSpan w:val="3"/>
          </w:tcPr>
          <w:p>
            <w:pPr>
              <w:spacing w:after="0"/>
              <w:rPr>
                <w:sz w:val="20"/>
                <w:szCs w:val="20"/>
                <w:color w:val="auto"/>
              </w:rPr>
            </w:pPr>
            <w:r>
              <w:rPr>
                <w:rFonts w:ascii="Arial" w:cs="Arial" w:eastAsia="Arial" w:hAnsi="Arial"/>
                <w:sz w:val="18"/>
                <w:szCs w:val="18"/>
                <w:color w:val="auto"/>
              </w:rPr>
              <w:t>10.16*+</w:t>
            </w:r>
          </w:p>
        </w:tc>
        <w:tc>
          <w:tcPr>
            <w:tcW w:w="9640" w:type="dxa"/>
            <w:vAlign w:val="bottom"/>
            <w:gridSpan w:val="3"/>
          </w:tcPr>
          <w:p>
            <w:pPr>
              <w:spacing w:after="0"/>
              <w:rPr>
                <w:sz w:val="20"/>
                <w:szCs w:val="20"/>
                <w:color w:val="auto"/>
              </w:rPr>
            </w:pPr>
            <w:r>
              <w:rPr>
                <w:rFonts w:ascii="Arial" w:cs="Arial" w:eastAsia="Arial" w:hAnsi="Arial"/>
                <w:sz w:val="18"/>
                <w:szCs w:val="18"/>
                <w:color w:val="auto"/>
              </w:rPr>
              <w:t>Offer Letter, by and between the Registrant and Anushka Salinas, dated January 20, 2017.</w:t>
            </w: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rPr>
              <w:t>10.17*+</w:t>
            </w:r>
          </w:p>
        </w:tc>
        <w:tc>
          <w:tcPr>
            <w:tcW w:w="9640" w:type="dxa"/>
            <w:vAlign w:val="bottom"/>
            <w:gridSpan w:val="3"/>
          </w:tcPr>
          <w:p>
            <w:pPr>
              <w:spacing w:after="0"/>
              <w:rPr>
                <w:sz w:val="20"/>
                <w:szCs w:val="20"/>
                <w:color w:val="auto"/>
              </w:rPr>
            </w:pPr>
            <w:r>
              <w:rPr>
                <w:rFonts w:ascii="Arial" w:cs="Arial" w:eastAsia="Arial" w:hAnsi="Arial"/>
                <w:sz w:val="18"/>
                <w:szCs w:val="18"/>
                <w:color w:val="auto"/>
              </w:rPr>
              <w:t>Offer Letter, by and between the Registrant and Brian Donato, dated January 17, 2020.</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Credit Agreement, dated as of October 26, 2020, as amended on April 30, 2020, by and among the Registrant, as</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borrower, the lenders from time to time party thereto, as lenders, and Alter Domus (US) LLC, as administrative agent.</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Credit Agreement, dated as of July 23, 2018 (as amended on December 21, 2018, April 24, 2019, November 26, 2019,</w:t>
            </w:r>
          </w:p>
        </w:tc>
      </w:tr>
      <w:tr>
        <w:trPr>
          <w:trHeight w:val="203"/>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40" w:type="dxa"/>
            <w:vAlign w:val="bottom"/>
            <w:gridSpan w:val="3"/>
          </w:tcPr>
          <w:p>
            <w:pPr>
              <w:spacing w:after="0" w:line="202" w:lineRule="exact"/>
              <w:rPr>
                <w:sz w:val="20"/>
                <w:szCs w:val="20"/>
                <w:color w:val="auto"/>
              </w:rPr>
            </w:pPr>
            <w:r>
              <w:rPr>
                <w:rFonts w:ascii="Arial" w:cs="Arial" w:eastAsia="Arial" w:hAnsi="Arial"/>
                <w:sz w:val="18"/>
                <w:szCs w:val="18"/>
                <w:color w:val="auto"/>
              </w:rPr>
              <w:t>June 2, 2020, August 18, 2020 and October 26, 2020, and as may be further amended, restated, supplemented or</w:t>
            </w:r>
          </w:p>
        </w:tc>
      </w:tr>
      <w:tr>
        <w:trPr>
          <w:trHeight w:val="203"/>
        </w:trPr>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40" w:type="dxa"/>
            <w:vAlign w:val="bottom"/>
            <w:gridSpan w:val="3"/>
          </w:tcPr>
          <w:p>
            <w:pPr>
              <w:spacing w:after="0" w:line="202" w:lineRule="exact"/>
              <w:rPr>
                <w:sz w:val="20"/>
                <w:szCs w:val="20"/>
                <w:color w:val="auto"/>
              </w:rPr>
            </w:pPr>
            <w:r>
              <w:rPr>
                <w:rFonts w:ascii="Arial" w:cs="Arial" w:eastAsia="Arial" w:hAnsi="Arial"/>
                <w:sz w:val="18"/>
                <w:szCs w:val="18"/>
                <w:color w:val="auto"/>
              </w:rPr>
              <w:t>otherwise modified in accordance with the terms thereof and the Specified Subordination Agreement, by and among the</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Registrant, the lenders from time to time party thereto and Double Helix Pte Ltd, as administrative agent.</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w w:val="99"/>
              </w:rPr>
              <w:t>Lease, dated as of July 7, 2014 as amended by that certain Lease Modification Agreement, dated April 28, 2020, each by</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and between Hartz Metro Leasehold I LLC and the Registrant.</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Lease, dated as of February 7, 2017 as amended by that certain Lease Modification Agreement, dated April 28, 2020,</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each by and between Hartz Metro Leasehold I LLC and the Registrant.</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Industrial Lease, dated March 31, 2018, as amended by that certain First Amendment to Industrial Lease, dated</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August 31, 2020, by and between TRPF COOPER I-20 LLC and the Registrant.</w:t>
            </w:r>
          </w:p>
        </w:tc>
      </w:tr>
      <w:tr>
        <w:trPr>
          <w:trHeight w:val="296"/>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Lease, dated as of April 1, 2019, as amended by that certain First Amendment of Lease, by and between 10 Jay Master</w:t>
            </w:r>
          </w:p>
        </w:tc>
      </w:tr>
      <w:tr>
        <w:trPr>
          <w:trHeight w:val="217"/>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Tenant LLC and the Registrant.</w:t>
            </w: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16.1*</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Letter regarding change in certifying accountant.</w:t>
            </w:r>
          </w:p>
        </w:tc>
      </w:tr>
      <w:tr>
        <w:trPr>
          <w:trHeight w:val="311"/>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List of subsidiaries of the Registrant.</w:t>
            </w: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270"/>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3"/>
                <w:szCs w:val="23"/>
                <w:color w:val="auto"/>
              </w:rPr>
            </w:pPr>
          </w:p>
        </w:tc>
        <w:tc>
          <w:tcPr>
            <w:tcW w:w="382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225">
              <w:r>
                <w:rPr>
                  <w:rFonts w:ascii="Arial" w:cs="Arial" w:eastAsia="Arial" w:hAnsi="Arial"/>
                  <w:sz w:val="18"/>
                  <w:szCs w:val="18"/>
                  <w:color w:val="0000EE"/>
                  <w:w w:val="99"/>
                </w:rPr>
                <w:t>Power of Attorney (included on signature page).</w:t>
              </w:r>
            </w:hyperlink>
          </w:p>
        </w:tc>
        <w:tc>
          <w:tcPr>
            <w:tcW w:w="58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9"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320" w:top="459" w:right="5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12" w:lineRule="exact"/>
        <w:rPr>
          <w:sz w:val="20"/>
          <w:szCs w:val="20"/>
          <w:color w:val="auto"/>
        </w:rPr>
      </w:pPr>
    </w:p>
    <w:p>
      <w:pPr>
        <w:ind w:left="940" w:hanging="273"/>
        <w:spacing w:after="0"/>
        <w:tabs>
          <w:tab w:leader="none" w:pos="9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3" w:lineRule="exact"/>
        <w:rPr>
          <w:rFonts w:ascii="Arial" w:cs="Arial" w:eastAsia="Arial" w:hAnsi="Arial"/>
          <w:sz w:val="18"/>
          <w:szCs w:val="18"/>
          <w:color w:val="auto"/>
        </w:rPr>
      </w:pPr>
    </w:p>
    <w:p>
      <w:pPr>
        <w:ind w:left="1400" w:hanging="210"/>
        <w:spacing w:after="0"/>
        <w:tabs>
          <w:tab w:leader="none" w:pos="140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03" w:lineRule="exact"/>
        <w:rPr>
          <w:rFonts w:ascii="Arial" w:cs="Arial" w:eastAsia="Arial" w:hAnsi="Arial"/>
          <w:sz w:val="18"/>
          <w:szCs w:val="18"/>
          <w:color w:val="auto"/>
        </w:rPr>
      </w:pPr>
    </w:p>
    <w:p>
      <w:pPr>
        <w:jc w:val="both"/>
        <w:ind w:left="660" w:right="260" w:firstLine="530"/>
        <w:spacing w:after="0"/>
        <w:tabs>
          <w:tab w:leader="none" w:pos="143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94" w:lineRule="exact"/>
        <w:rPr>
          <w:rFonts w:ascii="Arial" w:cs="Arial" w:eastAsia="Arial" w:hAnsi="Arial"/>
          <w:sz w:val="18"/>
          <w:szCs w:val="18"/>
          <w:color w:val="auto"/>
        </w:rPr>
      </w:pPr>
    </w:p>
    <w:p>
      <w:pPr>
        <w:ind w:left="660" w:right="420" w:firstLine="530"/>
        <w:spacing w:after="0" w:line="246" w:lineRule="auto"/>
        <w:tabs>
          <w:tab w:leader="none" w:pos="147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6" w:lineRule="exact"/>
        <w:rPr>
          <w:rFonts w:ascii="Arial" w:cs="Arial" w:eastAsia="Arial" w:hAnsi="Arial"/>
          <w:sz w:val="18"/>
          <w:szCs w:val="18"/>
          <w:color w:val="auto"/>
        </w:rPr>
      </w:pPr>
    </w:p>
    <w:p>
      <w:pPr>
        <w:jc w:val="both"/>
        <w:ind w:left="120" w:firstLine="547"/>
        <w:spacing w:after="0"/>
        <w:tabs>
          <w:tab w:leader="none" w:pos="94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202" w:lineRule="exact"/>
        <w:rPr>
          <w:rFonts w:ascii="Arial" w:cs="Arial" w:eastAsia="Arial" w:hAnsi="Arial"/>
          <w:sz w:val="18"/>
          <w:szCs w:val="18"/>
          <w:color w:val="auto"/>
        </w:rPr>
      </w:pPr>
    </w:p>
    <w:p>
      <w:pPr>
        <w:ind w:left="120" w:firstLine="547"/>
        <w:spacing w:after="0" w:line="246" w:lineRule="auto"/>
        <w:tabs>
          <w:tab w:leader="none" w:pos="94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20" w:right="280" w:firstLine="547"/>
        <w:spacing w:after="0" w:line="238" w:lineRule="auto"/>
        <w:tabs>
          <w:tab w:leader="none" w:pos="9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20" w:right="20" w:firstLine="547"/>
        <w:spacing w:after="0"/>
        <w:tabs>
          <w:tab w:leader="none" w:pos="9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120" w:type="dxa"/>
        <w:tblCellMar>
          <w:top w:w="0" w:type="dxa"/>
          <w:left w:w="0" w:type="dxa"/>
          <w:bottom w:w="0" w:type="dxa"/>
          <w:right w:w="0" w:type="dxa"/>
        </w:tblCellMar>
      </w:tblPr>
      <w:tr>
        <w:trPr>
          <w:trHeight w:val="217"/>
        </w:trPr>
        <w:tc>
          <w:tcPr>
            <w:tcW w:w="9080" w:type="dxa"/>
            <w:vAlign w:val="bottom"/>
            <w:gridSpan w:val="2"/>
          </w:tcPr>
          <w:p>
            <w:pPr>
              <w:spacing w:after="0"/>
              <w:rPr>
                <w:sz w:val="20"/>
                <w:szCs w:val="20"/>
                <w:color w:val="auto"/>
              </w:rPr>
            </w:pPr>
            <w:r>
              <w:rPr>
                <w:rFonts w:ascii="Arial" w:cs="Arial" w:eastAsia="Arial" w:hAnsi="Arial"/>
                <w:sz w:val="18"/>
                <w:szCs w:val="18"/>
                <w:color w:val="auto"/>
              </w:rPr>
              <w:t>on its behalf by the undersigned, thereunto duly authorized, in the City of Brooklyn, State of New York, on</w:t>
            </w:r>
          </w:p>
        </w:tc>
        <w:tc>
          <w:tcPr>
            <w:tcW w:w="1940" w:type="dxa"/>
            <w:vAlign w:val="bottom"/>
          </w:tcPr>
          <w:p>
            <w:pPr>
              <w:jc w:val="right"/>
              <w:ind w:right="1510"/>
              <w:spacing w:after="0"/>
              <w:rPr>
                <w:sz w:val="20"/>
                <w:szCs w:val="20"/>
                <w:color w:val="auto"/>
              </w:rPr>
            </w:pPr>
            <w:r>
              <w:rPr>
                <w:rFonts w:ascii="Arial" w:cs="Arial" w:eastAsia="Arial" w:hAnsi="Arial"/>
                <w:sz w:val="18"/>
                <w:szCs w:val="18"/>
                <w:color w:val="auto"/>
              </w:rPr>
              <w:t>.</w:t>
            </w:r>
          </w:p>
        </w:tc>
      </w:tr>
      <w:tr>
        <w:trPr>
          <w:trHeight w:val="446"/>
        </w:trPr>
        <w:tc>
          <w:tcPr>
            <w:tcW w:w="9080" w:type="dxa"/>
            <w:vAlign w:val="bottom"/>
            <w:gridSpan w:val="2"/>
          </w:tcPr>
          <w:p>
            <w:pPr>
              <w:ind w:left="6620"/>
              <w:spacing w:after="0"/>
              <w:rPr>
                <w:sz w:val="20"/>
                <w:szCs w:val="20"/>
                <w:color w:val="auto"/>
              </w:rPr>
            </w:pPr>
            <w:r>
              <w:rPr>
                <w:rFonts w:ascii="Arial" w:cs="Arial" w:eastAsia="Arial" w:hAnsi="Arial"/>
                <w:sz w:val="18"/>
                <w:szCs w:val="18"/>
                <w:b w:val="1"/>
                <w:bCs w:val="1"/>
                <w:color w:val="auto"/>
              </w:rPr>
              <w:t>RENT THE RUNWAY, INC.</w:t>
            </w:r>
          </w:p>
        </w:tc>
        <w:tc>
          <w:tcPr>
            <w:tcW w:w="1940" w:type="dxa"/>
            <w:vAlign w:val="bottom"/>
          </w:tcPr>
          <w:p>
            <w:pPr>
              <w:spacing w:after="0"/>
              <w:rPr>
                <w:sz w:val="24"/>
                <w:szCs w:val="24"/>
                <w:color w:val="auto"/>
              </w:rPr>
            </w:pPr>
          </w:p>
        </w:tc>
      </w:tr>
      <w:tr>
        <w:trPr>
          <w:trHeight w:val="405"/>
        </w:trPr>
        <w:tc>
          <w:tcPr>
            <w:tcW w:w="9080" w:type="dxa"/>
            <w:vAlign w:val="bottom"/>
            <w:gridSpan w:val="2"/>
          </w:tcPr>
          <w:p>
            <w:pPr>
              <w:ind w:left="6620"/>
              <w:spacing w:after="0"/>
              <w:rPr>
                <w:sz w:val="20"/>
                <w:szCs w:val="20"/>
                <w:color w:val="auto"/>
              </w:rPr>
            </w:pPr>
            <w:r>
              <w:rPr>
                <w:rFonts w:ascii="Arial" w:cs="Arial" w:eastAsia="Arial" w:hAnsi="Arial"/>
                <w:sz w:val="18"/>
                <w:szCs w:val="18"/>
                <w:color w:val="auto"/>
              </w:rPr>
              <w:t>By:</w:t>
            </w:r>
          </w:p>
        </w:tc>
        <w:tc>
          <w:tcPr>
            <w:tcW w:w="1940" w:type="dxa"/>
            <w:vAlign w:val="bottom"/>
          </w:tcPr>
          <w:p>
            <w:pPr>
              <w:spacing w:after="0"/>
              <w:rPr>
                <w:sz w:val="24"/>
                <w:szCs w:val="24"/>
                <w:color w:val="auto"/>
              </w:rPr>
            </w:pPr>
          </w:p>
        </w:tc>
      </w:tr>
      <w:tr>
        <w:trPr>
          <w:trHeight w:val="195"/>
        </w:trPr>
        <w:tc>
          <w:tcPr>
            <w:tcW w:w="6920" w:type="dxa"/>
            <w:vAlign w:val="bottom"/>
          </w:tcPr>
          <w:p>
            <w:pPr>
              <w:spacing w:after="0"/>
              <w:rPr>
                <w:sz w:val="16"/>
                <w:szCs w:val="16"/>
                <w:color w:val="auto"/>
              </w:rPr>
            </w:pPr>
          </w:p>
        </w:tc>
        <w:tc>
          <w:tcPr>
            <w:tcW w:w="21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Jennifer Y. Hyman</w:t>
            </w:r>
          </w:p>
        </w:tc>
        <w:tc>
          <w:tcPr>
            <w:tcW w:w="1940" w:type="dxa"/>
            <w:vAlign w:val="bottom"/>
            <w:tcBorders>
              <w:top w:val="single" w:sz="8" w:color="auto"/>
            </w:tcBorders>
          </w:tcPr>
          <w:p>
            <w:pPr>
              <w:spacing w:after="0"/>
              <w:rPr>
                <w:sz w:val="16"/>
                <w:szCs w:val="16"/>
                <w:color w:val="auto"/>
              </w:rPr>
            </w:pPr>
          </w:p>
        </w:tc>
      </w:tr>
      <w:tr>
        <w:trPr>
          <w:trHeight w:val="217"/>
        </w:trPr>
        <w:tc>
          <w:tcPr>
            <w:tcW w:w="69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1940" w:type="dxa"/>
            <w:vAlign w:val="bottom"/>
          </w:tcPr>
          <w:p>
            <w:pPr>
              <w:spacing w:after="0"/>
              <w:rPr>
                <w:sz w:val="18"/>
                <w:szCs w:val="18"/>
                <w:color w:val="auto"/>
              </w:rPr>
            </w:pPr>
          </w:p>
        </w:tc>
      </w:tr>
    </w:tbl>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Jennifer Y. Hyman and Scarlett O’Sullivan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06"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392"/>
        </w:trPr>
        <w:tc>
          <w:tcPr>
            <w:tcW w:w="432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w:t>
            </w:r>
          </w:p>
        </w:tc>
        <w:tc>
          <w:tcPr>
            <w:tcW w:w="2020" w:type="dxa"/>
            <w:vAlign w:val="bottom"/>
          </w:tcPr>
          <w:p>
            <w:pPr>
              <w:spacing w:after="0"/>
              <w:rPr>
                <w:sz w:val="24"/>
                <w:szCs w:val="24"/>
                <w:color w:val="auto"/>
              </w:rPr>
            </w:pPr>
          </w:p>
        </w:tc>
      </w:tr>
      <w:tr>
        <w:trPr>
          <w:trHeight w:val="217"/>
        </w:trPr>
        <w:tc>
          <w:tcPr>
            <w:tcW w:w="4320" w:type="dxa"/>
            <w:vAlign w:val="bottom"/>
          </w:tcPr>
          <w:p>
            <w:pPr>
              <w:jc w:val="center"/>
              <w:spacing w:after="0"/>
              <w:rPr>
                <w:sz w:val="20"/>
                <w:szCs w:val="20"/>
                <w:color w:val="auto"/>
              </w:rPr>
            </w:pPr>
            <w:r>
              <w:rPr>
                <w:rFonts w:ascii="Arial" w:cs="Arial" w:eastAsia="Arial" w:hAnsi="Arial"/>
                <w:sz w:val="18"/>
                <w:szCs w:val="18"/>
                <w:color w:val="auto"/>
                <w:w w:val="98"/>
              </w:rPr>
              <w:t>Jennifer Y. Hyman</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Executive Officer)</w:t>
            </w:r>
          </w:p>
        </w:tc>
        <w:tc>
          <w:tcPr>
            <w:tcW w:w="2020" w:type="dxa"/>
            <w:vAlign w:val="bottom"/>
          </w:tcPr>
          <w:p>
            <w:pPr>
              <w:spacing w:after="0"/>
              <w:rPr>
                <w:sz w:val="18"/>
                <w:szCs w:val="18"/>
                <w:color w:val="auto"/>
              </w:rPr>
            </w:pPr>
          </w:p>
        </w:tc>
      </w:tr>
      <w:tr>
        <w:trPr>
          <w:trHeight w:val="411"/>
        </w:trPr>
        <w:tc>
          <w:tcPr>
            <w:tcW w:w="432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020" w:type="dxa"/>
            <w:vAlign w:val="bottom"/>
          </w:tcPr>
          <w:p>
            <w:pPr>
              <w:spacing w:after="0"/>
              <w:rPr>
                <w:sz w:val="24"/>
                <w:szCs w:val="24"/>
                <w:color w:val="auto"/>
              </w:rPr>
            </w:pPr>
          </w:p>
        </w:tc>
      </w:tr>
      <w:tr>
        <w:trPr>
          <w:trHeight w:val="217"/>
        </w:trPr>
        <w:tc>
          <w:tcPr>
            <w:tcW w:w="4320" w:type="dxa"/>
            <w:vAlign w:val="bottom"/>
          </w:tcPr>
          <w:p>
            <w:pPr>
              <w:jc w:val="center"/>
              <w:spacing w:after="0"/>
              <w:rPr>
                <w:sz w:val="20"/>
                <w:szCs w:val="20"/>
                <w:color w:val="auto"/>
              </w:rPr>
            </w:pPr>
            <w:r>
              <w:rPr>
                <w:rFonts w:ascii="Arial" w:cs="Arial" w:eastAsia="Arial" w:hAnsi="Arial"/>
                <w:sz w:val="18"/>
                <w:szCs w:val="18"/>
                <w:color w:val="auto"/>
              </w:rPr>
              <w:t>Scarlett O’Sullivan</w:t>
            </w:r>
          </w:p>
        </w:tc>
        <w:tc>
          <w:tcPr>
            <w:tcW w:w="4680" w:type="dxa"/>
            <w:vAlign w:val="bottom"/>
            <w:gridSpan w:val="3"/>
          </w:tcPr>
          <w:p>
            <w:pPr>
              <w:ind w:left="120"/>
              <w:spacing w:after="0" w:line="202" w:lineRule="exact"/>
              <w:rPr>
                <w:sz w:val="20"/>
                <w:szCs w:val="20"/>
                <w:color w:val="auto"/>
              </w:rPr>
            </w:pPr>
            <w:r>
              <w:rPr>
                <w:rFonts w:ascii="Arial" w:cs="Arial" w:eastAsia="Arial" w:hAnsi="Arial"/>
                <w:sz w:val="18"/>
                <w:szCs w:val="18"/>
                <w:i w:val="1"/>
                <w:iCs w:val="1"/>
                <w:color w:val="auto"/>
              </w:rPr>
              <w:t>Principal Accounting Officer)</w:t>
            </w: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4"/>
                <w:szCs w:val="24"/>
                <w:color w:val="auto"/>
              </w:rPr>
            </w:pP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Tim Bixby</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4"/>
                <w:szCs w:val="24"/>
                <w:color w:val="auto"/>
              </w:rPr>
            </w:pP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9"/>
              </w:rPr>
              <w:t>Jennifer Fleiss</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18"/>
        </w:trPr>
        <w:tc>
          <w:tcPr>
            <w:tcW w:w="4320" w:type="dxa"/>
            <w:vAlign w:val="bottom"/>
            <w:tcBorders>
              <w:bottom w:val="single" w:sz="8" w:color="auto"/>
            </w:tcBorders>
          </w:tcPr>
          <w:p>
            <w:pPr>
              <w:spacing w:after="0"/>
              <w:rPr>
                <w:sz w:val="24"/>
                <w:szCs w:val="24"/>
                <w:color w:val="auto"/>
              </w:rPr>
            </w:pPr>
          </w:p>
        </w:tc>
        <w:tc>
          <w:tcPr>
            <w:tcW w:w="46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tcPr>
          <w:p>
            <w:pPr>
              <w:spacing w:after="0"/>
              <w:rPr>
                <w:sz w:val="24"/>
                <w:szCs w:val="24"/>
                <w:color w:val="auto"/>
              </w:rPr>
            </w:pPr>
          </w:p>
        </w:tc>
      </w:tr>
      <w:tr>
        <w:trPr>
          <w:trHeight w:val="210"/>
        </w:trPr>
        <w:tc>
          <w:tcPr>
            <w:tcW w:w="4320" w:type="dxa"/>
            <w:vAlign w:val="bottom"/>
          </w:tcPr>
          <w:p>
            <w:pPr>
              <w:jc w:val="center"/>
              <w:spacing w:after="0"/>
              <w:rPr>
                <w:sz w:val="20"/>
                <w:szCs w:val="20"/>
                <w:color w:val="auto"/>
              </w:rPr>
            </w:pPr>
            <w:r>
              <w:rPr>
                <w:rFonts w:ascii="Arial" w:cs="Arial" w:eastAsia="Arial" w:hAnsi="Arial"/>
                <w:sz w:val="18"/>
                <w:szCs w:val="18"/>
                <w:color w:val="auto"/>
                <w:w w:val="98"/>
              </w:rPr>
              <w:t>Scott Friend</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40"/>
              <w:spacing w:after="0"/>
              <w:rPr>
                <w:sz w:val="20"/>
                <w:szCs w:val="20"/>
                <w:color w:val="auto"/>
              </w:rPr>
            </w:pPr>
            <w:r>
              <w:rPr>
                <w:rFonts w:ascii="Arial" w:cs="Arial" w:eastAsia="Arial" w:hAnsi="Arial"/>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Beth Kaplan</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Dan Nova</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Gwyneth Paltrow</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Carley Roney</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Dan Rosensweig</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514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Mike Roth</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II-7</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1)"/>
      <w:numFmt w:val="decimal"/>
      <w:start w:val="1"/>
    </w:lvl>
  </w:abstractNum>
  <w:abstractNum w:abstractNumId="1">
    <w:nsid w:val="5FB8370B"/>
    <w:multiLevelType w:val="hybridMultilevel"/>
    <w:lvl w:ilvl="0">
      <w:lvlJc w:val="left"/>
      <w:lvlText w:val="(%1)"/>
      <w:numFmt w:val="decimal"/>
      <w:start w:val="1"/>
    </w:lvl>
  </w:abstractNum>
  <w:abstractNum w:abstractNumId="2">
    <w:nsid w:val="50801EE1"/>
    <w:multiLevelType w:val="hybridMultilevel"/>
    <w:lvl w:ilvl="0">
      <w:lvlJc w:val="left"/>
      <w:lvlText w:val="1"/>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2"/>
      <w:numFmt w:val="bullet"/>
      <w:start w:val="1"/>
    </w:lvl>
  </w:abstractNum>
  <w:abstractNum w:abstractNumId="7">
    <w:nsid w:val="6FC75AF8"/>
    <w:multiLevelType w:val="hybridMultilevel"/>
    <w:lvl w:ilvl="0">
      <w:lvlJc w:val="left"/>
      <w:lvlText w:val="3"/>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
      <w:numFmt w:val="bullet"/>
      <w:start w:val="1"/>
    </w:lvl>
  </w:abstractNum>
  <w:abstractNum w:abstractNumId="10">
    <w:nsid w:val="5F3534A4"/>
    <w:multiLevelType w:val="hybridMultilevel"/>
    <w:lvl w:ilvl="0">
      <w:lvlJc w:val="left"/>
      <w:lvlText w:val="4"/>
      <w:numFmt w:val="bullet"/>
      <w:start w:val="1"/>
    </w:lvl>
  </w:abstractNum>
  <w:abstractNum w:abstractNumId="11">
    <w:nsid w:val="73A1821B"/>
    <w:multiLevelType w:val="hybridMultilevel"/>
    <w:lvl w:ilvl="0">
      <w:lvlJc w:val="left"/>
      <w:lvlText w:val="5"/>
      <w:numFmt w:val="bullet"/>
      <w:start w:val="1"/>
    </w:lvl>
  </w:abstractNum>
  <w:abstractNum w:abstractNumId="12">
    <w:nsid w:val="7DE67713"/>
    <w:multiLevelType w:val="hybridMultilevel"/>
    <w:lvl w:ilvl="0">
      <w:lvlJc w:val="left"/>
      <w:lvlText w:val="6"/>
      <w:numFmt w:val="bullet"/>
      <w:start w:val="1"/>
    </w:lvl>
  </w:abstractNum>
  <w:abstractNum w:abstractNumId="13">
    <w:nsid w:val="555C55B5"/>
    <w:multiLevelType w:val="hybridMultilevel"/>
    <w:lvl w:ilvl="0">
      <w:lvlJc w:val="left"/>
      <w:lvlText w:val="7"/>
      <w:numFmt w:val="bullet"/>
      <w:start w:val="1"/>
    </w:lvl>
  </w:abstractNum>
  <w:abstractNum w:abstractNumId="14">
    <w:nsid w:val="3FA62ACA"/>
    <w:multiLevelType w:val="hybridMultilevel"/>
    <w:lvl w:ilvl="0">
      <w:lvlJc w:val="left"/>
      <w:lvlText w:val="8"/>
      <w:numFmt w:val="bullet"/>
      <w:start w:val="1"/>
    </w:lvl>
  </w:abstractNum>
  <w:abstractNum w:abstractNumId="15">
    <w:nsid w:val="14FCE74E"/>
    <w:multiLevelType w:val="hybridMultilevel"/>
    <w:lvl w:ilvl="0">
      <w:lvlJc w:val="left"/>
      <w:lvlText w:val="9"/>
      <w:numFmt w:val="bullet"/>
      <w:start w:val="1"/>
    </w:lvl>
  </w:abstractNum>
  <w:abstractNum w:abstractNumId="16">
    <w:nsid w:val="6A3DD3E8"/>
    <w:multiLevelType w:val="hybridMultilevel"/>
    <w:lvl w:ilvl="0">
      <w:lvlJc w:val="left"/>
      <w:lvlText w:val="%1"/>
      <w:numFmt w:val="decimal"/>
      <w:start w:val="10"/>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
      <w:numFmt w:val="bullet"/>
      <w:start w:val="1"/>
    </w:lvl>
  </w:abstractNum>
  <w:abstractNum w:abstractNumId="19">
    <w:nsid w:val="53299938"/>
    <w:multiLevelType w:val="hybridMultilevel"/>
    <w:lvl w:ilvl="0">
      <w:lvlJc w:val="left"/>
      <w:lvlText w:val="%1"/>
      <w:numFmt w:val="decimal"/>
      <w:start w:val="13"/>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1"/>
      <w:numFmt w:val="decimal"/>
      <w:start w:val="14"/>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1"/>
      <w:numFmt w:val="decimal"/>
      <w:start w:val="15"/>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
      <w:numFmt w:val="bullet"/>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
      <w:numFmt w:val="bullet"/>
      <w:start w:val="1"/>
    </w:lvl>
  </w:abstractNum>
  <w:abstractNum w:abstractNumId="32">
    <w:nsid w:val="7C58FD05"/>
    <w:multiLevelType w:val="hybridMultilevel"/>
    <w:lvl w:ilvl="0">
      <w:lvlJc w:val="left"/>
      <w:lvlText w:val="•"/>
      <w:numFmt w:val="bullet"/>
      <w:start w:val="1"/>
    </w:lvl>
  </w:abstractNum>
  <w:abstractNum w:abstractNumId="33">
    <w:nsid w:val="23D86AAC"/>
    <w:multiLevelType w:val="hybridMultilevel"/>
    <w:lvl w:ilvl="0">
      <w:lvlJc w:val="left"/>
      <w:lvlText w:val="•"/>
      <w:numFmt w:val="bullet"/>
      <w:start w:val="1"/>
    </w:lvl>
  </w:abstractNum>
  <w:abstractNum w:abstractNumId="34">
    <w:nsid w:val="45E6D486"/>
    <w:multiLevelType w:val="hybridMultilevel"/>
    <w:lvl w:ilvl="0">
      <w:lvlJc w:val="left"/>
      <w:lvlText w:val="(%1)"/>
      <w:numFmt w:val="decimal"/>
      <w:start w:val="1"/>
    </w:lvl>
  </w:abstractNum>
  <w:abstractNum w:abstractNumId="35">
    <w:nsid w:val="5C10FE21"/>
    <w:multiLevelType w:val="hybridMultilevel"/>
    <w:lvl w:ilvl="0">
      <w:lvlJc w:val="left"/>
      <w:lvlText w:val="(%1)"/>
      <w:numFmt w:val="decimal"/>
      <w:start w:val="1"/>
    </w:lvl>
  </w:abstractNum>
  <w:abstractNum w:abstractNumId="36">
    <w:nsid w:val="E7FFA2B"/>
    <w:multiLevelType w:val="hybridMultilevel"/>
    <w:lvl w:ilvl="0">
      <w:lvlJc w:val="left"/>
      <w:lvlText w:val="(%1)"/>
      <w:numFmt w:val="decimal"/>
      <w:start w:val="1"/>
    </w:lvl>
  </w:abstractNum>
  <w:abstractNum w:abstractNumId="37">
    <w:nsid w:val="3C5991AA"/>
    <w:multiLevelType w:val="hybridMultilevel"/>
    <w:lvl w:ilvl="0">
      <w:lvlJc w:val="left"/>
      <w:lvlText w:val="(%1)"/>
      <w:numFmt w:val="decimal"/>
      <w:start w:val="3"/>
    </w:lvl>
  </w:abstractNum>
  <w:abstractNum w:abstractNumId="38">
    <w:nsid w:val="4BD8591A"/>
    <w:multiLevelType w:val="hybridMultilevel"/>
    <w:lvl w:ilvl="0">
      <w:lvlJc w:val="left"/>
      <w:lvlText w:val="•"/>
      <w:numFmt w:val="bullet"/>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1)"/>
      <w:numFmt w:val="decimal"/>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
      <w:numFmt w:val="bullet"/>
      <w:start w:val="1"/>
    </w:lvl>
  </w:abstractNum>
  <w:abstractNum w:abstractNumId="50">
    <w:nsid w:val="3DD15094"/>
    <w:multiLevelType w:val="hybridMultilevel"/>
    <w:lvl w:ilvl="0">
      <w:lvlJc w:val="left"/>
      <w:lvlText w:val="•"/>
      <w:numFmt w:val="bullet"/>
      <w:start w:val="1"/>
    </w:lvl>
  </w:abstractNum>
  <w:abstractNum w:abstractNumId="51">
    <w:nsid w:val="3DB012B3"/>
    <w:multiLevelType w:val="hybridMultilevel"/>
    <w:lvl w:ilvl="0">
      <w:lvlJc w:val="left"/>
      <w:lvlText w:val="•"/>
      <w:numFmt w:val="bullet"/>
      <w:start w:val="1"/>
    </w:lvl>
  </w:abstractNum>
  <w:abstractNum w:abstractNumId="52">
    <w:nsid w:val="2708C9AF"/>
    <w:multiLevelType w:val="hybridMultilevel"/>
    <w:lvl w:ilvl="0">
      <w:lvlJc w:val="left"/>
      <w:lvlText w:val="•"/>
      <w:numFmt w:val="bullet"/>
      <w:start w:val="1"/>
    </w:lvl>
  </w:abstractNum>
  <w:abstractNum w:abstractNumId="53">
    <w:nsid w:val="5B25ACE2"/>
    <w:multiLevelType w:val="hybridMultilevel"/>
    <w:lvl w:ilvl="0">
      <w:lvlJc w:val="left"/>
      <w:lvlText w:val="•"/>
      <w:numFmt w:val="bullet"/>
      <w:start w:val="1"/>
    </w:lvl>
  </w:abstractNum>
  <w:abstractNum w:abstractNumId="54">
    <w:nsid w:val="175DFCF0"/>
    <w:multiLevelType w:val="hybridMultilevel"/>
    <w:lvl w:ilvl="0">
      <w:lvlJc w:val="left"/>
      <w:lvlText w:val="•"/>
      <w:numFmt w:val="bullet"/>
      <w:start w:val="1"/>
    </w:lvl>
  </w:abstractNum>
  <w:abstractNum w:abstractNumId="55">
    <w:nsid w:val="4F97E3E4"/>
    <w:multiLevelType w:val="hybridMultilevel"/>
    <w:lvl w:ilvl="0">
      <w:lvlJc w:val="left"/>
      <w:lvlText w:val="•"/>
      <w:numFmt w:val="bullet"/>
      <w:start w:val="1"/>
    </w:lvl>
  </w:abstractNum>
  <w:abstractNum w:abstractNumId="56">
    <w:nsid w:val="53B0A9E"/>
    <w:multiLevelType w:val="hybridMultilevel"/>
    <w:lvl w:ilvl="0">
      <w:lvlJc w:val="left"/>
      <w:lvlText w:val="•"/>
      <w:numFmt w:val="bullet"/>
      <w:start w:val="1"/>
    </w:lvl>
  </w:abstractNum>
  <w:abstractNum w:abstractNumId="57">
    <w:nsid w:val="34FD6B4F"/>
    <w:multiLevelType w:val="hybridMultilevel"/>
    <w:lvl w:ilvl="0">
      <w:lvlJc w:val="left"/>
      <w:lvlText w:val="•"/>
      <w:numFmt w:val="bullet"/>
      <w:start w:val="1"/>
    </w:lvl>
  </w:abstractNum>
  <w:abstractNum w:abstractNumId="58">
    <w:nsid w:val="5915FF32"/>
    <w:multiLevelType w:val="hybridMultilevel"/>
    <w:lvl w:ilvl="0">
      <w:lvlJc w:val="left"/>
      <w:lvlText w:val="•"/>
      <w:numFmt w:val="bullet"/>
      <w:start w:val="1"/>
    </w:lvl>
  </w:abstractNum>
  <w:abstractNum w:abstractNumId="59">
    <w:nsid w:val="56438D15"/>
    <w:multiLevelType w:val="hybridMultilevel"/>
    <w:lvl w:ilvl="0">
      <w:lvlJc w:val="left"/>
      <w:lvlText w:val="•"/>
      <w:numFmt w:val="bullet"/>
      <w:start w:val="1"/>
    </w:lvl>
  </w:abstractNum>
  <w:abstractNum w:abstractNumId="60">
    <w:nsid w:val="519E3149"/>
    <w:multiLevelType w:val="hybridMultilevel"/>
    <w:lvl w:ilvl="0">
      <w:lvlJc w:val="left"/>
      <w:lvlText w:val="•"/>
      <w:numFmt w:val="bullet"/>
      <w:start w:val="1"/>
    </w:lvl>
  </w:abstractNum>
  <w:abstractNum w:abstractNumId="61">
    <w:nsid w:val="2C6E4AFD"/>
    <w:multiLevelType w:val="hybridMultilevel"/>
    <w:lvl w:ilvl="0">
      <w:lvlJc w:val="left"/>
      <w:lvlText w:val="•"/>
      <w:numFmt w:val="bullet"/>
      <w:start w:val="1"/>
    </w:lvl>
  </w:abstractNum>
  <w:abstractNum w:abstractNumId="62">
    <w:nsid w:val="17A1B582"/>
    <w:multiLevelType w:val="hybridMultilevel"/>
    <w:lvl w:ilvl="0">
      <w:lvlJc w:val="left"/>
      <w:lvlText w:val="•"/>
      <w:numFmt w:val="bullet"/>
      <w:start w:val="1"/>
    </w:lvl>
  </w:abstractNum>
  <w:abstractNum w:abstractNumId="63">
    <w:nsid w:val="4DF72E4E"/>
    <w:multiLevelType w:val="hybridMultilevel"/>
    <w:lvl w:ilvl="0">
      <w:lvlJc w:val="left"/>
      <w:lvlText w:val="(%1)"/>
      <w:numFmt w:val="decimal"/>
      <w:start w:val="1"/>
    </w:lvl>
  </w:abstractNum>
  <w:abstractNum w:abstractNumId="64">
    <w:nsid w:val="5046B5A9"/>
    <w:multiLevelType w:val="hybridMultilevel"/>
    <w:lvl w:ilvl="0">
      <w:lvlJc w:val="left"/>
      <w:lvlText w:val="(%1)"/>
      <w:numFmt w:val="decimal"/>
      <w:start w:val="2"/>
    </w:lvl>
  </w:abstractNum>
  <w:abstractNum w:abstractNumId="65">
    <w:nsid w:val="5D888A08"/>
    <w:multiLevelType w:val="hybridMultilevel"/>
    <w:lvl w:ilvl="0">
      <w:lvlJc w:val="left"/>
      <w:lvlText w:val="$"/>
      <w:numFmt w:val="bullet"/>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
      <w:numFmt w:val="bullet"/>
      <w:start w:val="1"/>
    </w:lvl>
  </w:abstractNum>
  <w:abstractNum w:abstractNumId="71">
    <w:nsid w:val="5399C654"/>
    <w:multiLevelType w:val="hybridMultilevel"/>
    <w:lvl w:ilvl="0">
      <w:lvlJc w:val="left"/>
      <w:lvlText w:val="•"/>
      <w:numFmt w:val="bullet"/>
      <w:start w:val="1"/>
    </w:lvl>
  </w:abstractNum>
  <w:abstractNum w:abstractNumId="72">
    <w:nsid w:val="20EE1348"/>
    <w:multiLevelType w:val="hybridMultilevel"/>
    <w:lvl w:ilvl="0">
      <w:lvlJc w:val="left"/>
      <w:lvlText w:val="•"/>
      <w:numFmt w:val="bullet"/>
      <w:start w:val="1"/>
    </w:lvl>
  </w:abstractNum>
  <w:abstractNum w:abstractNumId="73">
    <w:nsid w:val="4427069A"/>
    <w:multiLevelType w:val="hybridMultilevel"/>
    <w:lvl w:ilvl="0">
      <w:lvlJc w:val="left"/>
      <w:lvlText w:val="•"/>
      <w:numFmt w:val="bullet"/>
      <w:start w:val="1"/>
    </w:lvl>
  </w:abstractNum>
  <w:abstractNum w:abstractNumId="74">
    <w:nsid w:val="B37E80A"/>
    <w:multiLevelType w:val="hybridMultilevel"/>
    <w:lvl w:ilvl="0">
      <w:lvlJc w:val="left"/>
      <w:lvlText w:val="•"/>
      <w:numFmt w:val="bullet"/>
      <w:start w:val="1"/>
    </w:lvl>
  </w:abstractNum>
  <w:abstractNum w:abstractNumId="75">
    <w:nsid w:val="2157F6BC"/>
    <w:multiLevelType w:val="hybridMultilevel"/>
    <w:lvl w:ilvl="0">
      <w:lvlJc w:val="left"/>
      <w:lvlText w:val="(%1)"/>
      <w:numFmt w:val="decimal"/>
      <w:start w:val="1"/>
    </w:lvl>
  </w:abstractNum>
  <w:abstractNum w:abstractNumId="76">
    <w:nsid w:val="704E1DD5"/>
    <w:multiLevelType w:val="hybridMultilevel"/>
    <w:lvl w:ilvl="0">
      <w:lvlJc w:val="left"/>
      <w:lvlText w:val="•"/>
      <w:numFmt w:val="bullet"/>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
      <w:numFmt w:val="bullet"/>
      <w:start w:val="1"/>
    </w:lvl>
  </w:abstractNum>
  <w:abstractNum w:abstractNumId="79">
    <w:nsid w:val="E3E47A8"/>
    <w:multiLevelType w:val="hybridMultilevel"/>
    <w:lvl w:ilvl="0">
      <w:lvlJc w:val="left"/>
      <w:lvlText w:val="•"/>
      <w:numFmt w:val="bullet"/>
      <w:start w:val="1"/>
    </w:lvl>
  </w:abstractNum>
  <w:abstractNum w:abstractNumId="80">
    <w:nsid w:val="2E48F044"/>
    <w:multiLevelType w:val="hybridMultilevel"/>
    <w:lvl w:ilvl="0">
      <w:lvlJc w:val="left"/>
      <w:lvlText w:val="•"/>
      <w:numFmt w:val="bullet"/>
      <w:start w:val="1"/>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1."/>
      <w:numFmt w:val="decimal"/>
      <w:start w:val="1"/>
    </w:lvl>
  </w:abstractNum>
  <w:abstractNum w:abstractNumId="83">
    <w:nsid w:val="5551B9F3"/>
    <w:multiLevelType w:val="hybridMultilevel"/>
    <w:lvl w:ilvl="0">
      <w:lvlJc w:val="left"/>
      <w:lvlText w:val="%1."/>
      <w:numFmt w:val="decimal"/>
      <w:start w:val="8"/>
    </w:lvl>
  </w:abstractNum>
  <w:abstractNum w:abstractNumId="84">
    <w:nsid w:val="24F6AB8E"/>
    <w:multiLevelType w:val="hybridMultilevel"/>
    <w:lvl w:ilvl="0">
      <w:lvlJc w:val="left"/>
      <w:lvlText w:val="(%1)"/>
      <w:numFmt w:val="decimal"/>
      <w:start w:val="1"/>
    </w:lvl>
  </w:abstractNum>
  <w:abstractNum w:abstractNumId="85">
    <w:nsid w:val="634C574C"/>
    <w:multiLevelType w:val="hybridMultilevel"/>
    <w:lvl w:ilvl="0">
      <w:lvlJc w:val="left"/>
      <w:lvlText w:val="(%1)"/>
      <w:numFmt w:val="decimal"/>
      <w:start w:val="1"/>
    </w:lvl>
  </w:abstractNum>
  <w:abstractNum w:abstractNumId="86">
    <w:nsid w:val="24E99DD7"/>
    <w:multiLevelType w:val="hybridMultilevel"/>
    <w:lvl w:ilvl="0">
      <w:lvlJc w:val="left"/>
      <w:lvlText w:val="(%1)"/>
      <w:numFmt w:val="decimal"/>
      <w:start w:val="6"/>
    </w:lvl>
  </w:abstractNum>
  <w:abstractNum w:abstractNumId="87">
    <w:nsid w:val="2A31B62D"/>
    <w:multiLevelType w:val="hybridMultilevel"/>
    <w:lvl w:ilvl="0">
      <w:lvlJc w:val="left"/>
      <w:lvlText w:val="(%1)"/>
      <w:numFmt w:val="decimal"/>
      <w:start w:val="1"/>
    </w:lvl>
  </w:abstractNum>
  <w:abstractNum w:abstractNumId="88">
    <w:nsid w:val="1849C29B"/>
    <w:multiLevelType w:val="hybridMultilevel"/>
    <w:lvl w:ilvl="0">
      <w:lvlJc w:val="left"/>
      <w:lvlText w:val="•"/>
      <w:numFmt w:val="bullet"/>
      <w:start w:val="1"/>
    </w:lvl>
  </w:abstractNum>
  <w:abstractNum w:abstractNumId="89">
    <w:nsid w:val="7DFF9D09"/>
    <w:multiLevelType w:val="hybridMultilevel"/>
    <w:lvl w:ilvl="0">
      <w:lvlJc w:val="left"/>
      <w:lvlText w:val="%1"/>
      <w:numFmt w:val="decimal"/>
      <w:start w:val="16"/>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
      <w:numFmt w:val="bullet"/>
      <w:start w:val="1"/>
    </w:lvl>
  </w:abstractNum>
  <w:abstractNum w:abstractNumId="92">
    <w:nsid w:val="2A6DE806"/>
    <w:multiLevelType w:val="hybridMultilevel"/>
    <w:lvl w:ilvl="0">
      <w:lvlJc w:val="left"/>
      <w:lvlText w:val="•"/>
      <w:numFmt w:val="bullet"/>
      <w:start w:val="1"/>
    </w:lvl>
  </w:abstractNum>
  <w:abstractNum w:abstractNumId="93">
    <w:nsid w:val="1816F8C4"/>
    <w:multiLevelType w:val="hybridMultilevel"/>
    <w:lvl w:ilvl="0">
      <w:lvlJc w:val="left"/>
      <w:lvlText w:val="%1"/>
      <w:numFmt w:val="decimal"/>
      <w:start w:val="17"/>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1"/>
      <w:numFmt w:val="decimal"/>
      <w:start w:val="21"/>
    </w:lvl>
  </w:abstractNum>
  <w:abstractNum w:abstractNumId="97">
    <w:nsid w:val="61E74EA3"/>
    <w:multiLevelType w:val="hybridMultilevel"/>
    <w:lvl w:ilvl="0">
      <w:lvlJc w:val="left"/>
      <w:lvlText w:val="•"/>
      <w:numFmt w:val="bullet"/>
      <w:start w:val="1"/>
    </w:lvl>
  </w:abstractNum>
  <w:abstractNum w:abstractNumId="98">
    <w:nsid w:val="597B4D84"/>
    <w:multiLevelType w:val="hybridMultilevel"/>
    <w:lvl w:ilvl="0">
      <w:lvlJc w:val="left"/>
      <w:lvlText w:val="•"/>
      <w:numFmt w:val="bullet"/>
      <w:start w:val="1"/>
    </w:lvl>
  </w:abstractNum>
  <w:abstractNum w:abstractNumId="99">
    <w:nsid w:val="F819E7F"/>
    <w:multiLevelType w:val="hybridMultilevel"/>
    <w:lvl w:ilvl="0">
      <w:lvlJc w:val="left"/>
      <w:lvlText w:val="•"/>
      <w:numFmt w:val="bullet"/>
      <w:start w:val="1"/>
    </w:lvl>
  </w:abstractNum>
  <w:abstractNum w:abstractNumId="100">
    <w:nsid w:val="57C7D42D"/>
    <w:multiLevelType w:val="hybridMultilevel"/>
    <w:lvl w:ilvl="0">
      <w:lvlJc w:val="left"/>
      <w:lvlText w:val="%1"/>
      <w:numFmt w:val="decimal"/>
      <w:start w:val="23"/>
    </w:lvl>
  </w:abstractNum>
  <w:abstractNum w:abstractNumId="101">
    <w:nsid w:val="312167AD"/>
    <w:multiLevelType w:val="hybridMultilevel"/>
    <w:lvl w:ilvl="0">
      <w:lvlJc w:val="left"/>
      <w:lvlText w:val="•"/>
      <w:numFmt w:val="bullet"/>
      <w:start w:val="1"/>
    </w:lvl>
  </w:abstractNum>
  <w:abstractNum w:abstractNumId="102">
    <w:nsid w:val="631B64D4"/>
    <w:multiLevelType w:val="hybridMultilevel"/>
    <w:lvl w:ilvl="0">
      <w:lvlJc w:val="left"/>
      <w:lvlText w:val="%1"/>
      <w:numFmt w:val="decimal"/>
      <w:start w:val="24"/>
    </w:lvl>
  </w:abstractNum>
  <w:abstractNum w:abstractNumId="103">
    <w:nsid w:val="78B5E776"/>
    <w:multiLevelType w:val="hybridMultilevel"/>
    <w:lvl w:ilvl="0">
      <w:lvlJc w:val="left"/>
      <w:lvlText w:val="•"/>
      <w:numFmt w:val="bullet"/>
      <w:start w:val="1"/>
    </w:lvl>
  </w:abstractNum>
  <w:abstractNum w:abstractNumId="104">
    <w:nsid w:val="75486E47"/>
    <w:multiLevelType w:val="hybridMultilevel"/>
    <w:lvl w:ilvl="0">
      <w:lvlJc w:val="left"/>
      <w:lvlText w:val="•"/>
      <w:numFmt w:val="bullet"/>
      <w:start w:val="1"/>
    </w:lvl>
  </w:abstractNum>
  <w:abstractNum w:abstractNumId="105">
    <w:nsid w:val="6E534CDE"/>
    <w:multiLevelType w:val="hybridMultilevel"/>
    <w:lvl w:ilvl="0">
      <w:lvlJc w:val="left"/>
      <w:lvlText w:val="•"/>
      <w:numFmt w:val="bullet"/>
      <w:start w:val="1"/>
    </w:lvl>
  </w:abstractNum>
  <w:abstractNum w:abstractNumId="106">
    <w:nsid w:val="1A0DDE32"/>
    <w:multiLevelType w:val="hybridMultilevel"/>
    <w:lvl w:ilvl="0">
      <w:lvlJc w:val="left"/>
      <w:lvlText w:val="•"/>
      <w:numFmt w:val="bullet"/>
      <w:start w:val="1"/>
    </w:lvl>
  </w:abstractNum>
  <w:abstractNum w:abstractNumId="107">
    <w:nsid w:val="65968C1C"/>
    <w:multiLevelType w:val="hybridMultilevel"/>
    <w:lvl w:ilvl="0">
      <w:lvlJc w:val="left"/>
      <w:lvlText w:val="•"/>
      <w:numFmt w:val="bullet"/>
      <w:start w:val="1"/>
    </w:lvl>
  </w:abstractNum>
  <w:abstractNum w:abstractNumId="108">
    <w:nsid w:val="46263DEC"/>
    <w:multiLevelType w:val="hybridMultilevel"/>
    <w:lvl w:ilvl="0">
      <w:lvlJc w:val="left"/>
      <w:lvlText w:val="•"/>
      <w:numFmt w:val="bullet"/>
      <w:start w:val="1"/>
    </w:lvl>
  </w:abstractNum>
  <w:abstractNum w:abstractNumId="109">
    <w:nsid w:val="260D8C4A"/>
    <w:multiLevelType w:val="hybridMultilevel"/>
    <w:lvl w:ilvl="0">
      <w:lvlJc w:val="left"/>
      <w:lvlText w:val="•"/>
      <w:numFmt w:val="bullet"/>
      <w:start w:val="1"/>
    </w:lvl>
  </w:abstractNum>
  <w:abstractNum w:abstractNumId="110">
    <w:nsid w:val="73D4D3C4"/>
    <w:multiLevelType w:val="hybridMultilevel"/>
    <w:lvl w:ilvl="0">
      <w:lvlJc w:val="left"/>
      <w:lvlText w:val="%1"/>
      <w:numFmt w:val="decimal"/>
      <w:start w:val="25"/>
    </w:lvl>
  </w:abstractNum>
  <w:abstractNum w:abstractNumId="111">
    <w:nsid w:val="746F2E30"/>
    <w:multiLevelType w:val="hybridMultilevel"/>
    <w:lvl w:ilvl="0">
      <w:lvlJc w:val="left"/>
      <w:lvlText w:val="•"/>
      <w:numFmt w:val="bullet"/>
      <w:start w:val="1"/>
    </w:lvl>
  </w:abstractNum>
  <w:abstractNum w:abstractNumId="112">
    <w:nsid w:val="6FDE8AF6"/>
    <w:multiLevelType w:val="hybridMultilevel"/>
    <w:lvl w:ilvl="0">
      <w:lvlJc w:val="left"/>
      <w:lvlText w:val="•"/>
      <w:numFmt w:val="bullet"/>
      <w:start w:val="1"/>
    </w:lvl>
  </w:abstractNum>
  <w:abstractNum w:abstractNumId="113">
    <w:nsid w:val="3FC32E20"/>
    <w:multiLevelType w:val="hybridMultilevel"/>
    <w:lvl w:ilvl="0">
      <w:lvlJc w:val="left"/>
      <w:lvlText w:val="•"/>
      <w:numFmt w:val="bullet"/>
      <w:start w:val="1"/>
    </w:lvl>
  </w:abstractNum>
  <w:abstractNum w:abstractNumId="114">
    <w:nsid w:val="49C0E823"/>
    <w:multiLevelType w:val="hybridMultilevel"/>
    <w:lvl w:ilvl="0">
      <w:lvlJc w:val="left"/>
      <w:lvlText w:val="•"/>
      <w:numFmt w:val="bullet"/>
      <w:start w:val="1"/>
    </w:lvl>
  </w:abstractNum>
  <w:abstractNum w:abstractNumId="115">
    <w:nsid w:val="14D53685"/>
    <w:multiLevelType w:val="hybridMultilevel"/>
    <w:lvl w:ilvl="0">
      <w:lvlJc w:val="left"/>
      <w:lvlText w:val="•"/>
      <w:numFmt w:val="bullet"/>
      <w:start w:val="1"/>
    </w:lvl>
  </w:abstractNum>
  <w:abstractNum w:abstractNumId="116">
    <w:nsid w:val="230F856C"/>
    <w:multiLevelType w:val="hybridMultilevel"/>
    <w:lvl w:ilvl="0">
      <w:lvlJc w:val="left"/>
      <w:lvlText w:val="•"/>
      <w:numFmt w:val="bullet"/>
      <w:start w:val="1"/>
    </w:lvl>
  </w:abstractNum>
  <w:abstractNum w:abstractNumId="117">
    <w:nsid w:val="6EAA85FB"/>
    <w:multiLevelType w:val="hybridMultilevel"/>
    <w:lvl w:ilvl="0">
      <w:lvlJc w:val="left"/>
      <w:lvlText w:val="•"/>
      <w:numFmt w:val="bullet"/>
      <w:start w:val="1"/>
    </w:lvl>
  </w:abstractNum>
  <w:abstractNum w:abstractNumId="118">
    <w:nsid w:val="3F06ECB2"/>
    <w:multiLevelType w:val="hybridMultilevel"/>
    <w:lvl w:ilvl="0">
      <w:lvlJc w:val="left"/>
      <w:lvlText w:val="•"/>
      <w:numFmt w:val="bullet"/>
      <w:start w:val="1"/>
    </w:lvl>
    <w:lvl w:ilvl="1">
      <w:lvlJc w:val="left"/>
      <w:lvlText w:val="•"/>
      <w:numFmt w:val="bullet"/>
      <w:start w:val="1"/>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
      <w:numFmt w:val="bullet"/>
      <w:start w:val="1"/>
    </w:lvl>
  </w:abstractNum>
  <w:abstractNum w:abstractNumId="121">
    <w:nsid w:val="3F7C2FF4"/>
    <w:multiLevelType w:val="hybridMultilevel"/>
    <w:lvl w:ilvl="0">
      <w:lvlJc w:val="left"/>
      <w:lvlText w:val="%1"/>
      <w:numFmt w:val="decimal"/>
      <w:start w:val="26"/>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1"/>
      <w:numFmt w:val="decimal"/>
      <w:start w:val="27"/>
    </w:lvl>
  </w:abstractNum>
  <w:abstractNum w:abstractNumId="124">
    <w:nsid w:val="579328B9"/>
    <w:multiLevelType w:val="hybridMultilevel"/>
    <w:lvl w:ilvl="0">
      <w:lvlJc w:val="left"/>
      <w:lvlText w:val="•"/>
      <w:numFmt w:val="bullet"/>
      <w:start w:val="1"/>
    </w:lvl>
  </w:abstractNum>
  <w:abstractNum w:abstractNumId="125">
    <w:nsid w:val="5D205E20"/>
    <w:multiLevelType w:val="hybridMultilevel"/>
    <w:lvl w:ilvl="0">
      <w:lvlJc w:val="left"/>
      <w:lvlText w:val="%1"/>
      <w:numFmt w:val="decimal"/>
      <w:start w:val="30"/>
    </w:lvl>
  </w:abstractNum>
  <w:abstractNum w:abstractNumId="126">
    <w:nsid w:val="11CCA8BA"/>
    <w:multiLevelType w:val="hybridMultilevel"/>
    <w:lvl w:ilvl="0">
      <w:lvlJc w:val="left"/>
      <w:lvlText w:val="•"/>
      <w:numFmt w:val="bullet"/>
      <w:start w:val="1"/>
    </w:lvl>
  </w:abstractNum>
  <w:abstractNum w:abstractNumId="127">
    <w:nsid w:val="4D32AB86"/>
    <w:multiLevelType w:val="hybridMultilevel"/>
    <w:lvl w:ilvl="0">
      <w:lvlJc w:val="left"/>
      <w:lvlText w:val="•"/>
      <w:numFmt w:val="bullet"/>
      <w:start w:val="1"/>
    </w:lvl>
    <w:lvl w:ilvl="1">
      <w:lvlJc w:val="left"/>
      <w:lvlText w:val="•"/>
      <w:numFmt w:val="bullet"/>
      <w:start w:val="1"/>
    </w:lvl>
  </w:abstractNum>
  <w:abstractNum w:abstractNumId="128">
    <w:nsid w:val="3F07ACC3"/>
    <w:multiLevelType w:val="hybridMultilevel"/>
    <w:lvl w:ilvl="0">
      <w:lvlJc w:val="left"/>
      <w:lvlText w:val="%1"/>
      <w:numFmt w:val="decimal"/>
      <w:start w:val="34"/>
    </w:lvl>
  </w:abstractNum>
  <w:abstractNum w:abstractNumId="129">
    <w:nsid w:val="6B47F63E"/>
    <w:multiLevelType w:val="hybridMultilevel"/>
    <w:lvl w:ilvl="0">
      <w:lvlJc w:val="left"/>
      <w:lvlText w:val="%1"/>
      <w:numFmt w:val="decimal"/>
      <w:start w:val="39"/>
    </w:lvl>
  </w:abstractNum>
  <w:abstractNum w:abstractNumId="130">
    <w:nsid w:val="5CB44A05"/>
    <w:multiLevelType w:val="hybridMultilevel"/>
    <w:lvl w:ilvl="0">
      <w:lvlJc w:val="left"/>
      <w:lvlText w:val="•"/>
      <w:numFmt w:val="bullet"/>
      <w:start w:val="1"/>
    </w:lvl>
  </w:abstractNum>
  <w:abstractNum w:abstractNumId="131">
    <w:nsid w:val="16CF80F1"/>
    <w:multiLevelType w:val="hybridMultilevel"/>
    <w:lvl w:ilvl="0">
      <w:lvlJc w:val="left"/>
      <w:lvlText w:val="%1"/>
      <w:numFmt w:val="decimal"/>
      <w:start w:val="43"/>
    </w:lvl>
  </w:abstractNum>
  <w:abstractNum w:abstractNumId="132">
    <w:nsid w:val="1C695DEC"/>
    <w:multiLevelType w:val="hybridMultilevel"/>
    <w:lvl w:ilvl="0">
      <w:lvlJc w:val="left"/>
      <w:lvlText w:val="•"/>
      <w:numFmt w:val="bullet"/>
      <w:start w:val="1"/>
    </w:lvl>
  </w:abstractNum>
  <w:abstractNum w:abstractNumId="133">
    <w:nsid w:val="3FCFAED9"/>
    <w:multiLevelType w:val="hybridMultilevel"/>
    <w:lvl w:ilvl="0">
      <w:lvlJc w:val="left"/>
      <w:lvlText w:val="•"/>
      <w:numFmt w:val="bullet"/>
      <w:start w:val="1"/>
    </w:lvl>
  </w:abstractNum>
  <w:abstractNum w:abstractNumId="134">
    <w:nsid w:val="F856867"/>
    <w:multiLevelType w:val="hybridMultilevel"/>
    <w:lvl w:ilvl="0">
      <w:lvlJc w:val="left"/>
      <w:lvlText w:val="\emdash "/>
      <w:numFmt w:val="bullet"/>
      <w:start w:val="1"/>
    </w:lvl>
  </w:abstractNum>
  <w:abstractNum w:abstractNumId="135">
    <w:nsid w:val="11B1CC33"/>
    <w:multiLevelType w:val="hybridMultilevel"/>
    <w:lvl w:ilvl="0">
      <w:lvlJc w:val="left"/>
      <w:lvlText w:val="•"/>
      <w:numFmt w:val="bullet"/>
      <w:start w:val="1"/>
    </w:lvl>
  </w:abstractNum>
  <w:abstractNum w:abstractNumId="136">
    <w:nsid w:val="2E22FBB7"/>
    <w:multiLevelType w:val="hybridMultilevel"/>
    <w:lvl w:ilvl="0">
      <w:lvlJc w:val="left"/>
      <w:lvlText w:val="%1"/>
      <w:numFmt w:val="decimal"/>
      <w:start w:val="45"/>
    </w:lvl>
  </w:abstractNum>
  <w:abstractNum w:abstractNumId="137">
    <w:nsid w:val="29934699"/>
    <w:multiLevelType w:val="hybridMultilevel"/>
    <w:lvl w:ilvl="0">
      <w:lvlJc w:val="left"/>
      <w:lvlText w:val="•"/>
      <w:numFmt w:val="bullet"/>
      <w:start w:val="1"/>
    </w:lvl>
  </w:abstractNum>
  <w:abstractNum w:abstractNumId="138">
    <w:nsid w:val="77485850"/>
    <w:multiLevelType w:val="hybridMultilevel"/>
    <w:lvl w:ilvl="0">
      <w:lvlJc w:val="left"/>
      <w:lvlText w:val="•"/>
      <w:numFmt w:val="bullet"/>
      <w:start w:val="1"/>
    </w:lvl>
  </w:abstractNum>
  <w:abstractNum w:abstractNumId="139">
    <w:nsid w:val="744939A3"/>
    <w:multiLevelType w:val="hybridMultilevel"/>
    <w:lvl w:ilvl="0">
      <w:lvlJc w:val="left"/>
      <w:lvlText w:val="•"/>
      <w:numFmt w:val="bullet"/>
      <w:start w:val="1"/>
    </w:lvl>
  </w:abstractNum>
  <w:abstractNum w:abstractNumId="140">
    <w:nsid w:val="4FA0D2E3"/>
    <w:multiLevelType w:val="hybridMultilevel"/>
    <w:lvl w:ilvl="0">
      <w:lvlJc w:val="left"/>
      <w:lvlText w:val="•"/>
      <w:numFmt w:val="bullet"/>
      <w:start w:val="1"/>
    </w:lvl>
  </w:abstractNum>
  <w:abstractNum w:abstractNumId="141">
    <w:nsid w:val="6B1D2C14"/>
    <w:multiLevelType w:val="hybridMultilevel"/>
    <w:lvl w:ilvl="0">
      <w:lvlJc w:val="left"/>
      <w:lvlText w:val="•"/>
      <w:numFmt w:val="bullet"/>
      <w:start w:val="1"/>
    </w:lvl>
  </w:abstractNum>
  <w:abstractNum w:abstractNumId="142">
    <w:nsid w:val="68B867D3"/>
    <w:multiLevelType w:val="hybridMultilevel"/>
    <w:lvl w:ilvl="0">
      <w:lvlJc w:val="left"/>
      <w:lvlText w:val="(%1)"/>
      <w:numFmt w:val="decimal"/>
      <w:start w:val="1"/>
    </w:lvl>
  </w:abstractNum>
  <w:abstractNum w:abstractNumId="143">
    <w:nsid w:val="3F7F5DD9"/>
    <w:multiLevelType w:val="hybridMultilevel"/>
    <w:lvl w:ilvl="0">
      <w:lvlJc w:val="left"/>
      <w:lvlText w:val="•"/>
      <w:numFmt w:val="bullet"/>
      <w:start w:val="1"/>
    </w:lvl>
  </w:abstractNum>
  <w:abstractNum w:abstractNumId="144">
    <w:nsid w:val="2AE05A34"/>
    <w:multiLevelType w:val="hybridMultilevel"/>
    <w:lvl w:ilvl="0">
      <w:lvlJc w:val="left"/>
      <w:lvlText w:val="•"/>
      <w:numFmt w:val="bullet"/>
      <w:start w:val="1"/>
    </w:lvl>
  </w:abstractNum>
  <w:abstractNum w:abstractNumId="145">
    <w:nsid w:val="32794FF7"/>
    <w:multiLevelType w:val="hybridMultilevel"/>
    <w:lvl w:ilvl="0">
      <w:lvlJc w:val="left"/>
      <w:lvlText w:val="•"/>
      <w:numFmt w:val="bullet"/>
      <w:start w:val="1"/>
    </w:lvl>
  </w:abstractNum>
  <w:abstractNum w:abstractNumId="146">
    <w:nsid w:val="5454945E"/>
    <w:multiLevelType w:val="hybridMultilevel"/>
    <w:lvl w:ilvl="0">
      <w:lvlJc w:val="left"/>
      <w:lvlText w:val="•"/>
      <w:numFmt w:val="bullet"/>
      <w:start w:val="1"/>
    </w:lvl>
  </w:abstractNum>
  <w:abstractNum w:abstractNumId="147">
    <w:nsid w:val="4DEFDFA0"/>
    <w:multiLevelType w:val="hybridMultilevel"/>
    <w:lvl w:ilvl="0">
      <w:lvlJc w:val="left"/>
      <w:lvlText w:val="(%1)"/>
      <w:numFmt w:val="decimal"/>
      <w:start w:val="1"/>
    </w:lvl>
  </w:abstractNum>
  <w:abstractNum w:abstractNumId="148">
    <w:nsid w:val="2123D5F2"/>
    <w:multiLevelType w:val="hybridMultilevel"/>
    <w:lvl w:ilvl="0">
      <w:lvlJc w:val="left"/>
      <w:lvlText w:val="(%1)"/>
      <w:numFmt w:val="decimal"/>
      <w:start w:val="4"/>
    </w:lvl>
  </w:abstractNum>
  <w:abstractNum w:abstractNumId="149">
    <w:nsid w:val="135B8110"/>
    <w:multiLevelType w:val="hybridMultilevel"/>
    <w:lvl w:ilvl="0">
      <w:lvlJc w:val="left"/>
      <w:lvlText w:val="•"/>
      <w:numFmt w:val="bullet"/>
      <w:start w:val="1"/>
    </w:lvl>
  </w:abstractNum>
  <w:abstractNum w:abstractNumId="150">
    <w:nsid w:val="94927A8"/>
    <w:multiLevelType w:val="hybridMultilevel"/>
    <w:lvl w:ilvl="0">
      <w:lvlJc w:val="left"/>
      <w:lvlText w:val="(%1)"/>
      <w:numFmt w:val="decimal"/>
      <w:start w:val="1"/>
    </w:lvl>
  </w:abstractNum>
  <w:abstractNum w:abstractNumId="151">
    <w:nsid w:val="DCDF8F6"/>
    <w:multiLevelType w:val="hybridMultilevel"/>
    <w:lvl w:ilvl="0">
      <w:lvlJc w:val="left"/>
      <w:lvlText w:val="(%1)"/>
      <w:numFmt w:val="decimal"/>
      <w:start w:val="1"/>
    </w:lvl>
  </w:abstractNum>
  <w:abstractNum w:abstractNumId="152">
    <w:nsid w:val="52D7B105"/>
    <w:multiLevelType w:val="hybridMultilevel"/>
    <w:lvl w:ilvl="0">
      <w:lvlJc w:val="left"/>
      <w:lvlText w:val="•"/>
      <w:numFmt w:val="bullet"/>
      <w:start w:val="1"/>
    </w:lvl>
  </w:abstractNum>
  <w:abstractNum w:abstractNumId="153">
    <w:nsid w:val="2E8A6394"/>
    <w:multiLevelType w:val="hybridMultilevel"/>
    <w:lvl w:ilvl="0">
      <w:lvlJc w:val="left"/>
      <w:lvlText w:val="(%1)"/>
      <w:numFmt w:val="decimal"/>
      <w:start w:val="1"/>
    </w:lvl>
  </w:abstractNum>
  <w:abstractNum w:abstractNumId="154">
    <w:nsid w:val="24E60401"/>
    <w:multiLevelType w:val="hybridMultilevel"/>
    <w:lvl w:ilvl="0">
      <w:lvlJc w:val="left"/>
      <w:lvlText w:val="(%1)"/>
      <w:numFmt w:val="decimal"/>
      <w:start w:val="1"/>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
      <w:numFmt w:val="bullet"/>
      <w:start w:val="1"/>
    </w:lvl>
  </w:abstractNum>
  <w:abstractNum w:abstractNumId="157">
    <w:nsid w:val="36B2ACBC"/>
    <w:multiLevelType w:val="hybridMultilevel"/>
    <w:lvl w:ilvl="0">
      <w:lvlJc w:val="left"/>
      <w:lvlText w:val="•"/>
      <w:numFmt w:val="bullet"/>
      <w:start w:val="1"/>
    </w:lvl>
  </w:abstractNum>
  <w:abstractNum w:abstractNumId="158">
    <w:nsid w:val="779D8544"/>
    <w:multiLevelType w:val="hybridMultilevel"/>
    <w:lvl w:ilvl="0">
      <w:lvlJc w:val="left"/>
      <w:lvlText w:val="*"/>
      <w:numFmt w:val="bullet"/>
      <w:start w:val="1"/>
    </w:lvl>
  </w:abstractNum>
  <w:abstractNum w:abstractNumId="159">
    <w:nsid w:val="4AB26E78"/>
    <w:multiLevelType w:val="hybridMultilevel"/>
    <w:lvl w:ilvl="0">
      <w:lvlJc w:val="left"/>
      <w:lvlText w:val="(%1)"/>
      <w:numFmt w:val="decimal"/>
      <w:start w:val="1"/>
    </w:lvl>
  </w:abstractNum>
  <w:abstractNum w:abstractNumId="160">
    <w:nsid w:val="21FAA2FA"/>
    <w:multiLevelType w:val="hybridMultilevel"/>
    <w:lvl w:ilvl="0">
      <w:lvlJc w:val="left"/>
      <w:lvlText w:val="(%1)"/>
      <w:numFmt w:val="decimal"/>
      <w:start w:val="2"/>
    </w:lvl>
  </w:abstractNum>
  <w:abstractNum w:abstractNumId="161">
    <w:nsid w:val="5451CF49"/>
    <w:multiLevelType w:val="hybridMultilevel"/>
    <w:lvl w:ilvl="0">
      <w:lvlJc w:val="left"/>
      <w:lvlText w:val="•"/>
      <w:numFmt w:val="bullet"/>
      <w:start w:val="1"/>
    </w:lvl>
  </w:abstractNum>
  <w:abstractNum w:abstractNumId="162">
    <w:nsid w:val="6181EF69"/>
    <w:multiLevelType w:val="hybridMultilevel"/>
    <w:lvl w:ilvl="0">
      <w:lvlJc w:val="left"/>
      <w:lvlText w:val="•"/>
      <w:numFmt w:val="bullet"/>
      <w:start w:val="1"/>
    </w:lvl>
  </w:abstractNum>
  <w:abstractNum w:abstractNumId="163">
    <w:nsid w:val="3E6400E6"/>
    <w:multiLevelType w:val="hybridMultilevel"/>
    <w:lvl w:ilvl="0">
      <w:lvlJc w:val="left"/>
      <w:lvlText w:val="•"/>
      <w:numFmt w:val="bullet"/>
      <w:start w:val="1"/>
    </w:lvl>
  </w:abstractNum>
  <w:abstractNum w:abstractNumId="164">
    <w:nsid w:val="14217E23"/>
    <w:multiLevelType w:val="hybridMultilevel"/>
    <w:lvl w:ilvl="0">
      <w:lvlJc w:val="left"/>
      <w:lvlText w:val="$"/>
      <w:numFmt w:val="bullet"/>
      <w:start w:val="1"/>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lowerLetter"/>
      <w:start w:val="1"/>
    </w:lvl>
  </w:abstractNum>
  <w:abstractNum w:abstractNumId="167">
    <w:nsid w:val="424479DA"/>
    <w:multiLevelType w:val="hybridMultilevel"/>
    <w:lvl w:ilvl="0">
      <w:lvlJc w:val="left"/>
      <w:lvlText w:val="(%1)"/>
      <w:numFmt w:val="lowerRoman"/>
      <w:start w:val="3"/>
    </w:lvl>
  </w:abstractNum>
  <w:abstractNum w:abstractNumId="168">
    <w:nsid w:val="1A9A9E69"/>
    <w:multiLevelType w:val="hybridMultilevel"/>
    <w:lvl w:ilvl="0">
      <w:lvlJc w:val="left"/>
      <w:lvlText w:val="%1."/>
      <w:numFmt w:val="decimal"/>
      <w:start w:val="1"/>
    </w:lvl>
  </w:abstractNum>
  <w:abstractNum w:abstractNumId="169">
    <w:nsid w:val="475E256A"/>
    <w:multiLevelType w:val="hybridMultilevel"/>
    <w:lvl w:ilvl="0">
      <w:lvlJc w:val="left"/>
      <w:lvlText w:val="(%1)"/>
      <w:numFmt w:val="lowerRoman"/>
      <w:start w:val="2"/>
    </w:lvl>
  </w:abstractNum>
  <w:abstractNum w:abstractNumId="170">
    <w:nsid w:val="368DB37E"/>
    <w:multiLevelType w:val="hybridMultilevel"/>
    <w:lvl w:ilvl="0">
      <w:lvlJc w:val="left"/>
      <w:lvlText w:val="%1."/>
      <w:numFmt w:val="decimal"/>
      <w:start w:val="3"/>
    </w:lvl>
  </w:abstractNum>
  <w:abstractNum w:abstractNumId="171">
    <w:nsid w:val="6A3B714C"/>
    <w:multiLevelType w:val="hybridMultilevel"/>
    <w:lvl w:ilvl="0">
      <w:lvlJc w:val="left"/>
      <w:lvlText w:val="%1."/>
      <w:numFmt w:val="decimal"/>
      <w:start w:val="6"/>
    </w:lvl>
  </w:abstractNum>
  <w:abstractNum w:abstractNumId="172">
    <w:nsid w:val="327B517E"/>
    <w:multiLevelType w:val="hybridMultilevel"/>
    <w:lvl w:ilvl="0">
      <w:lvlJc w:val="left"/>
      <w:lvlText w:val="%1."/>
      <w:numFmt w:val="decimal"/>
      <w:start w:val="7"/>
    </w:lvl>
  </w:abstractNum>
  <w:abstractNum w:abstractNumId="173">
    <w:nsid w:val="1F461B51"/>
    <w:multiLevelType w:val="hybridMultilevel"/>
    <w:lvl w:ilvl="0">
      <w:lvlJc w:val="left"/>
      <w:lvlText w:val="%1."/>
      <w:numFmt w:val="decimal"/>
      <w:start w:val="8"/>
    </w:lvl>
  </w:abstractNum>
  <w:abstractNum w:abstractNumId="174">
    <w:nsid w:val="29BACF25"/>
    <w:multiLevelType w:val="hybridMultilevel"/>
    <w:lvl w:ilvl="0">
      <w:lvlJc w:val="left"/>
      <w:lvlText w:val="(%1)"/>
      <w:numFmt w:val="decimal"/>
      <w:start w:val="1"/>
    </w:lvl>
  </w:abstractNum>
  <w:abstractNum w:abstractNumId="175">
    <w:nsid w:val="5D5BABB3"/>
    <w:multiLevelType w:val="hybridMultilevel"/>
    <w:lvl w:ilvl="0">
      <w:lvlJc w:val="left"/>
      <w:lvlText w:val="%1."/>
      <w:numFmt w:val="decimal"/>
      <w:start w:val="9"/>
    </w:lvl>
  </w:abstractNum>
  <w:abstractNum w:abstractNumId="176">
    <w:nsid w:val="51BF6B48"/>
    <w:multiLevelType w:val="hybridMultilevel"/>
    <w:lvl w:ilvl="0">
      <w:lvlJc w:val="left"/>
      <w:lvlText w:val="%1."/>
      <w:numFmt w:val="decimal"/>
      <w:start w:val="10"/>
    </w:lvl>
  </w:abstractNum>
  <w:abstractNum w:abstractNumId="177">
    <w:nsid w:val="7E0F6384"/>
    <w:multiLevelType w:val="hybridMultilevel"/>
    <w:lvl w:ilvl="0">
      <w:lvlJc w:val="left"/>
      <w:lvlText w:val="$"/>
      <w:numFmt w:val="bullet"/>
      <w:start w:val="1"/>
    </w:lvl>
  </w:abstractNum>
  <w:abstractNum w:abstractNumId="178">
    <w:nsid w:val="2B4B8B53"/>
    <w:multiLevelType w:val="hybridMultilevel"/>
    <w:lvl w:ilvl="0">
      <w:lvlJc w:val="left"/>
      <w:lvlText w:val="%1."/>
      <w:numFmt w:val="decimal"/>
      <w:start w:val="11"/>
    </w:lvl>
  </w:abstractNum>
  <w:abstractNum w:abstractNumId="179">
    <w:nsid w:val="72E3413A"/>
    <w:multiLevelType w:val="hybridMultilevel"/>
    <w:lvl w:ilvl="0">
      <w:lvlJc w:val="left"/>
      <w:lvlText w:val="%1."/>
      <w:numFmt w:val="decimal"/>
      <w:start w:val="12"/>
    </w:lvl>
  </w:abstractNum>
  <w:abstractNum w:abstractNumId="180">
    <w:nsid w:val="116AE494"/>
    <w:multiLevelType w:val="hybridMultilevel"/>
    <w:lvl w:ilvl="0">
      <w:lvlJc w:val="left"/>
      <w:lvlText w:val="%1."/>
      <w:numFmt w:val="decimal"/>
      <w:start w:val="13"/>
    </w:lvl>
  </w:abstractNum>
  <w:abstractNum w:abstractNumId="181">
    <w:nsid w:val="3494B2FB"/>
    <w:multiLevelType w:val="hybridMultilevel"/>
    <w:lvl w:ilvl="0">
      <w:lvlJc w:val="left"/>
      <w:lvlText w:val="(%1)"/>
      <w:numFmt w:val="decimal"/>
      <w:start w:val="1"/>
    </w:lvl>
  </w:abstractNum>
  <w:abstractNum w:abstractNumId="182">
    <w:nsid w:val="B13A31"/>
    <w:multiLevelType w:val="hybridMultilevel"/>
    <w:lvl w:ilvl="0">
      <w:lvlJc w:val="left"/>
      <w:lvlText w:val="%1."/>
      <w:numFmt w:val="decimal"/>
      <w:start w:val="14"/>
    </w:lvl>
  </w:abstractNum>
  <w:abstractNum w:abstractNumId="183">
    <w:nsid w:val="64429599"/>
    <w:multiLevelType w:val="hybridMultilevel"/>
    <w:lvl w:ilvl="0">
      <w:lvlJc w:val="left"/>
      <w:lvlText w:val="%1."/>
      <w:numFmt w:val="decimal"/>
      <w:start w:val="15"/>
    </w:lvl>
  </w:abstractNum>
  <w:abstractNum w:abstractNumId="184">
    <w:nsid w:val="631F1690"/>
    <w:multiLevelType w:val="hybridMultilevel"/>
    <w:lvl w:ilvl="0">
      <w:lvlJc w:val="left"/>
      <w:lvlText w:val="%1"/>
      <w:numFmt w:val="decimal"/>
      <w:start w:val="1"/>
    </w:lvl>
    <w:lvl w:ilvl="1">
      <w:lvlJc w:val="left"/>
      <w:lvlText w:val="(%2)"/>
      <w:numFmt w:val="decimal"/>
      <w:start w:val="1"/>
    </w:lvl>
  </w:abstractNum>
  <w:abstractNum w:abstractNumId="185">
    <w:nsid w:val="25973E32"/>
    <w:multiLevelType w:val="hybridMultilevel"/>
    <w:lvl w:ilvl="0">
      <w:lvlJc w:val="left"/>
      <w:lvlText w:val="%1."/>
      <w:numFmt w:val="decimal"/>
      <w:start w:val="16"/>
    </w:lvl>
    <w:lvl w:ilvl="1">
      <w:lvlJc w:val="left"/>
      <w:lvlText w:val="%2"/>
      <w:numFmt w:val="decimal"/>
      <w:start w:val="1"/>
    </w:lvl>
  </w:abstractNum>
  <w:abstractNum w:abstractNumId="186">
    <w:nsid w:val="EAD6F57"/>
    <w:multiLevelType w:val="hybridMultilevel"/>
    <w:lvl w:ilvl="0">
      <w:lvlJc w:val="left"/>
      <w:lvlText w:val="*"/>
      <w:numFmt w:val="bullet"/>
      <w:start w:val="1"/>
    </w:lvl>
  </w:abstractNum>
  <w:abstractNum w:abstractNumId="187">
    <w:nsid w:val="6EC9D844"/>
    <w:multiLevelType w:val="hybridMultilevel"/>
    <w:lvl w:ilvl="0">
      <w:lvlJc w:val="left"/>
      <w:lvlText w:val="*"/>
      <w:numFmt w:val="bullet"/>
      <w:start w:val="1"/>
    </w:lvl>
  </w:abstractNum>
  <w:abstractNum w:abstractNumId="188">
    <w:nsid w:val="5C49EAEE"/>
    <w:multiLevelType w:val="hybridMultilevel"/>
    <w:lvl w:ilvl="0">
      <w:lvlJc w:val="left"/>
      <w:lvlText w:val="+"/>
      <w:numFmt w:val="bullet"/>
      <w:start w:val="1"/>
    </w:lvl>
  </w:abstractNum>
  <w:abstractNum w:abstractNumId="189">
    <w:nsid w:val="64AF49B"/>
    <w:multiLevelType w:val="hybridMultilevel"/>
    <w:lvl w:ilvl="0">
      <w:lvlJc w:val="left"/>
      <w:lvlText w:val="(%1)"/>
      <w:numFmt w:val="decimal"/>
      <w:start w:val="1"/>
    </w:lvl>
    <w:lvl w:ilvl="1">
      <w:lvlJc w:val="left"/>
      <w:lvlText w:val="(%2)"/>
      <w:numFmt w:val="lowerRoman"/>
      <w:start w:val="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2021-10-08T15:05:25Z</dcterms:created>
  <dcterms:modified xsi:type="dcterms:W3CDTF">2021-10-08T15:05:25Z</dcterms:modified>
</cp:coreProperties>
</file>