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681990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6" w:lineRule="exact"/>
        <w:rPr>
          <w:sz w:val="24"/>
          <w:szCs w:val="24"/>
          <w:color w:val="auto"/>
        </w:rPr>
      </w:pPr>
    </w:p>
    <w:p>
      <w:pPr>
        <w:ind w:left="520" w:hanging="496"/>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27" w:lineRule="exact"/>
        <w:rPr>
          <w:rFonts w:ascii="MS PGothic" w:cs="MS PGothic" w:eastAsia="MS PGothic" w:hAnsi="MS PGothic"/>
          <w:sz w:val="17"/>
          <w:szCs w:val="17"/>
          <w:color w:val="auto"/>
        </w:rPr>
      </w:pPr>
    </w:p>
    <w:p>
      <w:pPr>
        <w:ind w:left="4220"/>
        <w:spacing w:after="0"/>
        <w:rPr>
          <w:rFonts w:ascii="MS PGothic" w:cs="MS PGothic" w:eastAsia="MS PGothic" w:hAnsi="MS PGothic"/>
          <w:sz w:val="17"/>
          <w:szCs w:val="17"/>
          <w:color w:val="auto"/>
        </w:rPr>
      </w:pPr>
      <w:r>
        <w:rPr>
          <w:rFonts w:ascii="Arial" w:cs="Arial" w:eastAsia="Arial" w:hAnsi="Arial"/>
          <w:sz w:val="14"/>
          <w:szCs w:val="14"/>
          <w:b w:val="1"/>
          <w:bCs w:val="1"/>
          <w:color w:val="auto"/>
        </w:rPr>
        <w:t>For the fiscal year ended January 31, 2023</w:t>
      </w:r>
    </w:p>
    <w:p>
      <w:pPr>
        <w:spacing w:after="0" w:line="155"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258" w:lineRule="exact"/>
        <w:rPr>
          <w:sz w:val="24"/>
          <w:szCs w:val="24"/>
          <w:color w:val="auto"/>
        </w:rPr>
      </w:pPr>
    </w:p>
    <w:p>
      <w:pPr>
        <w:ind w:left="3940" w:right="3520" w:hanging="3916"/>
        <w:spacing w:after="0" w:line="423" w:lineRule="auto"/>
        <w:tabs>
          <w:tab w:leader="none" w:pos="528"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 to ________</w:t>
      </w:r>
    </w:p>
    <w:p>
      <w:pPr>
        <w:ind w:left="4460"/>
        <w:spacing w:after="0"/>
        <w:rPr>
          <w:rFonts w:ascii="MS PGothic" w:cs="MS PGothic" w:eastAsia="MS PGothic" w:hAnsi="MS PGothic"/>
          <w:sz w:val="17"/>
          <w:szCs w:val="17"/>
          <w:color w:val="auto"/>
        </w:rPr>
      </w:pPr>
      <w:r>
        <w:rPr>
          <w:rFonts w:ascii="Arial" w:cs="Arial" w:eastAsia="Arial" w:hAnsi="Arial"/>
          <w:sz w:val="14"/>
          <w:szCs w:val="14"/>
          <w:b w:val="1"/>
          <w:bCs w:val="1"/>
          <w:color w:val="auto"/>
        </w:rPr>
        <w:t>Commission file number 001-40958</w:t>
      </w:r>
    </w:p>
    <w:p>
      <w:pPr>
        <w:spacing w:after="0" w:line="157" w:lineRule="exact"/>
        <w:rPr>
          <w:rFonts w:ascii="MS PGothic" w:cs="MS PGothic" w:eastAsia="MS PGothic" w:hAnsi="MS PGothic"/>
          <w:sz w:val="17"/>
          <w:szCs w:val="17"/>
          <w:color w:val="auto"/>
        </w:rPr>
      </w:pPr>
    </w:p>
    <w:p>
      <w:pPr>
        <w:ind w:left="4660"/>
        <w:spacing w:after="0"/>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____________________________</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RENT THE RUNWAY, INC.</w:t>
      </w:r>
    </w:p>
    <w:p>
      <w:pPr>
        <w:spacing w:after="0" w:line="1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363"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4420" w:type="dxa"/>
            <w:vAlign w:val="bottom"/>
          </w:tcPr>
          <w:p>
            <w:pPr>
              <w:jc w:val="center"/>
              <w:ind w:left="1129"/>
              <w:spacing w:after="0"/>
              <w:rPr>
                <w:sz w:val="20"/>
                <w:szCs w:val="20"/>
                <w:color w:val="auto"/>
              </w:rPr>
            </w:pPr>
            <w:r>
              <w:rPr>
                <w:rFonts w:ascii="Arial" w:cs="Arial" w:eastAsia="Arial" w:hAnsi="Arial"/>
                <w:sz w:val="14"/>
                <w:szCs w:val="14"/>
                <w:b w:val="1"/>
                <w:bCs w:val="1"/>
                <w:color w:val="auto"/>
              </w:rPr>
              <w:t>Delaware</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40" w:type="dxa"/>
            <w:vAlign w:val="bottom"/>
          </w:tcPr>
          <w:p>
            <w:pPr>
              <w:jc w:val="right"/>
              <w:ind w:right="2369"/>
              <w:spacing w:after="0"/>
              <w:rPr>
                <w:sz w:val="20"/>
                <w:szCs w:val="20"/>
                <w:color w:val="auto"/>
              </w:rPr>
            </w:pPr>
            <w:r>
              <w:rPr>
                <w:rFonts w:ascii="Arial" w:cs="Arial" w:eastAsia="Arial" w:hAnsi="Arial"/>
                <w:sz w:val="14"/>
                <w:szCs w:val="14"/>
                <w:b w:val="1"/>
                <w:bCs w:val="1"/>
                <w:color w:val="auto"/>
              </w:rPr>
              <w:t>80-0376379</w:t>
            </w:r>
          </w:p>
        </w:tc>
        <w:tc>
          <w:tcPr>
            <w:tcW w:w="0" w:type="dxa"/>
            <w:vAlign w:val="bottom"/>
          </w:tcPr>
          <w:p>
            <w:pPr>
              <w:spacing w:after="0"/>
              <w:rPr>
                <w:sz w:val="1"/>
                <w:szCs w:val="1"/>
                <w:color w:val="auto"/>
              </w:rPr>
            </w:pPr>
          </w:p>
        </w:tc>
      </w:tr>
      <w:tr>
        <w:trPr>
          <w:trHeight w:val="33"/>
        </w:trPr>
        <w:tc>
          <w:tcPr>
            <w:tcW w:w="4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420" w:type="dxa"/>
            <w:vAlign w:val="bottom"/>
          </w:tcPr>
          <w:p>
            <w:pPr>
              <w:jc w:val="center"/>
              <w:ind w:left="1109"/>
              <w:spacing w:after="0"/>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40" w:type="dxa"/>
            <w:vAlign w:val="bottom"/>
          </w:tcPr>
          <w:p>
            <w:pPr>
              <w:jc w:val="center"/>
              <w:ind w:right="2129"/>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1"/>
        </w:trPr>
        <w:tc>
          <w:tcPr>
            <w:tcW w:w="4420" w:type="dxa"/>
            <w:vAlign w:val="bottom"/>
          </w:tcPr>
          <w:p>
            <w:pPr>
              <w:jc w:val="center"/>
              <w:ind w:left="1109"/>
              <w:spacing w:after="0"/>
              <w:rPr>
                <w:sz w:val="20"/>
                <w:szCs w:val="20"/>
                <w:color w:val="auto"/>
              </w:rPr>
            </w:pPr>
            <w:r>
              <w:rPr>
                <w:rFonts w:ascii="Arial" w:cs="Arial" w:eastAsia="Arial" w:hAnsi="Arial"/>
                <w:sz w:val="14"/>
                <w:szCs w:val="14"/>
                <w:color w:val="auto"/>
              </w:rPr>
              <w:t>incorporation or organization)</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40" w:type="dxa"/>
            <w:vAlign w:val="bottom"/>
          </w:tcPr>
          <w:p>
            <w:pPr>
              <w:jc w:val="center"/>
              <w:ind w:right="2109"/>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38"/>
        </w:trPr>
        <w:tc>
          <w:tcPr>
            <w:tcW w:w="4420" w:type="dxa"/>
            <w:vAlign w:val="bottom"/>
          </w:tcPr>
          <w:p>
            <w:pPr>
              <w:jc w:val="center"/>
              <w:ind w:left="1109"/>
              <w:spacing w:after="0"/>
              <w:rPr>
                <w:sz w:val="20"/>
                <w:szCs w:val="20"/>
                <w:color w:val="auto"/>
              </w:rPr>
            </w:pPr>
            <w:r>
              <w:rPr>
                <w:rFonts w:ascii="Arial" w:cs="Arial" w:eastAsia="Arial" w:hAnsi="Arial"/>
                <w:sz w:val="14"/>
                <w:szCs w:val="14"/>
                <w:b w:val="1"/>
                <w:bCs w:val="1"/>
                <w:color w:val="auto"/>
              </w:rPr>
              <w:t>10 Jay Street</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40" w:type="dxa"/>
            <w:vAlign w:val="bottom"/>
            <w:vMerge w:val="restart"/>
          </w:tcPr>
          <w:p>
            <w:pPr>
              <w:jc w:val="right"/>
              <w:ind w:right="2549"/>
              <w:spacing w:after="0"/>
              <w:rPr>
                <w:sz w:val="20"/>
                <w:szCs w:val="20"/>
                <w:color w:val="auto"/>
              </w:rPr>
            </w:pPr>
            <w:r>
              <w:rPr>
                <w:rFonts w:ascii="Arial" w:cs="Arial" w:eastAsia="Arial" w:hAnsi="Arial"/>
                <w:sz w:val="14"/>
                <w:szCs w:val="14"/>
                <w:b w:val="1"/>
                <w:bCs w:val="1"/>
                <w:color w:val="auto"/>
              </w:rPr>
              <w:t>11201</w:t>
            </w:r>
          </w:p>
        </w:tc>
        <w:tc>
          <w:tcPr>
            <w:tcW w:w="0" w:type="dxa"/>
            <w:vAlign w:val="bottom"/>
          </w:tcPr>
          <w:p>
            <w:pPr>
              <w:spacing w:after="0"/>
              <w:rPr>
                <w:sz w:val="1"/>
                <w:szCs w:val="1"/>
                <w:color w:val="auto"/>
              </w:rPr>
            </w:pPr>
          </w:p>
        </w:tc>
      </w:tr>
      <w:tr>
        <w:trPr>
          <w:trHeight w:val="109"/>
        </w:trPr>
        <w:tc>
          <w:tcPr>
            <w:tcW w:w="4420" w:type="dxa"/>
            <w:vAlign w:val="bottom"/>
            <w:vMerge w:val="restart"/>
          </w:tcPr>
          <w:p>
            <w:pPr>
              <w:jc w:val="center"/>
              <w:ind w:left="1109"/>
              <w:spacing w:after="0"/>
              <w:rPr>
                <w:sz w:val="20"/>
                <w:szCs w:val="20"/>
                <w:color w:val="auto"/>
              </w:rPr>
            </w:pPr>
            <w:r>
              <w:rPr>
                <w:rFonts w:ascii="Arial" w:cs="Arial" w:eastAsia="Arial" w:hAnsi="Arial"/>
                <w:sz w:val="14"/>
                <w:szCs w:val="14"/>
                <w:b w:val="1"/>
                <w:bCs w:val="1"/>
                <w:color w:val="auto"/>
              </w:rPr>
              <w:t>Brooklyn, New York 11201</w:t>
            </w: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4420" w:type="dxa"/>
            <w:vAlign w:val="bottom"/>
            <w:tcBorders>
              <w:bottom w:val="single" w:sz="8" w:color="auto"/>
            </w:tcBorders>
            <w:vMerge w:val="continue"/>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420" w:type="dxa"/>
            <w:vAlign w:val="bottom"/>
          </w:tcPr>
          <w:p>
            <w:pPr>
              <w:jc w:val="center"/>
              <w:ind w:left="1109"/>
              <w:spacing w:after="0"/>
              <w:rPr>
                <w:sz w:val="20"/>
                <w:szCs w:val="20"/>
                <w:color w:val="auto"/>
              </w:rPr>
            </w:pPr>
            <w:r>
              <w:rPr>
                <w:rFonts w:ascii="Arial" w:cs="Arial" w:eastAsia="Arial" w:hAnsi="Arial"/>
                <w:sz w:val="14"/>
                <w:szCs w:val="14"/>
                <w:color w:val="auto"/>
              </w:rPr>
              <w:t>(Address of Principal Executive Offices)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40" w:type="dxa"/>
            <w:vAlign w:val="bottom"/>
          </w:tcPr>
          <w:p>
            <w:pPr>
              <w:jc w:val="center"/>
              <w:ind w:right="2129"/>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408"/>
        </w:trPr>
        <w:tc>
          <w:tcPr>
            <w:tcW w:w="7860" w:type="dxa"/>
            <w:vAlign w:val="bottom"/>
            <w:gridSpan w:val="5"/>
          </w:tcPr>
          <w:p>
            <w:pPr>
              <w:jc w:val="center"/>
              <w:ind w:left="336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524-6860</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420" w:type="dxa"/>
            <w:vAlign w:val="bottom"/>
          </w:tcPr>
          <w:p>
            <w:pPr>
              <w:spacing w:after="0"/>
              <w:rPr>
                <w:sz w:val="16"/>
                <w:szCs w:val="16"/>
                <w:color w:val="auto"/>
              </w:rPr>
            </w:pPr>
          </w:p>
        </w:tc>
        <w:tc>
          <w:tcPr>
            <w:tcW w:w="25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____________________________</w:t>
            </w:r>
          </w:p>
        </w:tc>
        <w:tc>
          <w:tcPr>
            <w:tcW w:w="9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44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4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spacing w:after="0"/>
              <w:rPr>
                <w:sz w:val="14"/>
                <w:szCs w:val="14"/>
                <w:color w:val="auto"/>
              </w:rPr>
            </w:pPr>
          </w:p>
        </w:tc>
        <w:tc>
          <w:tcPr>
            <w:tcW w:w="43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Borders>
              <w:left w:val="single" w:sz="8" w:color="auto"/>
              <w:bottom w:val="single" w:sz="8" w:color="auto"/>
              <w:right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25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9"/>
              </w:rPr>
              <w:t>Trading Symbol(s)</w:t>
            </w:r>
          </w:p>
        </w:tc>
        <w:tc>
          <w:tcPr>
            <w:tcW w:w="43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1"/>
        </w:trPr>
        <w:tc>
          <w:tcPr>
            <w:tcW w:w="4420" w:type="dxa"/>
            <w:vAlign w:val="bottom"/>
            <w:tcBorders>
              <w:left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4"/>
                <w:szCs w:val="14"/>
                <w:color w:val="auto"/>
              </w:rPr>
              <w:t>Class A common stock, par value $0.001 per share</w:t>
            </w:r>
          </w:p>
        </w:tc>
        <w:tc>
          <w:tcPr>
            <w:tcW w:w="25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w w:val="99"/>
              </w:rPr>
              <w:t>RENT</w:t>
            </w:r>
          </w:p>
        </w:tc>
        <w:tc>
          <w:tcPr>
            <w:tcW w:w="940" w:type="dxa"/>
            <w:vAlign w:val="bottom"/>
            <w:tcBorders>
              <w:bottom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jc w:val="center"/>
              <w:ind w:right="909"/>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374"/>
        </w:trPr>
        <w:tc>
          <w:tcPr>
            <w:tcW w:w="4420" w:type="dxa"/>
            <w:vAlign w:val="bottom"/>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860" w:type="dxa"/>
            <w:vAlign w:val="bottom"/>
            <w:gridSpan w:val="5"/>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44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361"/>
        </w:trPr>
        <w:tc>
          <w:tcPr>
            <w:tcW w:w="7860" w:type="dxa"/>
            <w:vAlign w:val="bottom"/>
            <w:gridSpan w:val="5"/>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440" w:type="dxa"/>
            <w:vAlign w:val="bottom"/>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814"/>
        </w:trPr>
        <w:tc>
          <w:tcPr>
            <w:tcW w:w="4420" w:type="dxa"/>
            <w:vAlign w:val="bottom"/>
          </w:tcPr>
          <w:p>
            <w:pPr>
              <w:spacing w:after="0"/>
              <w:rPr>
                <w:sz w:val="24"/>
                <w:szCs w:val="24"/>
                <w:color w:val="auto"/>
              </w:rPr>
            </w:pPr>
          </w:p>
        </w:tc>
        <w:tc>
          <w:tcPr>
            <w:tcW w:w="2500" w:type="dxa"/>
            <w:vAlign w:val="bottom"/>
            <w:gridSpan w:val="3"/>
          </w:tcPr>
          <w:p>
            <w:pPr>
              <w:jc w:val="right"/>
              <w:ind w:right="1240"/>
              <w:spacing w:after="0"/>
              <w:rPr>
                <w:sz w:val="20"/>
                <w:szCs w:val="20"/>
                <w:color w:val="auto"/>
              </w:rPr>
            </w:pPr>
            <w:r>
              <w:rPr>
                <w:rFonts w:ascii="Arial" w:cs="Arial" w:eastAsia="Arial" w:hAnsi="Arial"/>
                <w:sz w:val="14"/>
                <w:szCs w:val="14"/>
                <w:color w:val="auto"/>
              </w:rPr>
              <w:t>4</w:t>
            </w:r>
          </w:p>
        </w:tc>
        <w:tc>
          <w:tcPr>
            <w:tcW w:w="9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44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4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177" w:right="299" w:bottom="1440" w:gutter="0" w:footer="0" w:header="0"/>
        </w:sectPr>
      </w:pPr>
    </w:p>
    <w:bookmarkStart w:id="1" w:name="page2"/>
    <w:bookmarkEnd w:id="1"/>
    <w:p>
      <w:pPr>
        <w:ind w:right="180"/>
        <w:spacing w:after="0" w:line="18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8" w:lineRule="exact"/>
        <w:rPr>
          <w:sz w:val="20"/>
          <w:szCs w:val="20"/>
          <w:color w:val="auto"/>
        </w:rPr>
      </w:pPr>
    </w:p>
    <w:p>
      <w:pPr>
        <w:ind w:right="80"/>
        <w:spacing w:after="0" w:line="18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80"/>
          </w:cols>
          <w:pgMar w:left="300" w:top="761" w:right="319" w:bottom="1440" w:gutter="0" w:footer="0" w:header="0"/>
        </w:sectPr>
      </w:pPr>
    </w:p>
    <w:p>
      <w:pPr>
        <w:spacing w:after="0" w:line="1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25" w:lineRule="exact"/>
        <w:rPr>
          <w:sz w:val="20"/>
          <w:szCs w:val="20"/>
          <w:color w:val="auto"/>
        </w:rPr>
      </w:pPr>
    </w:p>
    <w:p>
      <w:pPr>
        <w:sectPr>
          <w:pgSz w:w="11900" w:h="16838" w:orient="portrait"/>
          <w:cols w:equalWidth="0" w:num="2">
            <w:col w:w="7100" w:space="720"/>
            <w:col w:w="3460"/>
          </w:cols>
          <w:pgMar w:left="300" w:top="761"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67" w:lineRule="exact"/>
        <w:rPr>
          <w:sz w:val="20"/>
          <w:szCs w:val="20"/>
          <w:color w:val="auto"/>
        </w:rPr>
      </w:pPr>
    </w:p>
    <w:p>
      <w:pPr>
        <w:sectPr>
          <w:pgSz w:w="11900" w:h="16838" w:orient="portrait"/>
          <w:cols w:equalWidth="0" w:num="2">
            <w:col w:w="10180" w:space="720"/>
            <w:col w:w="380"/>
          </w:cols>
          <w:pgMar w:left="300" w:top="761" w:right="31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5" w:lineRule="exact"/>
        <w:rPr>
          <w:sz w:val="20"/>
          <w:szCs w:val="20"/>
          <w:color w:val="auto"/>
        </w:rPr>
      </w:pPr>
    </w:p>
    <w:p>
      <w:pPr>
        <w:sectPr>
          <w:pgSz w:w="11900" w:h="16838" w:orient="portrait"/>
          <w:cols w:equalWidth="0" w:num="2">
            <w:col w:w="7100" w:space="720"/>
            <w:col w:w="3460"/>
          </w:cols>
          <w:pgMar w:left="300" w:top="761"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67" w:lineRule="exact"/>
        <w:rPr>
          <w:sz w:val="20"/>
          <w:szCs w:val="20"/>
          <w:color w:val="auto"/>
        </w:rPr>
      </w:pPr>
    </w:p>
    <w:p>
      <w:pPr>
        <w:sectPr>
          <w:pgSz w:w="11900" w:h="16838" w:orient="portrait"/>
          <w:cols w:equalWidth="0" w:num="2">
            <w:col w:w="10180" w:space="720"/>
            <w:col w:w="380"/>
          </w:cols>
          <w:pgMar w:left="300" w:top="761" w:right="319" w:bottom="1440" w:gutter="0" w:footer="0" w:header="0"/>
          <w:type w:val="continuous"/>
        </w:sectPr>
      </w:pPr>
    </w:p>
    <w:p>
      <w:pPr>
        <w:ind w:left="7820"/>
        <w:spacing w:after="0"/>
        <w:rPr>
          <w:sz w:val="20"/>
          <w:szCs w:val="20"/>
          <w:color w:val="auto"/>
        </w:rPr>
      </w:pPr>
      <w:r>
        <w:rPr>
          <w:rFonts w:ascii="Arial" w:cs="Arial" w:eastAsia="Arial" w:hAnsi="Arial"/>
          <w:sz w:val="14"/>
          <w:szCs w:val="14"/>
          <w:color w:val="auto"/>
        </w:rPr>
        <w:t>Emerging growth company</w:t>
      </w:r>
    </w:p>
    <w:p>
      <w:pPr>
        <w:spacing w:after="0" w:line="4" w:lineRule="exact"/>
        <w:rPr>
          <w:sz w:val="20"/>
          <w:szCs w:val="20"/>
          <w:color w:val="auto"/>
        </w:rPr>
      </w:pPr>
    </w:p>
    <w:p>
      <w:pPr>
        <w:ind w:left="10900"/>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1">
            <w:col w:w="11280"/>
          </w:cols>
          <w:pgMar w:left="300" w:top="761" w:right="319" w:bottom="1440" w:gutter="0" w:footer="0" w:header="0"/>
          <w:type w:val="continuous"/>
        </w:sectPr>
      </w:pPr>
    </w:p>
    <w:p>
      <w:pPr>
        <w:spacing w:after="0" w:line="289" w:lineRule="exact"/>
        <w:rPr>
          <w:sz w:val="20"/>
          <w:szCs w:val="20"/>
          <w:color w:val="auto"/>
        </w:rPr>
      </w:pPr>
    </w:p>
    <w:p>
      <w:pPr>
        <w:ind w:right="540"/>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8" w:lineRule="exact"/>
        <w:rPr>
          <w:sz w:val="20"/>
          <w:szCs w:val="20"/>
          <w:color w:val="auto"/>
        </w:rPr>
      </w:pPr>
    </w:p>
    <w:p>
      <w:pPr>
        <w:ind w:right="4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26" w:lineRule="exact"/>
        <w:rPr>
          <w:sz w:val="20"/>
          <w:szCs w:val="20"/>
          <w:color w:val="auto"/>
        </w:rPr>
      </w:pPr>
    </w:p>
    <w:p>
      <w:pPr>
        <w:spacing w:after="0" w:line="176" w:lineRule="exact"/>
        <w:tabs>
          <w:tab w:leader="none" w:pos="67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4"/>
          <w:szCs w:val="14"/>
          <w:color w:val="auto"/>
        </w:rPr>
        <w:t>No</w:t>
      </w:r>
      <w:r>
        <w:rPr>
          <w:rFonts w:ascii="MS PGothic" w:cs="MS PGothic" w:eastAsia="MS PGothic" w:hAnsi="MS PGothic"/>
          <w:sz w:val="17"/>
          <w:szCs w:val="17"/>
          <w:color w:val="auto"/>
        </w:rPr>
        <w:t xml:space="preserve"> ☒</w:t>
      </w:r>
    </w:p>
    <w:p>
      <w:pPr>
        <w:spacing w:after="0" w:line="198"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July 31, 2022 (the last business day of the registrant’s most recently completed second fiscal quarter), was approximately $204.3 million.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outstanding 63,390,727 shares of Class A common stock and 3,078,421 shares of Class B common stock as of April 7, 2023.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200"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no later than 120 days after the end of the registrant’s fiscal year ended January 31, 2023,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20" w:type="dxa"/>
            <w:vAlign w:val="bottom"/>
            <w:gridSpan w:val="7"/>
          </w:tcPr>
          <w:p>
            <w:pPr>
              <w:ind w:left="320"/>
              <w:spacing w:after="0"/>
              <w:rPr>
                <w:sz w:val="20"/>
                <w:szCs w:val="20"/>
                <w:color w:val="auto"/>
              </w:rPr>
            </w:pPr>
            <w:r>
              <w:rPr>
                <w:rFonts w:ascii="Arial" w:cs="Arial" w:eastAsia="Arial" w:hAnsi="Arial"/>
                <w:sz w:val="14"/>
                <w:szCs w:val="14"/>
                <w:b w:val="1"/>
                <w:bCs w:val="1"/>
                <w:color w:val="auto"/>
              </w:rPr>
              <w:t>Table of Contents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0000FF"/>
            </w:tcBorders>
            <w:shd w:val="clear" w:color="auto" w:fill="CCEEFF"/>
          </w:tcPr>
          <w:p>
            <w:pPr>
              <w:spacing w:after="0" w:line="149" w:lineRule="exact"/>
              <w:rPr>
                <w:sz w:val="20"/>
                <w:szCs w:val="20"/>
                <w:color w:val="auto"/>
              </w:rPr>
            </w:pPr>
            <w:r>
              <w:rPr>
                <w:rFonts w:ascii="Arial" w:cs="Arial" w:eastAsia="Arial" w:hAnsi="Arial"/>
                <w:sz w:val="14"/>
                <w:szCs w:val="14"/>
                <w:color w:val="0000FF"/>
                <w:w w:val="93"/>
              </w:rPr>
              <w:t>Item 1.</w:t>
            </w:r>
          </w:p>
        </w:tc>
        <w:tc>
          <w:tcPr>
            <w:tcW w:w="580" w:type="dxa"/>
            <w:vAlign w:val="bottom"/>
            <w:tcBorders>
              <w:left w:val="single" w:sz="8" w:color="CCEEFF"/>
              <w:bottom w:val="single" w:sz="8" w:color="CCEEFF"/>
            </w:tcBorders>
            <w:gridSpan w:val="2"/>
            <w:shd w:val="clear" w:color="auto" w:fill="CCEEFF"/>
          </w:tcPr>
          <w:p>
            <w:pPr>
              <w:spacing w:after="0"/>
              <w:rPr>
                <w:sz w:val="13"/>
                <w:szCs w:val="13"/>
                <w:color w:val="auto"/>
              </w:rPr>
            </w:pPr>
          </w:p>
        </w:tc>
        <w:tc>
          <w:tcPr>
            <w:tcW w:w="640" w:type="dxa"/>
            <w:vAlign w:val="bottom"/>
            <w:tcBorders>
              <w:bottom w:val="single" w:sz="8" w:color="0000FF"/>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0000FF"/>
              </w:rPr>
              <w:t>Business</w:t>
            </w:r>
          </w:p>
        </w:tc>
        <w:tc>
          <w:tcPr>
            <w:tcW w:w="8780" w:type="dxa"/>
            <w:vAlign w:val="bottom"/>
            <w:tcBorders>
              <w:bottom w:val="single" w:sz="8" w:color="CCEEFF"/>
            </w:tcBorders>
            <w:gridSpan w:val="18"/>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1A.</w:t>
            </w:r>
          </w:p>
        </w:tc>
        <w:tc>
          <w:tcPr>
            <w:tcW w:w="9420" w:type="dxa"/>
            <w:vAlign w:val="bottom"/>
            <w:gridSpan w:val="19"/>
          </w:tcPr>
          <w:p>
            <w:pPr>
              <w:spacing w:after="0" w:line="149" w:lineRule="exact"/>
              <w:rPr>
                <w:sz w:val="20"/>
                <w:szCs w:val="20"/>
                <w:color w:val="auto"/>
              </w:rPr>
            </w:pPr>
            <w:r>
              <w:rPr>
                <w:rFonts w:ascii="Arial" w:cs="Arial" w:eastAsia="Arial" w:hAnsi="Arial"/>
                <w:sz w:val="14"/>
                <w:szCs w:val="14"/>
                <w:color w:val="0000FF"/>
              </w:rPr>
              <w:t>Risk Factors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0000FF"/>
              </w:rPr>
              <w:t>Item 1B.</w:t>
            </w:r>
          </w:p>
        </w:tc>
        <w:tc>
          <w:tcPr>
            <w:tcW w:w="9420" w:type="dxa"/>
            <w:vAlign w:val="bottom"/>
            <w:gridSpan w:val="19"/>
            <w:shd w:val="clear" w:color="auto" w:fill="CCEEFF"/>
          </w:tcPr>
          <w:p>
            <w:pPr>
              <w:spacing w:after="0" w:line="155" w:lineRule="exact"/>
              <w:rPr>
                <w:sz w:val="20"/>
                <w:szCs w:val="20"/>
                <w:color w:val="auto"/>
              </w:rPr>
            </w:pPr>
            <w:r>
              <w:rPr>
                <w:rFonts w:ascii="Arial" w:cs="Arial" w:eastAsia="Arial" w:hAnsi="Arial"/>
                <w:sz w:val="14"/>
                <w:szCs w:val="14"/>
                <w:color w:val="0000FF"/>
              </w:rPr>
              <w:t>Unresolved Staff Comments</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440" w:type="dxa"/>
            <w:vAlign w:val="bottom"/>
            <w:tcBorders>
              <w:top w:val="single" w:sz="8" w:color="0000FF"/>
            </w:tcBorders>
          </w:tcPr>
          <w:p>
            <w:pPr>
              <w:spacing w:after="0" w:line="149" w:lineRule="exact"/>
              <w:rPr>
                <w:sz w:val="20"/>
                <w:szCs w:val="20"/>
                <w:color w:val="auto"/>
              </w:rPr>
            </w:pPr>
            <w:r>
              <w:rPr>
                <w:rFonts w:ascii="Arial" w:cs="Arial" w:eastAsia="Arial" w:hAnsi="Arial"/>
                <w:sz w:val="14"/>
                <w:szCs w:val="14"/>
                <w:color w:val="0000FF"/>
                <w:w w:val="93"/>
              </w:rPr>
              <w:t>Item 2.</w:t>
            </w:r>
          </w:p>
        </w:tc>
        <w:tc>
          <w:tcPr>
            <w:tcW w:w="80" w:type="dxa"/>
            <w:vAlign w:val="bottom"/>
            <w:tcBorders>
              <w:top w:val="single" w:sz="8" w:color="0000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760" w:type="dxa"/>
            <w:vAlign w:val="bottom"/>
            <w:tcBorders>
              <w:top w:val="single" w:sz="8" w:color="0000FF"/>
            </w:tcBorders>
            <w:gridSpan w:val="7"/>
          </w:tcPr>
          <w:p>
            <w:pPr>
              <w:spacing w:after="0" w:line="149" w:lineRule="exact"/>
              <w:rPr>
                <w:sz w:val="20"/>
                <w:szCs w:val="20"/>
                <w:color w:val="auto"/>
              </w:rPr>
            </w:pPr>
            <w:r>
              <w:rPr>
                <w:rFonts w:ascii="Arial" w:cs="Arial" w:eastAsia="Arial" w:hAnsi="Arial"/>
                <w:sz w:val="14"/>
                <w:szCs w:val="14"/>
                <w:color w:val="0000FF"/>
              </w:rPr>
              <w:t>Properties</w:t>
            </w:r>
          </w:p>
        </w:tc>
        <w:tc>
          <w:tcPr>
            <w:tcW w:w="7660" w:type="dxa"/>
            <w:vAlign w:val="bottom"/>
            <w:tcBorders>
              <w:top w:val="single" w:sz="8" w:color="CCEEFF"/>
            </w:tcBorders>
            <w:gridSpan w:val="12"/>
          </w:tcPr>
          <w:p>
            <w:pPr>
              <w:spacing w:after="0"/>
              <w:rPr>
                <w:sz w:val="12"/>
                <w:szCs w:val="12"/>
                <w:color w:val="auto"/>
              </w:rPr>
            </w:pPr>
          </w:p>
        </w:tc>
        <w:tc>
          <w:tcPr>
            <w:tcW w:w="820" w:type="dxa"/>
            <w:vAlign w:val="bottom"/>
            <w:tcBorders>
              <w:top w:val="single" w:sz="8" w:color="CCEEFF"/>
            </w:tcBorders>
          </w:tcPr>
          <w:p>
            <w:pPr>
              <w:jc w:val="right"/>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line="155" w:lineRule="exact"/>
              <w:rPr>
                <w:sz w:val="20"/>
                <w:szCs w:val="20"/>
                <w:color w:val="auto"/>
              </w:rPr>
            </w:pPr>
            <w:r>
              <w:rPr>
                <w:rFonts w:ascii="Arial" w:cs="Arial" w:eastAsia="Arial" w:hAnsi="Arial"/>
                <w:sz w:val="14"/>
                <w:szCs w:val="14"/>
                <w:color w:val="0000FF"/>
                <w:w w:val="93"/>
              </w:rPr>
              <w:t>Item 3.</w:t>
            </w:r>
          </w:p>
        </w:tc>
        <w:tc>
          <w:tcPr>
            <w:tcW w:w="580" w:type="dxa"/>
            <w:vAlign w:val="bottom"/>
            <w:tcBorders>
              <w:left w:val="single" w:sz="8" w:color="CCEEFF"/>
            </w:tcBorders>
            <w:gridSpan w:val="2"/>
            <w:shd w:val="clear" w:color="auto" w:fill="CCEEFF"/>
          </w:tcPr>
          <w:p>
            <w:pPr>
              <w:spacing w:after="0"/>
              <w:rPr>
                <w:sz w:val="13"/>
                <w:szCs w:val="13"/>
                <w:color w:val="auto"/>
              </w:rPr>
            </w:pPr>
          </w:p>
        </w:tc>
        <w:tc>
          <w:tcPr>
            <w:tcW w:w="9420" w:type="dxa"/>
            <w:vAlign w:val="bottom"/>
            <w:gridSpan w:val="19"/>
            <w:shd w:val="clear" w:color="auto" w:fill="CCEEFF"/>
          </w:tcPr>
          <w:p>
            <w:pPr>
              <w:spacing w:after="0" w:line="155" w:lineRule="exact"/>
              <w:rPr>
                <w:sz w:val="20"/>
                <w:szCs w:val="20"/>
                <w:color w:val="auto"/>
              </w:rPr>
            </w:pPr>
            <w:r>
              <w:rPr>
                <w:rFonts w:ascii="Arial" w:cs="Arial" w:eastAsia="Arial" w:hAnsi="Arial"/>
                <w:sz w:val="14"/>
                <w:szCs w:val="14"/>
                <w:color w:val="0000FF"/>
              </w:rPr>
              <w:t>Legal Proceedings</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00" w:type="dxa"/>
            <w:vAlign w:val="bottom"/>
            <w:tcBorders>
              <w:left w:val="single" w:sz="8" w:color="CCEEFF"/>
            </w:tcBorders>
            <w:shd w:val="clear" w:color="auto" w:fill="CCEE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Pr>
          <w:p>
            <w:pPr>
              <w:spacing w:after="0" w:line="149" w:lineRule="exact"/>
              <w:rPr>
                <w:sz w:val="20"/>
                <w:szCs w:val="20"/>
                <w:color w:val="auto"/>
              </w:rPr>
            </w:pPr>
            <w:r>
              <w:rPr>
                <w:rFonts w:ascii="Arial" w:cs="Arial" w:eastAsia="Arial" w:hAnsi="Arial"/>
                <w:sz w:val="14"/>
                <w:szCs w:val="14"/>
                <w:color w:val="0000FF"/>
                <w:w w:val="93"/>
              </w:rPr>
              <w:t>Item 4.</w:t>
            </w:r>
          </w:p>
        </w:tc>
        <w:tc>
          <w:tcPr>
            <w:tcW w:w="580" w:type="dxa"/>
            <w:vAlign w:val="bottom"/>
            <w:gridSpan w:val="2"/>
          </w:tcPr>
          <w:p>
            <w:pPr>
              <w:spacing w:after="0"/>
              <w:rPr>
                <w:sz w:val="13"/>
                <w:szCs w:val="13"/>
                <w:color w:val="auto"/>
              </w:rPr>
            </w:pPr>
          </w:p>
        </w:tc>
        <w:tc>
          <w:tcPr>
            <w:tcW w:w="9420" w:type="dxa"/>
            <w:vAlign w:val="bottom"/>
            <w:gridSpan w:val="19"/>
          </w:tcPr>
          <w:p>
            <w:pPr>
              <w:spacing w:after="0" w:line="149" w:lineRule="exact"/>
              <w:rPr>
                <w:sz w:val="20"/>
                <w:szCs w:val="20"/>
                <w:color w:val="auto"/>
              </w:rPr>
            </w:pPr>
            <w:r>
              <w:rPr>
                <w:rFonts w:ascii="Arial" w:cs="Arial" w:eastAsia="Arial" w:hAnsi="Arial"/>
                <w:sz w:val="14"/>
                <w:szCs w:val="14"/>
                <w:color w:val="0000FF"/>
              </w:rPr>
              <w:t>Mine Safety Disclosures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640" w:type="dxa"/>
            <w:vAlign w:val="bottom"/>
            <w:tcBorders>
              <w:top w:val="single" w:sz="8" w:color="0000FF"/>
              <w:right w:val="single" w:sz="8" w:color="CCEE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left w:val="single" w:sz="8" w:color="CCEEFF"/>
            </w:tcBorders>
            <w:shd w:val="clear" w:color="auto" w:fill="CCEEFF"/>
          </w:tcPr>
          <w:p>
            <w:pPr>
              <w:spacing w:after="0"/>
              <w:rPr>
                <w:sz w:val="18"/>
                <w:szCs w:val="18"/>
                <w:color w:val="auto"/>
              </w:rPr>
            </w:pPr>
          </w:p>
        </w:tc>
        <w:tc>
          <w:tcPr>
            <w:tcW w:w="260" w:type="dxa"/>
            <w:vAlign w:val="bottom"/>
            <w:tcBorders>
              <w:top w:val="single" w:sz="8" w:color="0000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Part II</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0000FF"/>
                <w:w w:val="93"/>
              </w:rPr>
              <w:t>Item 5.</w:t>
            </w:r>
          </w:p>
        </w:tc>
        <w:tc>
          <w:tcPr>
            <w:tcW w:w="580" w:type="dxa"/>
            <w:vAlign w:val="bottom"/>
            <w:tcBorders>
              <w:left w:val="single" w:sz="8" w:color="CCEEFF"/>
            </w:tcBorders>
            <w:gridSpan w:val="2"/>
            <w:shd w:val="clear" w:color="auto" w:fill="CCEEFF"/>
          </w:tcPr>
          <w:p>
            <w:pPr>
              <w:spacing w:after="0"/>
              <w:rPr>
                <w:sz w:val="13"/>
                <w:szCs w:val="13"/>
                <w:color w:val="auto"/>
              </w:rPr>
            </w:pPr>
          </w:p>
        </w:tc>
        <w:tc>
          <w:tcPr>
            <w:tcW w:w="9420" w:type="dxa"/>
            <w:vAlign w:val="bottom"/>
            <w:gridSpan w:val="19"/>
            <w:shd w:val="clear" w:color="auto" w:fill="CCEEFF"/>
          </w:tcPr>
          <w:p>
            <w:pPr>
              <w:spacing w:after="0" w:line="149" w:lineRule="exact"/>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440" w:type="dxa"/>
            <w:vAlign w:val="bottom"/>
            <w:tcBorders>
              <w:top w:val="single" w:sz="8" w:color="0000FF"/>
              <w:bottom w:val="single" w:sz="8" w:color="0000FF"/>
            </w:tcBorders>
          </w:tcPr>
          <w:p>
            <w:pPr>
              <w:spacing w:after="0" w:line="149" w:lineRule="exact"/>
              <w:rPr>
                <w:sz w:val="20"/>
                <w:szCs w:val="20"/>
                <w:color w:val="auto"/>
              </w:rPr>
            </w:pPr>
            <w:r>
              <w:rPr>
                <w:rFonts w:ascii="Arial" w:cs="Arial" w:eastAsia="Arial" w:hAnsi="Arial"/>
                <w:sz w:val="14"/>
                <w:szCs w:val="14"/>
                <w:color w:val="0000FF"/>
                <w:w w:val="93"/>
              </w:rPr>
              <w:t>Item 6.</w:t>
            </w:r>
          </w:p>
        </w:tc>
        <w:tc>
          <w:tcPr>
            <w:tcW w:w="580" w:type="dxa"/>
            <w:vAlign w:val="bottom"/>
            <w:tcBorders>
              <w:top w:val="single" w:sz="8" w:color="CCEEFF"/>
            </w:tcBorders>
            <w:gridSpan w:val="2"/>
          </w:tcPr>
          <w:p>
            <w:pPr>
              <w:spacing w:after="0"/>
              <w:rPr>
                <w:sz w:val="13"/>
                <w:szCs w:val="13"/>
                <w:color w:val="auto"/>
              </w:rPr>
            </w:pPr>
          </w:p>
        </w:tc>
        <w:tc>
          <w:tcPr>
            <w:tcW w:w="7000" w:type="dxa"/>
            <w:vAlign w:val="bottom"/>
            <w:tcBorders>
              <w:top w:val="single" w:sz="8" w:color="0000FF"/>
            </w:tcBorders>
            <w:gridSpan w:val="18"/>
          </w:tcPr>
          <w:p>
            <w:pPr>
              <w:spacing w:after="0" w:line="149" w:lineRule="exact"/>
              <w:rPr>
                <w:sz w:val="20"/>
                <w:szCs w:val="20"/>
                <w:color w:val="auto"/>
              </w:rPr>
            </w:pPr>
            <w:r>
              <w:rPr>
                <w:rFonts w:ascii="Arial" w:cs="Arial" w:eastAsia="Arial" w:hAnsi="Arial"/>
                <w:sz w:val="14"/>
                <w:szCs w:val="14"/>
                <w:color w:val="auto"/>
              </w:rPr>
              <w:t>[Reserved]</w:t>
            </w:r>
          </w:p>
        </w:tc>
        <w:tc>
          <w:tcPr>
            <w:tcW w:w="242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jc w:val="right"/>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3"/>
              </w:rPr>
              <w:t>Item 7.</w:t>
            </w:r>
          </w:p>
        </w:tc>
        <w:tc>
          <w:tcPr>
            <w:tcW w:w="580" w:type="dxa"/>
            <w:vAlign w:val="bottom"/>
            <w:tcBorders>
              <w:left w:val="single" w:sz="8" w:color="CCEEFF"/>
              <w:bottom w:val="single" w:sz="8" w:color="CCEEFF"/>
            </w:tcBorders>
            <w:gridSpan w:val="2"/>
            <w:shd w:val="clear" w:color="auto" w:fill="CCEEFF"/>
          </w:tcPr>
          <w:p>
            <w:pPr>
              <w:spacing w:after="0"/>
              <w:rPr>
                <w:sz w:val="14"/>
                <w:szCs w:val="14"/>
                <w:color w:val="auto"/>
              </w:rPr>
            </w:pPr>
          </w:p>
        </w:tc>
        <w:tc>
          <w:tcPr>
            <w:tcW w:w="5560" w:type="dxa"/>
            <w:vAlign w:val="bottom"/>
            <w:tcBorders>
              <w:bottom w:val="single" w:sz="8" w:color="0000FF"/>
            </w:tcBorders>
            <w:gridSpan w:val="15"/>
            <w:shd w:val="clear" w:color="auto" w:fill="CCEEFF"/>
          </w:tcPr>
          <w:p>
            <w:pPr>
              <w:spacing w:after="0" w:line="155" w:lineRule="exact"/>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3860" w:type="dxa"/>
            <w:vAlign w:val="bottom"/>
            <w:tcBorders>
              <w:bottom w:val="single" w:sz="8" w:color="CCEEFF"/>
            </w:tcBorders>
            <w:gridSpan w:val="4"/>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7A.</w:t>
            </w:r>
          </w:p>
        </w:tc>
        <w:tc>
          <w:tcPr>
            <w:tcW w:w="9420" w:type="dxa"/>
            <w:vAlign w:val="bottom"/>
            <w:gridSpan w:val="19"/>
          </w:tcPr>
          <w:p>
            <w:pPr>
              <w:spacing w:after="0" w:line="149" w:lineRule="exact"/>
              <w:rPr>
                <w:sz w:val="20"/>
                <w:szCs w:val="20"/>
                <w:color w:val="auto"/>
              </w:rPr>
            </w:pPr>
            <w:r>
              <w:rPr>
                <w:rFonts w:ascii="Arial" w:cs="Arial" w:eastAsia="Arial" w:hAnsi="Arial"/>
                <w:sz w:val="14"/>
                <w:szCs w:val="14"/>
                <w:color w:val="0000FF"/>
              </w:rPr>
              <w:t>Quantitative and Qualitative Disclosures About Market Risk</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3"/>
              </w:rPr>
              <w:t>Item 8.</w:t>
            </w:r>
          </w:p>
        </w:tc>
        <w:tc>
          <w:tcPr>
            <w:tcW w:w="80" w:type="dxa"/>
            <w:vAlign w:val="bottom"/>
            <w:tcBorders>
              <w:top w:val="single" w:sz="8" w:color="0000FF"/>
              <w:left w:val="single" w:sz="8" w:color="CCEEFF"/>
            </w:tcBorders>
            <w:shd w:val="clear" w:color="auto" w:fill="CCEEFF"/>
          </w:tcPr>
          <w:p>
            <w:pPr>
              <w:spacing w:after="0"/>
              <w:rPr>
                <w:sz w:val="13"/>
                <w:szCs w:val="13"/>
                <w:color w:val="auto"/>
              </w:rPr>
            </w:pPr>
          </w:p>
        </w:tc>
        <w:tc>
          <w:tcPr>
            <w:tcW w:w="500" w:type="dxa"/>
            <w:vAlign w:val="bottom"/>
            <w:tcBorders>
              <w:left w:val="single" w:sz="8" w:color="CCEEFF"/>
            </w:tcBorders>
            <w:shd w:val="clear" w:color="auto" w:fill="CCEEFF"/>
          </w:tcPr>
          <w:p>
            <w:pPr>
              <w:spacing w:after="0"/>
              <w:rPr>
                <w:sz w:val="13"/>
                <w:szCs w:val="13"/>
                <w:color w:val="auto"/>
              </w:rPr>
            </w:pPr>
          </w:p>
        </w:tc>
        <w:tc>
          <w:tcPr>
            <w:tcW w:w="3700" w:type="dxa"/>
            <w:vAlign w:val="bottom"/>
            <w:tcBorders>
              <w:top w:val="single" w:sz="8" w:color="0000FF"/>
            </w:tcBorders>
            <w:gridSpan w:val="12"/>
            <w:shd w:val="clear" w:color="auto" w:fill="CCEEFF"/>
          </w:tcPr>
          <w:p>
            <w:pPr>
              <w:spacing w:after="0" w:line="155" w:lineRule="exact"/>
              <w:rPr>
                <w:sz w:val="20"/>
                <w:szCs w:val="20"/>
                <w:color w:val="auto"/>
              </w:rPr>
            </w:pPr>
            <w:r>
              <w:rPr>
                <w:rFonts w:ascii="Arial" w:cs="Arial" w:eastAsia="Arial" w:hAnsi="Arial"/>
                <w:sz w:val="14"/>
                <w:szCs w:val="14"/>
                <w:color w:val="0000FF"/>
              </w:rPr>
              <w:t>Financial Statements and Supplementary Data</w:t>
            </w:r>
          </w:p>
        </w:tc>
        <w:tc>
          <w:tcPr>
            <w:tcW w:w="5720" w:type="dxa"/>
            <w:vAlign w:val="bottom"/>
            <w:gridSpan w:val="7"/>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00" w:type="dxa"/>
            <w:vAlign w:val="bottom"/>
            <w:tcBorders>
              <w:left w:val="single" w:sz="8" w:color="CCEEFF"/>
            </w:tcBorders>
            <w:shd w:val="clear" w:color="auto" w:fill="CCEE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93"/>
              </w:rPr>
              <w:t>Item 9.</w:t>
            </w:r>
          </w:p>
        </w:tc>
        <w:tc>
          <w:tcPr>
            <w:tcW w:w="580" w:type="dxa"/>
            <w:vAlign w:val="bottom"/>
            <w:gridSpan w:val="2"/>
          </w:tcPr>
          <w:p>
            <w:pPr>
              <w:spacing w:after="0"/>
              <w:rPr>
                <w:sz w:val="13"/>
                <w:szCs w:val="13"/>
                <w:color w:val="auto"/>
              </w:rPr>
            </w:pPr>
          </w:p>
        </w:tc>
        <w:tc>
          <w:tcPr>
            <w:tcW w:w="5640" w:type="dxa"/>
            <w:vAlign w:val="bottom"/>
            <w:tcBorders>
              <w:bottom w:val="single" w:sz="8" w:color="0000FF"/>
            </w:tcBorders>
            <w:gridSpan w:val="16"/>
          </w:tcPr>
          <w:p>
            <w:pPr>
              <w:spacing w:after="0" w:line="149" w:lineRule="exact"/>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3780" w:type="dxa"/>
            <w:vAlign w:val="bottom"/>
            <w:gridSpan w:val="3"/>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0000FF"/>
              </w:rPr>
              <w:t>Item 9A.</w:t>
            </w:r>
          </w:p>
        </w:tc>
        <w:tc>
          <w:tcPr>
            <w:tcW w:w="9420" w:type="dxa"/>
            <w:vAlign w:val="bottom"/>
            <w:gridSpan w:val="19"/>
            <w:shd w:val="clear" w:color="auto" w:fill="CCEEFF"/>
          </w:tcPr>
          <w:p>
            <w:pPr>
              <w:spacing w:after="0" w:line="155" w:lineRule="exact"/>
              <w:rPr>
                <w:sz w:val="20"/>
                <w:szCs w:val="20"/>
                <w:color w:val="auto"/>
              </w:rPr>
            </w:pPr>
            <w:r>
              <w:rPr>
                <w:rFonts w:ascii="Arial" w:cs="Arial" w:eastAsia="Arial" w:hAnsi="Arial"/>
                <w:sz w:val="14"/>
                <w:szCs w:val="14"/>
                <w:color w:val="0000FF"/>
              </w:rPr>
              <w:t>Controls and Procedures</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Borders>
              <w:left w:val="single" w:sz="8" w:color="CCEEFF"/>
            </w:tcBorders>
            <w:shd w:val="clear" w:color="auto" w:fill="CCEE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9B.</w:t>
            </w:r>
          </w:p>
        </w:tc>
        <w:tc>
          <w:tcPr>
            <w:tcW w:w="9420" w:type="dxa"/>
            <w:vAlign w:val="bottom"/>
            <w:gridSpan w:val="19"/>
          </w:tcPr>
          <w:p>
            <w:pPr>
              <w:spacing w:after="0" w:line="149" w:lineRule="exact"/>
              <w:rPr>
                <w:sz w:val="20"/>
                <w:szCs w:val="20"/>
                <w:color w:val="auto"/>
              </w:rPr>
            </w:pPr>
            <w:r>
              <w:rPr>
                <w:rFonts w:ascii="Arial" w:cs="Arial" w:eastAsia="Arial" w:hAnsi="Arial"/>
                <w:sz w:val="14"/>
                <w:szCs w:val="14"/>
                <w:color w:val="0000FF"/>
              </w:rPr>
              <w:t>Other Information</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0000FF"/>
              </w:rPr>
              <w:t>Item 9C.</w:t>
            </w:r>
          </w:p>
        </w:tc>
        <w:tc>
          <w:tcPr>
            <w:tcW w:w="9420" w:type="dxa"/>
            <w:vAlign w:val="bottom"/>
            <w:gridSpan w:val="19"/>
            <w:shd w:val="clear" w:color="auto" w:fill="CCEEFF"/>
          </w:tcPr>
          <w:p>
            <w:pPr>
              <w:spacing w:after="0" w:line="155" w:lineRule="exact"/>
              <w:rPr>
                <w:sz w:val="20"/>
                <w:szCs w:val="20"/>
                <w:color w:val="auto"/>
              </w:rPr>
            </w:pPr>
            <w:r>
              <w:rPr>
                <w:rFonts w:ascii="Arial" w:cs="Arial" w:eastAsia="Arial" w:hAnsi="Arial"/>
                <w:sz w:val="14"/>
                <w:szCs w:val="14"/>
                <w:color w:val="0000FF"/>
              </w:rPr>
              <w:t>Disclosure Regarding Foreign Jurisdictions that Prevent Inspections</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Part III</w:t>
            </w:r>
          </w:p>
        </w:tc>
        <w:tc>
          <w:tcPr>
            <w:tcW w:w="64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10.</w:t>
            </w:r>
          </w:p>
        </w:tc>
        <w:tc>
          <w:tcPr>
            <w:tcW w:w="9420" w:type="dxa"/>
            <w:vAlign w:val="bottom"/>
            <w:gridSpan w:val="19"/>
          </w:tcPr>
          <w:p>
            <w:pPr>
              <w:spacing w:after="0" w:line="149" w:lineRule="exact"/>
              <w:rPr>
                <w:sz w:val="20"/>
                <w:szCs w:val="20"/>
                <w:color w:val="auto"/>
              </w:rPr>
            </w:pPr>
            <w:r>
              <w:rPr>
                <w:rFonts w:ascii="Arial" w:cs="Arial" w:eastAsia="Arial" w:hAnsi="Arial"/>
                <w:sz w:val="14"/>
                <w:szCs w:val="14"/>
                <w:color w:val="0000FF"/>
              </w:rPr>
              <w:t>Directors, Executive Officers, and Corporate Governance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78"/>
              </w:rPr>
              <w:t>Item 11.</w:t>
            </w:r>
          </w:p>
        </w:tc>
        <w:tc>
          <w:tcPr>
            <w:tcW w:w="580" w:type="dxa"/>
            <w:vAlign w:val="bottom"/>
            <w:tcBorders>
              <w:left w:val="single" w:sz="8" w:color="CCEEFF"/>
            </w:tcBorders>
            <w:gridSpan w:val="2"/>
            <w:shd w:val="clear" w:color="auto" w:fill="CCEEFF"/>
          </w:tcPr>
          <w:p>
            <w:pPr>
              <w:spacing w:after="0"/>
              <w:rPr>
                <w:sz w:val="13"/>
                <w:szCs w:val="13"/>
                <w:color w:val="auto"/>
              </w:rPr>
            </w:pPr>
          </w:p>
        </w:tc>
        <w:tc>
          <w:tcPr>
            <w:tcW w:w="3580" w:type="dxa"/>
            <w:vAlign w:val="bottom"/>
            <w:tcBorders>
              <w:top w:val="single" w:sz="8" w:color="0000FF"/>
            </w:tcBorders>
            <w:gridSpan w:val="11"/>
            <w:shd w:val="clear" w:color="auto" w:fill="CCEEFF"/>
          </w:tcPr>
          <w:p>
            <w:pPr>
              <w:spacing w:after="0" w:line="155" w:lineRule="exact"/>
              <w:rPr>
                <w:sz w:val="20"/>
                <w:szCs w:val="20"/>
                <w:color w:val="auto"/>
              </w:rPr>
            </w:pPr>
            <w:r>
              <w:rPr>
                <w:rFonts w:ascii="Arial" w:cs="Arial" w:eastAsia="Arial" w:hAnsi="Arial"/>
                <w:sz w:val="14"/>
                <w:szCs w:val="14"/>
                <w:color w:val="0000FF"/>
              </w:rPr>
              <w:t>Executive Compensation</w:t>
            </w:r>
          </w:p>
        </w:tc>
        <w:tc>
          <w:tcPr>
            <w:tcW w:w="5840" w:type="dxa"/>
            <w:vAlign w:val="bottom"/>
            <w:gridSpan w:val="8"/>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500" w:type="dxa"/>
            <w:vAlign w:val="bottom"/>
            <w:tcBorders>
              <w:left w:val="single" w:sz="8" w:color="CCEEFF"/>
            </w:tcBorders>
            <w:shd w:val="clear" w:color="auto" w:fill="CCEE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12.</w:t>
            </w:r>
          </w:p>
        </w:tc>
        <w:tc>
          <w:tcPr>
            <w:tcW w:w="9420" w:type="dxa"/>
            <w:vAlign w:val="bottom"/>
            <w:gridSpan w:val="19"/>
          </w:tcPr>
          <w:p>
            <w:pPr>
              <w:spacing w:after="0" w:line="149" w:lineRule="exact"/>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0000FF"/>
              </w:rPr>
              <w:t>Item 13.</w:t>
            </w:r>
          </w:p>
        </w:tc>
        <w:tc>
          <w:tcPr>
            <w:tcW w:w="9420" w:type="dxa"/>
            <w:vAlign w:val="bottom"/>
            <w:gridSpan w:val="19"/>
            <w:shd w:val="clear" w:color="auto" w:fill="CCEEFF"/>
          </w:tcPr>
          <w:p>
            <w:pPr>
              <w:spacing w:after="0" w:line="155" w:lineRule="exact"/>
              <w:rPr>
                <w:sz w:val="20"/>
                <w:szCs w:val="20"/>
                <w:color w:val="auto"/>
              </w:rPr>
            </w:pPr>
            <w:r>
              <w:rPr>
                <w:rFonts w:ascii="Arial" w:cs="Arial" w:eastAsia="Arial" w:hAnsi="Arial"/>
                <w:sz w:val="14"/>
                <w:szCs w:val="14"/>
                <w:color w:val="0000FF"/>
              </w:rPr>
              <w:t>Certain Relationships and Related Transactions and Director Independence</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500" w:type="dxa"/>
            <w:vAlign w:val="bottom"/>
            <w:tcBorders>
              <w:left w:val="single" w:sz="8" w:color="CCEEFF"/>
            </w:tcBorders>
            <w:shd w:val="clear" w:color="auto" w:fill="CCEE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14.</w:t>
            </w:r>
          </w:p>
        </w:tc>
        <w:tc>
          <w:tcPr>
            <w:tcW w:w="9420" w:type="dxa"/>
            <w:vAlign w:val="bottom"/>
            <w:gridSpan w:val="19"/>
          </w:tcPr>
          <w:p>
            <w:pPr>
              <w:spacing w:after="0" w:line="149" w:lineRule="exact"/>
              <w:rPr>
                <w:sz w:val="20"/>
                <w:szCs w:val="20"/>
                <w:color w:val="auto"/>
              </w:rPr>
            </w:pPr>
            <w:r>
              <w:rPr>
                <w:rFonts w:ascii="Arial" w:cs="Arial" w:eastAsia="Arial" w:hAnsi="Arial"/>
                <w:sz w:val="14"/>
                <w:szCs w:val="14"/>
                <w:color w:val="0000FF"/>
              </w:rPr>
              <w:t>Principal Accounting Fees and Services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640" w:type="dxa"/>
            <w:vAlign w:val="bottom"/>
            <w:tcBorders>
              <w:top w:val="single" w:sz="8" w:color="0000FF"/>
              <w:right w:val="single" w:sz="8" w:color="CCEE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left w:val="single" w:sz="8" w:color="CCEEFF"/>
            </w:tcBorders>
            <w:shd w:val="clear" w:color="auto" w:fill="CCEEFF"/>
          </w:tcPr>
          <w:p>
            <w:pPr>
              <w:spacing w:after="0"/>
              <w:rPr>
                <w:sz w:val="18"/>
                <w:szCs w:val="18"/>
                <w:color w:val="auto"/>
              </w:rPr>
            </w:pPr>
          </w:p>
        </w:tc>
        <w:tc>
          <w:tcPr>
            <w:tcW w:w="260" w:type="dxa"/>
            <w:vAlign w:val="bottom"/>
            <w:tcBorders>
              <w:top w:val="single" w:sz="8" w:color="0000FF"/>
              <w:right w:val="single" w:sz="8" w:color="CCEE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720" w:type="dxa"/>
            <w:vAlign w:val="bottom"/>
            <w:tcBorders>
              <w:top w:val="single" w:sz="8" w:color="0000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Part IV</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0000FF"/>
              </w:rPr>
              <w:t>Item 15.</w:t>
            </w:r>
          </w:p>
        </w:tc>
        <w:tc>
          <w:tcPr>
            <w:tcW w:w="9420" w:type="dxa"/>
            <w:vAlign w:val="bottom"/>
            <w:gridSpan w:val="19"/>
            <w:shd w:val="clear" w:color="auto" w:fill="CCEEFF"/>
          </w:tcPr>
          <w:p>
            <w:pPr>
              <w:spacing w:after="0" w:line="149" w:lineRule="exact"/>
              <w:rPr>
                <w:sz w:val="20"/>
                <w:szCs w:val="20"/>
                <w:color w:val="auto"/>
              </w:rPr>
            </w:pPr>
            <w:r>
              <w:rPr>
                <w:rFonts w:ascii="Arial" w:cs="Arial" w:eastAsia="Arial" w:hAnsi="Arial"/>
                <w:sz w:val="14"/>
                <w:szCs w:val="14"/>
                <w:color w:val="0000FF"/>
              </w:rPr>
              <w:t>Exhibits and Financial Statement Schedules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500" w:type="dxa"/>
            <w:vAlign w:val="bottom"/>
            <w:tcBorders>
              <w:left w:val="single" w:sz="8" w:color="CCEEFF"/>
            </w:tcBorders>
            <w:shd w:val="clear" w:color="auto" w:fill="CCEE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16.</w:t>
            </w:r>
          </w:p>
        </w:tc>
        <w:tc>
          <w:tcPr>
            <w:tcW w:w="9420" w:type="dxa"/>
            <w:vAlign w:val="bottom"/>
            <w:gridSpan w:val="19"/>
          </w:tcPr>
          <w:p>
            <w:pPr>
              <w:spacing w:after="0" w:line="149" w:lineRule="exact"/>
              <w:rPr>
                <w:sz w:val="20"/>
                <w:szCs w:val="20"/>
                <w:color w:val="auto"/>
              </w:rPr>
            </w:pPr>
            <w:r>
              <w:rPr>
                <w:rFonts w:ascii="Arial" w:cs="Arial" w:eastAsia="Arial" w:hAnsi="Arial"/>
                <w:sz w:val="14"/>
                <w:szCs w:val="14"/>
                <w:color w:val="0000FF"/>
              </w:rPr>
              <w:t>Form 10-K Summary</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left w:val="single" w:sz="8" w:color="CCEEFF"/>
              <w:bottom w:val="single" w:sz="8" w:color="CCEEFF"/>
            </w:tcBorders>
            <w:shd w:val="clear" w:color="auto" w:fill="CCEEFF"/>
          </w:tcPr>
          <w:p>
            <w:pPr>
              <w:spacing w:after="0"/>
              <w:rPr>
                <w:sz w:val="14"/>
                <w:szCs w:val="14"/>
                <w:color w:val="auto"/>
              </w:rPr>
            </w:pPr>
          </w:p>
        </w:tc>
        <w:tc>
          <w:tcPr>
            <w:tcW w:w="500" w:type="dxa"/>
            <w:vAlign w:val="bottom"/>
            <w:tcBorders>
              <w:left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0000FF"/>
              <w:bottom w:val="single" w:sz="8" w:color="0000FF"/>
            </w:tcBorders>
            <w:gridSpan w:val="2"/>
            <w:shd w:val="clear" w:color="auto" w:fill="CCEEFF"/>
          </w:tcPr>
          <w:p>
            <w:pPr>
              <w:spacing w:after="0" w:line="155" w:lineRule="exact"/>
              <w:rPr>
                <w:sz w:val="20"/>
                <w:szCs w:val="20"/>
                <w:color w:val="auto"/>
              </w:rPr>
            </w:pPr>
            <w:r>
              <w:rPr>
                <w:rFonts w:ascii="Arial" w:cs="Arial" w:eastAsia="Arial" w:hAnsi="Arial"/>
                <w:sz w:val="14"/>
                <w:szCs w:val="14"/>
                <w:color w:val="0000FF"/>
                <w:w w:val="98"/>
              </w:rPr>
              <w:t>Signatures</w:t>
            </w:r>
          </w:p>
        </w:tc>
        <w:tc>
          <w:tcPr>
            <w:tcW w:w="62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8120" w:type="dxa"/>
            <w:vAlign w:val="bottom"/>
            <w:tcBorders>
              <w:bottom w:val="single" w:sz="8" w:color="CCEEFF"/>
            </w:tcBorders>
            <w:gridSpan w:val="14"/>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Unless the context otherwise requires, we use the terms the “Company,” “RTR,” “Rent the Runway,” “we,” “us” and “our” in this Annual Report on Form 10-K, or Annual Report, to refer to Rent the Runway, Inc. and, where appropriate, our consolidated subsidiaries.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i w:val="1"/>
          <w:iCs w:val="1"/>
          <w:color w:val="auto"/>
        </w:rPr>
        <w:t>Risk Factor Summary</w:t>
      </w:r>
    </w:p>
    <w:p>
      <w:pPr>
        <w:spacing w:after="0" w:line="261" w:lineRule="exact"/>
        <w:rPr>
          <w:sz w:val="20"/>
          <w:szCs w:val="20"/>
          <w:color w:val="auto"/>
        </w:rPr>
      </w:pPr>
    </w:p>
    <w:p>
      <w:pPr>
        <w:jc w:val="both"/>
        <w:ind w:right="280"/>
        <w:spacing w:after="0" w:line="271" w:lineRule="auto"/>
        <w:rPr>
          <w:sz w:val="20"/>
          <w:szCs w:val="20"/>
          <w:color w:val="auto"/>
        </w:rPr>
      </w:pPr>
      <w:r>
        <w:rPr>
          <w:rFonts w:ascii="Arial" w:cs="Arial" w:eastAsia="Arial" w:hAnsi="Arial"/>
          <w:sz w:val="14"/>
          <w:szCs w:val="14"/>
          <w:color w:val="auto"/>
        </w:rPr>
        <w:t>Investing in our Class A common stock involves numerous risks, including the risks described in Part I, Item 1A. “Risk Factors” in this Annual Report on Form 10-K. You should carefully consider these risks before making an investment. Below are some of these risks, any one of which could materially adversely affect our business, financial condition, results of operations, and prospects.</w:t>
      </w:r>
    </w:p>
    <w:p>
      <w:pPr>
        <w:spacing w:after="0" w:line="17" w:lineRule="exact"/>
        <w:rPr>
          <w:sz w:val="20"/>
          <w:szCs w:val="20"/>
          <w:color w:val="auto"/>
        </w:rPr>
      </w:pPr>
    </w:p>
    <w:p>
      <w:pPr>
        <w:ind w:left="520" w:right="50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grown rapidly in recent years and have limited experience at our current scale of operations. If we are unable to manage our growth effectively, our brand, company culture, and financial performance may suffer.</w:t>
      </w:r>
    </w:p>
    <w:p>
      <w:pPr>
        <w:spacing w:after="0" w:line="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global fashion industry is highly competitive and rapidly changing, and we may not be able to compete effectively.</w:t>
      </w:r>
    </w:p>
    <w:p>
      <w:pPr>
        <w:spacing w:after="0" w:line="61" w:lineRule="exact"/>
        <w:rPr>
          <w:rFonts w:ascii="Arial" w:cs="Arial" w:eastAsia="Arial" w:hAnsi="Arial"/>
          <w:sz w:val="14"/>
          <w:szCs w:val="14"/>
          <w:color w:val="auto"/>
        </w:rPr>
      </w:pPr>
    </w:p>
    <w:p>
      <w:pPr>
        <w:ind w:left="520" w:right="6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consumer discretionary spending and have been, and may in the future be, adversely affected by economic downturns and other macroeconomic conditions or trends.</w:t>
      </w:r>
    </w:p>
    <w:p>
      <w:pPr>
        <w:spacing w:after="0" w:line="3" w:lineRule="exact"/>
        <w:rPr>
          <w:rFonts w:ascii="Arial" w:cs="Arial" w:eastAsia="Arial" w:hAnsi="Arial"/>
          <w:sz w:val="14"/>
          <w:szCs w:val="14"/>
          <w:color w:val="auto"/>
        </w:rPr>
      </w:pPr>
    </w:p>
    <w:p>
      <w:pPr>
        <w:ind w:left="520" w:right="1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fail to retain customers, our business, financial condition, and results of operations would be harmed.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are unable to accurately forecast customer demand, manage our products effectively and plan for future expenses, our operating results could be adversely affected.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arising from the restructuring of our operations, which could adversely affect our financial condition, results of operations, cash flows, or business reputation.</w:t>
      </w:r>
    </w:p>
    <w:p>
      <w:pPr>
        <w:spacing w:after="0" w:line="72" w:lineRule="exact"/>
        <w:rPr>
          <w:rFonts w:ascii="Arial" w:cs="Arial" w:eastAsia="Arial" w:hAnsi="Arial"/>
          <w:sz w:val="14"/>
          <w:szCs w:val="14"/>
          <w:color w:val="auto"/>
        </w:rPr>
      </w:pPr>
    </w:p>
    <w:p>
      <w:pPr>
        <w:ind w:left="520" w:right="280" w:hanging="260"/>
        <w:spacing w:after="0" w:line="265"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15" w:lineRule="exact"/>
        <w:rPr>
          <w:rFonts w:ascii="Arial" w:cs="Arial" w:eastAsia="Arial" w:hAnsi="Arial"/>
          <w:sz w:val="14"/>
          <w:szCs w:val="14"/>
          <w:color w:val="auto"/>
        </w:rPr>
      </w:pPr>
    </w:p>
    <w:p>
      <w:pPr>
        <w:ind w:left="520" w:right="80" w:hanging="260"/>
        <w:spacing w:after="0" w:line="239" w:lineRule="auto"/>
        <w:tabs>
          <w:tab w:leader="none" w:pos="516" w:val="left"/>
        </w:tabs>
        <w:numPr>
          <w:ilvl w:val="0"/>
          <w:numId w:val="3"/>
        </w:numPr>
        <w:rPr>
          <w:rFonts w:ascii="Arial" w:cs="Arial" w:eastAsia="Arial" w:hAnsi="Arial"/>
          <w:sz w:val="17"/>
          <w:szCs w:val="17"/>
          <w:color w:val="auto"/>
        </w:rPr>
      </w:pPr>
      <w:r>
        <w:rPr>
          <w:rFonts w:ascii="Arial" w:cs="Arial" w:eastAsia="Arial" w:hAnsi="Arial"/>
          <w:sz w:val="14"/>
          <w:szCs w:val="14"/>
          <w:color w:val="auto"/>
        </w:rPr>
        <w:t>The COVID-19 pandemic has had, and may in the future continue to have, a material adverse impact on our business. Other future pandemics or public health crises may have a similar adverse impact on our business.</w:t>
      </w:r>
    </w:p>
    <w:p>
      <w:pPr>
        <w:spacing w:after="0" w:line="37" w:lineRule="exact"/>
        <w:rPr>
          <w:rFonts w:ascii="Arial" w:cs="Arial" w:eastAsia="Arial" w:hAnsi="Arial"/>
          <w:sz w:val="17"/>
          <w:szCs w:val="17"/>
          <w:color w:val="auto"/>
        </w:rPr>
      </w:pPr>
    </w:p>
    <w:p>
      <w:pPr>
        <w:ind w:left="520" w:right="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Shipping and logistics are a critical part of our business and our supply chain and any changes or interruptions in shipping or logistics operations could adversely affect our operating results.</w:t>
      </w:r>
    </w:p>
    <w:p>
      <w:pPr>
        <w:spacing w:after="0" w:line="3"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p>
    <w:p>
      <w:pPr>
        <w:spacing w:after="0" w:line="3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is subject to a large number of U.S. and non-U.S. laws and regulations, many of which are evolving.</w:t>
      </w:r>
    </w:p>
    <w:p>
      <w:pPr>
        <w:spacing w:after="0" w:line="61" w:lineRule="exact"/>
        <w:rPr>
          <w:rFonts w:ascii="Arial" w:cs="Arial" w:eastAsia="Arial" w:hAnsi="Arial"/>
          <w:sz w:val="14"/>
          <w:szCs w:val="14"/>
          <w:color w:val="auto"/>
        </w:rPr>
      </w:pPr>
    </w:p>
    <w:p>
      <w:pPr>
        <w:ind w:left="520" w:right="360" w:hanging="260"/>
        <w:spacing w:after="0" w:line="27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16" w:lineRule="exact"/>
        <w:rPr>
          <w:rFonts w:ascii="Arial" w:cs="Arial" w:eastAsia="Arial" w:hAnsi="Arial"/>
          <w:sz w:val="14"/>
          <w:szCs w:val="14"/>
          <w:color w:val="auto"/>
        </w:rPr>
      </w:pPr>
    </w:p>
    <w:p>
      <w:pPr>
        <w:ind w:left="520" w:right="16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Failure to adequately maintain and protect our intellectual property and proprietary rights could harm our brand, devalue our proprietary content, and adversely affect our ability to compete effectively.</w:t>
      </w:r>
    </w:p>
    <w:p>
      <w:pPr>
        <w:spacing w:after="0" w:line="14" w:lineRule="exact"/>
        <w:rPr>
          <w:rFonts w:ascii="Arial" w:cs="Arial" w:eastAsia="Arial" w:hAnsi="Arial"/>
          <w:sz w:val="14"/>
          <w:szCs w:val="14"/>
          <w:color w:val="auto"/>
        </w:rPr>
      </w:pPr>
    </w:p>
    <w:p>
      <w:pPr>
        <w:ind w:left="520" w:right="80" w:hanging="260"/>
        <w:spacing w:after="0" w:line="27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spacing w:after="0" w:line="1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associated with brand partners from whom our products are sourced or co-manufactured.</w:t>
      </w:r>
    </w:p>
    <w:p>
      <w:pPr>
        <w:spacing w:after="0" w:line="61" w:lineRule="exact"/>
        <w:rPr>
          <w:rFonts w:ascii="Arial" w:cs="Arial" w:eastAsia="Arial" w:hAnsi="Arial"/>
          <w:sz w:val="14"/>
          <w:szCs w:val="14"/>
          <w:color w:val="auto"/>
        </w:rPr>
      </w:pPr>
    </w:p>
    <w:p>
      <w:pPr>
        <w:ind w:left="520" w:right="8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left="520" w:right="16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27" w:lineRule="exact"/>
        <w:rPr>
          <w:rFonts w:ascii="Arial" w:cs="Arial" w:eastAsia="Arial" w:hAnsi="Arial"/>
          <w:sz w:val="14"/>
          <w:szCs w:val="14"/>
          <w:color w:val="auto"/>
        </w:rPr>
      </w:pPr>
    </w:p>
    <w:p>
      <w:pPr>
        <w:ind w:left="520" w:right="30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3" w:lineRule="exact"/>
        <w:rPr>
          <w:rFonts w:ascii="Arial" w:cs="Arial" w:eastAsia="Arial" w:hAnsi="Arial"/>
          <w:sz w:val="14"/>
          <w:szCs w:val="14"/>
          <w:color w:val="auto"/>
        </w:rPr>
      </w:pPr>
    </w:p>
    <w:p>
      <w:pPr>
        <w:ind w:left="520" w:right="4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risks associated with our indebtedness and potential need for additional capital, including that financing or refinancing may not be available on acceptable terms or at all.</w:t>
      </w:r>
    </w:p>
    <w:p>
      <w:pPr>
        <w:spacing w:after="0" w:line="3"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spacing w:after="0" w:line="2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share price may be volatile, and investors may be unable to sell their shares at or above the price they purchased them.</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Annual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Annual Report include, but are not limited to statements regarding our future results of operations and financial position, industry and business trends, share-based compensation, business strategy and</w:t>
      </w:r>
    </w:p>
    <w:p>
      <w:pPr>
        <w:spacing w:after="0" w:line="3" w:lineRule="exact"/>
        <w:rPr>
          <w:sz w:val="20"/>
          <w:szCs w:val="20"/>
          <w:color w:val="auto"/>
        </w:rPr>
      </w:pPr>
    </w:p>
    <w:p>
      <w:pPr>
        <w:ind w:right="420"/>
        <w:spacing w:after="0" w:line="238" w:lineRule="auto"/>
        <w:rPr>
          <w:sz w:val="20"/>
          <w:szCs w:val="20"/>
          <w:color w:val="auto"/>
        </w:rPr>
      </w:pPr>
      <w:r>
        <w:rPr>
          <w:rFonts w:ascii="Arial" w:cs="Arial" w:eastAsia="Arial" w:hAnsi="Arial"/>
          <w:sz w:val="14"/>
          <w:szCs w:val="14"/>
          <w:color w:val="auto"/>
        </w:rPr>
        <w:t>initiatives, sustainability initiatives, business plans, impact from our September 2022 restructuring plan and other cost savings initiatives, product acquisition expectations, our proposed option exchange, impacts from our five-item base subscription offering, market growth and our objectives for future operations.</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for the year ended January 31, 2023. The forward-looking statements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4"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You should read this Annual Report on Form 10-K and the documents that we reference in this Annual Report and have filed as exhibits to this Annual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Except as required by applicable law, we do not plan to publicly update or revise any forward-looking statements contained in this Annual Report, whether as a result of any new information, future events or otherwise.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FISCAL YEAR</w:t>
      </w:r>
    </w:p>
    <w:p>
      <w:pPr>
        <w:spacing w:after="0" w:line="200" w:lineRule="exact"/>
        <w:rPr>
          <w:sz w:val="20"/>
          <w:szCs w:val="20"/>
          <w:color w:val="auto"/>
        </w:rPr>
      </w:pPr>
    </w:p>
    <w:p>
      <w:pPr>
        <w:jc w:val="both"/>
        <w:ind w:right="120"/>
        <w:spacing w:after="0" w:line="271" w:lineRule="auto"/>
        <w:rPr>
          <w:sz w:val="20"/>
          <w:szCs w:val="20"/>
          <w:color w:val="auto"/>
        </w:rPr>
      </w:pPr>
      <w:r>
        <w:rPr>
          <w:rFonts w:ascii="Arial" w:cs="Arial" w:eastAsia="Arial" w:hAnsi="Arial"/>
          <w:sz w:val="14"/>
          <w:szCs w:val="14"/>
          <w:color w:val="auto"/>
        </w:rPr>
        <w:t>In this Annual Report on Form 10-K, references to “fiscal year 2023” refer to the fiscal year ending January 31, 2024, references to “fiscal year 2022” refer to the fiscal year ending January 31, 2023, references to “fiscal year 2021” refer to the fiscal year ended January 31, 2022, references to “fiscal year 2020” refer to the fiscal year ended January 31, 2021 and references to “fiscal year 2019” refer to the fiscal year ended January 31, 2020.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Overview</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Our mission is to power women to feel their best every day.</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Since our founding in November 2009, we have built the world’s first and largest shared designer closet with tens of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 million lifetime customers across all of our offerings and we had 171,998 total subscribers (active and paused) as of January 31, 2023. We had 126,712 active subscribers as of January 31, 2023 and 141,205 active subscribers as of April 8, 2023. In fiscal year 2022, 86% of our total revenue was generated by subscribers, compared to 84% in fiscal year 2021.</w:t>
      </w:r>
    </w:p>
    <w:p>
      <w:pPr>
        <w:spacing w:after="0" w:line="163"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159" w:lineRule="exact"/>
        <w:rPr>
          <w:sz w:val="20"/>
          <w:szCs w:val="20"/>
          <w:color w:val="auto"/>
        </w:rPr>
      </w:pPr>
    </w:p>
    <w:p>
      <w:pPr>
        <w:jc w:val="both"/>
        <w:ind w:right="260"/>
        <w:spacing w:after="0" w:line="274" w:lineRule="auto"/>
        <w:rPr>
          <w:sz w:val="20"/>
          <w:szCs w:val="20"/>
          <w:color w:val="auto"/>
        </w:rPr>
      </w:pPr>
      <w:r>
        <w:rPr>
          <w:rFonts w:ascii="Arial" w:cs="Arial" w:eastAsia="Arial" w:hAnsi="Arial"/>
          <w:sz w:val="14"/>
          <w:szCs w:val="14"/>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(more than $40,000 in designer retail value in fiscal year 2022</w:t>
      </w:r>
      <w:r>
        <w:rPr>
          <w:rFonts w:ascii="Arial" w:cs="Arial" w:eastAsia="Arial" w:hAnsi="Arial"/>
          <w:sz w:val="18"/>
          <w:szCs w:val="18"/>
          <w:color w:val="auto"/>
          <w:vertAlign w:val="superscript"/>
        </w:rPr>
        <w:t>1</w:t>
      </w:r>
      <w:r>
        <w:rPr>
          <w:rFonts w:ascii="Arial" w:cs="Arial" w:eastAsia="Arial" w:hAnsi="Arial"/>
          <w:sz w:val="14"/>
          <w:szCs w:val="14"/>
          <w:color w:val="auto"/>
        </w:rPr>
        <w:t>).</w:t>
      </w:r>
    </w:p>
    <w:p>
      <w:pPr>
        <w:spacing w:after="0" w:line="96"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tremendous selection is enabled by our designer brand partnerships. We source our products directly from our brand partners that include many of the most renowned and relevant names in the fashion industry. The transformative nature of our customer value proposition means our customers are typically younger and different from other audiences our brands are exposed to. According to our June 2021 Rent the Runway Brand Survey, approximately 91% of our brand partners work with us because we introduce them to new, desirable customers and deepen awareness of their brands. Over the last 13 years, we have fostered strong relationships with our brand partners and have experienced extremely limited voluntary attrition. Our Closet in the Cloud connects our deeply engaged customers and our differentiated brand partners on a powerful platform built around our brand, data, logistics and technology advantages.</w:t>
      </w:r>
    </w:p>
    <w:p>
      <w:pPr>
        <w:spacing w:after="0" w:line="163" w:lineRule="exact"/>
        <w:rPr>
          <w:sz w:val="20"/>
          <w:szCs w:val="20"/>
          <w:color w:val="auto"/>
        </w:rPr>
      </w:pPr>
    </w:p>
    <w:p>
      <w:pPr>
        <w:ind w:left="520" w:right="220" w:hanging="260"/>
        <w:spacing w:after="0" w:line="262"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Brand Partner Advantage. Our assortment contains thousands of new, current season styles that luxury competitors simultaneously carry - all available for Subscription, Reserve, and/or Resale at much lower prices. We believe our engaged and loyal customer base paired with the data that we offer to our brand partners makes us an essential destination for many of the world’s most important brands. In addition, as of June 2021, 67% of our brand partners believe that RTR is an important part of their business’s sustainability strategy. As we have grown, our commercial relationships with our brand partners have evolved towards more capital efficient forms of rental product acquisition.</w:t>
      </w:r>
    </w:p>
    <w:p>
      <w:pPr>
        <w:spacing w:after="0" w:line="12" w:lineRule="exact"/>
        <w:rPr>
          <w:rFonts w:ascii="Arial" w:cs="Arial" w:eastAsia="Arial" w:hAnsi="Arial"/>
          <w:sz w:val="14"/>
          <w:szCs w:val="14"/>
          <w:color w:val="auto"/>
        </w:rPr>
      </w:pPr>
    </w:p>
    <w:p>
      <w:pPr>
        <w:ind w:left="520" w:right="60" w:hanging="260"/>
        <w:spacing w:after="0" w:line="271"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Data Advantage. We capture a vast amount of unique, actionable data on our customers and products. We leverage this 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4747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75" w:lineRule="exact"/>
        <w:rPr>
          <w:sz w:val="20"/>
          <w:szCs w:val="20"/>
          <w:color w:val="auto"/>
        </w:rPr>
      </w:pPr>
    </w:p>
    <w:p>
      <w:pPr>
        <w:jc w:val="both"/>
        <w:ind w:right="160" w:firstLine="5"/>
        <w:spacing w:after="0" w:line="303" w:lineRule="auto"/>
        <w:tabs>
          <w:tab w:leader="none" w:pos="72" w:val="left"/>
        </w:tabs>
        <w:numPr>
          <w:ilvl w:val="0"/>
          <w:numId w:val="6"/>
        </w:numPr>
        <w:rPr>
          <w:rFonts w:ascii="Arial" w:cs="Arial" w:eastAsia="Arial" w:hAnsi="Arial"/>
          <w:sz w:val="7"/>
          <w:szCs w:val="7"/>
          <w:color w:val="auto"/>
        </w:rPr>
      </w:pPr>
      <w:r>
        <w:rPr>
          <w:rFonts w:ascii="Arial" w:cs="Arial" w:eastAsia="Arial" w:hAnsi="Arial"/>
          <w:sz w:val="11"/>
          <w:szCs w:val="11"/>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left="520" w:right="60" w:hanging="260"/>
        <w:spacing w:after="0" w:line="27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Technology and Logistics Advantage. We have developed a proprietary operating system that pairs proprietary software with differentiated infrastructure and hardware. Our expertise in vertically integrated just-in-time reverse logistics and garment science allows us to achieve multi-year monetization on our garments. We have also built a custom front-end platform that supports all of our consumer-facing offerings.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How It Works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offer customers three ways to access our closet: monthly subscription or “Subscription”, a-la-carte rentals or “Reserve” and purchasing through our Resale offering.</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Subscription</w:t>
      </w:r>
    </w:p>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i w:val="1"/>
          <w:iCs w:val="1"/>
          <w:color w:val="auto"/>
        </w:rPr>
        <w:t xml:space="preserve">Pick a Plan. </w:t>
      </w:r>
      <w:r>
        <w:rPr>
          <w:rFonts w:ascii="Arial" w:cs="Arial" w:eastAsia="Arial" w:hAnsi="Arial"/>
          <w:sz w:val="14"/>
          <w:szCs w:val="14"/>
          <w:color w:val="auto"/>
        </w:rPr>
        <w:t>When customers subscribe, they select from a menu of entry plans. Beginning in March 2023, we added an extra item to each shipment per plan at no extra cost to our</w:t>
      </w:r>
      <w:r>
        <w:rPr>
          <w:rFonts w:ascii="Arial" w:cs="Arial" w:eastAsia="Arial" w:hAnsi="Arial"/>
          <w:sz w:val="14"/>
          <w:szCs w:val="14"/>
          <w:i w:val="1"/>
          <w:iCs w:val="1"/>
          <w:color w:val="auto"/>
        </w:rPr>
        <w:t xml:space="preserve"> </w:t>
      </w:r>
      <w:r>
        <w:rPr>
          <w:rFonts w:ascii="Arial" w:cs="Arial" w:eastAsia="Arial" w:hAnsi="Arial"/>
          <w:sz w:val="14"/>
          <w:szCs w:val="14"/>
          <w:color w:val="auto"/>
        </w:rPr>
        <w:t>subscribers. Each plan now starts with five items, or “spots,” per shipment, and varies based on how often the subscriber wishes to receive new shipments, each a “swap.” Today, our subscribers onboard into plans that offer one, two, three or four shipments per month for $94, $144, $193 or $235 per month, respectively.</w:t>
      </w:r>
    </w:p>
    <w:p>
      <w:pPr>
        <w:spacing w:after="0" w:line="155"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i w:val="1"/>
          <w:iCs w:val="1"/>
          <w:color w:val="auto"/>
        </w:rPr>
        <w:t xml:space="preserve">Customize. </w:t>
      </w:r>
      <w:r>
        <w:rPr>
          <w:rFonts w:ascii="Arial" w:cs="Arial" w:eastAsia="Arial" w:hAnsi="Arial"/>
          <w:sz w:val="14"/>
          <w:szCs w:val="14"/>
          <w:color w:val="auto"/>
        </w:rPr>
        <w:t>Subscribers can customize their plans to adapt to their changing lifestyles, needs and budgets by adding or removing spots for $27 or $31 per item per month and</w:t>
      </w:r>
      <w:r>
        <w:rPr>
          <w:rFonts w:ascii="Arial" w:cs="Arial" w:eastAsia="Arial" w:hAnsi="Arial"/>
          <w:sz w:val="14"/>
          <w:szCs w:val="14"/>
          <w:i w:val="1"/>
          <w:iCs w:val="1"/>
          <w:color w:val="auto"/>
        </w:rPr>
        <w:t xml:space="preserve"> </w:t>
      </w:r>
      <w:r>
        <w:rPr>
          <w:rFonts w:ascii="Arial" w:cs="Arial" w:eastAsia="Arial" w:hAnsi="Arial"/>
          <w:sz w:val="14"/>
          <w:szCs w:val="14"/>
          <w:color w:val="auto"/>
        </w:rPr>
        <w:t>shipments for $39 - $50 per shipment per month, as they see fit.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Choose Items. </w:t>
      </w:r>
      <w:r>
        <w:rPr>
          <w:rFonts w:ascii="Arial" w:cs="Arial" w:eastAsia="Arial" w:hAnsi="Arial"/>
          <w:sz w:val="14"/>
          <w:szCs w:val="14"/>
          <w:color w:val="auto"/>
        </w:rPr>
        <w:t>After picking a plan, subscribers browse our broad assortment of items to build their first shipment.</w:t>
      </w:r>
    </w:p>
    <w:p>
      <w:pPr>
        <w:spacing w:after="0" w:line="200"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i w:val="1"/>
          <w:iCs w:val="1"/>
          <w:color w:val="auto"/>
        </w:rPr>
        <w:t>Wear, Repeat</w:t>
      </w:r>
      <w:r>
        <w:rPr>
          <w:rFonts w:ascii="Arial" w:cs="Arial" w:eastAsia="Arial" w:hAnsi="Arial"/>
          <w:sz w:val="14"/>
          <w:szCs w:val="14"/>
          <w:color w:val="auto"/>
        </w:rPr>
        <w:t>. When subscribers place an order, we aim to deliver their order within two to three business days of shipping from our fulfillment centers in our reusable garment</w:t>
      </w:r>
      <w:r>
        <w:rPr>
          <w:rFonts w:ascii="Arial" w:cs="Arial" w:eastAsia="Arial" w:hAnsi="Arial"/>
          <w:sz w:val="14"/>
          <w:szCs w:val="14"/>
          <w:i w:val="1"/>
          <w:iCs w:val="1"/>
          <w:color w:val="auto"/>
        </w:rPr>
        <w:t xml:space="preserve"> </w:t>
      </w:r>
      <w:r>
        <w:rPr>
          <w:rFonts w:ascii="Arial" w:cs="Arial" w:eastAsia="Arial" w:hAnsi="Arial"/>
          <w:sz w:val="14"/>
          <w:szCs w:val="14"/>
          <w:color w:val="auto"/>
        </w:rPr>
        <w:t>bags, cleaned and ready to wear.</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Subscribers keep items for as long as they would like and may choose to return some or all of their items with each new shipment. When subscribers select the items they want to return on our app, we allow them to immediately start building their next shipment, maximizing their time with items at home. Our subscribers typically visit our app multiple times per week.</w:t>
      </w:r>
    </w:p>
    <w:p>
      <w:pPr>
        <w:spacing w:after="0" w:line="155"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Subscribers are asked to give us real-time feedback on the size, fit and quality of the items they rent. The structured data we collect through our “happiness survey” allows us to both improve her experience as well as optimize our garment care and, therefore, our return on investment of the items returned. Once subscribers confirm their new shipment, they can return their items in RTR’s reusable garment bag to the nearest preferred shipping partner location using a prepaid return label. In addition, a majority of our subscribers have the option to return their items via our at-home pickup offering that we introduced in 2021. As of January 31, 2023, our at-home pickup offering served 34 markets and covered 60% of our subscriber base.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Reserve</w:t>
      </w:r>
    </w:p>
    <w:p>
      <w:pPr>
        <w:spacing w:after="0" w:line="19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When customers want to rent items a-la-carte for an upcoming event, they book styles for four or eight days through our Reserve offering. After selecting pieces, they typically select a delivery date one to two days before their event. We provide a free backup size of the customer’s choosing and the option to rent a backup style at a discount. At the end of the four- or eight-day rental period, customers simply return their items in the reusable garment bag using the prepaid shipping label included with their rental. Just like our Subscription offering, we clean and care for items when they are returned.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Resale</w:t>
      </w:r>
    </w:p>
    <w:p>
      <w:pPr>
        <w:spacing w:after="0" w:line="198"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In addition to renting, customers also shop pre-loved styles from our closet at a discount to retail price, up to 90% off of designer retail value (which we calculate using original retail and/or comparable value prices). A Subscription is not required for purchase. Our subscribers also have the option to purchase items they already have at home, opening a spot in their next shipment. Prices for our resale items are typically dynamically calculated by our pricing algorithm, which takes in data on rental history, customer trends, and optimizes for lifetime return on investment on each product.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Customer Value Proposition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Through our platform, we have helped approximately 3 million lifetime customers discover the transformative power of utilizing our Closet in the Cloud across all of our offerings.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Our customer base is diverse and spans age, household income distribution and U.S. geography.</w:t>
      </w:r>
    </w:p>
    <w:p>
      <w:pPr>
        <w:spacing w:after="0" w:line="186"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Subscribers are customers who access our Closet in the Cloud via our monthly Subscription offering. The portion of our customers who are subscribers accounted for 86% of our revenue in fiscal year 2022. As of January 31, 2023, we had 126,712 Active Subscribers on Rent the Runway and 171,998 total subscribers including paused subscribers, and during fiscal year 2022, we had 128,586 Average Active Subscribers. Many of our subscribers started as customers in Reserve and Resale and we continue to see activation from Reserve and Resale customers into subscribers for many years.</w:t>
      </w:r>
    </w:p>
    <w:p>
      <w:pPr>
        <w:spacing w:after="0" w:line="201" w:lineRule="exact"/>
        <w:rPr>
          <w:sz w:val="20"/>
          <w:szCs w:val="20"/>
          <w:color w:val="auto"/>
        </w:rPr>
      </w:pPr>
    </w:p>
    <w:p>
      <w:pPr>
        <w:ind w:left="520" w:right="60" w:hanging="260"/>
        <w:spacing w:after="0" w:line="284"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Variety and Discovery. </w:t>
      </w:r>
      <w:r>
        <w:rPr>
          <w:rFonts w:ascii="Arial" w:cs="Arial" w:eastAsia="Arial" w:hAnsi="Arial"/>
          <w:sz w:val="14"/>
          <w:szCs w:val="14"/>
          <w:color w:val="auto"/>
        </w:rPr>
        <w:t>With tens of thousands of styles across hundreds of brands in our Closet in the Cloud, Rent the Runway gives customers the ability to always wear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something new to them and inspires customers to expand their fashion tastes without risk of buyer’s remorse.</w:t>
      </w:r>
    </w:p>
    <w:p>
      <w:pPr>
        <w:ind w:left="520" w:right="160" w:hanging="260"/>
        <w:spacing w:after="0" w:line="271"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Value. </w:t>
      </w:r>
      <w:r>
        <w:rPr>
          <w:rFonts w:ascii="Arial" w:cs="Arial" w:eastAsia="Arial" w:hAnsi="Arial"/>
          <w:sz w:val="14"/>
          <w:szCs w:val="14"/>
          <w:color w:val="auto"/>
        </w:rPr>
        <w:t>Rent the Runway makes thousands of designer styles accessible through our Subscription offering for a flat monthly price or through our Reserve offering on a per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item basis. We deliver significant financial value to customers, with our average subscriber wearing clothes worth more than 20 times what she pays for a monthly RTR Subscription on an annualized basis.</w:t>
      </w:r>
    </w:p>
    <w:p>
      <w:pPr>
        <w:spacing w:after="0" w:line="6" w:lineRule="exact"/>
        <w:rPr>
          <w:rFonts w:ascii="Arial" w:cs="Arial" w:eastAsia="Arial" w:hAnsi="Arial"/>
          <w:sz w:val="14"/>
          <w:szCs w:val="14"/>
          <w:color w:val="auto"/>
        </w:rPr>
      </w:pPr>
    </w:p>
    <w:p>
      <w:pPr>
        <w:ind w:left="520" w:right="280" w:hanging="260"/>
        <w:spacing w:after="0" w:line="284"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Self-Confidence. </w:t>
      </w:r>
      <w:r>
        <w:rPr>
          <w:rFonts w:ascii="Arial" w:cs="Arial" w:eastAsia="Arial" w:hAnsi="Arial"/>
          <w:sz w:val="14"/>
          <w:szCs w:val="14"/>
          <w:color w:val="auto"/>
        </w:rPr>
        <w:t>According to our March 2023 Subscriber Survey, 83% of our subscribers say RTR makes them the most confident version of themselves at work or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social settings. Because there is no commitment to keep an item rented from RTR, we fuel greater self-expression for our customers.</w:t>
      </w:r>
    </w:p>
    <w:p>
      <w:pPr>
        <w:jc w:val="both"/>
        <w:ind w:left="520" w:hanging="260"/>
        <w:spacing w:after="0" w:line="271"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Personalization and Convenienc</w:t>
      </w:r>
      <w:r>
        <w:rPr>
          <w:rFonts w:ascii="Arial" w:cs="Arial" w:eastAsia="Arial" w:hAnsi="Arial"/>
          <w:sz w:val="14"/>
          <w:szCs w:val="14"/>
          <w:b w:val="1"/>
          <w:bCs w:val="1"/>
          <w:color w:val="auto"/>
        </w:rPr>
        <w:t>e</w:t>
      </w:r>
      <w:r>
        <w:rPr>
          <w:rFonts w:ascii="Arial" w:cs="Arial" w:eastAsia="Arial" w:hAnsi="Arial"/>
          <w:sz w:val="14"/>
          <w:szCs w:val="14"/>
          <w:color w:val="auto"/>
        </w:rPr>
        <w:t>. We use our rich customer data to create a personalized storefront for customers based on their style preferences, browsing history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past rentals. Our understanding of our customer improves with each interaction, and we use our personalization algorithm to provide personalized size recommendations to each customer at the item level. By showing customers designs they will love and items that are likely to fit, we continue to drive strong loyalty and monetization.</w:t>
      </w:r>
    </w:p>
    <w:p>
      <w:pPr>
        <w:spacing w:after="0" w:line="6" w:lineRule="exact"/>
        <w:rPr>
          <w:rFonts w:ascii="Arial" w:cs="Arial" w:eastAsia="Arial" w:hAnsi="Arial"/>
          <w:sz w:val="14"/>
          <w:szCs w:val="14"/>
          <w:color w:val="auto"/>
        </w:rPr>
      </w:pPr>
    </w:p>
    <w:p>
      <w:pPr>
        <w:ind w:left="520" w:right="120" w:hanging="260"/>
        <w:spacing w:after="0" w:line="259"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Customer Experience and Community. </w:t>
      </w:r>
      <w:r>
        <w:rPr>
          <w:rFonts w:ascii="Arial" w:cs="Arial" w:eastAsia="Arial" w:hAnsi="Arial"/>
          <w:sz w:val="14"/>
          <w:szCs w:val="14"/>
          <w:color w:val="auto"/>
        </w:rPr>
        <w:t>Our customers are deeply engaged, as evidenced by the 33.1 million customer reviews submitted through January 2023.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customers use the millions of reviews posted by our community to make smarter choices and feel good about their selections. As our community has grown, Rent the Runway has also benefited from powerful virality and word-of-mouth marketing. 80% of subscribers have shared RTR with at least five people; 43% have shared with over 10 people and 75% of our customers posted themselves wearing Rent the Runway on social media, as indicated by our March 2023 Subscriber Survey.</w:t>
      </w:r>
    </w:p>
    <w:p>
      <w:pPr>
        <w:spacing w:after="0" w:line="26" w:lineRule="exact"/>
        <w:rPr>
          <w:rFonts w:ascii="Arial" w:cs="Arial" w:eastAsia="Arial" w:hAnsi="Arial"/>
          <w:sz w:val="14"/>
          <w:szCs w:val="14"/>
          <w:color w:val="auto"/>
        </w:rPr>
      </w:pPr>
    </w:p>
    <w:p>
      <w:pPr>
        <w:ind w:left="520" w:right="80" w:hanging="260"/>
        <w:spacing w:after="0" w:line="230" w:lineRule="auto"/>
        <w:tabs>
          <w:tab w:leader="none" w:pos="510" w:val="left"/>
        </w:tabs>
        <w:numPr>
          <w:ilvl w:val="0"/>
          <w:numId w:val="8"/>
        </w:numPr>
        <w:rPr>
          <w:rFonts w:ascii="Arial" w:cs="Arial" w:eastAsia="Arial" w:hAnsi="Arial"/>
          <w:sz w:val="18"/>
          <w:szCs w:val="18"/>
          <w:b w:val="1"/>
          <w:bCs w:val="1"/>
          <w:color w:val="auto"/>
          <w:vertAlign w:val="subscript"/>
        </w:rPr>
      </w:pPr>
      <w:r>
        <w:rPr>
          <w:rFonts w:ascii="Arial" w:cs="Arial" w:eastAsia="Arial" w:hAnsi="Arial"/>
          <w:sz w:val="14"/>
          <w:szCs w:val="14"/>
          <w:b w:val="1"/>
          <w:bCs w:val="1"/>
          <w:i w:val="1"/>
          <w:iCs w:val="1"/>
          <w:color w:val="auto"/>
        </w:rPr>
        <w:t xml:space="preserve">Sustainability. </w:t>
      </w:r>
      <w:r>
        <w:rPr>
          <w:rFonts w:ascii="Arial" w:cs="Arial" w:eastAsia="Arial" w:hAnsi="Arial"/>
          <w:sz w:val="14"/>
          <w:szCs w:val="14"/>
          <w:color w:val="auto"/>
        </w:rPr>
        <w:t>Renting on the RTR platform results in net environmental savings across water, energy and carbon emissions when compared to purchasing new garments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even when accounting for two-way shipping, cleaning and other operations.</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See “Our ESG (Environmental, Social, and Governance) Impact Strategy” below for additional detail. Our business model aims for customers to substitute purchases with rentals and we have been successful in doing so, as 87% of our subscribers have bought less fast fashion since using RTR</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and 82% buy fewer clothes than they used to prior to joining RTR</w:t>
      </w:r>
      <w:r>
        <w:rPr>
          <w:rFonts w:ascii="Arial" w:cs="Arial" w:eastAsia="Arial" w:hAnsi="Arial"/>
          <w:sz w:val="18"/>
          <w:szCs w:val="18"/>
          <w:color w:val="auto"/>
          <w:vertAlign w:val="superscript"/>
        </w:rPr>
        <w:t>4</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134747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374" w:lineRule="exact"/>
        <w:rPr>
          <w:sz w:val="20"/>
          <w:szCs w:val="20"/>
          <w:color w:val="auto"/>
        </w:rPr>
      </w:pPr>
    </w:p>
    <w:p>
      <w:pPr>
        <w:ind w:left="60" w:hanging="55"/>
        <w:spacing w:after="0"/>
        <w:tabs>
          <w:tab w:leader="none" w:pos="60" w:val="left"/>
        </w:tabs>
        <w:numPr>
          <w:ilvl w:val="0"/>
          <w:numId w:val="9"/>
        </w:numPr>
        <w:rPr>
          <w:rFonts w:ascii="Arial" w:cs="Arial" w:eastAsia="Arial" w:hAnsi="Arial"/>
          <w:sz w:val="7"/>
          <w:szCs w:val="7"/>
          <w:color w:val="auto"/>
        </w:rPr>
      </w:pPr>
      <w:r>
        <w:rPr>
          <w:rFonts w:ascii="Arial" w:cs="Arial" w:eastAsia="Arial" w:hAnsi="Arial"/>
          <w:sz w:val="11"/>
          <w:szCs w:val="11"/>
          <w:color w:val="auto"/>
        </w:rPr>
        <w:t>According to the Life Cycle Assessment Study (the “LCA Study”) we commissioned in 2021 with Green Story and SgT, third-party consultants specializing in apparel life cycle assessments.</w:t>
      </w:r>
    </w:p>
    <w:p>
      <w:pPr>
        <w:spacing w:after="0" w:line="61"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14"/>
          <w:szCs w:val="14"/>
          <w:color w:val="auto"/>
          <w:vertAlign w:val="superscript"/>
        </w:rPr>
        <w:t>3</w:t>
      </w:r>
      <w:r>
        <w:rPr>
          <w:rFonts w:ascii="Arial" w:cs="Arial" w:eastAsia="Arial" w:hAnsi="Arial"/>
          <w:sz w:val="11"/>
          <w:szCs w:val="11"/>
          <w:color w:val="auto"/>
        </w:rPr>
        <w:t xml:space="preserve"> Per our March 2023 Subscriber Survey.</w:t>
      </w:r>
    </w:p>
    <w:p>
      <w:pPr>
        <w:spacing w:after="0" w:line="43"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7"/>
          <w:szCs w:val="7"/>
          <w:color w:val="auto"/>
        </w:rPr>
        <w:t xml:space="preserve">4 </w:t>
      </w:r>
      <w:r>
        <w:rPr>
          <w:rFonts w:ascii="Arial" w:cs="Arial" w:eastAsia="Arial" w:hAnsi="Arial"/>
          <w:sz w:val="11"/>
          <w:szCs w:val="11"/>
          <w:color w:val="auto"/>
        </w:rPr>
        <w:t>Per our November 2022 Subscriber Survey.</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Unique Brand Partner Approach</w:t>
      </w:r>
    </w:p>
    <w:p>
      <w:pPr>
        <w:spacing w:after="0" w:line="200"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We acquire our products through three channels: Wholesale, Share by RTR and Exclusive Designs. The portion of our products sourced through Share by RTR and Exclusive Designs - our more capital-efficient sources - has grown from approximately 26% in fiscal year 2019 to approximately 58% in fiscal year 2022. We procure virtually 100% of our products directly from or in collaboration with brand partners and our business model has been built on shared success with brands. As they deepen their relationship with us, they get access to more data and more customers. Our partnerships with brands have created a significant product and cost advantage. Because we source directly from brands, we can control our assortment and acquire styles in the volumes and sizes we want, we have access to current season items and all of our items are guaranteed authentic without the cost or infrastructure of traditional authentication platforms. See Part II, Item 7, “Management’s Discussion and Analysis of Financial Condition and Results of Operations—Our Product Acquisition Strategy.”</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Wholesale</w:t>
      </w:r>
    </w:p>
    <w:p>
      <w:pPr>
        <w:spacing w:after="0" w:line="92"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Wholesale includes products we acquire directly from our brand partners, typically at a discount to wholesale price based on our scale. We have observed that the original retail prices set by the brands are often at a 2.5x mark-up to the wholesale price. As we continue to expand our selection and grow the share of our assortment acquired from a designer, we benefit from greater discounts on product acquisition. Wholesale represented 42% of our product acquisition in fiscal year 2022.</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 by RTR</w:t>
      </w:r>
    </w:p>
    <w:p>
      <w:pPr>
        <w:spacing w:after="0" w:line="9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Through Share by RTR, we acquire items directly from brand partners on consignment, at zero to low upfront cost and revenue share with our brands each time an item is rented. Brands also pay us a logistics expense for each rental. If a piece is in greater demand, it will drive higher revenue, which could result in brands earning more on the item than if it had been sold through Wholesale, generally subject to a maximum cap. Share by RTR aligns incentives between brands and RTR and alleviates product risk as it is largely a pay-for-performance model. Our Share by RTR arrangements with brands target delivering 75% to 100% of comparable Wholesale cost to the brand in the first year; however there is no minimum commitment other than the upfront payment if applicable. Nearly all Share by RTR deals consummated after September 2020 include a cap on total potential payments to the brand partner. Share by RTR represented 27% of our product acquisition in fiscal year 2022. Increases (or decreases) in the proportion of total items acquired via Share by RTR as well as the usage of Share by RTR items will increase (or decrease) variable expenses recorded in the rental product depreciation and revenue share line item on our consolidated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Exclusive Designs</w:t>
      </w:r>
    </w:p>
    <w:p>
      <w:pPr>
        <w:spacing w:after="0" w:line="92"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leverage our data to create highly desirable Exclusive Designs in collaboration with select brand partners, celebrities and influencers that we manufacture through third-party partners to be more durable and at approximately 50% lower cost than Wholesale. We provide a data blueprint to brands and, based on this data, they design new collections for us that carry their brand name.</w:t>
      </w:r>
    </w:p>
    <w:p>
      <w:pPr>
        <w:spacing w:after="0" w:line="155"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In fiscal year 2022, we expanded our third-party production capabilities for our Exclusive Designs, which enables us to obtain black tie and evening wear at lower cost, typically two of the most expensive categories we procure, where the relative savings versus Wholesale cost are significant. We believe that this acquisition channel is an important lever as we reduce our purchases of rental product as a percentage of revenue over time.</w:t>
      </w:r>
    </w:p>
    <w:p>
      <w:pPr>
        <w:spacing w:after="0" w:line="155"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Our Exclusive Designs collections enable our brand partners to innovate their businesses and enter into new product lines at reduced cost to them. All of the styles are exclusive to rent on RTR for a period of time, after which brands may monetize these exclusive designs through other channels, typically subject to a royalty fee payment to Rent the Runway, which we have not begun to earn to date. Increases (or decreases) in the proportion of total items acquired via Exclusive Designs as well as the usage of Exclusive Designs items may increase (or decrease) variable expenses recorded in the rental product depreciation and revenue share line item on our consolidated statement of operations. We also have a small number of products bearing our trademarks, which are non-exclusive designs produced by third party partners at a significantly lower average cost than Wholesale to strategically fill assortment gaps, or our owned brands. Exclusive Designs accounted for 31% of our product acquisition in fiscal year 2022.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Our Marketing Strategy</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Our brand and deeply engaged consumer base have allowed us to acquire customers efficiently. Since our founding, we have spent less than 10% of total revenue on marketing, and our growth has been mostly organic. Over 80% of our customers over the last 13 years have been acquired organically. As we have scaled, we have seen the value of the Rent the Runway brand grow and increasingly become a significant point of differentiation with consumers and brand partners. We continue to have an opportunity to increase brand awareness and as of January 2023, our unaided brand awareness was 22% among U.S. women ages 18 - 45 with a household income of $50,000 or more, which is an increase of 2% year-over-year compared to fiscal year 2021.</w:t>
      </w:r>
    </w:p>
    <w:p>
      <w:pPr>
        <w:spacing w:after="0" w:line="161"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Many of our customers share a love of the Rent the Runway experience and value proposition, which starts conversations both online and offline and leads to word of mouth adoption. Our clothing often becomes a visual billboard and advertisement for our platform. Many women share their Rent the Runway experience on social media and in their personal lives, which helps drive our organic growth and brand awareness. When our customers are wearing RTR and someone compliments them or asks about what they are wearing, 97% of our subscribers share that it’s Rent the Runway as opposed to the designer brand name. According to our March 2023 Subscriber Survey, nearly half of our subscribers have posted themselves wearing RTR on their social media over five times. Renting from us is an inherently social behavior: 76% of our subscribers rent along with a friend or colleague.</w:t>
      </w:r>
    </w:p>
    <w:p>
      <w:pPr>
        <w:spacing w:after="0" w:line="163"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majority of our new customers have historically come to Rent the Runway organically, a trend that continued in fiscal year 2022. We plan to continue to drive organic growth by focusing on social-first, mid-funnel strategies. Our current marketing initiatives are focused on re-engaging lapsed customers, retaining existing customers and growing our base of new customers. Additionally, we are focused on investing in the customer experience, including optimization of our funnel and the Subscription experience, as a way to re-engage and retain subscribers. We also view paid marketing as an important way to supplement our growth. In fiscal year 2022, we increased paid marketing spend and we saw an increase in the proportion of new customers attributed to paid channels. Our paid efforts have included both middle-of-the-funnel prospecting and bottom-of-the-funnel direct response campaigns which also benefit from our top-of-the-funnel brand marketing efforts that drive awareness. To date, our primary channels for paid marketing have been focused on social media marketing, influencers and our brand ambassadors, programmatic directed spend and affiliate marketing.</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Our Data Advantage</w:t>
      </w:r>
    </w:p>
    <w:p>
      <w:pPr>
        <w:spacing w:after="0" w:line="200"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One of our significant differentiators is the vast amount of quality, actionable data that we are able to collect on our customers and our products. We leverage this data to create benefits for our customers, our brand partners and our business.</w:t>
      </w:r>
    </w:p>
    <w:p>
      <w:pPr>
        <w:spacing w:after="0" w:line="141"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We capture thousands of unique data points per subscriber per year and over 20 unique data points per item each time it is rented across four channels including website data, post-wear data, operations data and customer data. We also identify and tag approximately 70 detailed attributes per style. By mapping our interactions with our products’ inherent attributes, we create a strong feedback loop which allows us to optimize the supply of products in ways we believe that would be difficult for traditional retailers to achieve or replicate. This is one of our biggest competitive advantages.</w:t>
      </w:r>
    </w:p>
    <w:p>
      <w:pPr>
        <w:spacing w:after="0" w:line="159"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Our differentiated business model enables us to collect substantially more data than others in our space and we use this data to continuously improve the customer experience. Customers learn that providing data enhances their experience on the platform over time, which enables us to collect even more data from them. This flywheel helps propel the exponential growth of our post-wear, customer and operations data. We use our data to create what we believe are the most relevant assortments and personalized experiences for our customers, which in turn helps to drive loyalty. As we learn more about a customer, our personalized features give us greater ability to direct her towards the items that optimize both customer lifetime value and rental product return on investment for us.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Our data advantage benefits brand partners in numerous ways:</w:t>
      </w:r>
    </w:p>
    <w:p>
      <w:pPr>
        <w:spacing w:after="0" w:line="200" w:lineRule="exact"/>
        <w:rPr>
          <w:sz w:val="20"/>
          <w:szCs w:val="20"/>
          <w:color w:val="auto"/>
        </w:rPr>
      </w:pPr>
    </w:p>
    <w:p>
      <w:pPr>
        <w:ind w:left="520" w:right="80" w:hanging="260"/>
        <w:spacing w:after="0" w:line="263"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Understanding the Garment Life Cycle: </w:t>
      </w:r>
      <w:r>
        <w:rPr>
          <w:rFonts w:ascii="Arial" w:cs="Arial" w:eastAsia="Arial" w:hAnsi="Arial"/>
          <w:sz w:val="14"/>
          <w:szCs w:val="14"/>
          <w:color w:val="auto"/>
        </w:rPr>
        <w:t>We help partners grow their business through the data we provide. Product longevity data often help our brands increase the life</w:t>
      </w:r>
      <w:r>
        <w:rPr>
          <w:rFonts w:ascii="Arial" w:cs="Arial" w:eastAsia="Arial" w:hAnsi="Arial"/>
          <w:sz w:val="14"/>
          <w:szCs w:val="14"/>
          <w:b w:val="1"/>
          <w:bCs w:val="1"/>
          <w:color w:val="auto"/>
        </w:rPr>
        <w:t xml:space="preserve"> </w:t>
      </w:r>
      <w:r>
        <w:rPr>
          <w:rFonts w:ascii="Arial" w:cs="Arial" w:eastAsia="Arial" w:hAnsi="Arial"/>
          <w:sz w:val="14"/>
          <w:szCs w:val="14"/>
          <w:color w:val="auto"/>
        </w:rPr>
        <w:t>of their garments, which can support their sustainability goals.</w:t>
      </w:r>
    </w:p>
    <w:p>
      <w:pPr>
        <w:ind w:left="520" w:right="800" w:hanging="260"/>
        <w:spacing w:after="0" w:line="269"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Understanding Customer Demand: </w:t>
      </w:r>
      <w:r>
        <w:rPr>
          <w:rFonts w:ascii="Arial" w:cs="Arial" w:eastAsia="Arial" w:hAnsi="Arial"/>
          <w:sz w:val="14"/>
          <w:szCs w:val="14"/>
          <w:color w:val="auto"/>
        </w:rPr>
        <w:t>As our customers wear (or don’t wear) and review items, we can assess demand due to our robust attribution of products</w:t>
      </w:r>
      <w:r>
        <w:rPr>
          <w:rFonts w:ascii="Arial" w:cs="Arial" w:eastAsia="Arial" w:hAnsi="Arial"/>
          <w:sz w:val="14"/>
          <w:szCs w:val="14"/>
          <w:b w:val="1"/>
          <w:bCs w:val="1"/>
          <w:color w:val="auto"/>
        </w:rPr>
        <w:t xml:space="preserve"> </w:t>
      </w:r>
      <w:r>
        <w:rPr>
          <w:rFonts w:ascii="Arial" w:cs="Arial" w:eastAsia="Arial" w:hAnsi="Arial"/>
          <w:sz w:val="14"/>
          <w:szCs w:val="14"/>
          <w:color w:val="auto"/>
        </w:rPr>
        <w:t>(approximately 70 attributes) paired with customer interaction data. This data highlights growth opportunities for brands as well as areas for improvement.</w:t>
      </w:r>
    </w:p>
    <w:p>
      <w:pPr>
        <w:spacing w:after="0" w:line="156" w:lineRule="exact"/>
        <w:rPr>
          <w:sz w:val="20"/>
          <w:szCs w:val="20"/>
          <w:color w:val="auto"/>
        </w:rPr>
      </w:pPr>
    </w:p>
    <w:p>
      <w:pPr>
        <w:ind w:right="640"/>
        <w:spacing w:after="0" w:line="290" w:lineRule="auto"/>
        <w:rPr>
          <w:sz w:val="20"/>
          <w:szCs w:val="20"/>
          <w:color w:val="auto"/>
        </w:rPr>
      </w:pPr>
      <w:r>
        <w:rPr>
          <w:rFonts w:ascii="Arial" w:cs="Arial" w:eastAsia="Arial" w:hAnsi="Arial"/>
          <w:sz w:val="14"/>
          <w:szCs w:val="14"/>
          <w:color w:val="auto"/>
        </w:rPr>
        <w:t>Our data also allows us to continually optimize the return on investment on products and customer lifetime value, which are dependent on the following inputs, all of which continuously improve as our business scales.</w:t>
      </w:r>
    </w:p>
    <w:p>
      <w:pPr>
        <w:spacing w:after="0" w:line="184" w:lineRule="exact"/>
        <w:rPr>
          <w:sz w:val="20"/>
          <w:szCs w:val="20"/>
          <w:color w:val="auto"/>
        </w:rPr>
      </w:pPr>
    </w:p>
    <w:p>
      <w:pPr>
        <w:ind w:left="520" w:right="60" w:hanging="260"/>
        <w:spacing w:after="0" w:line="284"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Scientific Product Acquisition: </w:t>
      </w:r>
      <w:r>
        <w:rPr>
          <w:rFonts w:ascii="Arial" w:cs="Arial" w:eastAsia="Arial" w:hAnsi="Arial"/>
          <w:sz w:val="14"/>
          <w:szCs w:val="14"/>
          <w:color w:val="auto"/>
        </w:rPr>
        <w:t>Our data provides a comprehensive picture of our products by bringing together customer feedback, operations data and inherent product</w:t>
      </w:r>
      <w:r>
        <w:rPr>
          <w:rFonts w:ascii="Arial" w:cs="Arial" w:eastAsia="Arial" w:hAnsi="Arial"/>
          <w:sz w:val="14"/>
          <w:szCs w:val="14"/>
          <w:b w:val="1"/>
          <w:bCs w:val="1"/>
          <w:color w:val="auto"/>
        </w:rPr>
        <w:t xml:space="preserve"> </w:t>
      </w:r>
      <w:r>
        <w:rPr>
          <w:rFonts w:ascii="Arial" w:cs="Arial" w:eastAsia="Arial" w:hAnsi="Arial"/>
          <w:sz w:val="14"/>
          <w:szCs w:val="14"/>
          <w:color w:val="auto"/>
        </w:rPr>
        <w:t>attributes. Our analytics teams utilize this data to optimize the styles we need and the quantity per style.</w:t>
      </w:r>
    </w:p>
    <w:p>
      <w:pPr>
        <w:ind w:left="520" w:right="200" w:hanging="260"/>
        <w:spacing w:after="0" w:line="27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Price Optimization: </w:t>
      </w:r>
      <w:r>
        <w:rPr>
          <w:rFonts w:ascii="Arial" w:cs="Arial" w:eastAsia="Arial" w:hAnsi="Arial"/>
          <w:sz w:val="14"/>
          <w:szCs w:val="14"/>
          <w:color w:val="auto"/>
        </w:rPr>
        <w:t>Our dynamic pricing algorithm optimizes how our products are consumed across Subscription, Reserve rentals and Resale by taking into account</w:t>
      </w:r>
      <w:r>
        <w:rPr>
          <w:rFonts w:ascii="Arial" w:cs="Arial" w:eastAsia="Arial" w:hAnsi="Arial"/>
          <w:sz w:val="14"/>
          <w:szCs w:val="14"/>
          <w:b w:val="1"/>
          <w:bCs w:val="1"/>
          <w:color w:val="auto"/>
        </w:rPr>
        <w:t xml:space="preserve"> </w:t>
      </w:r>
      <w:r>
        <w:rPr>
          <w:rFonts w:ascii="Arial" w:cs="Arial" w:eastAsia="Arial" w:hAnsi="Arial"/>
          <w:sz w:val="14"/>
          <w:szCs w:val="14"/>
          <w:color w:val="auto"/>
        </w:rPr>
        <w:t>demand signals and the expected useful life and turns of each item. We have the flexibility to optimize prices for revenue, gross margin and product return on investment based on the business needs.</w:t>
      </w:r>
    </w:p>
    <w:p>
      <w:pPr>
        <w:spacing w:after="0" w:line="6" w:lineRule="exact"/>
        <w:rPr>
          <w:rFonts w:ascii="Arial" w:cs="Arial" w:eastAsia="Arial" w:hAnsi="Arial"/>
          <w:sz w:val="14"/>
          <w:szCs w:val="14"/>
          <w:color w:val="auto"/>
        </w:rPr>
      </w:pPr>
    </w:p>
    <w:p>
      <w:pPr>
        <w:ind w:left="520" w:right="480" w:hanging="260"/>
        <w:spacing w:after="0" w:line="284"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Lower Cost Product: </w:t>
      </w:r>
      <w:r>
        <w:rPr>
          <w:rFonts w:ascii="Arial" w:cs="Arial" w:eastAsia="Arial" w:hAnsi="Arial"/>
          <w:sz w:val="14"/>
          <w:szCs w:val="14"/>
          <w:color w:val="auto"/>
        </w:rPr>
        <w:t>We leverage our data to create highly desirable Exclusive Designs in collaboration with our brand partners, influencers and celebrities that we</w:t>
      </w:r>
      <w:r>
        <w:rPr>
          <w:rFonts w:ascii="Arial" w:cs="Arial" w:eastAsia="Arial" w:hAnsi="Arial"/>
          <w:sz w:val="14"/>
          <w:szCs w:val="14"/>
          <w:b w:val="1"/>
          <w:bCs w:val="1"/>
          <w:color w:val="auto"/>
        </w:rPr>
        <w:t xml:space="preserve"> </w:t>
      </w:r>
      <w:r>
        <w:rPr>
          <w:rFonts w:ascii="Arial" w:cs="Arial" w:eastAsia="Arial" w:hAnsi="Arial"/>
          <w:sz w:val="14"/>
          <w:szCs w:val="14"/>
          <w:color w:val="auto"/>
        </w:rPr>
        <w:t>manufacture to be more durable at significantly lower cost.</w:t>
      </w:r>
    </w:p>
    <w:p>
      <w:pPr>
        <w:ind w:left="520" w:right="280" w:hanging="260"/>
        <w:spacing w:after="0" w:line="290"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Longer Product Life: </w:t>
      </w:r>
      <w:r>
        <w:rPr>
          <w:rFonts w:ascii="Arial" w:cs="Arial" w:eastAsia="Arial" w:hAnsi="Arial"/>
          <w:sz w:val="14"/>
          <w:szCs w:val="14"/>
          <w:color w:val="auto"/>
        </w:rPr>
        <w:t>Our feedback to brands helps us customize for higher longevity of our products - we understand how to clean and care for garments to maximize</w:t>
      </w:r>
      <w:r>
        <w:rPr>
          <w:rFonts w:ascii="Arial" w:cs="Arial" w:eastAsia="Arial" w:hAnsi="Arial"/>
          <w:sz w:val="14"/>
          <w:szCs w:val="14"/>
          <w:b w:val="1"/>
          <w:bCs w:val="1"/>
          <w:color w:val="auto"/>
        </w:rPr>
        <w:t xml:space="preserve"> </w:t>
      </w:r>
      <w:r>
        <w:rPr>
          <w:rFonts w:ascii="Arial" w:cs="Arial" w:eastAsia="Arial" w:hAnsi="Arial"/>
          <w:sz w:val="14"/>
          <w:szCs w:val="14"/>
          <w:color w:val="auto"/>
        </w:rPr>
        <w:t>multi-year monetization and incremental turns per unit.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Data Science Capabilities and Algorithms</w:t>
      </w:r>
    </w:p>
    <w:p>
      <w:pPr>
        <w:spacing w:after="0" w:line="92"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Data is the fabric of Rent the Runway and powers our technology, logistics and data science efforts across all parts of our business, from recommender systems to pricing algorithms and forecasting. We have created 40+ data science algorithms that help us continuously achieve better outcomes for the business including in two of our biggest levers: customer lifetime value and product monetization.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Some of our most impactful proprietary algorithms include:</w:t>
      </w:r>
    </w:p>
    <w:p>
      <w:pPr>
        <w:spacing w:after="0" w:line="200"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Deep 1:1 Personalization: </w:t>
      </w:r>
      <w:r>
        <w:rPr>
          <w:rFonts w:ascii="Arial" w:cs="Arial" w:eastAsia="Arial" w:hAnsi="Arial"/>
          <w:sz w:val="14"/>
          <w:szCs w:val="14"/>
          <w:color w:val="auto"/>
        </w:rPr>
        <w:t>For each customer and item, we compute several scores that measure the affinity of item and customer through factorization machines and</w:t>
      </w:r>
    </w:p>
    <w:p>
      <w:pPr>
        <w:spacing w:after="0" w:line="22" w:lineRule="exact"/>
        <w:rPr>
          <w:rFonts w:ascii="Arial" w:cs="Arial" w:eastAsia="Arial" w:hAnsi="Arial"/>
          <w:sz w:val="14"/>
          <w:szCs w:val="14"/>
          <w:color w:val="auto"/>
        </w:rPr>
      </w:pPr>
    </w:p>
    <w:p>
      <w:pPr>
        <w:ind w:left="520" w:right="20"/>
        <w:spacing w:after="0" w:line="253" w:lineRule="auto"/>
        <w:rPr>
          <w:rFonts w:ascii="Arial" w:cs="Arial" w:eastAsia="Arial" w:hAnsi="Arial"/>
          <w:sz w:val="14"/>
          <w:szCs w:val="14"/>
          <w:color w:val="auto"/>
        </w:rPr>
      </w:pPr>
      <w:r>
        <w:rPr>
          <w:rFonts w:ascii="Arial" w:cs="Arial" w:eastAsia="Arial" w:hAnsi="Arial"/>
          <w:sz w:val="14"/>
          <w:szCs w:val="14"/>
          <w:color w:val="auto"/>
        </w:rPr>
        <w:t>deep learning. We leverage these personalization scores across the business to: rank products on our subscriber personalized storefront and in search results, recommend a specific size within a style on product pages, compute general product relevance at the subscriber level and inform product acquisition, inform sizing of new apparel designs with our brand partners and more.</w:t>
      </w:r>
    </w:p>
    <w:p>
      <w:pPr>
        <w:ind w:left="520" w:right="60" w:hanging="260"/>
        <w:spacing w:after="0" w:line="253"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Retention Predictive Model: </w:t>
      </w:r>
      <w:r>
        <w:rPr>
          <w:rFonts w:ascii="Arial" w:cs="Arial" w:eastAsia="Arial" w:hAnsi="Arial"/>
          <w:sz w:val="14"/>
          <w:szCs w:val="14"/>
          <w:color w:val="auto"/>
        </w:rPr>
        <w:t>We leverage a retention predictive model to understand the relative importance of various drivers of loyalty and long-term value, at the single</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 level to understand which interventions have the highest probability of improving customer retention. We regularly leverage this data to experiment with different approaches to retain customers based on this model in a targeted and personalized way.</w:t>
      </w:r>
    </w:p>
    <w:p>
      <w:pPr>
        <w:ind w:left="520" w:right="80" w:hanging="260"/>
        <w:spacing w:after="0" w:line="261"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Computer Vision for Products: </w:t>
      </w:r>
      <w:r>
        <w:rPr>
          <w:rFonts w:ascii="Arial" w:cs="Arial" w:eastAsia="Arial" w:hAnsi="Arial"/>
          <w:sz w:val="14"/>
          <w:szCs w:val="14"/>
          <w:color w:val="auto"/>
        </w:rPr>
        <w:t>For each style in our assortment, we generate an embedding with over 2,000 visual style dimensions using deep learning that capture</w:t>
      </w:r>
      <w:r>
        <w:rPr>
          <w:rFonts w:ascii="Arial" w:cs="Arial" w:eastAsia="Arial" w:hAnsi="Arial"/>
          <w:sz w:val="14"/>
          <w:szCs w:val="14"/>
          <w:b w:val="1"/>
          <w:bCs w:val="1"/>
          <w:color w:val="auto"/>
        </w:rPr>
        <w:t xml:space="preserve"> </w:t>
      </w:r>
      <w:r>
        <w:rPr>
          <w:rFonts w:ascii="Arial" w:cs="Arial" w:eastAsia="Arial" w:hAnsi="Arial"/>
          <w:sz w:val="14"/>
          <w:szCs w:val="14"/>
          <w:color w:val="auto"/>
        </w:rPr>
        <w:t>color, pattern shape, sleeve length, etc. We leverage this data as a feature in our recommender systems, to cluster styles to inform product acquisition and provide product attributes in our product catalog amongst other uses.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Technology and Logistics Advantage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have built a cohesive platform that pairs proprietary and third-party software with differentiated infrastructure and hardware all tailored to the sharing economy of physical goods.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Our proprietary software and key integrations with third-parties leverage our vast and unique dataset to optimize key outcomes for RTR.</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Proprietary and Third-Party Software and Systems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We have purpose-built technology to support three key areas of our business:</w:t>
      </w:r>
    </w:p>
    <w:p>
      <w:pPr>
        <w:spacing w:after="0" w:line="200"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Customer Facing e-Commerce (including 2-Way e-Commerce)</w:t>
      </w:r>
    </w:p>
    <w:p>
      <w:pPr>
        <w:spacing w:after="0" w:line="22"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Rental Reverse Logistics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Merchandising &amp; Products Control</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Customer Facing e-Commerce (including 2-Way e-commerce)</w:t>
      </w:r>
    </w:p>
    <w:p>
      <w:pPr>
        <w:spacing w:after="0" w:line="92"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We have a 2-way relationship with our customers — in that nearly every item is returned and the customer provides feedback. We have built a custom frontend platform that supports Subscription, Reserve and Resale in one cohesive experience for the customer, which allows us to optimize our product offering for the customer based on her needs.</w:t>
      </w:r>
    </w:p>
    <w:p>
      <w:pPr>
        <w:spacing w:after="0" w:line="35"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In fiscal year 2022, we made improvements across our technology stack, including completing our migration to the cloud, to enable greater scale, enhanced resiliency and faster site speed. We are focused on continuing to improve the performance of our website and mobile application, including increasing site speed and reliability to improve the customer experience and keep pace with industry standards.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Rental Reverse Logistics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We designed our patented technology to support the processes in our fulfillment centers and ensure that we can process orders efficiently and extend the useful life of our products.</w:t>
      </w:r>
    </w:p>
    <w:p>
      <w:pPr>
        <w:spacing w:after="0" w:line="200"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Garment Science:</w:t>
      </w:r>
    </w:p>
    <w:p>
      <w:pPr>
        <w:spacing w:after="0" w:line="22" w:lineRule="exact"/>
        <w:rPr>
          <w:rFonts w:ascii="Arial" w:cs="Arial" w:eastAsia="Arial" w:hAnsi="Arial"/>
          <w:sz w:val="14"/>
          <w:szCs w:val="14"/>
          <w:b w:val="1"/>
          <w:bCs w:val="1"/>
          <w:color w:val="auto"/>
        </w:rPr>
      </w:pPr>
    </w:p>
    <w:p>
      <w:pPr>
        <w:ind w:left="1020" w:hanging="251"/>
        <w:spacing w:after="0"/>
        <w:tabs>
          <w:tab w:leader="none" w:pos="1020" w:val="left"/>
        </w:tabs>
        <w:numPr>
          <w:ilvl w:val="1"/>
          <w:numId w:val="14"/>
        </w:numPr>
        <w:rPr>
          <w:rFonts w:ascii="Arial" w:cs="Arial" w:eastAsia="Arial" w:hAnsi="Arial"/>
          <w:sz w:val="14"/>
          <w:szCs w:val="14"/>
          <w:color w:val="auto"/>
        </w:rPr>
      </w:pPr>
      <w:r>
        <w:rPr>
          <w:rFonts w:ascii="Arial" w:cs="Arial" w:eastAsia="Arial" w:hAnsi="Arial"/>
          <w:sz w:val="14"/>
          <w:szCs w:val="14"/>
          <w:color w:val="auto"/>
        </w:rPr>
        <w:t>Cleaning Intelligence: We have over a decade of data and expertise in optimizing the life of a garment by leveraging different cleaning and care methods.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4"/>
        </w:numPr>
        <w:rPr>
          <w:rFonts w:ascii="Arial" w:cs="Arial" w:eastAsia="Arial" w:hAnsi="Arial"/>
          <w:sz w:val="14"/>
          <w:szCs w:val="14"/>
          <w:color w:val="auto"/>
        </w:rPr>
      </w:pPr>
      <w:r>
        <w:rPr>
          <w:rFonts w:ascii="Arial" w:cs="Arial" w:eastAsia="Arial" w:hAnsi="Arial"/>
          <w:sz w:val="14"/>
          <w:szCs w:val="14"/>
          <w:color w:val="auto"/>
        </w:rPr>
        <w:t>Cleaning Automation: Automation supports dynamic sorting of items into as many as 23 different cleaning programs.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4"/>
        </w:numPr>
        <w:rPr>
          <w:rFonts w:ascii="Arial" w:cs="Arial" w:eastAsia="Arial" w:hAnsi="Arial"/>
          <w:sz w:val="14"/>
          <w:szCs w:val="14"/>
          <w:color w:val="auto"/>
        </w:rPr>
      </w:pPr>
      <w:r>
        <w:rPr>
          <w:rFonts w:ascii="Arial" w:cs="Arial" w:eastAsia="Arial" w:hAnsi="Arial"/>
          <w:sz w:val="14"/>
          <w:szCs w:val="14"/>
          <w:color w:val="auto"/>
        </w:rPr>
        <w:t>Garment Care and Restoration: All units undergo one or more quality audits before being available to rent for the next customer.</w:t>
      </w:r>
    </w:p>
    <w:p>
      <w:pPr>
        <w:spacing w:after="0" w:line="37" w:lineRule="exact"/>
        <w:rPr>
          <w:rFonts w:ascii="Arial" w:cs="Arial" w:eastAsia="Arial" w:hAnsi="Arial"/>
          <w:sz w:val="14"/>
          <w:szCs w:val="14"/>
          <w:color w:val="auto"/>
        </w:rPr>
      </w:pPr>
    </w:p>
    <w:p>
      <w:pPr>
        <w:ind w:left="520" w:right="160" w:hanging="260"/>
        <w:spacing w:after="0" w:line="27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Intelligent Fulfillment Network</w:t>
      </w:r>
      <w:r>
        <w:rPr>
          <w:rFonts w:ascii="Arial" w:cs="Arial" w:eastAsia="Arial" w:hAnsi="Arial"/>
          <w:sz w:val="14"/>
          <w:szCs w:val="14"/>
          <w:color w:val="auto"/>
        </w:rPr>
        <w:t>: Our unified booking engine, the “brain” of our distribution capabilities, dynamically manages decisions such as which fulfillment center to</w:t>
      </w:r>
      <w:r>
        <w:rPr>
          <w:rFonts w:ascii="Arial" w:cs="Arial" w:eastAsia="Arial" w:hAnsi="Arial"/>
          <w:sz w:val="14"/>
          <w:szCs w:val="14"/>
          <w:b w:val="1"/>
          <w:bCs w:val="1"/>
          <w:color w:val="auto"/>
        </w:rPr>
        <w:t xml:space="preserve"> </w:t>
      </w:r>
      <w:r>
        <w:rPr>
          <w:rFonts w:ascii="Arial" w:cs="Arial" w:eastAsia="Arial" w:hAnsi="Arial"/>
          <w:sz w:val="14"/>
          <w:szCs w:val="14"/>
          <w:color w:val="auto"/>
        </w:rPr>
        <w:t>ship a unit from or which transportation type to select to reduce cost. We are therefore able to maintain uptime throughout the year, such as during snowstorms or power outages by moving demand to another facility.</w:t>
      </w:r>
    </w:p>
    <w:p>
      <w:pPr>
        <w:spacing w:after="0" w:line="6" w:lineRule="exact"/>
        <w:rPr>
          <w:rFonts w:ascii="Arial" w:cs="Arial" w:eastAsia="Arial" w:hAnsi="Arial"/>
          <w:sz w:val="14"/>
          <w:szCs w:val="14"/>
          <w:color w:val="auto"/>
        </w:rPr>
      </w:pPr>
    </w:p>
    <w:p>
      <w:pPr>
        <w:ind w:left="520" w:right="220" w:hanging="260"/>
        <w:spacing w:after="0" w:line="27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 xml:space="preserve">Optimized Storage: </w:t>
      </w:r>
      <w:r>
        <w:rPr>
          <w:rFonts w:ascii="Arial" w:cs="Arial" w:eastAsia="Arial" w:hAnsi="Arial"/>
          <w:sz w:val="14"/>
          <w:szCs w:val="14"/>
          <w:color w:val="auto"/>
        </w:rPr>
        <w:t>Garments and accessories are stored in multi-story pick modules that utilize both on-hanger and flat pack storage solutions. All items are stored</w:t>
      </w:r>
      <w:r>
        <w:rPr>
          <w:rFonts w:ascii="Arial" w:cs="Arial" w:eastAsia="Arial" w:hAnsi="Arial"/>
          <w:sz w:val="14"/>
          <w:szCs w:val="14"/>
          <w:b w:val="1"/>
          <w:bCs w:val="1"/>
          <w:color w:val="auto"/>
        </w:rPr>
        <w:t xml:space="preserve"> </w:t>
      </w:r>
      <w:r>
        <w:rPr>
          <w:rFonts w:ascii="Arial" w:cs="Arial" w:eastAsia="Arial" w:hAnsi="Arial"/>
          <w:sz w:val="14"/>
          <w:szCs w:val="14"/>
          <w:color w:val="auto"/>
        </w:rPr>
        <w:t>randomly, maximizing the utilization of cubic storage space. Random storage allows for efficient putaway of garments and dynamically created pick paths that save labor cost.</w:t>
      </w:r>
    </w:p>
    <w:p>
      <w:pPr>
        <w:spacing w:after="0" w:line="6" w:lineRule="exact"/>
        <w:rPr>
          <w:rFonts w:ascii="Arial" w:cs="Arial" w:eastAsia="Arial" w:hAnsi="Arial"/>
          <w:sz w:val="14"/>
          <w:szCs w:val="14"/>
          <w:color w:val="auto"/>
        </w:rPr>
      </w:pPr>
    </w:p>
    <w:p>
      <w:pPr>
        <w:ind w:left="520" w:hanging="260"/>
        <w:spacing w:after="0" w:line="27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 xml:space="preserve">RFID: </w:t>
      </w:r>
      <w:r>
        <w:rPr>
          <w:rFonts w:ascii="Arial" w:cs="Arial" w:eastAsia="Arial" w:hAnsi="Arial"/>
          <w:sz w:val="14"/>
          <w:szCs w:val="14"/>
          <w:color w:val="auto"/>
        </w:rPr>
        <w:t>We tag each unit and all reusable garment bags with RFID tags, which increases throughput, reduces cost, improves rental product control and enables new forms of</w:t>
      </w:r>
      <w:r>
        <w:rPr>
          <w:rFonts w:ascii="Arial" w:cs="Arial" w:eastAsia="Arial" w:hAnsi="Arial"/>
          <w:sz w:val="14"/>
          <w:szCs w:val="14"/>
          <w:b w:val="1"/>
          <w:bCs w:val="1"/>
          <w:color w:val="auto"/>
        </w:rPr>
        <w:t xml:space="preserve"> </w:t>
      </w:r>
      <w:r>
        <w:rPr>
          <w:rFonts w:ascii="Arial" w:cs="Arial" w:eastAsia="Arial" w:hAnsi="Arial"/>
          <w:sz w:val="14"/>
          <w:szCs w:val="14"/>
          <w:color w:val="auto"/>
        </w:rPr>
        <w:t>automation. Since launching RFID tags in 2021, hundreds of thousands of scans each day are created by these tags in a fraction of a second, replacing manual barcode scans that took much longer.</w:t>
      </w:r>
    </w:p>
    <w:p>
      <w:pPr>
        <w:spacing w:after="0" w:line="6" w:lineRule="exact"/>
        <w:rPr>
          <w:rFonts w:ascii="Arial" w:cs="Arial" w:eastAsia="Arial" w:hAnsi="Arial"/>
          <w:sz w:val="14"/>
          <w:szCs w:val="14"/>
          <w:color w:val="auto"/>
        </w:rPr>
      </w:pPr>
    </w:p>
    <w:p>
      <w:pPr>
        <w:ind w:left="520" w:right="220" w:hanging="260"/>
        <w:spacing w:after="0" w:line="284"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 xml:space="preserve">Fulfillment Efficiency: </w:t>
      </w:r>
      <w:r>
        <w:rPr>
          <w:rFonts w:ascii="Arial" w:cs="Arial" w:eastAsia="Arial" w:hAnsi="Arial"/>
          <w:sz w:val="14"/>
          <w:szCs w:val="14"/>
          <w:color w:val="auto"/>
        </w:rPr>
        <w:t>We have automated various parts of the fulfillment process including picking, order consolidation and packing. Our fulfillment engine dynamically</w:t>
      </w:r>
      <w:r>
        <w:rPr>
          <w:rFonts w:ascii="Arial" w:cs="Arial" w:eastAsia="Arial" w:hAnsi="Arial"/>
          <w:sz w:val="14"/>
          <w:szCs w:val="14"/>
          <w:b w:val="1"/>
          <w:bCs w:val="1"/>
          <w:color w:val="auto"/>
        </w:rPr>
        <w:t xml:space="preserve"> </w:t>
      </w:r>
      <w:r>
        <w:rPr>
          <w:rFonts w:ascii="Arial" w:cs="Arial" w:eastAsia="Arial" w:hAnsi="Arial"/>
          <w:sz w:val="14"/>
          <w:szCs w:val="14"/>
          <w:color w:val="auto"/>
        </w:rPr>
        <w:t>prioritizes customer orders based on promised delivery date, transportation departure schedules and available capacity.</w:t>
      </w:r>
    </w:p>
    <w:p>
      <w:pPr>
        <w:ind w:left="520" w:right="40" w:hanging="260"/>
        <w:spacing w:after="0" w:line="290"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 xml:space="preserve">Transportation Innovation: </w:t>
      </w:r>
      <w:r>
        <w:rPr>
          <w:rFonts w:ascii="Arial" w:cs="Arial" w:eastAsia="Arial" w:hAnsi="Arial"/>
          <w:sz w:val="14"/>
          <w:szCs w:val="14"/>
          <w:color w:val="auto"/>
        </w:rPr>
        <w:t>Convenient places to return rentals are an important part of our customer experience. We have invested in an inbound network that allows our</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customers to return their items via national returns logistics providers and our at-home pickup program.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Merchandising and Product Control</w:t>
      </w:r>
    </w:p>
    <w:p>
      <w:pPr>
        <w:spacing w:after="0" w:line="9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proprietary product catalog system is the backbone of our rental product management. A flexible taxonomy supports myriad types of products which goes well beyond women’s fashion, and allows us to ingest and manage items at the SKU level, functionality that does not typically exist in off-the-shelf inventory management systems. This system uses a combination of manual and dynamic image-algorithm-driven attribution to assign product attributes per style, making the ingestion of new styles into the Rent the Runway catalog fast and easy without sacrificing valuable data collection. The catalog serves as the starting point for products at RTR, and drives many areas of the Rent the Runway website and operation including quality control, search, navigation, and filtering. In fiscal year 2022, we completed key foundational work to connect this system into our on-site search and discovery experiences and we are focused on continuing to leverage this system to further improve the customer experience.</w:t>
      </w:r>
    </w:p>
    <w:p>
      <w:pPr>
        <w:spacing w:after="0" w:line="163"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While we have built the majority of our circular platform, we strategically leverage third-party software for commodity functionality where our problems are not unique. These include pieces of the customer experience, customer service tools and enterprise resource planning capabilities.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Logistics Infrastructure</w:t>
      </w:r>
    </w:p>
    <w:p>
      <w:pPr>
        <w:spacing w:after="0" w:line="9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Within our warehouses, we have integrated best-in-class garment care equipment, internally and externally developed software and proprietary cleaning programs to deliver high-end garment processing at massive scale. We have also built large-scale, innovative automation and other processes for garment storage, picking, shipping, receiving and restoration of garments to excellent condition. These processes result in labor and other cost savings, while increasing our total shipment capacity and increasing the total lifetime of products, our biggest asset.</w:t>
      </w:r>
    </w:p>
    <w:p>
      <w:pPr>
        <w:spacing w:after="0" w:line="159" w:lineRule="exact"/>
        <w:rPr>
          <w:sz w:val="20"/>
          <w:szCs w:val="20"/>
          <w:color w:val="auto"/>
        </w:rPr>
      </w:pPr>
    </w:p>
    <w:p>
      <w:pPr>
        <w:jc w:val="both"/>
        <w:ind w:left="520" w:right="160" w:hanging="260"/>
        <w:spacing w:after="0" w:line="26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Strategic Distribution: </w:t>
      </w:r>
      <w:r>
        <w:rPr>
          <w:rFonts w:ascii="Arial" w:cs="Arial" w:eastAsia="Arial" w:hAnsi="Arial"/>
          <w:sz w:val="14"/>
          <w:szCs w:val="14"/>
          <w:color w:val="auto"/>
        </w:rPr>
        <w:t>We have two fulfillment centers, in Arlington, Texas and Secaucus, New Jersey totaling 540,000 square feet. We have the capacity to store more</w:t>
      </w:r>
      <w:r>
        <w:rPr>
          <w:rFonts w:ascii="Arial" w:cs="Arial" w:eastAsia="Arial" w:hAnsi="Arial"/>
          <w:sz w:val="14"/>
          <w:szCs w:val="14"/>
          <w:b w:val="1"/>
          <w:bCs w:val="1"/>
          <w:color w:val="auto"/>
        </w:rPr>
        <w:t xml:space="preserve"> </w:t>
      </w:r>
      <w:r>
        <w:rPr>
          <w:rFonts w:ascii="Arial" w:cs="Arial" w:eastAsia="Arial" w:hAnsi="Arial"/>
          <w:sz w:val="14"/>
          <w:szCs w:val="14"/>
          <w:color w:val="auto"/>
        </w:rPr>
        <w:t>than two million garments and accessories on multiple floors across our fulfillment centers. We aim to deliver industry leading fulfillment promises with a goal of delivering orders within two to three business days.</w:t>
      </w:r>
    </w:p>
    <w:p>
      <w:pPr>
        <w:ind w:left="520" w:right="520" w:hanging="260"/>
        <w:spacing w:after="0" w:line="253"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Garment Care Hardware: </w:t>
      </w:r>
      <w:r>
        <w:rPr>
          <w:rFonts w:ascii="Arial" w:cs="Arial" w:eastAsia="Arial" w:hAnsi="Arial"/>
          <w:sz w:val="14"/>
          <w:szCs w:val="14"/>
          <w:color w:val="auto"/>
        </w:rPr>
        <w:t>Our facilities are equipped with a curated set of over 450 pieces of digitally integrated garment care hardware including wet cleaning, dry</w:t>
      </w:r>
      <w:r>
        <w:rPr>
          <w:rFonts w:ascii="Arial" w:cs="Arial" w:eastAsia="Arial" w:hAnsi="Arial"/>
          <w:sz w:val="14"/>
          <w:szCs w:val="14"/>
          <w:b w:val="1"/>
          <w:bCs w:val="1"/>
          <w:color w:val="auto"/>
        </w:rPr>
        <w:t xml:space="preserve"> </w:t>
      </w:r>
      <w:r>
        <w:rPr>
          <w:rFonts w:ascii="Arial" w:cs="Arial" w:eastAsia="Arial" w:hAnsi="Arial"/>
          <w:sz w:val="14"/>
          <w:szCs w:val="14"/>
          <w:color w:val="auto"/>
        </w:rPr>
        <w:t>cleaning and spray cleaning machines; dryers, steam tunnels, pressers, spotting boards, auto-baggers and commercial sewing machines.</w:t>
      </w:r>
    </w:p>
    <w:p>
      <w:pPr>
        <w:ind w:left="520" w:hanging="260"/>
        <w:spacing w:after="0" w:line="253"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Processing: </w:t>
      </w:r>
      <w:r>
        <w:rPr>
          <w:rFonts w:ascii="Arial" w:cs="Arial" w:eastAsia="Arial" w:hAnsi="Arial"/>
          <w:sz w:val="14"/>
          <w:szCs w:val="14"/>
          <w:color w:val="auto"/>
        </w:rPr>
        <w:t>Garments flow through the facility on both rail and belt-driven conveyance guided by RFID tags linked to a massive array of cleaning instructions set by our</w:t>
      </w:r>
      <w:r>
        <w:rPr>
          <w:rFonts w:ascii="Arial" w:cs="Arial" w:eastAsia="Arial" w:hAnsi="Arial"/>
          <w:sz w:val="14"/>
          <w:szCs w:val="14"/>
          <w:b w:val="1"/>
          <w:bCs w:val="1"/>
          <w:color w:val="auto"/>
        </w:rPr>
        <w:t xml:space="preserve"> </w:t>
      </w:r>
      <w:r>
        <w:rPr>
          <w:rFonts w:ascii="Arial" w:cs="Arial" w:eastAsia="Arial" w:hAnsi="Arial"/>
          <w:sz w:val="14"/>
          <w:szCs w:val="14"/>
          <w:color w:val="auto"/>
        </w:rPr>
        <w:t>proprietary operating system. A variety of item types are sorted based on cleaning, storage and repair methods. After discrete processing, they fall back into continuous flow and random storage, which drives labor efficiency and maximizes use of physical space.</w:t>
      </w:r>
    </w:p>
    <w:p>
      <w:pPr>
        <w:ind w:left="520" w:hanging="260"/>
        <w:spacing w:after="0" w:line="253"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Proven Scalability: </w:t>
      </w:r>
      <w:r>
        <w:rPr>
          <w:rFonts w:ascii="Arial" w:cs="Arial" w:eastAsia="Arial" w:hAnsi="Arial"/>
          <w:sz w:val="14"/>
          <w:szCs w:val="14"/>
          <w:color w:val="auto"/>
        </w:rPr>
        <w:t>Our infrastructure is highly scalable and we expect our weekly processing capacity to increase over time. We believe that the process improvements</w:t>
      </w:r>
      <w:r>
        <w:rPr>
          <w:rFonts w:ascii="Arial" w:cs="Arial" w:eastAsia="Arial" w:hAnsi="Arial"/>
          <w:sz w:val="14"/>
          <w:szCs w:val="14"/>
          <w:b w:val="1"/>
          <w:bCs w:val="1"/>
          <w:color w:val="auto"/>
        </w:rPr>
        <w:t xml:space="preserve"> </w:t>
      </w:r>
      <w:r>
        <w:rPr>
          <w:rFonts w:ascii="Arial" w:cs="Arial" w:eastAsia="Arial" w:hAnsi="Arial"/>
          <w:sz w:val="14"/>
          <w:szCs w:val="14"/>
          <w:color w:val="auto"/>
        </w:rPr>
        <w:t>we have made have enabled us to expand our capacity to handle approximately 4x our active subscriber count at the end of fiscal year 2022 in our two current facilities with minimal investment.</w:t>
      </w:r>
    </w:p>
    <w:p>
      <w:pPr>
        <w:ind w:left="520" w:hanging="260"/>
        <w:spacing w:after="0" w:line="26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Transportation Management: </w:t>
      </w:r>
      <w:r>
        <w:rPr>
          <w:rFonts w:ascii="Arial" w:cs="Arial" w:eastAsia="Arial" w:hAnsi="Arial"/>
          <w:sz w:val="14"/>
          <w:szCs w:val="14"/>
          <w:color w:val="auto"/>
        </w:rPr>
        <w:t>We partner with a variety of national, regional and local last mile service providers in order to close the loop between our fulfillment centers</w:t>
      </w:r>
      <w:r>
        <w:rPr>
          <w:rFonts w:ascii="Arial" w:cs="Arial" w:eastAsia="Arial" w:hAnsi="Arial"/>
          <w:sz w:val="14"/>
          <w:szCs w:val="14"/>
          <w:b w:val="1"/>
          <w:bCs w:val="1"/>
          <w:color w:val="auto"/>
        </w:rPr>
        <w:t xml:space="preserve"> </w:t>
      </w:r>
      <w:r>
        <w:rPr>
          <w:rFonts w:ascii="Arial" w:cs="Arial" w:eastAsia="Arial" w:hAnsi="Arial"/>
          <w:sz w:val="14"/>
          <w:szCs w:val="14"/>
          <w:color w:val="auto"/>
        </w:rPr>
        <w:t>and our customers. We also offer at-home pickup through local couriers across 34 markets, covering 60% of our subscriber base as of January 31, 2023. Our transportation management system allows us to rate shop across these providers and opt into the best shipping method based upon cost and capacity.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2023 Strategy</w:t>
      </w:r>
    </w:p>
    <w:p>
      <w:pPr>
        <w:spacing w:after="0" w:line="200" w:lineRule="exact"/>
        <w:rPr>
          <w:sz w:val="20"/>
          <w:szCs w:val="20"/>
          <w:color w:val="auto"/>
        </w:rPr>
      </w:pPr>
    </w:p>
    <w:p>
      <w:pPr>
        <w:ind w:right="300"/>
        <w:spacing w:after="0" w:line="271" w:lineRule="auto"/>
        <w:rPr>
          <w:sz w:val="20"/>
          <w:szCs w:val="20"/>
          <w:color w:val="auto"/>
        </w:rPr>
      </w:pPr>
      <w:r>
        <w:rPr>
          <w:rFonts w:ascii="Arial" w:cs="Arial" w:eastAsia="Arial" w:hAnsi="Arial"/>
          <w:sz w:val="14"/>
          <w:szCs w:val="14"/>
          <w:color w:val="auto"/>
        </w:rPr>
        <w:t>Our belief is that we can drive future growth by investing in and improving the customer experience. Unlike traditional e-commerce companies, we are an experience-based company that our subscribers engage with multiple times a week. Our goal is to make customers’ time spent with Rent the Runway as efficient and delightful as possible and to continue to invest in our customer value proposition.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We are focused on three strategic pillars for growth in 2023:</w:t>
      </w:r>
    </w:p>
    <w:p>
      <w:pPr>
        <w:spacing w:after="0" w:line="200"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Inventory She Wants, When She Wants It: Enhancing the availability of the items on our site and increasing the depth of our buys.</w:t>
      </w:r>
    </w:p>
    <w:p>
      <w:pPr>
        <w:spacing w:after="0" w:line="22"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Best in Class Product Discovery: Prioritizing search and discovery features and tools to make finding that perfect item a more efficient, engaging and fun experience.</w:t>
      </w:r>
    </w:p>
    <w:p>
      <w:pPr>
        <w:spacing w:after="0" w:line="8" w:lineRule="exact"/>
        <w:rPr>
          <w:rFonts w:ascii="Arial" w:cs="Arial" w:eastAsia="Arial" w:hAnsi="Arial"/>
          <w:sz w:val="14"/>
          <w:szCs w:val="14"/>
          <w:color w:val="auto"/>
        </w:rPr>
      </w:pPr>
    </w:p>
    <w:p>
      <w:pPr>
        <w:ind w:left="520" w:right="200" w:hanging="260"/>
        <w:spacing w:after="0" w:line="269"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Efficient and Easy-to-Use Experience: Providing additional onboarding support for new subscribers and improving the performance of our website, mobile site and mobile application, including increasing site speed and reliability.</w:t>
      </w:r>
    </w:p>
    <w:p>
      <w:pPr>
        <w:spacing w:after="0" w:line="15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plan to introduce additional features, tools, and enhancements in support of these strategic pillars throughout fiscal year 2023. For example, beginning in March 2023, in support of our customer experience improvement goals, we changed our Subscription programs by adding an extra item to each shipment per plan at no extra cost to our subscribers. This means that our base Subscription programs offer 25% more value for the same price. We believe that there is strategic value in giving her more items in her Subscription, because we have observed from our data and testing that providing an additional item drives higher loyalty and engagement.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ESG (Environmental, Social, and Governance) Impact Strategy</w:t>
      </w:r>
    </w:p>
    <w:p>
      <w:pPr>
        <w:spacing w:after="0" w:line="189"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color w:val="auto"/>
        </w:rPr>
        <w:t>We believe that shared access to fashion has the power to curb the negative environmental and social impacts that stem from excess in the fashion industry. Driving positive impact is core to our business model: allowing our customers to buy less and wear more.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Below are key operational updates we made in fiscal year 2022 as part of our business strategy that we believe help drive Rent the Runway’s positive ESG impact:</w:t>
      </w:r>
    </w:p>
    <w:p>
      <w:pPr>
        <w:spacing w:after="0" w:line="189" w:lineRule="exact"/>
        <w:rPr>
          <w:sz w:val="20"/>
          <w:szCs w:val="20"/>
          <w:color w:val="auto"/>
        </w:rPr>
      </w:pPr>
    </w:p>
    <w:p>
      <w:pPr>
        <w:ind w:left="520" w:right="60" w:hanging="260"/>
        <w:spacing w:after="0" w:line="247"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introduced new garment bags, which are made from recycled material and do not require wet cleaning, reducing our water usage. They were designed to be more durable and last longer, which means we expect to manufacture fewer of them and, in turn, believe that we can reduce the carbon footprint associated with their production.</w:t>
      </w:r>
    </w:p>
    <w:p>
      <w:pPr>
        <w:ind w:left="520" w:right="260" w:hanging="260"/>
        <w:spacing w:after="0" w:line="229"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expanded our at-home pickup offering, which we believe can reduce the overall carbon emissions associated with our customer returns, as it consolidates the return process.</w:t>
      </w:r>
    </w:p>
    <w:p>
      <w:pPr>
        <w:ind w:left="520" w:right="220" w:hanging="260"/>
        <w:spacing w:after="0" w:line="253"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made enhancements to our cleaning processes that result in less wear and tear on our garments and reduce our use of water and cleaning solutions as compared to prior years.</w:t>
      </w:r>
    </w:p>
    <w:p>
      <w:pPr>
        <w:spacing w:after="0" w:line="156"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color w:val="auto"/>
        </w:rPr>
        <w:t>In addition to these operational changes, we have developed an Impact Strategy that is intended to expand and deepen our positive impact while advancing and complementing our business strategy. Below is an update on our progress toward this strategy in fiscal year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7168515" cy="4581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8515" cy="458152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4"/>
          <w:szCs w:val="14"/>
          <w:color w:val="FFFFFF"/>
        </w:rPr>
        <w:t>Ambition 1: We will harness the power of our business model to set the standard for sustainable fashion.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shd w:val="clear" w:color="auto" w:fill="60C265"/>
          </w:tcPr>
          <w:p>
            <w:pPr>
              <w:ind w:left="20"/>
              <w:spacing w:after="0"/>
              <w:rPr>
                <w:sz w:val="20"/>
                <w:szCs w:val="20"/>
                <w:color w:val="auto"/>
              </w:rPr>
            </w:pPr>
            <w:r>
              <w:rPr>
                <w:rFonts w:ascii="Arial" w:cs="Arial" w:eastAsia="Arial" w:hAnsi="Arial"/>
                <w:sz w:val="14"/>
                <w:szCs w:val="14"/>
                <w:b w:val="1"/>
                <w:bCs w:val="1"/>
                <w:color w:val="auto"/>
              </w:rPr>
              <w:t>Priority</w:t>
            </w:r>
          </w:p>
        </w:tc>
        <w:tc>
          <w:tcPr>
            <w:tcW w:w="2220" w:type="dxa"/>
            <w:vAlign w:val="bottom"/>
            <w:shd w:val="clear" w:color="auto" w:fill="60C265"/>
          </w:tcPr>
          <w:p>
            <w:pPr>
              <w:ind w:left="580"/>
              <w:spacing w:after="0"/>
              <w:rPr>
                <w:sz w:val="20"/>
                <w:szCs w:val="20"/>
                <w:color w:val="auto"/>
              </w:rPr>
            </w:pPr>
            <w:r>
              <w:rPr>
                <w:rFonts w:ascii="Arial" w:cs="Arial" w:eastAsia="Arial" w:hAnsi="Arial"/>
                <w:sz w:val="14"/>
                <w:szCs w:val="14"/>
                <w:b w:val="1"/>
                <w:bCs w:val="1"/>
                <w:color w:val="auto"/>
              </w:rPr>
              <w:t>Goal</w:t>
            </w:r>
          </w:p>
        </w:tc>
        <w:tc>
          <w:tcPr>
            <w:tcW w:w="7940" w:type="dxa"/>
            <w:vAlign w:val="bottom"/>
            <w:shd w:val="clear" w:color="auto" w:fill="60C265"/>
          </w:tcPr>
          <w:p>
            <w:pPr>
              <w:ind w:left="1320"/>
              <w:spacing w:after="0"/>
              <w:rPr>
                <w:sz w:val="20"/>
                <w:szCs w:val="20"/>
                <w:color w:val="auto"/>
              </w:rPr>
            </w:pPr>
            <w:r>
              <w:rPr>
                <w:rFonts w:ascii="Arial" w:cs="Arial" w:eastAsia="Arial" w:hAnsi="Arial"/>
                <w:sz w:val="14"/>
                <w:szCs w:val="14"/>
                <w:b w:val="1"/>
                <w:bCs w:val="1"/>
                <w:color w:val="auto"/>
              </w:rPr>
              <w:t>Notable Progress in Fiscal Year 2022</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6760" w:type="dxa"/>
            <w:vAlign w:val="bottom"/>
          </w:tcPr>
          <w:p>
            <w:pPr>
              <w:ind w:left="120"/>
              <w:spacing w:after="0"/>
              <w:rPr>
                <w:sz w:val="20"/>
                <w:szCs w:val="20"/>
                <w:color w:val="auto"/>
              </w:rPr>
            </w:pPr>
            <w:r>
              <w:rPr>
                <w:rFonts w:ascii="Arial" w:cs="Arial" w:eastAsia="Arial" w:hAnsi="Arial"/>
                <w:sz w:val="14"/>
                <w:szCs w:val="14"/>
                <w:color w:val="auto"/>
              </w:rPr>
              <w:t>We estimate that our business model has displaced the need for new production of 151,523 garments in</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6760" w:type="dxa"/>
            <w:vAlign w:val="bottom"/>
          </w:tcPr>
          <w:p>
            <w:pPr>
              <w:ind w:left="120"/>
              <w:spacing w:after="0"/>
              <w:rPr>
                <w:sz w:val="20"/>
                <w:szCs w:val="20"/>
                <w:color w:val="auto"/>
              </w:rPr>
            </w:pPr>
            <w:r>
              <w:rPr>
                <w:rFonts w:ascii="Arial" w:cs="Arial" w:eastAsia="Arial" w:hAnsi="Arial"/>
                <w:sz w:val="14"/>
                <w:szCs w:val="14"/>
                <w:color w:val="auto"/>
              </w:rPr>
              <w:t>fiscal year 2022.</w:t>
            </w:r>
          </w:p>
        </w:tc>
        <w:tc>
          <w:tcPr>
            <w:tcW w:w="0" w:type="dxa"/>
            <w:vAlign w:val="bottom"/>
          </w:tcPr>
          <w:p>
            <w:pPr>
              <w:spacing w:after="0"/>
              <w:rPr>
                <w:sz w:val="1"/>
                <w:szCs w:val="1"/>
                <w:color w:val="auto"/>
              </w:rPr>
            </w:pPr>
          </w:p>
        </w:tc>
      </w:tr>
      <w:tr>
        <w:trPr>
          <w:trHeight w:val="291"/>
        </w:trPr>
        <w:tc>
          <w:tcPr>
            <w:tcW w:w="2860" w:type="dxa"/>
            <w:vAlign w:val="bottom"/>
          </w:tcPr>
          <w:p>
            <w:pPr>
              <w:spacing w:after="0"/>
              <w:rPr>
                <w:sz w:val="24"/>
                <w:szCs w:val="24"/>
                <w:color w:val="auto"/>
              </w:rPr>
            </w:pPr>
          </w:p>
        </w:tc>
        <w:tc>
          <w:tcPr>
            <w:tcW w:w="6760" w:type="dxa"/>
            <w:vAlign w:val="bottom"/>
          </w:tcPr>
          <w:p>
            <w:pPr>
              <w:ind w:left="120"/>
              <w:spacing w:after="0"/>
              <w:rPr>
                <w:sz w:val="20"/>
                <w:szCs w:val="20"/>
                <w:color w:val="auto"/>
              </w:rPr>
            </w:pPr>
            <w:r>
              <w:rPr>
                <w:rFonts w:ascii="Arial" w:cs="Arial" w:eastAsia="Arial" w:hAnsi="Arial"/>
                <w:sz w:val="14"/>
                <w:szCs w:val="14"/>
                <w:color w:val="auto"/>
              </w:rPr>
              <w:t>Our business model is at the center of how we displace new garment production:</w:t>
            </w:r>
          </w:p>
        </w:tc>
        <w:tc>
          <w:tcPr>
            <w:tcW w:w="0" w:type="dxa"/>
            <w:vAlign w:val="bottom"/>
          </w:tcPr>
          <w:p>
            <w:pPr>
              <w:spacing w:after="0"/>
              <w:rPr>
                <w:sz w:val="1"/>
                <w:szCs w:val="1"/>
                <w:color w:val="auto"/>
              </w:rPr>
            </w:pPr>
          </w:p>
        </w:tc>
      </w:tr>
      <w:tr>
        <w:trPr>
          <w:trHeight w:val="138"/>
        </w:trPr>
        <w:tc>
          <w:tcPr>
            <w:tcW w:w="2860" w:type="dxa"/>
            <w:vAlign w:val="bottom"/>
          </w:tcPr>
          <w:p>
            <w:pPr>
              <w:spacing w:after="0"/>
              <w:rPr>
                <w:sz w:val="11"/>
                <w:szCs w:val="11"/>
                <w:color w:val="auto"/>
              </w:rPr>
            </w:pPr>
          </w:p>
        </w:tc>
        <w:tc>
          <w:tcPr>
            <w:tcW w:w="6760" w:type="dxa"/>
            <w:vAlign w:val="bottom"/>
          </w:tcPr>
          <w:p>
            <w:pPr>
              <w:ind w:left="380"/>
              <w:spacing w:after="0" w:line="138" w:lineRule="exact"/>
              <w:rPr>
                <w:sz w:val="20"/>
                <w:szCs w:val="20"/>
                <w:color w:val="auto"/>
              </w:rPr>
            </w:pPr>
            <w:r>
              <w:rPr>
                <w:rFonts w:ascii="Arial" w:cs="Arial" w:eastAsia="Arial" w:hAnsi="Arial"/>
                <w:sz w:val="14"/>
                <w:szCs w:val="14"/>
                <w:color w:val="auto"/>
              </w:rPr>
              <w:t>•   It encourages customers to rent versus purchasing new, and this results in behavior changes</w:t>
            </w: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6760" w:type="dxa"/>
            <w:vAlign w:val="bottom"/>
          </w:tcPr>
          <w:p>
            <w:pPr>
              <w:ind w:left="620"/>
              <w:spacing w:after="0" w:line="145" w:lineRule="exact"/>
              <w:rPr>
                <w:sz w:val="20"/>
                <w:szCs w:val="20"/>
                <w:color w:val="auto"/>
              </w:rPr>
            </w:pPr>
            <w:r>
              <w:rPr>
                <w:rFonts w:ascii="Arial" w:cs="Arial" w:eastAsia="Arial" w:hAnsi="Arial"/>
                <w:sz w:val="14"/>
                <w:szCs w:val="14"/>
                <w:color w:val="auto"/>
              </w:rPr>
              <w:t>from our customers. 82% of subscribers say they buy fewer clothes than they did prior to joining</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6760" w:type="dxa"/>
            <w:vAlign w:val="bottom"/>
          </w:tcPr>
          <w:p>
            <w:pPr>
              <w:ind w:left="620"/>
              <w:spacing w:after="0" w:line="142" w:lineRule="exact"/>
              <w:rPr>
                <w:sz w:val="20"/>
                <w:szCs w:val="20"/>
                <w:color w:val="auto"/>
              </w:rPr>
            </w:pPr>
            <w:r>
              <w:rPr>
                <w:rFonts w:ascii="Arial" w:cs="Arial" w:eastAsia="Arial" w:hAnsi="Arial"/>
                <w:sz w:val="14"/>
                <w:szCs w:val="14"/>
                <w:color w:val="auto"/>
              </w:rPr>
              <w:t>RTR.</w:t>
            </w:r>
          </w:p>
        </w:tc>
        <w:tc>
          <w:tcPr>
            <w:tcW w:w="0" w:type="dxa"/>
            <w:vAlign w:val="bottom"/>
          </w:tcPr>
          <w:p>
            <w:pPr>
              <w:spacing w:after="0"/>
              <w:rPr>
                <w:sz w:val="1"/>
                <w:szCs w:val="1"/>
                <w:color w:val="auto"/>
              </w:rPr>
            </w:pPr>
          </w:p>
        </w:tc>
      </w:tr>
      <w:tr>
        <w:trPr>
          <w:trHeight w:val="138"/>
        </w:trPr>
        <w:tc>
          <w:tcPr>
            <w:tcW w:w="2860" w:type="dxa"/>
            <w:vAlign w:val="bottom"/>
          </w:tcPr>
          <w:p>
            <w:pPr>
              <w:spacing w:after="0"/>
              <w:rPr>
                <w:sz w:val="11"/>
                <w:szCs w:val="11"/>
                <w:color w:val="auto"/>
              </w:rPr>
            </w:pPr>
          </w:p>
        </w:tc>
        <w:tc>
          <w:tcPr>
            <w:tcW w:w="6760" w:type="dxa"/>
            <w:vAlign w:val="bottom"/>
          </w:tcPr>
          <w:p>
            <w:pPr>
              <w:ind w:left="380"/>
              <w:spacing w:after="0" w:line="138" w:lineRule="exact"/>
              <w:rPr>
                <w:sz w:val="20"/>
                <w:szCs w:val="20"/>
                <w:color w:val="auto"/>
              </w:rPr>
            </w:pPr>
            <w:r>
              <w:rPr>
                <w:rFonts w:ascii="Arial" w:cs="Arial" w:eastAsia="Arial" w:hAnsi="Arial"/>
                <w:sz w:val="14"/>
                <w:szCs w:val="14"/>
                <w:color w:val="auto"/>
              </w:rPr>
              <w:t>•   It improves the longevity of our clothing, driving higher clothing utilization, which directly</w:t>
            </w: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6760" w:type="dxa"/>
            <w:vAlign w:val="bottom"/>
          </w:tcPr>
          <w:p>
            <w:pPr>
              <w:ind w:left="620"/>
              <w:spacing w:after="0" w:line="145" w:lineRule="exact"/>
              <w:rPr>
                <w:sz w:val="20"/>
                <w:szCs w:val="20"/>
                <w:color w:val="auto"/>
              </w:rPr>
            </w:pPr>
            <w:r>
              <w:rPr>
                <w:rFonts w:ascii="Arial" w:cs="Arial" w:eastAsia="Arial" w:hAnsi="Arial"/>
                <w:sz w:val="14"/>
                <w:szCs w:val="14"/>
                <w:color w:val="auto"/>
              </w:rPr>
              <w:t>correlates with how we monetize our products.</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6760" w:type="dxa"/>
            <w:vAlign w:val="bottom"/>
          </w:tcPr>
          <w:p>
            <w:pPr>
              <w:ind w:left="380"/>
              <w:spacing w:after="0" w:line="142" w:lineRule="exact"/>
              <w:rPr>
                <w:sz w:val="20"/>
                <w:szCs w:val="20"/>
                <w:color w:val="auto"/>
              </w:rPr>
            </w:pPr>
            <w:r>
              <w:rPr>
                <w:rFonts w:ascii="Arial" w:cs="Arial" w:eastAsia="Arial" w:hAnsi="Arial"/>
                <w:sz w:val="14"/>
                <w:szCs w:val="14"/>
                <w:color w:val="auto"/>
              </w:rPr>
              <w:t>•   In order to further increase the longevity of our garments, our team of experts performed an</w:t>
            </w:r>
          </w:p>
        </w:tc>
        <w:tc>
          <w:tcPr>
            <w:tcW w:w="0" w:type="dxa"/>
            <w:vAlign w:val="bottom"/>
          </w:tcPr>
          <w:p>
            <w:pPr>
              <w:spacing w:after="0"/>
              <w:rPr>
                <w:sz w:val="1"/>
                <w:szCs w:val="1"/>
                <w:color w:val="auto"/>
              </w:rPr>
            </w:pPr>
          </w:p>
        </w:tc>
      </w:tr>
      <w:tr>
        <w:trPr>
          <w:trHeight w:val="138"/>
        </w:trPr>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Displace the need for new production of</w:t>
            </w:r>
          </w:p>
        </w:tc>
        <w:tc>
          <w:tcPr>
            <w:tcW w:w="6760" w:type="dxa"/>
            <w:vAlign w:val="bottom"/>
          </w:tcPr>
          <w:p>
            <w:pPr>
              <w:ind w:left="620"/>
              <w:spacing w:after="0" w:line="138" w:lineRule="exact"/>
              <w:rPr>
                <w:sz w:val="20"/>
                <w:szCs w:val="20"/>
                <w:color w:val="auto"/>
              </w:rPr>
            </w:pPr>
            <w:r>
              <w:rPr>
                <w:rFonts w:ascii="Arial" w:cs="Arial" w:eastAsia="Arial" w:hAnsi="Arial"/>
                <w:sz w:val="14"/>
                <w:szCs w:val="14"/>
                <w:color w:val="auto"/>
              </w:rPr>
              <w:t>estimated 1.1 million repairs in fiscal year 2022 to keep our garments in rentable condition, which</w:t>
            </w:r>
          </w:p>
        </w:tc>
        <w:tc>
          <w:tcPr>
            <w:tcW w:w="0" w:type="dxa"/>
            <w:vAlign w:val="bottom"/>
          </w:tcPr>
          <w:p>
            <w:pPr>
              <w:spacing w:after="0"/>
              <w:rPr>
                <w:sz w:val="1"/>
                <w:szCs w:val="1"/>
                <w:color w:val="auto"/>
              </w:rPr>
            </w:pPr>
          </w:p>
        </w:tc>
      </w:tr>
      <w:tr>
        <w:trPr>
          <w:trHeight w:val="138"/>
        </w:trPr>
        <w:tc>
          <w:tcPr>
            <w:tcW w:w="2860" w:type="dxa"/>
            <w:vAlign w:val="bottom"/>
            <w:vMerge w:val="continue"/>
          </w:tcPr>
          <w:p>
            <w:pPr>
              <w:spacing w:after="0"/>
              <w:rPr>
                <w:sz w:val="11"/>
                <w:szCs w:val="11"/>
                <w:color w:val="auto"/>
              </w:rPr>
            </w:pPr>
          </w:p>
        </w:tc>
        <w:tc>
          <w:tcPr>
            <w:tcW w:w="6760" w:type="dxa"/>
            <w:vAlign w:val="bottom"/>
          </w:tcPr>
          <w:p>
            <w:pPr>
              <w:ind w:left="620"/>
              <w:spacing w:after="0" w:line="138" w:lineRule="exact"/>
              <w:rPr>
                <w:sz w:val="20"/>
                <w:szCs w:val="20"/>
                <w:color w:val="auto"/>
              </w:rPr>
            </w:pPr>
            <w:r>
              <w:rPr>
                <w:rFonts w:ascii="Arial" w:cs="Arial" w:eastAsia="Arial" w:hAnsi="Arial"/>
                <w:sz w:val="14"/>
                <w:szCs w:val="14"/>
                <w:color w:val="auto"/>
              </w:rPr>
              <w:t>we believe drives higher clothing utilization, and in turn directly correlates to how we monetize our</w:t>
            </w:r>
          </w:p>
        </w:tc>
        <w:tc>
          <w:tcPr>
            <w:tcW w:w="0" w:type="dxa"/>
            <w:vAlign w:val="bottom"/>
          </w:tcPr>
          <w:p>
            <w:pPr>
              <w:spacing w:after="0"/>
              <w:rPr>
                <w:sz w:val="1"/>
                <w:szCs w:val="1"/>
                <w:color w:val="auto"/>
              </w:rPr>
            </w:pPr>
          </w:p>
        </w:tc>
      </w:tr>
      <w:tr>
        <w:trPr>
          <w:trHeight w:val="191"/>
        </w:trPr>
        <w:tc>
          <w:tcPr>
            <w:tcW w:w="2860" w:type="dxa"/>
            <w:vAlign w:val="bottom"/>
            <w:tcBorders>
              <w:bottom w:val="single" w:sz="8" w:color="auto"/>
            </w:tcBorders>
          </w:tcPr>
          <w:p>
            <w:pPr>
              <w:ind w:left="20"/>
              <w:spacing w:after="0" w:line="191" w:lineRule="exact"/>
              <w:rPr>
                <w:sz w:val="20"/>
                <w:szCs w:val="20"/>
                <w:color w:val="auto"/>
              </w:rPr>
            </w:pPr>
            <w:r>
              <w:rPr>
                <w:rFonts w:ascii="Arial" w:cs="Arial" w:eastAsia="Arial" w:hAnsi="Arial"/>
                <w:sz w:val="14"/>
                <w:szCs w:val="14"/>
                <w:color w:val="auto"/>
              </w:rPr>
              <w:t>500,000 garments by fiscal year end 2026.</w:t>
            </w:r>
            <w:r>
              <w:rPr>
                <w:rFonts w:ascii="Arial" w:cs="Arial" w:eastAsia="Arial" w:hAnsi="Arial"/>
                <w:sz w:val="18"/>
                <w:szCs w:val="18"/>
                <w:color w:val="auto"/>
                <w:vertAlign w:val="superscript"/>
              </w:rPr>
              <w:t>5</w:t>
            </w:r>
          </w:p>
        </w:tc>
        <w:tc>
          <w:tcPr>
            <w:tcW w:w="6760" w:type="dxa"/>
            <w:vAlign w:val="bottom"/>
            <w:tcBorders>
              <w:bottom w:val="single" w:sz="8" w:color="auto"/>
            </w:tcBorders>
          </w:tcPr>
          <w:p>
            <w:pPr>
              <w:ind w:left="620"/>
              <w:spacing w:after="0" w:line="191" w:lineRule="exact"/>
              <w:rPr>
                <w:sz w:val="20"/>
                <w:szCs w:val="20"/>
                <w:color w:val="auto"/>
              </w:rPr>
            </w:pPr>
            <w:r>
              <w:rPr>
                <w:rFonts w:ascii="Arial" w:cs="Arial" w:eastAsia="Arial" w:hAnsi="Arial"/>
                <w:sz w:val="14"/>
                <w:szCs w:val="14"/>
                <w:color w:val="auto"/>
              </w:rPr>
              <w:t>products.</w:t>
            </w:r>
            <w:r>
              <w:rPr>
                <w:rFonts w:ascii="Arial" w:cs="Arial" w:eastAsia="Arial" w:hAnsi="Arial"/>
                <w:sz w:val="18"/>
                <w:szCs w:val="18"/>
                <w:color w:val="auto"/>
                <w:vertAlign w:val="superscript"/>
              </w:rPr>
              <w:t>6</w:t>
            </w:r>
          </w:p>
        </w:tc>
        <w:tc>
          <w:tcPr>
            <w:tcW w:w="0" w:type="dxa"/>
            <w:vAlign w:val="bottom"/>
          </w:tcPr>
          <w:p>
            <w:pPr>
              <w:spacing w:after="0"/>
              <w:rPr>
                <w:sz w:val="1"/>
                <w:szCs w:val="1"/>
                <w:color w:val="auto"/>
              </w:rPr>
            </w:pPr>
          </w:p>
        </w:tc>
      </w:tr>
      <w:tr>
        <w:trPr>
          <w:trHeight w:val="447"/>
        </w:trPr>
        <w:tc>
          <w:tcPr>
            <w:tcW w:w="2860" w:type="dxa"/>
            <w:vAlign w:val="bottom"/>
          </w:tcPr>
          <w:p>
            <w:pPr>
              <w:spacing w:after="0"/>
              <w:rPr>
                <w:sz w:val="24"/>
                <w:szCs w:val="24"/>
                <w:color w:val="auto"/>
              </w:rPr>
            </w:pPr>
          </w:p>
        </w:tc>
        <w:tc>
          <w:tcPr>
            <w:tcW w:w="6760" w:type="dxa"/>
            <w:vAlign w:val="bottom"/>
          </w:tcPr>
          <w:p>
            <w:pPr>
              <w:ind w:left="120"/>
              <w:spacing w:after="0"/>
              <w:rPr>
                <w:sz w:val="20"/>
                <w:szCs w:val="20"/>
                <w:color w:val="auto"/>
              </w:rPr>
            </w:pPr>
            <w:r>
              <w:rPr>
                <w:rFonts w:ascii="Arial" w:cs="Arial" w:eastAsia="Arial" w:hAnsi="Arial"/>
                <w:sz w:val="14"/>
                <w:szCs w:val="14"/>
                <w:color w:val="auto"/>
              </w:rPr>
              <w:t>Our Scope 1 and Scope 2 greenhouse gas emissions were as follows:</w:t>
            </w: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6760" w:type="dxa"/>
            <w:vAlign w:val="bottom"/>
          </w:tcPr>
          <w:p>
            <w:pPr>
              <w:ind w:left="380"/>
              <w:spacing w:after="0" w:line="145" w:lineRule="exact"/>
              <w:rPr>
                <w:sz w:val="20"/>
                <w:szCs w:val="20"/>
                <w:color w:val="auto"/>
              </w:rPr>
            </w:pPr>
            <w:r>
              <w:rPr>
                <w:rFonts w:ascii="Arial" w:cs="Arial" w:eastAsia="Arial" w:hAnsi="Arial"/>
                <w:sz w:val="14"/>
                <w:szCs w:val="14"/>
                <w:color w:val="auto"/>
              </w:rPr>
              <w:t>•   Scope 1 - 546 tonnes CO2e</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6760" w:type="dxa"/>
            <w:vAlign w:val="bottom"/>
          </w:tcPr>
          <w:p>
            <w:pPr>
              <w:ind w:left="380"/>
              <w:spacing w:after="0" w:line="142" w:lineRule="exact"/>
              <w:rPr>
                <w:sz w:val="20"/>
                <w:szCs w:val="20"/>
                <w:color w:val="auto"/>
              </w:rPr>
            </w:pPr>
            <w:r>
              <w:rPr>
                <w:rFonts w:ascii="Arial" w:cs="Arial" w:eastAsia="Arial" w:hAnsi="Arial"/>
                <w:sz w:val="14"/>
                <w:szCs w:val="14"/>
                <w:color w:val="auto"/>
              </w:rPr>
              <w:t>•   Scope 2 location - 468 tonnes CO2e</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6760" w:type="dxa"/>
            <w:vAlign w:val="bottom"/>
          </w:tcPr>
          <w:p>
            <w:pPr>
              <w:ind w:left="380"/>
              <w:spacing w:after="0"/>
              <w:rPr>
                <w:sz w:val="20"/>
                <w:szCs w:val="20"/>
                <w:color w:val="auto"/>
              </w:rPr>
            </w:pPr>
            <w:r>
              <w:rPr>
                <w:rFonts w:ascii="Arial" w:cs="Arial" w:eastAsia="Arial" w:hAnsi="Arial"/>
                <w:sz w:val="14"/>
                <w:szCs w:val="14"/>
                <w:color w:val="auto"/>
              </w:rPr>
              <w:t>•   Scope 2 market - 502 tonnes CO2e</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left="4300"/>
        <w:spacing w:after="0"/>
        <w:rPr>
          <w:sz w:val="20"/>
          <w:szCs w:val="20"/>
          <w:color w:val="auto"/>
        </w:rPr>
      </w:pPr>
      <w:r>
        <w:rPr>
          <w:rFonts w:ascii="Arial" w:cs="Arial" w:eastAsia="Arial" w:hAnsi="Arial"/>
          <w:sz w:val="14"/>
          <w:szCs w:val="14"/>
          <w:color w:val="auto"/>
        </w:rPr>
        <w:t>Of our Scope 2 emissions:</w:t>
      </w:r>
    </w:p>
    <w:p>
      <w:pPr>
        <w:ind w:left="5160" w:hanging="250"/>
        <w:spacing w:after="0" w:line="207" w:lineRule="auto"/>
        <w:tabs>
          <w:tab w:leader="none" w:pos="51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energy consumed was 1,414 MWh</w:t>
      </w:r>
    </w:p>
    <w:p>
      <w:pPr>
        <w:ind w:left="5160" w:hanging="250"/>
        <w:spacing w:after="0" w:line="205" w:lineRule="auto"/>
        <w:tabs>
          <w:tab w:leader="none" w:pos="51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Percentage of grid electricity was 100%</w:t>
      </w:r>
    </w:p>
    <w:p>
      <w:pPr>
        <w:ind w:left="5160" w:hanging="250"/>
        <w:spacing w:after="0"/>
        <w:tabs>
          <w:tab w:leader="none" w:pos="51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Percentage of renewable energy was 1.82%</w:t>
      </w:r>
    </w:p>
    <w:p>
      <w:pPr>
        <w:spacing w:after="0" w:line="7"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Power our owned and operated facilities</w:t>
      </w:r>
    </w:p>
    <w:p>
      <w:pPr>
        <w:ind w:left="1700" w:right="500"/>
        <w:spacing w:after="0" w:line="249" w:lineRule="auto"/>
        <w:rPr>
          <w:sz w:val="20"/>
          <w:szCs w:val="20"/>
          <w:color w:val="auto"/>
        </w:rPr>
      </w:pPr>
      <w:r>
        <w:rPr>
          <w:rFonts w:ascii="Arial" w:cs="Arial" w:eastAsia="Arial" w:hAnsi="Arial"/>
          <w:sz w:val="14"/>
          <w:szCs w:val="14"/>
          <w:color w:val="auto"/>
        </w:rPr>
        <w:t>(offices and warehouses) with 100% While we already source 100% renewable energy for our Ireland office, we continue to assess and renewable electricity by fiscal year end 2026. monitor options for renewable energy procurement at our U.S. locations to fulfill our goal.</w:t>
      </w:r>
      <w:r>
        <w:rPr>
          <w:rFonts w:ascii="Arial" w:cs="Arial" w:eastAsia="Arial" w:hAnsi="Arial"/>
          <w:sz w:val="18"/>
          <w:szCs w:val="18"/>
          <w:color w:val="auto"/>
          <w:vertAlign w:val="superscript"/>
        </w:rPr>
        <w:t>7,8</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780" w:type="dxa"/>
            <w:vAlign w:val="bottom"/>
          </w:tcPr>
          <w:p>
            <w:pPr>
              <w:ind w:left="140"/>
              <w:spacing w:after="0"/>
              <w:rPr>
                <w:sz w:val="20"/>
                <w:szCs w:val="20"/>
                <w:color w:val="auto"/>
              </w:rPr>
            </w:pPr>
            <w:r>
              <w:rPr>
                <w:rFonts w:ascii="Arial" w:cs="Arial" w:eastAsia="Arial" w:hAnsi="Arial"/>
                <w:sz w:val="14"/>
                <w:szCs w:val="14"/>
                <w:color w:val="auto"/>
              </w:rPr>
              <w:t>We aim to quantify our Scope 3 greenhouse gas emissions baseline by fiscal year end 2024 in line with</w:t>
            </w: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780" w:type="dxa"/>
            <w:vAlign w:val="bottom"/>
          </w:tcPr>
          <w:p>
            <w:pPr>
              <w:ind w:left="140"/>
              <w:spacing w:after="0"/>
              <w:rPr>
                <w:sz w:val="20"/>
                <w:szCs w:val="20"/>
                <w:color w:val="auto"/>
              </w:rPr>
            </w:pPr>
            <w:r>
              <w:rPr>
                <w:rFonts w:ascii="Arial" w:cs="Arial" w:eastAsia="Arial" w:hAnsi="Arial"/>
                <w:sz w:val="14"/>
                <w:szCs w:val="14"/>
                <w:color w:val="auto"/>
              </w:rPr>
              <w:t>our goal.</w:t>
            </w: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p>
        </w:tc>
        <w:tc>
          <w:tcPr>
            <w:tcW w:w="2840" w:type="dxa"/>
            <w:vAlign w:val="bottom"/>
            <w:vMerge w:val="restart"/>
          </w:tcPr>
          <w:p>
            <w:pPr>
              <w:ind w:left="20"/>
              <w:spacing w:after="0"/>
              <w:rPr>
                <w:sz w:val="20"/>
                <w:szCs w:val="20"/>
                <w:color w:val="auto"/>
              </w:rPr>
            </w:pPr>
            <w:r>
              <w:rPr>
                <w:rFonts w:ascii="Arial" w:cs="Arial" w:eastAsia="Arial" w:hAnsi="Arial"/>
                <w:sz w:val="14"/>
                <w:szCs w:val="14"/>
                <w:color w:val="auto"/>
              </w:rPr>
              <w:t>Quantify our supply chain emissions (i.e.,</w:t>
            </w:r>
          </w:p>
        </w:tc>
        <w:tc>
          <w:tcPr>
            <w:tcW w:w="6780" w:type="dxa"/>
            <w:vAlign w:val="bottom"/>
          </w:tcPr>
          <w:p>
            <w:pPr>
              <w:ind w:left="140"/>
              <w:spacing w:after="0"/>
              <w:rPr>
                <w:sz w:val="20"/>
                <w:szCs w:val="20"/>
                <w:color w:val="auto"/>
              </w:rPr>
            </w:pPr>
            <w:r>
              <w:rPr>
                <w:rFonts w:ascii="Arial" w:cs="Arial" w:eastAsia="Arial" w:hAnsi="Arial"/>
                <w:sz w:val="14"/>
                <w:szCs w:val="14"/>
                <w:color w:val="auto"/>
              </w:rPr>
              <w:t>We quantify a small portion of our Scope 3 emissions related to transportation for shipments to and from</w:t>
            </w:r>
          </w:p>
        </w:tc>
        <w:tc>
          <w:tcPr>
            <w:tcW w:w="0" w:type="dxa"/>
            <w:vAlign w:val="bottom"/>
          </w:tcPr>
          <w:p>
            <w:pPr>
              <w:spacing w:after="0"/>
              <w:rPr>
                <w:sz w:val="1"/>
                <w:szCs w:val="1"/>
                <w:color w:val="auto"/>
              </w:rPr>
            </w:pPr>
          </w:p>
        </w:tc>
      </w:tr>
      <w:tr>
        <w:trPr>
          <w:trHeight w:val="138"/>
        </w:trPr>
        <w:tc>
          <w:tcPr>
            <w:tcW w:w="1660" w:type="dxa"/>
            <w:vAlign w:val="bottom"/>
          </w:tcPr>
          <w:p>
            <w:pPr>
              <w:spacing w:after="0"/>
              <w:rPr>
                <w:sz w:val="11"/>
                <w:szCs w:val="11"/>
                <w:color w:val="auto"/>
              </w:rPr>
            </w:pPr>
          </w:p>
        </w:tc>
        <w:tc>
          <w:tcPr>
            <w:tcW w:w="2840" w:type="dxa"/>
            <w:vAlign w:val="bottom"/>
            <w:vMerge w:val="continue"/>
          </w:tcPr>
          <w:p>
            <w:pPr>
              <w:spacing w:after="0"/>
              <w:rPr>
                <w:sz w:val="11"/>
                <w:szCs w:val="11"/>
                <w:color w:val="auto"/>
              </w:rPr>
            </w:pPr>
          </w:p>
        </w:tc>
        <w:tc>
          <w:tcPr>
            <w:tcW w:w="6780" w:type="dxa"/>
            <w:vAlign w:val="bottom"/>
          </w:tcPr>
          <w:p>
            <w:pPr>
              <w:ind w:left="140"/>
              <w:spacing w:after="0" w:line="138" w:lineRule="exact"/>
              <w:rPr>
                <w:sz w:val="20"/>
                <w:szCs w:val="20"/>
                <w:color w:val="auto"/>
              </w:rPr>
            </w:pPr>
            <w:r>
              <w:rPr>
                <w:rFonts w:ascii="Arial" w:cs="Arial" w:eastAsia="Arial" w:hAnsi="Arial"/>
                <w:sz w:val="14"/>
                <w:szCs w:val="14"/>
                <w:color w:val="auto"/>
              </w:rPr>
              <w:t>customers. In February 2022, we launched a carbon offset program and are purchasing carbon offsets to</w:t>
            </w: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Scope 3 baseline) by fiscal year end 2024.</w:t>
            </w:r>
          </w:p>
        </w:tc>
        <w:tc>
          <w:tcPr>
            <w:tcW w:w="67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compensate for 100% of the estimated carbon emissions created by shipments to and from customers.</w:t>
            </w: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0"/>
                <w:szCs w:val="20"/>
                <w:color w:val="auto"/>
              </w:rPr>
            </w:pPr>
            <w:r>
              <w:rPr>
                <w:rFonts w:ascii="Arial" w:cs="Arial" w:eastAsia="Arial" w:hAnsi="Arial"/>
                <w:sz w:val="14"/>
                <w:szCs w:val="14"/>
                <w:color w:val="auto"/>
              </w:rPr>
              <w:t>1. Reduce carbon</w:t>
            </w:r>
          </w:p>
        </w:tc>
        <w:tc>
          <w:tcPr>
            <w:tcW w:w="284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line="145" w:lineRule="exact"/>
              <w:rPr>
                <w:sz w:val="20"/>
                <w:szCs w:val="20"/>
                <w:color w:val="auto"/>
              </w:rPr>
            </w:pPr>
            <w:r>
              <w:rPr>
                <w:rFonts w:ascii="Arial" w:cs="Arial" w:eastAsia="Arial" w:hAnsi="Arial"/>
                <w:sz w:val="14"/>
                <w:szCs w:val="14"/>
                <w:color w:val="auto"/>
              </w:rPr>
              <w:t>emissions from our</w:t>
            </w:r>
          </w:p>
        </w:tc>
        <w:tc>
          <w:tcPr>
            <w:tcW w:w="2840" w:type="dxa"/>
            <w:vAlign w:val="bottom"/>
            <w:vMerge w:val="restart"/>
          </w:tcPr>
          <w:p>
            <w:pPr>
              <w:ind w:left="20"/>
              <w:spacing w:after="0"/>
              <w:rPr>
                <w:sz w:val="20"/>
                <w:szCs w:val="20"/>
                <w:color w:val="auto"/>
              </w:rPr>
            </w:pPr>
            <w:r>
              <w:rPr>
                <w:rFonts w:ascii="Arial" w:cs="Arial" w:eastAsia="Arial" w:hAnsi="Arial"/>
                <w:sz w:val="14"/>
                <w:szCs w:val="14"/>
                <w:color w:val="auto"/>
              </w:rPr>
              <w:t>Sustainably source 50% of key materials -</w:t>
            </w:r>
          </w:p>
        </w:tc>
        <w:tc>
          <w:tcPr>
            <w:tcW w:w="6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tcPr>
          <w:p>
            <w:pPr>
              <w:spacing w:after="0" w:line="142" w:lineRule="exact"/>
              <w:rPr>
                <w:sz w:val="20"/>
                <w:szCs w:val="20"/>
                <w:color w:val="auto"/>
              </w:rPr>
            </w:pPr>
            <w:r>
              <w:rPr>
                <w:rFonts w:ascii="Arial" w:cs="Arial" w:eastAsia="Arial" w:hAnsi="Arial"/>
                <w:sz w:val="14"/>
                <w:szCs w:val="14"/>
                <w:color w:val="auto"/>
              </w:rPr>
              <w:t>business so that we</w:t>
            </w:r>
          </w:p>
        </w:tc>
        <w:tc>
          <w:tcPr>
            <w:tcW w:w="2840" w:type="dxa"/>
            <w:vAlign w:val="bottom"/>
            <w:vMerge w:val="continue"/>
          </w:tcPr>
          <w:p>
            <w:pPr>
              <w:spacing w:after="0"/>
              <w:rPr>
                <w:sz w:val="12"/>
                <w:szCs w:val="12"/>
                <w:color w:val="auto"/>
              </w:rPr>
            </w:pPr>
          </w:p>
        </w:tc>
        <w:tc>
          <w:tcPr>
            <w:tcW w:w="6780" w:type="dxa"/>
            <w:vAlign w:val="bottom"/>
            <w:vMerge w:val="restart"/>
          </w:tcPr>
          <w:p>
            <w:pPr>
              <w:ind w:left="140"/>
              <w:spacing w:after="0"/>
              <w:rPr>
                <w:sz w:val="20"/>
                <w:szCs w:val="20"/>
                <w:color w:val="auto"/>
              </w:rPr>
            </w:pPr>
            <w:r>
              <w:rPr>
                <w:rFonts w:ascii="Arial" w:cs="Arial" w:eastAsia="Arial" w:hAnsi="Arial"/>
                <w:sz w:val="14"/>
                <w:szCs w:val="14"/>
                <w:color w:val="auto"/>
              </w:rPr>
              <w:t>We actively source sustainable cotton and polyester from our Exclusive Designs suppliers and are</w:t>
            </w:r>
          </w:p>
        </w:tc>
        <w:tc>
          <w:tcPr>
            <w:tcW w:w="0" w:type="dxa"/>
            <w:vAlign w:val="bottom"/>
          </w:tcPr>
          <w:p>
            <w:pPr>
              <w:spacing w:after="0"/>
              <w:rPr>
                <w:sz w:val="1"/>
                <w:szCs w:val="1"/>
                <w:color w:val="auto"/>
              </w:rPr>
            </w:pPr>
          </w:p>
        </w:tc>
      </w:tr>
      <w:tr>
        <w:trPr>
          <w:trHeight w:val="138"/>
        </w:trPr>
        <w:tc>
          <w:tcPr>
            <w:tcW w:w="1660" w:type="dxa"/>
            <w:vAlign w:val="bottom"/>
          </w:tcPr>
          <w:p>
            <w:pPr>
              <w:spacing w:after="0" w:line="138" w:lineRule="exact"/>
              <w:rPr>
                <w:sz w:val="20"/>
                <w:szCs w:val="20"/>
                <w:color w:val="auto"/>
              </w:rPr>
            </w:pPr>
            <w:r>
              <w:rPr>
                <w:rFonts w:ascii="Arial" w:cs="Arial" w:eastAsia="Arial" w:hAnsi="Arial"/>
                <w:sz w:val="14"/>
                <w:szCs w:val="14"/>
                <w:color w:val="auto"/>
              </w:rPr>
              <w:t>operate with net zero</w:t>
            </w:r>
          </w:p>
        </w:tc>
        <w:tc>
          <w:tcPr>
            <w:tcW w:w="2840" w:type="dxa"/>
            <w:vAlign w:val="bottom"/>
          </w:tcPr>
          <w:p>
            <w:pPr>
              <w:ind w:left="20"/>
              <w:spacing w:after="0" w:line="138" w:lineRule="exact"/>
              <w:rPr>
                <w:sz w:val="20"/>
                <w:szCs w:val="20"/>
                <w:color w:val="auto"/>
              </w:rPr>
            </w:pPr>
            <w:r>
              <w:rPr>
                <w:rFonts w:ascii="Arial" w:cs="Arial" w:eastAsia="Arial" w:hAnsi="Arial"/>
                <w:sz w:val="14"/>
                <w:szCs w:val="14"/>
                <w:color w:val="auto"/>
              </w:rPr>
              <w:t>cotton and polyester - we use for Exclusive</w:t>
            </w:r>
          </w:p>
        </w:tc>
        <w:tc>
          <w:tcPr>
            <w:tcW w:w="6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1660" w:type="dxa"/>
            <w:vAlign w:val="bottom"/>
          </w:tcPr>
          <w:p>
            <w:pPr>
              <w:spacing w:after="0"/>
              <w:rPr>
                <w:sz w:val="20"/>
                <w:szCs w:val="20"/>
                <w:color w:val="auto"/>
              </w:rPr>
            </w:pPr>
            <w:r>
              <w:rPr>
                <w:rFonts w:ascii="Arial" w:cs="Arial" w:eastAsia="Arial" w:hAnsi="Arial"/>
                <w:sz w:val="14"/>
                <w:szCs w:val="14"/>
                <w:color w:val="auto"/>
              </w:rPr>
              <w:t>emissions by 2040.</w:t>
            </w:r>
          </w:p>
        </w:tc>
        <w:tc>
          <w:tcPr>
            <w:tcW w:w="2840" w:type="dxa"/>
            <w:vAlign w:val="bottom"/>
          </w:tcPr>
          <w:p>
            <w:pPr>
              <w:ind w:left="20"/>
              <w:spacing w:after="0"/>
              <w:rPr>
                <w:sz w:val="20"/>
                <w:szCs w:val="20"/>
                <w:color w:val="auto"/>
              </w:rPr>
            </w:pPr>
            <w:r>
              <w:rPr>
                <w:rFonts w:ascii="Arial" w:cs="Arial" w:eastAsia="Arial" w:hAnsi="Arial"/>
                <w:sz w:val="14"/>
                <w:szCs w:val="14"/>
                <w:color w:val="auto"/>
              </w:rPr>
              <w:t>Designs by fiscal year end 2026.</w:t>
            </w:r>
            <w:r>
              <w:rPr>
                <w:rFonts w:ascii="Arial" w:cs="Arial" w:eastAsia="Arial" w:hAnsi="Arial"/>
                <w:sz w:val="18"/>
                <w:szCs w:val="18"/>
                <w:color w:val="auto"/>
                <w:vertAlign w:val="superscript"/>
              </w:rPr>
              <w:t>9</w:t>
            </w:r>
          </w:p>
        </w:tc>
        <w:tc>
          <w:tcPr>
            <w:tcW w:w="6780" w:type="dxa"/>
            <w:vAlign w:val="bottom"/>
          </w:tcPr>
          <w:p>
            <w:pPr>
              <w:ind w:left="140"/>
              <w:spacing w:after="0"/>
              <w:rPr>
                <w:sz w:val="20"/>
                <w:szCs w:val="20"/>
                <w:color w:val="auto"/>
              </w:rPr>
            </w:pPr>
            <w:r>
              <w:rPr>
                <w:rFonts w:ascii="Arial" w:cs="Arial" w:eastAsia="Arial" w:hAnsi="Arial"/>
                <w:sz w:val="14"/>
                <w:szCs w:val="14"/>
                <w:color w:val="auto"/>
              </w:rPr>
              <w:t>building processes to accurately calculate the percentage of sustainable materials sourced.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134747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82" w:lineRule="exact"/>
        <w:rPr>
          <w:sz w:val="20"/>
          <w:szCs w:val="20"/>
          <w:color w:val="auto"/>
        </w:rPr>
      </w:pPr>
    </w:p>
    <w:p>
      <w:pPr>
        <w:ind w:right="160" w:firstLine="5"/>
        <w:spacing w:after="0" w:line="247" w:lineRule="auto"/>
        <w:tabs>
          <w:tab w:leader="none" w:pos="88" w:val="left"/>
        </w:tabs>
        <w:numPr>
          <w:ilvl w:val="0"/>
          <w:numId w:val="19"/>
        </w:numPr>
        <w:rPr>
          <w:rFonts w:ascii="Arial" w:cs="Arial" w:eastAsia="Arial" w:hAnsi="Arial"/>
          <w:sz w:val="15"/>
          <w:szCs w:val="15"/>
          <w:color w:val="auto"/>
          <w:vertAlign w:val="superscript"/>
        </w:rPr>
      </w:pPr>
      <w:r>
        <w:rPr>
          <w:rFonts w:ascii="Arial" w:cs="Arial" w:eastAsia="Arial" w:hAnsi="Arial"/>
          <w:sz w:val="11"/>
          <w:szCs w:val="11"/>
          <w:color w:val="auto"/>
        </w:rPr>
        <w:t>Displacement was calculated by taking the displacement rate for each product category then multiplying by the estimated number of units across all product categories from February 1, 2022 through January 31, 2023. Displacement rates are from our 2021 Life Cycle Assessment and calculated by (Rental Wears – Linear Wears) / Linear Wears, where “Rental Wears” is an estimate of the total amount of wears of RTR garments and “Linear Wears” is an estimate of how many garments would have been bought and worn in the traditional manner (which is not a rental model), had the Rental Wears not taken place.</w:t>
      </w:r>
    </w:p>
    <w:p>
      <w:pPr>
        <w:spacing w:after="0" w:line="15" w:lineRule="exact"/>
        <w:rPr>
          <w:sz w:val="20"/>
          <w:szCs w:val="20"/>
          <w:color w:val="auto"/>
        </w:rPr>
      </w:pPr>
    </w:p>
    <w:p>
      <w:pPr>
        <w:ind w:left="100" w:hanging="95"/>
        <w:spacing w:after="0"/>
        <w:tabs>
          <w:tab w:leader="none" w:pos="100" w:val="left"/>
        </w:tabs>
        <w:numPr>
          <w:ilvl w:val="0"/>
          <w:numId w:val="20"/>
        </w:numPr>
        <w:rPr>
          <w:rFonts w:ascii="Arial" w:cs="Arial" w:eastAsia="Arial" w:hAnsi="Arial"/>
          <w:sz w:val="15"/>
          <w:szCs w:val="15"/>
          <w:color w:val="auto"/>
          <w:vertAlign w:val="superscript"/>
        </w:rPr>
      </w:pPr>
      <w:r>
        <w:rPr>
          <w:rFonts w:ascii="Arial" w:cs="Arial" w:eastAsia="Arial" w:hAnsi="Arial"/>
          <w:sz w:val="11"/>
          <w:szCs w:val="11"/>
          <w:color w:val="auto"/>
        </w:rPr>
        <w:t>According to our Member Survey conducted in November 2022, 82% of subscribers say they buy fewer clothes than they did prior to joining RTR.</w:t>
      </w:r>
    </w:p>
    <w:p>
      <w:pPr>
        <w:spacing w:after="0" w:line="53" w:lineRule="exact"/>
        <w:rPr>
          <w:sz w:val="20"/>
          <w:szCs w:val="20"/>
          <w:color w:val="auto"/>
        </w:rPr>
      </w:pPr>
    </w:p>
    <w:p>
      <w:pPr>
        <w:ind w:right="500" w:firstLine="5"/>
        <w:spacing w:after="0" w:line="238" w:lineRule="auto"/>
        <w:tabs>
          <w:tab w:leader="none" w:pos="88" w:val="left"/>
        </w:tabs>
        <w:numPr>
          <w:ilvl w:val="0"/>
          <w:numId w:val="21"/>
        </w:numPr>
        <w:rPr>
          <w:rFonts w:ascii="Arial" w:cs="Arial" w:eastAsia="Arial" w:hAnsi="Arial"/>
          <w:sz w:val="15"/>
          <w:szCs w:val="15"/>
          <w:color w:val="auto"/>
          <w:vertAlign w:val="superscript"/>
        </w:rPr>
      </w:pPr>
      <w:r>
        <w:rPr>
          <w:rFonts w:ascii="Arial" w:cs="Arial" w:eastAsia="Arial" w:hAnsi="Arial"/>
          <w:sz w:val="11"/>
          <w:szCs w:val="11"/>
          <w:color w:val="auto"/>
        </w:rPr>
        <w:t>RTR commissioned an external third party to perform verification procedures with respect to our Scope 1 and Scope 2 emissions and energy metrics for the reporting period. Details and methodology are available at renttherunway.com/impact.</w:t>
      </w:r>
    </w:p>
    <w:p>
      <w:pPr>
        <w:spacing w:after="0" w:line="43" w:lineRule="exact"/>
        <w:rPr>
          <w:sz w:val="20"/>
          <w:szCs w:val="20"/>
          <w:color w:val="auto"/>
        </w:rPr>
      </w:pPr>
    </w:p>
    <w:p>
      <w:pPr>
        <w:ind w:right="80" w:firstLine="5"/>
        <w:spacing w:after="0" w:line="238" w:lineRule="auto"/>
        <w:tabs>
          <w:tab w:leader="none" w:pos="88" w:val="left"/>
        </w:tabs>
        <w:numPr>
          <w:ilvl w:val="0"/>
          <w:numId w:val="22"/>
        </w:numPr>
        <w:rPr>
          <w:rFonts w:ascii="Arial" w:cs="Arial" w:eastAsia="Arial" w:hAnsi="Arial"/>
          <w:sz w:val="15"/>
          <w:szCs w:val="15"/>
          <w:color w:val="auto"/>
          <w:vertAlign w:val="superscript"/>
        </w:rPr>
      </w:pPr>
      <w:r>
        <w:rPr>
          <w:rFonts w:ascii="Arial" w:cs="Arial" w:eastAsia="Arial" w:hAnsi="Arial"/>
          <w:sz w:val="11"/>
          <w:szCs w:val="11"/>
          <w:color w:val="auto"/>
        </w:rPr>
        <w:t>Scope 1 emissions include direct emissions from such things as natural gas and refrigerants used at our facilities. Scope 2 emissions include indirect emissions from the generation of purchased energy for our facilities, such as electricity, heating, and cooling.</w:t>
      </w:r>
    </w:p>
    <w:p>
      <w:pPr>
        <w:spacing w:after="0" w:line="19" w:lineRule="exact"/>
        <w:rPr>
          <w:sz w:val="20"/>
          <w:szCs w:val="20"/>
          <w:color w:val="auto"/>
        </w:rPr>
      </w:pPr>
    </w:p>
    <w:p>
      <w:pPr>
        <w:ind w:left="100" w:hanging="95"/>
        <w:spacing w:after="0"/>
        <w:tabs>
          <w:tab w:leader="none" w:pos="100"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RTR defines sustainable cotton and polyester as: Cotton - Better Cotton Initiative (BCI), organic and recycled; Polyester - recycled</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7168515" cy="3880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8515" cy="3880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Our warehouse operations include general warehouse waste management and product end-of-life</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6800" w:type="dxa"/>
            <w:vAlign w:val="bottom"/>
          </w:tcPr>
          <w:p>
            <w:pPr>
              <w:ind w:left="200"/>
              <w:spacing w:after="0" w:line="145" w:lineRule="exact"/>
              <w:rPr>
                <w:sz w:val="20"/>
                <w:szCs w:val="20"/>
                <w:color w:val="auto"/>
              </w:rPr>
            </w:pPr>
            <w:r>
              <w:rPr>
                <w:rFonts w:ascii="Arial" w:cs="Arial" w:eastAsia="Arial" w:hAnsi="Arial"/>
                <w:sz w:val="14"/>
                <w:szCs w:val="14"/>
                <w:color w:val="auto"/>
              </w:rPr>
              <w:t>management. While we plan to establish a waste baseline for our warehouses in future years so that we</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can achieve our goal, we continue to drive progress, including:</w:t>
            </w:r>
          </w:p>
        </w:tc>
        <w:tc>
          <w:tcPr>
            <w:tcW w:w="0" w:type="dxa"/>
            <w:vAlign w:val="bottom"/>
          </w:tcPr>
          <w:p>
            <w:pPr>
              <w:spacing w:after="0"/>
              <w:rPr>
                <w:sz w:val="1"/>
                <w:szCs w:val="1"/>
                <w:color w:val="auto"/>
              </w:rPr>
            </w:pPr>
          </w:p>
        </w:tc>
      </w:tr>
      <w:tr>
        <w:trPr>
          <w:trHeight w:val="285"/>
        </w:trPr>
        <w:tc>
          <w:tcPr>
            <w:tcW w:w="2760" w:type="dxa"/>
            <w:vAlign w:val="bottom"/>
          </w:tcPr>
          <w:p>
            <w:pPr>
              <w:spacing w:after="0"/>
              <w:rPr>
                <w:sz w:val="24"/>
                <w:szCs w:val="24"/>
                <w:color w:val="auto"/>
              </w:rPr>
            </w:pPr>
          </w:p>
        </w:tc>
        <w:tc>
          <w:tcPr>
            <w:tcW w:w="6800" w:type="dxa"/>
            <w:vAlign w:val="bottom"/>
          </w:tcPr>
          <w:p>
            <w:pPr>
              <w:ind w:left="200"/>
              <w:spacing w:after="0"/>
              <w:rPr>
                <w:sz w:val="20"/>
                <w:szCs w:val="20"/>
                <w:color w:val="auto"/>
              </w:rPr>
            </w:pPr>
            <w:r>
              <w:rPr>
                <w:rFonts w:ascii="Arial" w:cs="Arial" w:eastAsia="Arial" w:hAnsi="Arial"/>
                <w:sz w:val="14"/>
                <w:szCs w:val="14"/>
                <w:i w:val="1"/>
                <w:iCs w:val="1"/>
                <w:color w:val="auto"/>
              </w:rPr>
              <w:t>General Warehouse Waste Management</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6800" w:type="dxa"/>
            <w:vAlign w:val="bottom"/>
          </w:tcPr>
          <w:p>
            <w:pPr>
              <w:ind w:left="200"/>
              <w:spacing w:after="0" w:line="145" w:lineRule="exact"/>
              <w:rPr>
                <w:sz w:val="20"/>
                <w:szCs w:val="20"/>
                <w:color w:val="auto"/>
              </w:rPr>
            </w:pPr>
            <w:r>
              <w:rPr>
                <w:rFonts w:ascii="Arial" w:cs="Arial" w:eastAsia="Arial" w:hAnsi="Arial"/>
                <w:sz w:val="14"/>
                <w:szCs w:val="14"/>
                <w:color w:val="auto"/>
              </w:rPr>
              <w:t>We continue to partner with a third party, Trex Company, Inc. (“Trex”) to recycle the plastic garment</w:t>
            </w: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6800" w:type="dxa"/>
            <w:vAlign w:val="bottom"/>
          </w:tcPr>
          <w:p>
            <w:pPr>
              <w:ind w:left="200"/>
              <w:spacing w:after="0" w:line="142" w:lineRule="exact"/>
              <w:rPr>
                <w:sz w:val="20"/>
                <w:szCs w:val="20"/>
                <w:color w:val="auto"/>
              </w:rPr>
            </w:pPr>
            <w:r>
              <w:rPr>
                <w:rFonts w:ascii="Arial" w:cs="Arial" w:eastAsia="Arial" w:hAnsi="Arial"/>
                <w:sz w:val="14"/>
                <w:szCs w:val="14"/>
                <w:color w:val="auto"/>
              </w:rPr>
              <w:t>covers that protect our clothing in our warehouses. We encourage customers to send the covers back to</w:t>
            </w:r>
          </w:p>
        </w:tc>
        <w:tc>
          <w:tcPr>
            <w:tcW w:w="0" w:type="dxa"/>
            <w:vAlign w:val="bottom"/>
          </w:tcPr>
          <w:p>
            <w:pPr>
              <w:spacing w:after="0"/>
              <w:rPr>
                <w:sz w:val="1"/>
                <w:szCs w:val="1"/>
                <w:color w:val="auto"/>
              </w:rPr>
            </w:pPr>
          </w:p>
        </w:tc>
      </w:tr>
      <w:tr>
        <w:trPr>
          <w:trHeight w:val="138"/>
        </w:trPr>
        <w:tc>
          <w:tcPr>
            <w:tcW w:w="2760" w:type="dxa"/>
            <w:vAlign w:val="bottom"/>
          </w:tcPr>
          <w:p>
            <w:pPr>
              <w:spacing w:after="0"/>
              <w:rPr>
                <w:sz w:val="11"/>
                <w:szCs w:val="11"/>
                <w:color w:val="auto"/>
              </w:rPr>
            </w:pPr>
          </w:p>
        </w:tc>
        <w:tc>
          <w:tcPr>
            <w:tcW w:w="6800" w:type="dxa"/>
            <w:vAlign w:val="bottom"/>
          </w:tcPr>
          <w:p>
            <w:pPr>
              <w:ind w:left="200"/>
              <w:spacing w:after="0" w:line="138" w:lineRule="exact"/>
              <w:rPr>
                <w:sz w:val="20"/>
                <w:szCs w:val="20"/>
                <w:color w:val="auto"/>
              </w:rPr>
            </w:pPr>
            <w:r>
              <w:rPr>
                <w:rFonts w:ascii="Arial" w:cs="Arial" w:eastAsia="Arial" w:hAnsi="Arial"/>
                <w:sz w:val="14"/>
                <w:szCs w:val="14"/>
                <w:color w:val="auto"/>
              </w:rPr>
              <w:t>us to be recycled when they return their items. In fiscal year 2022, we recycled over 215 tons of plastic</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6800" w:type="dxa"/>
            <w:vAlign w:val="bottom"/>
          </w:tcPr>
          <w:p>
            <w:pPr>
              <w:ind w:left="200"/>
              <w:spacing w:after="0"/>
              <w:rPr>
                <w:sz w:val="20"/>
                <w:szCs w:val="20"/>
                <w:color w:val="auto"/>
              </w:rPr>
            </w:pPr>
            <w:r>
              <w:rPr>
                <w:rFonts w:ascii="Arial" w:cs="Arial" w:eastAsia="Arial" w:hAnsi="Arial"/>
                <w:sz w:val="14"/>
                <w:szCs w:val="14"/>
                <w:color w:val="auto"/>
              </w:rPr>
              <w:t>through our partnership with Trex.</w:t>
            </w:r>
          </w:p>
        </w:tc>
        <w:tc>
          <w:tcPr>
            <w:tcW w:w="0" w:type="dxa"/>
            <w:vAlign w:val="bottom"/>
          </w:tcPr>
          <w:p>
            <w:pPr>
              <w:spacing w:after="0"/>
              <w:rPr>
                <w:sz w:val="1"/>
                <w:szCs w:val="1"/>
                <w:color w:val="auto"/>
              </w:rPr>
            </w:pPr>
          </w:p>
        </w:tc>
      </w:tr>
      <w:tr>
        <w:trPr>
          <w:trHeight w:val="291"/>
        </w:trPr>
        <w:tc>
          <w:tcPr>
            <w:tcW w:w="2760" w:type="dxa"/>
            <w:vAlign w:val="bottom"/>
          </w:tcPr>
          <w:p>
            <w:pPr>
              <w:spacing w:after="0"/>
              <w:rPr>
                <w:sz w:val="24"/>
                <w:szCs w:val="24"/>
                <w:color w:val="auto"/>
              </w:rPr>
            </w:pPr>
          </w:p>
        </w:tc>
        <w:tc>
          <w:tcPr>
            <w:tcW w:w="6800" w:type="dxa"/>
            <w:vAlign w:val="bottom"/>
          </w:tcPr>
          <w:p>
            <w:pPr>
              <w:ind w:left="200"/>
              <w:spacing w:after="0"/>
              <w:rPr>
                <w:sz w:val="20"/>
                <w:szCs w:val="20"/>
                <w:color w:val="auto"/>
              </w:rPr>
            </w:pPr>
            <w:r>
              <w:rPr>
                <w:rFonts w:ascii="Arial" w:cs="Arial" w:eastAsia="Arial" w:hAnsi="Arial"/>
                <w:sz w:val="14"/>
                <w:szCs w:val="14"/>
                <w:i w:val="1"/>
                <w:iCs w:val="1"/>
                <w:color w:val="auto"/>
              </w:rPr>
              <w:t>Product End-of-Life Management</w:t>
            </w:r>
          </w:p>
        </w:tc>
        <w:tc>
          <w:tcPr>
            <w:tcW w:w="0" w:type="dxa"/>
            <w:vAlign w:val="bottom"/>
          </w:tcPr>
          <w:p>
            <w:pPr>
              <w:spacing w:after="0"/>
              <w:rPr>
                <w:sz w:val="1"/>
                <w:szCs w:val="1"/>
                <w:color w:val="auto"/>
              </w:rPr>
            </w:pPr>
          </w:p>
        </w:tc>
      </w:tr>
      <w:tr>
        <w:trPr>
          <w:trHeight w:val="138"/>
        </w:trPr>
        <w:tc>
          <w:tcPr>
            <w:tcW w:w="2760" w:type="dxa"/>
            <w:vAlign w:val="bottom"/>
            <w:vMerge w:val="restart"/>
          </w:tcPr>
          <w:p>
            <w:pPr>
              <w:spacing w:after="0"/>
              <w:rPr>
                <w:sz w:val="20"/>
                <w:szCs w:val="20"/>
                <w:color w:val="auto"/>
              </w:rPr>
            </w:pPr>
            <w:r>
              <w:rPr>
                <w:rFonts w:ascii="Arial" w:cs="Arial" w:eastAsia="Arial" w:hAnsi="Arial"/>
                <w:sz w:val="14"/>
                <w:szCs w:val="14"/>
                <w:color w:val="auto"/>
              </w:rPr>
              <w:t>Divert 90% of waste from our warehouse</w:t>
            </w:r>
          </w:p>
        </w:tc>
        <w:tc>
          <w:tcPr>
            <w:tcW w:w="6800" w:type="dxa"/>
            <w:vAlign w:val="bottom"/>
          </w:tcPr>
          <w:p>
            <w:pPr>
              <w:ind w:left="200"/>
              <w:spacing w:after="0" w:line="138" w:lineRule="exact"/>
              <w:rPr>
                <w:sz w:val="20"/>
                <w:szCs w:val="20"/>
                <w:color w:val="auto"/>
              </w:rPr>
            </w:pPr>
            <w:r>
              <w:rPr>
                <w:rFonts w:ascii="Arial" w:cs="Arial" w:eastAsia="Arial" w:hAnsi="Arial"/>
                <w:sz w:val="14"/>
                <w:szCs w:val="14"/>
                <w:color w:val="auto"/>
              </w:rPr>
              <w:t>RTR continues to practice responsible end-of-life practices and resells, donates, or recycles with</w:t>
            </w:r>
          </w:p>
        </w:tc>
        <w:tc>
          <w:tcPr>
            <w:tcW w:w="0" w:type="dxa"/>
            <w:vAlign w:val="bottom"/>
          </w:tcPr>
          <w:p>
            <w:pPr>
              <w:spacing w:after="0"/>
              <w:rPr>
                <w:sz w:val="1"/>
                <w:szCs w:val="1"/>
                <w:color w:val="auto"/>
              </w:rPr>
            </w:pPr>
          </w:p>
        </w:tc>
      </w:tr>
      <w:tr>
        <w:trPr>
          <w:trHeight w:val="138"/>
        </w:trPr>
        <w:tc>
          <w:tcPr>
            <w:tcW w:w="2760" w:type="dxa"/>
            <w:vAlign w:val="bottom"/>
            <w:vMerge w:val="continue"/>
          </w:tcPr>
          <w:p>
            <w:pPr>
              <w:spacing w:after="0"/>
              <w:rPr>
                <w:sz w:val="11"/>
                <w:szCs w:val="11"/>
                <w:color w:val="auto"/>
              </w:rPr>
            </w:pPr>
          </w:p>
        </w:tc>
        <w:tc>
          <w:tcPr>
            <w:tcW w:w="6800" w:type="dxa"/>
            <w:vAlign w:val="bottom"/>
          </w:tcPr>
          <w:p>
            <w:pPr>
              <w:ind w:left="200"/>
              <w:spacing w:after="0" w:line="138" w:lineRule="exact"/>
              <w:rPr>
                <w:sz w:val="20"/>
                <w:szCs w:val="20"/>
                <w:color w:val="auto"/>
              </w:rPr>
            </w:pPr>
            <w:r>
              <w:rPr>
                <w:rFonts w:ascii="Arial" w:cs="Arial" w:eastAsia="Arial" w:hAnsi="Arial"/>
                <w:sz w:val="14"/>
                <w:szCs w:val="14"/>
                <w:color w:val="auto"/>
              </w:rPr>
              <w:t>approved third-party organizations all products when they are no longer able to cycle through the Closet</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operations from landfill by fiscal year end</w:t>
            </w:r>
          </w:p>
        </w:tc>
        <w:tc>
          <w:tcPr>
            <w:tcW w:w="6800" w:type="dxa"/>
            <w:vAlign w:val="bottom"/>
          </w:tcPr>
          <w:p>
            <w:pPr>
              <w:ind w:left="200"/>
              <w:spacing w:after="0" w:line="149" w:lineRule="exact"/>
              <w:rPr>
                <w:sz w:val="20"/>
                <w:szCs w:val="20"/>
                <w:color w:val="auto"/>
              </w:rPr>
            </w:pPr>
            <w:r>
              <w:rPr>
                <w:rFonts w:ascii="Arial" w:cs="Arial" w:eastAsia="Arial" w:hAnsi="Arial"/>
                <w:sz w:val="14"/>
                <w:szCs w:val="14"/>
                <w:color w:val="auto"/>
              </w:rPr>
              <w:t>in the Cloud. In fiscal year 2022, we recycled 83,000 units of clothing and accessories through our partner</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20"/>
                <w:szCs w:val="20"/>
                <w:color w:val="auto"/>
              </w:rPr>
            </w:pPr>
            <w:r>
              <w:rPr>
                <w:rFonts w:ascii="Arial" w:cs="Arial" w:eastAsia="Arial" w:hAnsi="Arial"/>
                <w:sz w:val="14"/>
                <w:szCs w:val="14"/>
                <w:color w:val="auto"/>
              </w:rPr>
              <w:t>2026.</w:t>
            </w:r>
          </w:p>
        </w:tc>
        <w:tc>
          <w:tcPr>
            <w:tcW w:w="6800" w:type="dxa"/>
            <w:vAlign w:val="bottom"/>
          </w:tcPr>
          <w:p>
            <w:pPr>
              <w:ind w:left="200"/>
              <w:spacing w:after="0"/>
              <w:rPr>
                <w:sz w:val="20"/>
                <w:szCs w:val="20"/>
                <w:color w:val="auto"/>
              </w:rPr>
            </w:pPr>
            <w:r>
              <w:rPr>
                <w:rFonts w:ascii="Arial" w:cs="Arial" w:eastAsia="Arial" w:hAnsi="Arial"/>
                <w:sz w:val="14"/>
                <w:szCs w:val="14"/>
                <w:color w:val="auto"/>
              </w:rPr>
              <w:t>organizations.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3040" w:type="dxa"/>
            <w:vAlign w:val="bottom"/>
          </w:tcPr>
          <w:p>
            <w:pPr>
              <w:ind w:left="100"/>
              <w:spacing w:after="0"/>
              <w:rPr>
                <w:sz w:val="20"/>
                <w:szCs w:val="20"/>
                <w:color w:val="auto"/>
              </w:rPr>
            </w:pPr>
            <w:r>
              <w:rPr>
                <w:rFonts w:ascii="Arial" w:cs="Arial" w:eastAsia="Arial" w:hAnsi="Arial"/>
                <w:sz w:val="14"/>
                <w:szCs w:val="14"/>
                <w:color w:val="auto"/>
              </w:rPr>
              <w:t>Eliminate unnecessary plastic in shipments to</w:t>
            </w:r>
          </w:p>
        </w:tc>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3040" w:type="dxa"/>
            <w:vAlign w:val="bottom"/>
          </w:tcPr>
          <w:p>
            <w:pPr>
              <w:ind w:left="100"/>
              <w:spacing w:after="0" w:line="145" w:lineRule="exact"/>
              <w:rPr>
                <w:sz w:val="20"/>
                <w:szCs w:val="20"/>
                <w:color w:val="auto"/>
              </w:rPr>
            </w:pPr>
            <w:r>
              <w:rPr>
                <w:rFonts w:ascii="Arial" w:cs="Arial" w:eastAsia="Arial" w:hAnsi="Arial"/>
                <w:sz w:val="14"/>
                <w:szCs w:val="14"/>
                <w:color w:val="auto"/>
              </w:rPr>
              <w:t>customers and only utilize reusable,</w:t>
            </w: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3040" w:type="dxa"/>
            <w:vAlign w:val="bottom"/>
          </w:tcPr>
          <w:p>
            <w:pPr>
              <w:ind w:left="100"/>
              <w:spacing w:after="0" w:line="142" w:lineRule="exact"/>
              <w:rPr>
                <w:sz w:val="20"/>
                <w:szCs w:val="20"/>
                <w:color w:val="auto"/>
              </w:rPr>
            </w:pPr>
            <w:r>
              <w:rPr>
                <w:rFonts w:ascii="Arial" w:cs="Arial" w:eastAsia="Arial" w:hAnsi="Arial"/>
                <w:sz w:val="14"/>
                <w:szCs w:val="14"/>
                <w:color w:val="auto"/>
              </w:rPr>
              <w:t>compostable or 100% recyclable content for</w:t>
            </w: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tcPr>
          <w:p>
            <w:pPr>
              <w:spacing w:after="0"/>
              <w:rPr>
                <w:sz w:val="11"/>
                <w:szCs w:val="11"/>
                <w:color w:val="auto"/>
              </w:rPr>
            </w:pPr>
          </w:p>
        </w:tc>
        <w:tc>
          <w:tcPr>
            <w:tcW w:w="3040" w:type="dxa"/>
            <w:vAlign w:val="bottom"/>
          </w:tcPr>
          <w:p>
            <w:pPr>
              <w:ind w:left="100"/>
              <w:spacing w:after="0" w:line="138" w:lineRule="exact"/>
              <w:rPr>
                <w:sz w:val="20"/>
                <w:szCs w:val="20"/>
                <w:color w:val="auto"/>
              </w:rPr>
            </w:pPr>
            <w:r>
              <w:rPr>
                <w:rFonts w:ascii="Arial" w:cs="Arial" w:eastAsia="Arial" w:hAnsi="Arial"/>
                <w:sz w:val="14"/>
                <w:szCs w:val="14"/>
                <w:color w:val="auto"/>
              </w:rPr>
              <w:t>necessary plastic packaging to customers by</w:t>
            </w:r>
          </w:p>
        </w:tc>
        <w:tc>
          <w:tcPr>
            <w:tcW w:w="6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600" w:type="dxa"/>
            <w:vAlign w:val="bottom"/>
          </w:tcPr>
          <w:p>
            <w:pPr>
              <w:spacing w:after="0"/>
              <w:rPr>
                <w:sz w:val="16"/>
                <w:szCs w:val="16"/>
                <w:color w:val="auto"/>
              </w:rPr>
            </w:pPr>
          </w:p>
        </w:tc>
        <w:tc>
          <w:tcPr>
            <w:tcW w:w="3040" w:type="dxa"/>
            <w:vAlign w:val="bottom"/>
          </w:tcPr>
          <w:p>
            <w:pPr>
              <w:ind w:left="100"/>
              <w:spacing w:after="0"/>
              <w:rPr>
                <w:sz w:val="20"/>
                <w:szCs w:val="20"/>
                <w:color w:val="auto"/>
              </w:rPr>
            </w:pPr>
            <w:r>
              <w:rPr>
                <w:rFonts w:ascii="Arial" w:cs="Arial" w:eastAsia="Arial" w:hAnsi="Arial"/>
                <w:sz w:val="14"/>
                <w:szCs w:val="14"/>
                <w:color w:val="auto"/>
              </w:rPr>
              <w:t xml:space="preserve">fiscal year end 2023. </w:t>
            </w:r>
            <w:r>
              <w:rPr>
                <w:rFonts w:ascii="Arial" w:cs="Arial" w:eastAsia="Arial" w:hAnsi="Arial"/>
                <w:sz w:val="14"/>
                <w:szCs w:val="14"/>
                <w:i w:val="1"/>
                <w:iCs w:val="1"/>
                <w:color w:val="auto"/>
              </w:rPr>
              <w:t>(2023 Update)</w:t>
            </w:r>
          </w:p>
        </w:tc>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600" w:type="dxa"/>
            <w:vAlign w:val="bottom"/>
          </w:tcPr>
          <w:p>
            <w:pPr>
              <w:spacing w:after="0"/>
              <w:rPr>
                <w:sz w:val="13"/>
                <w:szCs w:val="13"/>
                <w:color w:val="auto"/>
              </w:rPr>
            </w:pPr>
          </w:p>
        </w:tc>
        <w:tc>
          <w:tcPr>
            <w:tcW w:w="3040" w:type="dxa"/>
            <w:vAlign w:val="bottom"/>
            <w:vMerge w:val="restart"/>
          </w:tcPr>
          <w:p>
            <w:pPr>
              <w:ind w:left="100"/>
              <w:spacing w:after="0"/>
              <w:rPr>
                <w:sz w:val="20"/>
                <w:szCs w:val="20"/>
                <w:color w:val="auto"/>
              </w:rPr>
            </w:pPr>
            <w:r>
              <w:rPr>
                <w:rFonts w:ascii="Arial" w:cs="Arial" w:eastAsia="Arial" w:hAnsi="Arial"/>
                <w:sz w:val="14"/>
                <w:szCs w:val="14"/>
                <w:color w:val="auto"/>
              </w:rPr>
              <w:t>Eliminate unnecessary single use plastic</w:t>
            </w:r>
          </w:p>
        </w:tc>
        <w:tc>
          <w:tcPr>
            <w:tcW w:w="6640" w:type="dxa"/>
            <w:vAlign w:val="bottom"/>
          </w:tcPr>
          <w:p>
            <w:pPr>
              <w:ind w:left="20"/>
              <w:spacing w:after="0" w:line="153" w:lineRule="exact"/>
              <w:rPr>
                <w:sz w:val="20"/>
                <w:szCs w:val="20"/>
                <w:color w:val="auto"/>
              </w:rPr>
            </w:pPr>
            <w:r>
              <w:rPr>
                <w:rFonts w:ascii="Arial" w:cs="Arial" w:eastAsia="Arial" w:hAnsi="Arial"/>
                <w:sz w:val="14"/>
                <w:szCs w:val="14"/>
                <w:color w:val="auto"/>
              </w:rPr>
              <w:t>We aim to fulfill the updated goal by removing plastic hangers in shipments to customers by fiscal year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600" w:type="dxa"/>
            <w:vAlign w:val="bottom"/>
          </w:tcPr>
          <w:p>
            <w:pPr>
              <w:spacing w:after="0"/>
              <w:rPr>
                <w:sz w:val="11"/>
                <w:szCs w:val="11"/>
                <w:color w:val="auto"/>
              </w:rPr>
            </w:pPr>
          </w:p>
        </w:tc>
        <w:tc>
          <w:tcPr>
            <w:tcW w:w="3040" w:type="dxa"/>
            <w:vAlign w:val="bottom"/>
            <w:vMerge w:val="continue"/>
          </w:tcPr>
          <w:p>
            <w:pPr>
              <w:spacing w:after="0"/>
              <w:rPr>
                <w:sz w:val="11"/>
                <w:szCs w:val="11"/>
                <w:color w:val="auto"/>
              </w:rPr>
            </w:pPr>
          </w:p>
        </w:tc>
        <w:tc>
          <w:tcPr>
            <w:tcW w:w="6640" w:type="dxa"/>
            <w:vAlign w:val="bottom"/>
          </w:tcPr>
          <w:p>
            <w:pPr>
              <w:ind w:left="20"/>
              <w:spacing w:after="0" w:line="138" w:lineRule="exact"/>
              <w:rPr>
                <w:sz w:val="20"/>
                <w:szCs w:val="20"/>
                <w:color w:val="auto"/>
              </w:rPr>
            </w:pPr>
            <w:r>
              <w:rPr>
                <w:rFonts w:ascii="Arial" w:cs="Arial" w:eastAsia="Arial" w:hAnsi="Arial"/>
                <w:sz w:val="14"/>
                <w:szCs w:val="14"/>
                <w:color w:val="auto"/>
              </w:rPr>
              <w:t>end 2023, pending small changes to our in-bag experience.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600" w:type="dxa"/>
            <w:vAlign w:val="bottom"/>
          </w:tcPr>
          <w:p>
            <w:pPr>
              <w:spacing w:after="0"/>
              <w:rPr>
                <w:sz w:val="11"/>
                <w:szCs w:val="11"/>
                <w:color w:val="auto"/>
              </w:rPr>
            </w:pPr>
          </w:p>
        </w:tc>
        <w:tc>
          <w:tcPr>
            <w:tcW w:w="3040" w:type="dxa"/>
            <w:vAlign w:val="bottom"/>
          </w:tcPr>
          <w:p>
            <w:pPr>
              <w:ind w:left="100"/>
              <w:spacing w:after="0" w:line="138" w:lineRule="exact"/>
              <w:rPr>
                <w:sz w:val="20"/>
                <w:szCs w:val="20"/>
                <w:color w:val="auto"/>
              </w:rPr>
            </w:pPr>
            <w:r>
              <w:rPr>
                <w:rFonts w:ascii="Arial" w:cs="Arial" w:eastAsia="Arial" w:hAnsi="Arial"/>
                <w:sz w:val="14"/>
                <w:szCs w:val="14"/>
                <w:color w:val="auto"/>
              </w:rPr>
              <w:t>packaging in shipments to customers and only</w:t>
            </w:r>
          </w:p>
        </w:tc>
        <w:tc>
          <w:tcPr>
            <w:tcW w:w="6640" w:type="dxa"/>
            <w:vAlign w:val="bottom"/>
            <w:vMerge w:val="restart"/>
          </w:tcPr>
          <w:p>
            <w:pPr>
              <w:ind w:left="20"/>
              <w:spacing w:after="0"/>
              <w:rPr>
                <w:sz w:val="20"/>
                <w:szCs w:val="20"/>
                <w:color w:val="auto"/>
              </w:rPr>
            </w:pPr>
            <w:r>
              <w:rPr>
                <w:rFonts w:ascii="Arial" w:cs="Arial" w:eastAsia="Arial" w:hAnsi="Arial"/>
                <w:sz w:val="14"/>
                <w:szCs w:val="14"/>
                <w:color w:val="auto"/>
              </w:rPr>
              <w:t>We plan to update our packaging in 2023 in order to reduce the amount of plastic included in shipments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3040" w:type="dxa"/>
            <w:vAlign w:val="bottom"/>
          </w:tcPr>
          <w:p>
            <w:pPr>
              <w:ind w:left="100"/>
              <w:spacing w:after="0" w:line="149" w:lineRule="exact"/>
              <w:rPr>
                <w:sz w:val="20"/>
                <w:szCs w:val="20"/>
                <w:color w:val="auto"/>
              </w:rPr>
            </w:pPr>
            <w:r>
              <w:rPr>
                <w:rFonts w:ascii="Arial" w:cs="Arial" w:eastAsia="Arial" w:hAnsi="Arial"/>
                <w:sz w:val="14"/>
                <w:szCs w:val="14"/>
                <w:color w:val="auto"/>
              </w:rPr>
              <w:t>utilize reusable, compostable or 100%</w:t>
            </w:r>
          </w:p>
        </w:tc>
        <w:tc>
          <w:tcPr>
            <w:tcW w:w="6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00" w:type="dxa"/>
            <w:vAlign w:val="bottom"/>
            <w:vMerge w:val="restart"/>
          </w:tcPr>
          <w:p>
            <w:pPr>
              <w:ind w:left="20"/>
              <w:spacing w:after="0"/>
              <w:rPr>
                <w:sz w:val="20"/>
                <w:szCs w:val="20"/>
                <w:color w:val="auto"/>
              </w:rPr>
            </w:pPr>
            <w:r>
              <w:rPr>
                <w:rFonts w:ascii="Arial" w:cs="Arial" w:eastAsia="Arial" w:hAnsi="Arial"/>
                <w:sz w:val="14"/>
                <w:szCs w:val="14"/>
                <w:color w:val="auto"/>
              </w:rPr>
              <w:t>2. Minimize waste from</w:t>
            </w:r>
          </w:p>
        </w:tc>
        <w:tc>
          <w:tcPr>
            <w:tcW w:w="3040" w:type="dxa"/>
            <w:vAlign w:val="bottom"/>
          </w:tcPr>
          <w:p>
            <w:pPr>
              <w:ind w:left="100"/>
              <w:spacing w:after="0" w:line="138" w:lineRule="exact"/>
              <w:rPr>
                <w:sz w:val="20"/>
                <w:szCs w:val="20"/>
                <w:color w:val="auto"/>
              </w:rPr>
            </w:pPr>
            <w:r>
              <w:rPr>
                <w:rFonts w:ascii="Arial" w:cs="Arial" w:eastAsia="Arial" w:hAnsi="Arial"/>
                <w:sz w:val="14"/>
                <w:szCs w:val="14"/>
                <w:color w:val="auto"/>
              </w:rPr>
              <w:t>recycled content for necessary plastic</w:t>
            </w:r>
          </w:p>
        </w:tc>
        <w:tc>
          <w:tcPr>
            <w:tcW w:w="6640" w:type="dxa"/>
            <w:vAlign w:val="bottom"/>
          </w:tcPr>
          <w:p>
            <w:pPr>
              <w:ind w:left="20"/>
              <w:spacing w:after="0" w:line="138" w:lineRule="exact"/>
              <w:rPr>
                <w:sz w:val="20"/>
                <w:szCs w:val="20"/>
                <w:color w:val="auto"/>
              </w:rPr>
            </w:pPr>
            <w:r>
              <w:rPr>
                <w:rFonts w:ascii="Arial" w:cs="Arial" w:eastAsia="Arial" w:hAnsi="Arial"/>
                <w:sz w:val="14"/>
                <w:szCs w:val="14"/>
                <w:color w:val="auto"/>
              </w:rPr>
              <w:t>to customers, while preserving a pleasant in-bag experience for our customers. Given these planned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600" w:type="dxa"/>
            <w:vAlign w:val="bottom"/>
            <w:vMerge w:val="continue"/>
          </w:tcPr>
          <w:p>
            <w:pPr>
              <w:spacing w:after="0"/>
              <w:rPr>
                <w:sz w:val="11"/>
                <w:szCs w:val="11"/>
                <w:color w:val="auto"/>
              </w:rPr>
            </w:pPr>
          </w:p>
        </w:tc>
        <w:tc>
          <w:tcPr>
            <w:tcW w:w="3040" w:type="dxa"/>
            <w:vAlign w:val="bottom"/>
          </w:tcPr>
          <w:p>
            <w:pPr>
              <w:ind w:left="100"/>
              <w:spacing w:after="0" w:line="138" w:lineRule="exact"/>
              <w:rPr>
                <w:sz w:val="20"/>
                <w:szCs w:val="20"/>
                <w:color w:val="auto"/>
              </w:rPr>
            </w:pPr>
            <w:r>
              <w:rPr>
                <w:rFonts w:ascii="Arial" w:cs="Arial" w:eastAsia="Arial" w:hAnsi="Arial"/>
                <w:sz w:val="14"/>
                <w:szCs w:val="14"/>
                <w:color w:val="auto"/>
              </w:rPr>
              <w:t>packaging to customers by fiscal year end</w:t>
            </w:r>
          </w:p>
        </w:tc>
        <w:tc>
          <w:tcPr>
            <w:tcW w:w="6640" w:type="dxa"/>
            <w:vAlign w:val="bottom"/>
          </w:tcPr>
          <w:p>
            <w:pPr>
              <w:ind w:left="20"/>
              <w:spacing w:after="0" w:line="138" w:lineRule="exact"/>
              <w:rPr>
                <w:sz w:val="20"/>
                <w:szCs w:val="20"/>
                <w:color w:val="auto"/>
              </w:rPr>
            </w:pPr>
            <w:r>
              <w:rPr>
                <w:rFonts w:ascii="Arial" w:cs="Arial" w:eastAsia="Arial" w:hAnsi="Arial"/>
                <w:sz w:val="14"/>
                <w:szCs w:val="14"/>
                <w:color w:val="auto"/>
              </w:rPr>
              <w:t>changes, we decided to update our original goal. In addition, we continue to recycle plastic garment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our business.</w:t>
            </w:r>
          </w:p>
        </w:tc>
        <w:tc>
          <w:tcPr>
            <w:tcW w:w="30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 xml:space="preserve">2023. </w:t>
            </w:r>
            <w:r>
              <w:rPr>
                <w:rFonts w:ascii="Arial" w:cs="Arial" w:eastAsia="Arial" w:hAnsi="Arial"/>
                <w:sz w:val="14"/>
                <w:szCs w:val="14"/>
                <w:i w:val="1"/>
                <w:iCs w:val="1"/>
                <w:color w:val="auto"/>
              </w:rPr>
              <w:t>(2022 Original Goal)</w:t>
            </w:r>
          </w:p>
        </w:tc>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covers with Trex, as described above.</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94"/>
        </w:trPr>
        <w:tc>
          <w:tcPr>
            <w:tcW w:w="16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640" w:type="dxa"/>
            <w:vAlign w:val="bottom"/>
          </w:tcPr>
          <w:p>
            <w:pPr>
              <w:ind w:left="920"/>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600" w:type="dxa"/>
            <w:vAlign w:val="bottom"/>
            <w:tcBorders>
              <w:bottom w:val="single" w:sz="8" w:color="9A9A9A"/>
            </w:tcBorders>
          </w:tcPr>
          <w:p>
            <w:pPr>
              <w:spacing w:after="0"/>
              <w:rPr>
                <w:sz w:val="7"/>
                <w:szCs w:val="7"/>
                <w:color w:val="auto"/>
              </w:rPr>
            </w:pPr>
          </w:p>
        </w:tc>
        <w:tc>
          <w:tcPr>
            <w:tcW w:w="3040" w:type="dxa"/>
            <w:vAlign w:val="bottom"/>
            <w:tcBorders>
              <w:bottom w:val="single" w:sz="8" w:color="9A9A9A"/>
            </w:tcBorders>
          </w:tcPr>
          <w:p>
            <w:pPr>
              <w:spacing w:after="0"/>
              <w:rPr>
                <w:sz w:val="7"/>
                <w:szCs w:val="7"/>
                <w:color w:val="auto"/>
              </w:rPr>
            </w:pPr>
          </w:p>
        </w:tc>
        <w:tc>
          <w:tcPr>
            <w:tcW w:w="6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7168515" cy="5464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8515" cy="546417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Ambition 2: Create a culture and cultivate a community where all people are inspired, empowered and thrive.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top w:val="single" w:sz="8" w:color="auto"/>
              <w:bottom w:val="single" w:sz="8" w:color="auto"/>
              <w:right w:val="single" w:sz="8" w:color="auto"/>
            </w:tcBorders>
            <w:shd w:val="clear" w:color="auto" w:fill="60C265"/>
          </w:tcPr>
          <w:p>
            <w:pPr>
              <w:ind w:left="20"/>
              <w:spacing w:after="0"/>
              <w:rPr>
                <w:sz w:val="20"/>
                <w:szCs w:val="20"/>
                <w:color w:val="auto"/>
              </w:rPr>
            </w:pPr>
            <w:r>
              <w:rPr>
                <w:rFonts w:ascii="Arial" w:cs="Arial" w:eastAsia="Arial" w:hAnsi="Arial"/>
                <w:sz w:val="14"/>
                <w:szCs w:val="14"/>
                <w:b w:val="1"/>
                <w:bCs w:val="1"/>
                <w:color w:val="auto"/>
              </w:rPr>
              <w:t>Priority</w:t>
            </w:r>
          </w:p>
        </w:tc>
        <w:tc>
          <w:tcPr>
            <w:tcW w:w="2680" w:type="dxa"/>
            <w:vAlign w:val="bottom"/>
            <w:tcBorders>
              <w:top w:val="single" w:sz="8" w:color="auto"/>
              <w:bottom w:val="single" w:sz="8" w:color="auto"/>
              <w:right w:val="single" w:sz="8" w:color="auto"/>
            </w:tcBorders>
            <w:shd w:val="clear" w:color="auto" w:fill="60C265"/>
          </w:tcPr>
          <w:p>
            <w:pPr>
              <w:spacing w:after="0"/>
              <w:rPr>
                <w:sz w:val="20"/>
                <w:szCs w:val="20"/>
                <w:color w:val="auto"/>
              </w:rPr>
            </w:pPr>
            <w:r>
              <w:rPr>
                <w:rFonts w:ascii="Arial" w:cs="Arial" w:eastAsia="Arial" w:hAnsi="Arial"/>
                <w:sz w:val="14"/>
                <w:szCs w:val="14"/>
                <w:b w:val="1"/>
                <w:bCs w:val="1"/>
                <w:color w:val="auto"/>
              </w:rPr>
              <w:t>Goal</w:t>
            </w:r>
          </w:p>
        </w:tc>
        <w:tc>
          <w:tcPr>
            <w:tcW w:w="6320" w:type="dxa"/>
            <w:vAlign w:val="bottom"/>
            <w:tcBorders>
              <w:top w:val="single" w:sz="8" w:color="auto"/>
              <w:bottom w:val="single" w:sz="8" w:color="auto"/>
            </w:tcBorders>
            <w:shd w:val="clear" w:color="auto" w:fill="60C265"/>
          </w:tcPr>
          <w:p>
            <w:pPr>
              <w:spacing w:after="0"/>
              <w:rPr>
                <w:sz w:val="20"/>
                <w:szCs w:val="20"/>
                <w:color w:val="auto"/>
              </w:rPr>
            </w:pPr>
            <w:r>
              <w:rPr>
                <w:rFonts w:ascii="Arial" w:cs="Arial" w:eastAsia="Arial" w:hAnsi="Arial"/>
                <w:sz w:val="14"/>
                <w:szCs w:val="14"/>
                <w:b w:val="1"/>
                <w:bCs w:val="1"/>
                <w:color w:val="auto"/>
              </w:rPr>
              <w:t>Notable Progress in Fiscal Year 2022</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64"/>
        </w:trPr>
        <w:tc>
          <w:tcPr>
            <w:tcW w:w="2280" w:type="dxa"/>
            <w:vAlign w:val="bottom"/>
            <w:tcBorders>
              <w:right w:val="single" w:sz="8" w:color="auto"/>
            </w:tcBorders>
            <w:shd w:val="clear" w:color="auto" w:fill="AADEAD"/>
          </w:tcPr>
          <w:p>
            <w:pPr>
              <w:spacing w:after="0"/>
              <w:rPr>
                <w:sz w:val="24"/>
                <w:szCs w:val="24"/>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Maintain on average 40% representation</w:t>
            </w:r>
          </w:p>
        </w:tc>
        <w:tc>
          <w:tcPr>
            <w:tcW w:w="6320" w:type="dxa"/>
            <w:vAlign w:val="bottom"/>
          </w:tcPr>
          <w:p>
            <w:pPr>
              <w:spacing w:after="0"/>
              <w:rPr>
                <w:sz w:val="20"/>
                <w:szCs w:val="20"/>
                <w:color w:val="auto"/>
              </w:rPr>
            </w:pPr>
            <w:r>
              <w:rPr>
                <w:rFonts w:ascii="Arial" w:cs="Arial" w:eastAsia="Arial" w:hAnsi="Arial"/>
                <w:sz w:val="14"/>
                <w:szCs w:val="14"/>
                <w:color w:val="auto"/>
              </w:rPr>
              <w:t>Our representation of U.S. corporate employees identifying as a racial and ethnic minority was 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280" w:type="dxa"/>
            <w:vAlign w:val="bottom"/>
            <w:tcBorders>
              <w:right w:val="single" w:sz="8" w:color="auto"/>
            </w:tcBorders>
            <w:shd w:val="clear" w:color="auto" w:fill="AADEAD"/>
          </w:tcPr>
          <w:p>
            <w:pPr>
              <w:spacing w:after="0"/>
              <w:rPr>
                <w:sz w:val="12"/>
                <w:szCs w:val="12"/>
                <w:color w:val="auto"/>
              </w:rPr>
            </w:pP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color w:val="auto"/>
              </w:rPr>
              <w:t>of racial and ethnic minorities for the U.S.</w:t>
            </w:r>
          </w:p>
        </w:tc>
        <w:tc>
          <w:tcPr>
            <w:tcW w:w="6320" w:type="dxa"/>
            <w:vAlign w:val="bottom"/>
          </w:tcPr>
          <w:p>
            <w:pPr>
              <w:spacing w:after="0" w:line="145" w:lineRule="exact"/>
              <w:rPr>
                <w:sz w:val="20"/>
                <w:szCs w:val="20"/>
                <w:color w:val="auto"/>
              </w:rPr>
            </w:pPr>
            <w:r>
              <w:rPr>
                <w:rFonts w:ascii="Arial" w:cs="Arial" w:eastAsia="Arial" w:hAnsi="Arial"/>
                <w:sz w:val="14"/>
                <w:szCs w:val="14"/>
                <w:color w:val="auto"/>
              </w:rPr>
              <w:t>as of January 31, 2023. Additionally, as of January 31, 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Borders>
              <w:right w:val="single" w:sz="8" w:color="auto"/>
            </w:tcBorders>
            <w:shd w:val="clear" w:color="auto" w:fill="AADEAD"/>
          </w:tcPr>
          <w:p>
            <w:pPr>
              <w:spacing w:after="0"/>
              <w:rPr>
                <w:sz w:val="12"/>
                <w:szCs w:val="12"/>
                <w:color w:val="auto"/>
              </w:rPr>
            </w:pPr>
          </w:p>
        </w:tc>
        <w:tc>
          <w:tcPr>
            <w:tcW w:w="26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corporate workforce through fiscal year</w:t>
            </w:r>
          </w:p>
        </w:tc>
        <w:tc>
          <w:tcPr>
            <w:tcW w:w="6320" w:type="dxa"/>
            <w:vAlign w:val="bottom"/>
          </w:tcPr>
          <w:p>
            <w:pPr>
              <w:ind w:left="260"/>
              <w:spacing w:after="0" w:line="142" w:lineRule="exact"/>
              <w:rPr>
                <w:sz w:val="20"/>
                <w:szCs w:val="20"/>
                <w:color w:val="auto"/>
              </w:rPr>
            </w:pPr>
            <w:r>
              <w:rPr>
                <w:rFonts w:ascii="Arial" w:cs="Arial" w:eastAsia="Arial" w:hAnsi="Arial"/>
                <w:sz w:val="14"/>
                <w:szCs w:val="14"/>
                <w:color w:val="auto"/>
              </w:rPr>
              <w:t>•   44% of our executive team identify as a racial and ethnic minority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AADEAD"/>
              <w:right w:val="single" w:sz="8" w:color="auto"/>
            </w:tcBorders>
            <w:shd w:val="clear" w:color="auto" w:fill="AADEAD"/>
          </w:tcPr>
          <w:p>
            <w:pPr>
              <w:spacing w:after="0"/>
              <w:rPr>
                <w:sz w:val="15"/>
                <w:szCs w:val="15"/>
                <w:color w:val="auto"/>
              </w:rPr>
            </w:pPr>
          </w:p>
        </w:tc>
        <w:tc>
          <w:tcPr>
            <w:tcW w:w="2680" w:type="dxa"/>
            <w:vAlign w:val="bottom"/>
            <w:tcBorders>
              <w:bottom w:val="single" w:sz="8" w:color="auto"/>
              <w:right w:val="single" w:sz="8" w:color="auto"/>
            </w:tcBorders>
          </w:tcPr>
          <w:p>
            <w:pPr>
              <w:spacing w:after="0" w:line="181" w:lineRule="exact"/>
              <w:rPr>
                <w:sz w:val="20"/>
                <w:szCs w:val="20"/>
                <w:color w:val="auto"/>
              </w:rPr>
            </w:pPr>
            <w:r>
              <w:rPr>
                <w:rFonts w:ascii="Arial" w:cs="Arial" w:eastAsia="Arial" w:hAnsi="Arial"/>
                <w:sz w:val="14"/>
                <w:szCs w:val="14"/>
                <w:color w:val="auto"/>
              </w:rPr>
              <w:t>end 2026.</w:t>
            </w:r>
            <w:r>
              <w:rPr>
                <w:rFonts w:ascii="Arial" w:cs="Arial" w:eastAsia="Arial" w:hAnsi="Arial"/>
                <w:sz w:val="18"/>
                <w:szCs w:val="18"/>
                <w:color w:val="auto"/>
                <w:vertAlign w:val="superscript"/>
              </w:rPr>
              <w:t>10</w:t>
            </w:r>
          </w:p>
        </w:tc>
        <w:tc>
          <w:tcPr>
            <w:tcW w:w="63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   10% of our Board of Directors identify as a racial and ethnic minority</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7"/>
        </w:trPr>
        <w:tc>
          <w:tcPr>
            <w:tcW w:w="2280" w:type="dxa"/>
            <w:vAlign w:val="bottom"/>
            <w:tcBorders>
              <w:right w:val="single" w:sz="8" w:color="auto"/>
            </w:tcBorders>
            <w:shd w:val="clear" w:color="auto" w:fill="AADEAD"/>
          </w:tcPr>
          <w:p>
            <w:pPr>
              <w:spacing w:after="0"/>
              <w:rPr>
                <w:sz w:val="24"/>
                <w:szCs w:val="24"/>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Maintain on average 50% representation</w:t>
            </w:r>
          </w:p>
        </w:tc>
        <w:tc>
          <w:tcPr>
            <w:tcW w:w="6320" w:type="dxa"/>
            <w:vAlign w:val="bottom"/>
          </w:tcPr>
          <w:p>
            <w:pPr>
              <w:spacing w:after="0"/>
              <w:rPr>
                <w:sz w:val="20"/>
                <w:szCs w:val="20"/>
                <w:color w:val="auto"/>
              </w:rPr>
            </w:pPr>
            <w:r>
              <w:rPr>
                <w:rFonts w:ascii="Arial" w:cs="Arial" w:eastAsia="Arial" w:hAnsi="Arial"/>
                <w:sz w:val="14"/>
                <w:szCs w:val="14"/>
                <w:color w:val="auto"/>
              </w:rPr>
              <w:t>Our representation of U.S. corporate employees identifying as women and non-binary was 75% 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280" w:type="dxa"/>
            <w:vAlign w:val="bottom"/>
            <w:tcBorders>
              <w:right w:val="single" w:sz="8" w:color="auto"/>
            </w:tcBorders>
            <w:shd w:val="clear" w:color="auto" w:fill="AADEAD"/>
          </w:tcPr>
          <w:p>
            <w:pPr>
              <w:spacing w:after="0"/>
              <w:rPr>
                <w:sz w:val="12"/>
                <w:szCs w:val="12"/>
                <w:color w:val="auto"/>
              </w:rPr>
            </w:pP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color w:val="auto"/>
              </w:rPr>
              <w:t>of individuals identifying as women and</w:t>
            </w:r>
          </w:p>
        </w:tc>
        <w:tc>
          <w:tcPr>
            <w:tcW w:w="6320" w:type="dxa"/>
            <w:vAlign w:val="bottom"/>
          </w:tcPr>
          <w:p>
            <w:pPr>
              <w:spacing w:after="0" w:line="145" w:lineRule="exact"/>
              <w:rPr>
                <w:sz w:val="20"/>
                <w:szCs w:val="20"/>
                <w:color w:val="auto"/>
              </w:rPr>
            </w:pPr>
            <w:r>
              <w:rPr>
                <w:rFonts w:ascii="Arial" w:cs="Arial" w:eastAsia="Arial" w:hAnsi="Arial"/>
                <w:sz w:val="14"/>
                <w:szCs w:val="14"/>
                <w:color w:val="auto"/>
              </w:rPr>
              <w:t>of January 31, 2023. Additionally, as of January 31, 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Borders>
              <w:right w:val="single" w:sz="8" w:color="auto"/>
            </w:tcBorders>
            <w:shd w:val="clear" w:color="auto" w:fill="AADEAD"/>
          </w:tcPr>
          <w:p>
            <w:pPr>
              <w:spacing w:after="0"/>
              <w:rPr>
                <w:sz w:val="12"/>
                <w:szCs w:val="12"/>
                <w:color w:val="auto"/>
              </w:rPr>
            </w:pPr>
          </w:p>
        </w:tc>
        <w:tc>
          <w:tcPr>
            <w:tcW w:w="26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non-binary in the U.S. workforce through</w:t>
            </w:r>
          </w:p>
        </w:tc>
        <w:tc>
          <w:tcPr>
            <w:tcW w:w="6320" w:type="dxa"/>
            <w:vAlign w:val="bottom"/>
          </w:tcPr>
          <w:p>
            <w:pPr>
              <w:ind w:left="260"/>
              <w:spacing w:after="0" w:line="142" w:lineRule="exact"/>
              <w:rPr>
                <w:sz w:val="20"/>
                <w:szCs w:val="20"/>
                <w:color w:val="auto"/>
              </w:rPr>
            </w:pPr>
            <w:r>
              <w:rPr>
                <w:rFonts w:ascii="Arial" w:cs="Arial" w:eastAsia="Arial" w:hAnsi="Arial"/>
                <w:sz w:val="14"/>
                <w:szCs w:val="14"/>
                <w:color w:val="auto"/>
              </w:rPr>
              <w:t>•   67% of our executive team identify as women or non-binary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AADEAD"/>
              <w:right w:val="single" w:sz="8" w:color="auto"/>
            </w:tcBorders>
            <w:shd w:val="clear" w:color="auto" w:fill="AADEAD"/>
          </w:tcPr>
          <w:p>
            <w:pPr>
              <w:spacing w:after="0"/>
              <w:rPr>
                <w:sz w:val="15"/>
                <w:szCs w:val="15"/>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fiscal year end 2026.</w:t>
            </w:r>
          </w:p>
        </w:tc>
        <w:tc>
          <w:tcPr>
            <w:tcW w:w="63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   60% of our Board of Directors identify as women or non-binary</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4"/>
        </w:trPr>
        <w:tc>
          <w:tcPr>
            <w:tcW w:w="2280" w:type="dxa"/>
            <w:vAlign w:val="bottom"/>
            <w:tcBorders>
              <w:right w:val="single" w:sz="8" w:color="auto"/>
            </w:tcBorders>
            <w:shd w:val="clear" w:color="auto" w:fill="AADEAD"/>
          </w:tcPr>
          <w:p>
            <w:pPr>
              <w:spacing w:after="0"/>
              <w:rPr>
                <w:sz w:val="24"/>
                <w:szCs w:val="24"/>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Double representation of LatinX</w:t>
            </w:r>
          </w:p>
        </w:tc>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280" w:type="dxa"/>
            <w:vAlign w:val="bottom"/>
            <w:tcBorders>
              <w:right w:val="single" w:sz="8" w:color="auto"/>
            </w:tcBorders>
            <w:shd w:val="clear" w:color="auto" w:fill="AADEAD"/>
          </w:tcPr>
          <w:p>
            <w:pPr>
              <w:spacing w:after="0"/>
              <w:rPr>
                <w:sz w:val="12"/>
                <w:szCs w:val="12"/>
                <w:color w:val="auto"/>
              </w:rPr>
            </w:pP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color w:val="auto"/>
              </w:rPr>
              <w:t>leadership in the new hire classes at our</w:t>
            </w: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Borders>
              <w:right w:val="single" w:sz="8" w:color="auto"/>
            </w:tcBorders>
            <w:shd w:val="clear" w:color="auto" w:fill="AADEAD"/>
          </w:tcPr>
          <w:p>
            <w:pPr>
              <w:spacing w:after="0"/>
              <w:rPr>
                <w:sz w:val="12"/>
                <w:szCs w:val="12"/>
                <w:color w:val="auto"/>
              </w:rPr>
            </w:pPr>
          </w:p>
        </w:tc>
        <w:tc>
          <w:tcPr>
            <w:tcW w:w="26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Secaucus warehouse by fiscal year end</w:t>
            </w: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AADEAD"/>
              <w:right w:val="single" w:sz="8" w:color="auto"/>
            </w:tcBorders>
            <w:shd w:val="clear" w:color="auto" w:fill="AADEAD"/>
          </w:tcPr>
          <w:p>
            <w:pPr>
              <w:spacing w:after="0"/>
              <w:rPr>
                <w:sz w:val="15"/>
                <w:szCs w:val="15"/>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2026.</w:t>
            </w:r>
          </w:p>
        </w:tc>
        <w:tc>
          <w:tcPr>
            <w:tcW w:w="6320" w:type="dxa"/>
            <w:vAlign w:val="bottom"/>
            <w:vMerge w:val="restart"/>
          </w:tcPr>
          <w:p>
            <w:pPr>
              <w:spacing w:after="0"/>
              <w:rPr>
                <w:sz w:val="20"/>
                <w:szCs w:val="20"/>
                <w:color w:val="auto"/>
              </w:rPr>
            </w:pPr>
            <w:r>
              <w:rPr>
                <w:rFonts w:ascii="Arial" w:cs="Arial" w:eastAsia="Arial" w:hAnsi="Arial"/>
                <w:sz w:val="14"/>
                <w:szCs w:val="14"/>
                <w:color w:val="auto"/>
              </w:rPr>
              <w:t>We continued to take action aimed at improving Black and LatinX representation and belonging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280" w:type="dxa"/>
            <w:vAlign w:val="bottom"/>
            <w:tcBorders>
              <w:right w:val="single" w:sz="8" w:color="auto"/>
            </w:tcBorders>
            <w:shd w:val="clear" w:color="auto" w:fill="AADEAD"/>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63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80" w:type="dxa"/>
            <w:vAlign w:val="bottom"/>
            <w:tcBorders>
              <w:right w:val="single" w:sz="8" w:color="auto"/>
            </w:tcBorders>
            <w:shd w:val="clear" w:color="auto" w:fill="AADEAD"/>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6320" w:type="dxa"/>
            <w:vAlign w:val="bottom"/>
          </w:tcPr>
          <w:p>
            <w:pPr>
              <w:spacing w:after="0" w:line="145" w:lineRule="exact"/>
              <w:rPr>
                <w:sz w:val="20"/>
                <w:szCs w:val="20"/>
                <w:color w:val="auto"/>
              </w:rPr>
            </w:pPr>
            <w:r>
              <w:rPr>
                <w:rFonts w:ascii="Arial" w:cs="Arial" w:eastAsia="Arial" w:hAnsi="Arial"/>
                <w:sz w:val="14"/>
                <w:szCs w:val="14"/>
                <w:color w:val="auto"/>
              </w:rPr>
              <w:t>across our organization including: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Borders>
              <w:right w:val="single" w:sz="8" w:color="auto"/>
            </w:tcBorders>
            <w:shd w:val="clear" w:color="auto" w:fill="AADEAD"/>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6320" w:type="dxa"/>
            <w:vAlign w:val="bottom"/>
          </w:tcPr>
          <w:p>
            <w:pPr>
              <w:ind w:left="260"/>
              <w:spacing w:after="0" w:line="142" w:lineRule="exact"/>
              <w:rPr>
                <w:sz w:val="20"/>
                <w:szCs w:val="20"/>
                <w:color w:val="auto"/>
              </w:rPr>
            </w:pPr>
            <w:r>
              <w:rPr>
                <w:rFonts w:ascii="Arial" w:cs="Arial" w:eastAsia="Arial" w:hAnsi="Arial"/>
                <w:sz w:val="14"/>
                <w:szCs w:val="14"/>
                <w:color w:val="auto"/>
              </w:rPr>
              <w:t>•   Ramped up programming from our Employee Resource Groups (ERGs) since their inception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tcBorders>
              <w:right w:val="single" w:sz="8" w:color="auto"/>
            </w:tcBorders>
            <w:shd w:val="clear" w:color="auto" w:fill="AADEAD"/>
          </w:tcPr>
          <w:p>
            <w:pPr>
              <w:spacing w:after="0"/>
              <w:rPr>
                <w:sz w:val="11"/>
                <w:szCs w:val="11"/>
                <w:color w:val="auto"/>
              </w:rPr>
            </w:pPr>
          </w:p>
        </w:tc>
        <w:tc>
          <w:tcPr>
            <w:tcW w:w="2680" w:type="dxa"/>
            <w:vAlign w:val="bottom"/>
            <w:tcBorders>
              <w:right w:val="single" w:sz="8" w:color="auto"/>
            </w:tcBorders>
          </w:tcPr>
          <w:p>
            <w:pPr>
              <w:spacing w:after="0"/>
              <w:rPr>
                <w:sz w:val="11"/>
                <w:szCs w:val="11"/>
                <w:color w:val="auto"/>
              </w:rPr>
            </w:pPr>
          </w:p>
        </w:tc>
        <w:tc>
          <w:tcPr>
            <w:tcW w:w="6320" w:type="dxa"/>
            <w:vAlign w:val="bottom"/>
          </w:tcPr>
          <w:p>
            <w:pPr>
              <w:ind w:left="520"/>
              <w:spacing w:after="0" w:line="138" w:lineRule="exact"/>
              <w:rPr>
                <w:sz w:val="20"/>
                <w:szCs w:val="20"/>
                <w:color w:val="auto"/>
              </w:rPr>
            </w:pPr>
            <w:r>
              <w:rPr>
                <w:rFonts w:ascii="Arial" w:cs="Arial" w:eastAsia="Arial" w:hAnsi="Arial"/>
                <w:sz w:val="14"/>
                <w:szCs w:val="14"/>
                <w:color w:val="auto"/>
              </w:rPr>
              <w:t>in 2021, and are planning to expand ERGs to our warehouses in 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80" w:type="dxa"/>
            <w:vAlign w:val="bottom"/>
            <w:tcBorders>
              <w:right w:val="single" w:sz="8" w:color="auto"/>
            </w:tcBorders>
            <w:vMerge w:val="restart"/>
            <w:shd w:val="clear" w:color="auto" w:fill="AADEAD"/>
          </w:tcPr>
          <w:p>
            <w:pPr>
              <w:ind w:left="20"/>
              <w:spacing w:after="0"/>
              <w:rPr>
                <w:sz w:val="20"/>
                <w:szCs w:val="20"/>
                <w:color w:val="auto"/>
              </w:rPr>
            </w:pPr>
            <w:r>
              <w:rPr>
                <w:rFonts w:ascii="Arial" w:cs="Arial" w:eastAsia="Arial" w:hAnsi="Arial"/>
                <w:sz w:val="14"/>
                <w:szCs w:val="14"/>
                <w:color w:val="auto"/>
              </w:rPr>
              <w:t>1. Ensure our workforce remains</w:t>
            </w: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Double representation of Black and</w:t>
            </w:r>
          </w:p>
        </w:tc>
        <w:tc>
          <w:tcPr>
            <w:tcW w:w="6320" w:type="dxa"/>
            <w:vAlign w:val="bottom"/>
          </w:tcPr>
          <w:p>
            <w:pPr>
              <w:ind w:left="260"/>
              <w:spacing w:after="0" w:line="145" w:lineRule="exact"/>
              <w:rPr>
                <w:sz w:val="20"/>
                <w:szCs w:val="20"/>
                <w:color w:val="auto"/>
              </w:rPr>
            </w:pPr>
            <w:r>
              <w:rPr>
                <w:rFonts w:ascii="Arial" w:cs="Arial" w:eastAsia="Arial" w:hAnsi="Arial"/>
                <w:sz w:val="14"/>
                <w:szCs w:val="14"/>
                <w:color w:val="auto"/>
              </w:rPr>
              <w:t>•   Introduced our Emerging Leaders Management training program, which includes a focus 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Borders>
              <w:right w:val="single" w:sz="8" w:color="auto"/>
            </w:tcBorders>
            <w:vMerge w:val="continue"/>
            <w:shd w:val="clear" w:color="auto" w:fill="AADEAD"/>
          </w:tcPr>
          <w:p>
            <w:pPr>
              <w:spacing w:after="0"/>
              <w:rPr>
                <w:sz w:val="12"/>
                <w:szCs w:val="12"/>
                <w:color w:val="auto"/>
              </w:rPr>
            </w:pPr>
          </w:p>
        </w:tc>
        <w:tc>
          <w:tcPr>
            <w:tcW w:w="2680" w:type="dxa"/>
            <w:vAlign w:val="bottom"/>
            <w:tcBorders>
              <w:right w:val="single" w:sz="8" w:color="auto"/>
            </w:tcBorders>
            <w:vMerge w:val="continue"/>
          </w:tcPr>
          <w:p>
            <w:pPr>
              <w:spacing w:after="0"/>
              <w:rPr>
                <w:sz w:val="12"/>
                <w:szCs w:val="12"/>
                <w:color w:val="auto"/>
              </w:rPr>
            </w:pPr>
          </w:p>
        </w:tc>
        <w:tc>
          <w:tcPr>
            <w:tcW w:w="6320" w:type="dxa"/>
            <w:vAlign w:val="bottom"/>
          </w:tcPr>
          <w:p>
            <w:pPr>
              <w:ind w:left="520"/>
              <w:spacing w:after="0" w:line="142" w:lineRule="exact"/>
              <w:rPr>
                <w:sz w:val="20"/>
                <w:szCs w:val="20"/>
                <w:color w:val="auto"/>
              </w:rPr>
            </w:pPr>
            <w:r>
              <w:rPr>
                <w:rFonts w:ascii="Arial" w:cs="Arial" w:eastAsia="Arial" w:hAnsi="Arial"/>
                <w:sz w:val="14"/>
                <w:szCs w:val="14"/>
                <w:color w:val="auto"/>
              </w:rPr>
              <w:t>fostering belonging within teams.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tcBorders>
              <w:right w:val="single" w:sz="8" w:color="auto"/>
            </w:tcBorders>
            <w:shd w:val="clear" w:color="auto" w:fill="AADEAD"/>
          </w:tcPr>
          <w:p>
            <w:pPr>
              <w:ind w:left="20"/>
              <w:spacing w:after="0" w:line="138" w:lineRule="exact"/>
              <w:rPr>
                <w:sz w:val="20"/>
                <w:szCs w:val="20"/>
                <w:color w:val="auto"/>
              </w:rPr>
            </w:pPr>
            <w:r>
              <w:rPr>
                <w:rFonts w:ascii="Arial" w:cs="Arial" w:eastAsia="Arial" w:hAnsi="Arial"/>
                <w:sz w:val="14"/>
                <w:szCs w:val="14"/>
                <w:color w:val="auto"/>
              </w:rPr>
              <w:t>diverse and for leadership to reflect</w:t>
            </w:r>
          </w:p>
        </w:tc>
        <w:tc>
          <w:tcPr>
            <w:tcW w:w="268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LatinX leadership in new hire classes at</w:t>
            </w:r>
          </w:p>
        </w:tc>
        <w:tc>
          <w:tcPr>
            <w:tcW w:w="6320" w:type="dxa"/>
            <w:vAlign w:val="bottom"/>
          </w:tcPr>
          <w:p>
            <w:pPr>
              <w:ind w:left="260"/>
              <w:spacing w:after="0" w:line="138" w:lineRule="exact"/>
              <w:rPr>
                <w:sz w:val="20"/>
                <w:szCs w:val="20"/>
                <w:color w:val="auto"/>
              </w:rPr>
            </w:pPr>
            <w:r>
              <w:rPr>
                <w:rFonts w:ascii="Arial" w:cs="Arial" w:eastAsia="Arial" w:hAnsi="Arial"/>
                <w:sz w:val="14"/>
                <w:szCs w:val="14"/>
                <w:color w:val="auto"/>
              </w:rPr>
              <w:t>•   Launched our Diversity Launchpad internship program.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tcBorders>
              <w:right w:val="single" w:sz="8" w:color="auto"/>
            </w:tcBorders>
            <w:shd w:val="clear" w:color="auto" w:fill="AADEAD"/>
          </w:tcPr>
          <w:p>
            <w:pPr>
              <w:ind w:left="20"/>
              <w:spacing w:after="0" w:line="149" w:lineRule="exact"/>
              <w:rPr>
                <w:sz w:val="20"/>
                <w:szCs w:val="20"/>
                <w:color w:val="auto"/>
              </w:rPr>
            </w:pPr>
            <w:r>
              <w:rPr>
                <w:rFonts w:ascii="Arial" w:cs="Arial" w:eastAsia="Arial" w:hAnsi="Arial"/>
                <w:sz w:val="14"/>
                <w:szCs w:val="14"/>
                <w:color w:val="auto"/>
              </w:rPr>
              <w:t>the population of individual</w:t>
            </w:r>
          </w:p>
        </w:tc>
        <w:tc>
          <w:tcPr>
            <w:tcW w:w="26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our Dallas warehouse by fiscal year end</w:t>
            </w:r>
          </w:p>
        </w:tc>
        <w:tc>
          <w:tcPr>
            <w:tcW w:w="6320" w:type="dxa"/>
            <w:vAlign w:val="bottom"/>
          </w:tcPr>
          <w:p>
            <w:pPr>
              <w:ind w:left="260"/>
              <w:spacing w:after="0" w:line="149" w:lineRule="exact"/>
              <w:rPr>
                <w:sz w:val="20"/>
                <w:szCs w:val="20"/>
                <w:color w:val="auto"/>
              </w:rPr>
            </w:pPr>
            <w:r>
              <w:rPr>
                <w:rFonts w:ascii="Arial" w:cs="Arial" w:eastAsia="Arial" w:hAnsi="Arial"/>
                <w:sz w:val="14"/>
                <w:szCs w:val="14"/>
                <w:color w:val="auto"/>
              </w:rPr>
              <w:t>•   Evolved RTR’s leadership competencies so that they include new themes which highlight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auto"/>
              <w:right w:val="single" w:sz="8" w:color="auto"/>
            </w:tcBorders>
            <w:shd w:val="clear" w:color="auto" w:fill="AADEAD"/>
          </w:tcPr>
          <w:p>
            <w:pPr>
              <w:ind w:left="20"/>
              <w:spacing w:after="0"/>
              <w:rPr>
                <w:sz w:val="20"/>
                <w:szCs w:val="20"/>
                <w:color w:val="auto"/>
              </w:rPr>
            </w:pPr>
            <w:r>
              <w:rPr>
                <w:rFonts w:ascii="Arial" w:cs="Arial" w:eastAsia="Arial" w:hAnsi="Arial"/>
                <w:sz w:val="14"/>
                <w:szCs w:val="14"/>
                <w:color w:val="auto"/>
              </w:rPr>
              <w:t>contributors.</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2026.</w:t>
            </w:r>
          </w:p>
        </w:tc>
        <w:tc>
          <w:tcPr>
            <w:tcW w:w="63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diversity, equity and inclusion in the definitions and behavioral indicators of each level.</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4"/>
        </w:trPr>
        <w:tc>
          <w:tcPr>
            <w:tcW w:w="2280" w:type="dxa"/>
            <w:vAlign w:val="bottom"/>
            <w:tcBorders>
              <w:right w:val="single" w:sz="8" w:color="auto"/>
            </w:tcBorders>
            <w:shd w:val="clear" w:color="auto" w:fill="AADEAD"/>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We estimate that we spent $1.76 million with Black designers and a total of $7.5 million with racial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280" w:type="dxa"/>
            <w:vAlign w:val="bottom"/>
            <w:tcBorders>
              <w:right w:val="single" w:sz="8" w:color="auto"/>
            </w:tcBorders>
            <w:shd w:val="clear" w:color="auto" w:fill="AADEAD"/>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6320" w:type="dxa"/>
            <w:vAlign w:val="bottom"/>
          </w:tcPr>
          <w:p>
            <w:pPr>
              <w:spacing w:after="0" w:line="145" w:lineRule="exact"/>
              <w:rPr>
                <w:sz w:val="20"/>
                <w:szCs w:val="20"/>
                <w:color w:val="auto"/>
              </w:rPr>
            </w:pPr>
            <w:r>
              <w:rPr>
                <w:rFonts w:ascii="Arial" w:cs="Arial" w:eastAsia="Arial" w:hAnsi="Arial"/>
                <w:sz w:val="14"/>
                <w:szCs w:val="14"/>
                <w:color w:val="auto"/>
              </w:rPr>
              <w:t>and ethnic minority designers. We estimate that we have invested more than $4.9 million in rental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280" w:type="dxa"/>
            <w:vAlign w:val="bottom"/>
            <w:tcBorders>
              <w:right w:val="single" w:sz="8" w:color="auto"/>
            </w:tcBorders>
            <w:shd w:val="clear" w:color="auto" w:fill="AADEAD"/>
          </w:tcPr>
          <w:p>
            <w:pPr>
              <w:spacing w:after="0"/>
              <w:rPr>
                <w:sz w:val="16"/>
                <w:szCs w:val="16"/>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 million cumulative spend with Black</w:t>
            </w:r>
          </w:p>
        </w:tc>
        <w:tc>
          <w:tcPr>
            <w:tcW w:w="6320" w:type="dxa"/>
            <w:vAlign w:val="bottom"/>
          </w:tcPr>
          <w:p>
            <w:pPr>
              <w:spacing w:after="0"/>
              <w:rPr>
                <w:sz w:val="20"/>
                <w:szCs w:val="20"/>
                <w:color w:val="auto"/>
              </w:rPr>
            </w:pPr>
            <w:r>
              <w:rPr>
                <w:rFonts w:ascii="Arial" w:cs="Arial" w:eastAsia="Arial" w:hAnsi="Arial"/>
                <w:sz w:val="14"/>
                <w:szCs w:val="14"/>
                <w:color w:val="auto"/>
              </w:rPr>
              <w:t>product purchases to support Black-owned businesses since June 2020. We continue to prioritize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80" w:type="dxa"/>
            <w:vAlign w:val="bottom"/>
            <w:tcBorders>
              <w:right w:val="single" w:sz="8" w:color="auto"/>
            </w:tcBorders>
            <w:shd w:val="clear" w:color="auto" w:fill="AADEAD"/>
          </w:tcPr>
          <w:p>
            <w:pPr>
              <w:spacing w:after="0"/>
              <w:rPr>
                <w:sz w:val="12"/>
                <w:szCs w:val="12"/>
                <w:color w:val="auto"/>
              </w:rPr>
            </w:pP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color w:val="auto"/>
              </w:rPr>
              <w:t>designers between fiscal year ended</w:t>
            </w:r>
          </w:p>
        </w:tc>
        <w:tc>
          <w:tcPr>
            <w:tcW w:w="6320" w:type="dxa"/>
            <w:vAlign w:val="bottom"/>
          </w:tcPr>
          <w:p>
            <w:pPr>
              <w:spacing w:after="0" w:line="145" w:lineRule="exact"/>
              <w:rPr>
                <w:sz w:val="20"/>
                <w:szCs w:val="20"/>
                <w:color w:val="auto"/>
              </w:rPr>
            </w:pPr>
            <w:r>
              <w:rPr>
                <w:rFonts w:ascii="Arial" w:cs="Arial" w:eastAsia="Arial" w:hAnsi="Arial"/>
                <w:sz w:val="14"/>
                <w:szCs w:val="14"/>
                <w:color w:val="auto"/>
              </w:rPr>
              <w:t>identifying new Black designers as well as deepen relationships with our existing Black designers.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Borders>
              <w:right w:val="single" w:sz="8" w:color="auto"/>
            </w:tcBorders>
            <w:shd w:val="clear" w:color="auto" w:fill="AADEAD"/>
          </w:tcPr>
          <w:p>
            <w:pPr>
              <w:spacing w:after="0"/>
              <w:rPr>
                <w:sz w:val="12"/>
                <w:szCs w:val="12"/>
                <w:color w:val="auto"/>
              </w:rPr>
            </w:pPr>
          </w:p>
        </w:tc>
        <w:tc>
          <w:tcPr>
            <w:tcW w:w="26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 xml:space="preserve">2022 and fiscal year end 2026. </w:t>
            </w:r>
            <w:r>
              <w:rPr>
                <w:rFonts w:ascii="Arial" w:cs="Arial" w:eastAsia="Arial" w:hAnsi="Arial"/>
                <w:sz w:val="14"/>
                <w:szCs w:val="14"/>
                <w:i w:val="1"/>
                <w:iCs w:val="1"/>
                <w:color w:val="auto"/>
              </w:rPr>
              <w:t>(2023</w:t>
            </w:r>
          </w:p>
        </w:tc>
        <w:tc>
          <w:tcPr>
            <w:tcW w:w="6320" w:type="dxa"/>
            <w:vAlign w:val="bottom"/>
            <w:vMerge w:val="restart"/>
          </w:tcPr>
          <w:p>
            <w:pPr>
              <w:spacing w:after="0"/>
              <w:rPr>
                <w:sz w:val="20"/>
                <w:szCs w:val="20"/>
                <w:color w:val="auto"/>
              </w:rPr>
            </w:pPr>
            <w:r>
              <w:rPr>
                <w:rFonts w:ascii="Arial" w:cs="Arial" w:eastAsia="Arial" w:hAnsi="Arial"/>
                <w:sz w:val="14"/>
                <w:szCs w:val="14"/>
                <w:color w:val="auto"/>
              </w:rPr>
              <w:t>We estimate that we increased the penetration of racial and ethnic minority designers featured 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80" w:type="dxa"/>
            <w:vAlign w:val="bottom"/>
            <w:tcBorders>
              <w:right w:val="single" w:sz="8" w:color="auto"/>
            </w:tcBorders>
            <w:shd w:val="clear" w:color="auto" w:fill="AADEAD"/>
          </w:tcPr>
          <w:p>
            <w:pPr>
              <w:spacing w:after="0"/>
              <w:rPr>
                <w:sz w:val="12"/>
                <w:szCs w:val="12"/>
                <w:color w:val="auto"/>
              </w:rPr>
            </w:pP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i w:val="1"/>
                <w:iCs w:val="1"/>
                <w:color w:val="auto"/>
              </w:rPr>
              <w:t>Update)</w:t>
            </w:r>
          </w:p>
        </w:tc>
        <w:tc>
          <w:tcPr>
            <w:tcW w:w="6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80" w:type="dxa"/>
            <w:vAlign w:val="bottom"/>
            <w:tcBorders>
              <w:right w:val="single" w:sz="8" w:color="auto"/>
            </w:tcBorders>
            <w:shd w:val="clear" w:color="auto" w:fill="AADEAD"/>
          </w:tcPr>
          <w:p>
            <w:pPr>
              <w:spacing w:after="0"/>
              <w:rPr>
                <w:sz w:val="16"/>
                <w:szCs w:val="16"/>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$10 million cumulative spend with Black</w:t>
            </w:r>
          </w:p>
        </w:tc>
        <w:tc>
          <w:tcPr>
            <w:tcW w:w="6320" w:type="dxa"/>
            <w:vAlign w:val="bottom"/>
          </w:tcPr>
          <w:p>
            <w:pPr>
              <w:spacing w:after="0"/>
              <w:rPr>
                <w:sz w:val="20"/>
                <w:szCs w:val="20"/>
                <w:color w:val="auto"/>
              </w:rPr>
            </w:pPr>
            <w:r>
              <w:rPr>
                <w:rFonts w:ascii="Arial" w:cs="Arial" w:eastAsia="Arial" w:hAnsi="Arial"/>
                <w:sz w:val="14"/>
                <w:szCs w:val="14"/>
                <w:color w:val="auto"/>
              </w:rPr>
              <w:t>our platform from 4% of brands in the fall of 2020 to 15% in the fall of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280" w:type="dxa"/>
            <w:vAlign w:val="bottom"/>
            <w:tcBorders>
              <w:right w:val="single" w:sz="8" w:color="auto"/>
            </w:tcBorders>
            <w:shd w:val="clear" w:color="auto" w:fill="AADEAD"/>
          </w:tcPr>
          <w:p>
            <w:pPr>
              <w:spacing w:after="0"/>
              <w:rPr>
                <w:sz w:val="12"/>
                <w:szCs w:val="12"/>
                <w:color w:val="auto"/>
              </w:rPr>
            </w:pPr>
          </w:p>
        </w:tc>
        <w:tc>
          <w:tcPr>
            <w:tcW w:w="2680" w:type="dxa"/>
            <w:vAlign w:val="bottom"/>
            <w:tcBorders>
              <w:right w:val="single" w:sz="8" w:color="auto"/>
            </w:tcBorders>
            <w:vMerge w:val="continue"/>
          </w:tcPr>
          <w:p>
            <w:pPr>
              <w:spacing w:after="0"/>
              <w:rPr>
                <w:sz w:val="12"/>
                <w:szCs w:val="12"/>
                <w:color w:val="auto"/>
              </w:rPr>
            </w:pPr>
          </w:p>
        </w:tc>
        <w:tc>
          <w:tcPr>
            <w:tcW w:w="6320" w:type="dxa"/>
            <w:vAlign w:val="bottom"/>
            <w:vMerge w:val="restart"/>
          </w:tcPr>
          <w:p>
            <w:pPr>
              <w:spacing w:after="0"/>
              <w:rPr>
                <w:sz w:val="20"/>
                <w:szCs w:val="20"/>
                <w:color w:val="auto"/>
              </w:rPr>
            </w:pPr>
            <w:r>
              <w:rPr>
                <w:rFonts w:ascii="Arial" w:cs="Arial" w:eastAsia="Arial" w:hAnsi="Arial"/>
                <w:sz w:val="14"/>
                <w:szCs w:val="14"/>
                <w:color w:val="auto"/>
              </w:rPr>
              <w:t>We decided to update our original goal due to new efficiencies in the way we acquire rental product.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Borders>
              <w:right w:val="single" w:sz="8" w:color="auto"/>
            </w:tcBorders>
            <w:shd w:val="clear" w:color="auto" w:fill="AADEAD"/>
          </w:tcPr>
          <w:p>
            <w:pPr>
              <w:spacing w:after="0"/>
              <w:rPr>
                <w:sz w:val="12"/>
                <w:szCs w:val="12"/>
                <w:color w:val="auto"/>
              </w:rPr>
            </w:pPr>
          </w:p>
        </w:tc>
        <w:tc>
          <w:tcPr>
            <w:tcW w:w="26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designers between fiscal year end 2022</w:t>
            </w:r>
          </w:p>
        </w:tc>
        <w:tc>
          <w:tcPr>
            <w:tcW w:w="6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tcBorders>
              <w:right w:val="single" w:sz="8" w:color="auto"/>
            </w:tcBorders>
            <w:shd w:val="clear" w:color="auto" w:fill="AADEAD"/>
          </w:tcPr>
          <w:p>
            <w:pPr>
              <w:spacing w:after="0"/>
              <w:rPr>
                <w:sz w:val="11"/>
                <w:szCs w:val="11"/>
                <w:color w:val="auto"/>
              </w:rPr>
            </w:pPr>
          </w:p>
        </w:tc>
        <w:tc>
          <w:tcPr>
            <w:tcW w:w="268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 xml:space="preserve">and fiscal year end 2026. </w:t>
            </w:r>
            <w:r>
              <w:rPr>
                <w:rFonts w:ascii="Arial" w:cs="Arial" w:eastAsia="Arial" w:hAnsi="Arial"/>
                <w:sz w:val="14"/>
                <w:szCs w:val="14"/>
                <w:i w:val="1"/>
                <w:iCs w:val="1"/>
                <w:color w:val="auto"/>
              </w:rPr>
              <w:t>(2022 Original</w:t>
            </w:r>
          </w:p>
        </w:tc>
        <w:tc>
          <w:tcPr>
            <w:tcW w:w="6320" w:type="dxa"/>
            <w:vAlign w:val="bottom"/>
          </w:tcPr>
          <w:p>
            <w:pPr>
              <w:spacing w:after="0" w:line="138" w:lineRule="exact"/>
              <w:rPr>
                <w:sz w:val="20"/>
                <w:szCs w:val="20"/>
                <w:color w:val="auto"/>
              </w:rPr>
            </w:pPr>
            <w:r>
              <w:rPr>
                <w:rFonts w:ascii="Arial" w:cs="Arial" w:eastAsia="Arial" w:hAnsi="Arial"/>
                <w:sz w:val="14"/>
                <w:szCs w:val="14"/>
                <w:color w:val="auto"/>
              </w:rPr>
              <w:t>Much of our rental product is purchased via a consignment model, which allows us to lower rental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280" w:type="dxa"/>
            <w:vAlign w:val="bottom"/>
            <w:tcBorders>
              <w:bottom w:val="single" w:sz="8" w:color="AADEAD"/>
              <w:right w:val="single" w:sz="8" w:color="auto"/>
            </w:tcBorders>
            <w:shd w:val="clear" w:color="auto" w:fill="AADEAD"/>
          </w:tcPr>
          <w:p>
            <w:pPr>
              <w:spacing w:after="0"/>
              <w:rPr>
                <w:sz w:val="16"/>
                <w:szCs w:val="16"/>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Goal)</w:t>
            </w:r>
          </w:p>
        </w:tc>
        <w:tc>
          <w:tcPr>
            <w:tcW w:w="6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product spend while maintaining or increasing our rental product purchases.</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64"/>
        </w:trPr>
        <w:tc>
          <w:tcPr>
            <w:tcW w:w="2280" w:type="dxa"/>
            <w:vAlign w:val="bottom"/>
            <w:tcBorders>
              <w:right w:val="single" w:sz="8" w:color="auto"/>
            </w:tcBorders>
            <w:shd w:val="clear" w:color="auto" w:fill="AADEAD"/>
          </w:tcPr>
          <w:p>
            <w:pPr>
              <w:spacing w:after="0"/>
              <w:rPr>
                <w:sz w:val="24"/>
                <w:szCs w:val="2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Ensure at least 40% representation of</w:t>
            </w:r>
          </w:p>
        </w:tc>
        <w:tc>
          <w:tcPr>
            <w:tcW w:w="6320" w:type="dxa"/>
            <w:vAlign w:val="bottom"/>
          </w:tcPr>
          <w:p>
            <w:pPr>
              <w:spacing w:after="0"/>
              <w:rPr>
                <w:sz w:val="20"/>
                <w:szCs w:val="20"/>
                <w:color w:val="auto"/>
              </w:rPr>
            </w:pPr>
            <w:r>
              <w:rPr>
                <w:rFonts w:ascii="Arial" w:cs="Arial" w:eastAsia="Arial" w:hAnsi="Arial"/>
                <w:sz w:val="14"/>
                <w:szCs w:val="14"/>
                <w:color w:val="auto"/>
              </w:rPr>
              <w:t>In fiscal year 2022 we calculated our baseline for this goal and we estimate that we had 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280" w:type="dxa"/>
            <w:vAlign w:val="bottom"/>
            <w:tcBorders>
              <w:right w:val="single" w:sz="8" w:color="auto"/>
            </w:tcBorders>
            <w:shd w:val="clear" w:color="auto" w:fill="AADEAD"/>
          </w:tcPr>
          <w:p>
            <w:pPr>
              <w:spacing w:after="0"/>
              <w:rPr>
                <w:sz w:val="11"/>
                <w:szCs w:val="11"/>
                <w:color w:val="auto"/>
              </w:rPr>
            </w:pPr>
          </w:p>
        </w:tc>
        <w:tc>
          <w:tcPr>
            <w:tcW w:w="2680" w:type="dxa"/>
            <w:vAlign w:val="bottom"/>
            <w:tcBorders>
              <w:right w:val="single" w:sz="8" w:color="auto"/>
            </w:tcBorders>
            <w:vMerge w:val="continue"/>
          </w:tcPr>
          <w:p>
            <w:pPr>
              <w:spacing w:after="0"/>
              <w:rPr>
                <w:sz w:val="11"/>
                <w:szCs w:val="11"/>
                <w:color w:val="auto"/>
              </w:rPr>
            </w:pPr>
          </w:p>
        </w:tc>
        <w:tc>
          <w:tcPr>
            <w:tcW w:w="6320" w:type="dxa"/>
            <w:vAlign w:val="bottom"/>
          </w:tcPr>
          <w:p>
            <w:pPr>
              <w:spacing w:after="0" w:line="138" w:lineRule="exact"/>
              <w:rPr>
                <w:sz w:val="20"/>
                <w:szCs w:val="20"/>
                <w:color w:val="auto"/>
              </w:rPr>
            </w:pPr>
            <w:r>
              <w:rPr>
                <w:rFonts w:ascii="Arial" w:cs="Arial" w:eastAsia="Arial" w:hAnsi="Arial"/>
                <w:sz w:val="14"/>
                <w:szCs w:val="14"/>
                <w:color w:val="auto"/>
              </w:rPr>
              <w:t>representation of racial and ethnic minorities in our marketing materials and imagery.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80" w:type="dxa"/>
            <w:vAlign w:val="bottom"/>
            <w:tcBorders>
              <w:right w:val="single" w:sz="8" w:color="auto"/>
            </w:tcBorders>
            <w:vMerge w:val="restart"/>
            <w:shd w:val="clear" w:color="auto" w:fill="AADEAD"/>
          </w:tcPr>
          <w:p>
            <w:pPr>
              <w:ind w:left="20"/>
              <w:spacing w:after="0"/>
              <w:rPr>
                <w:sz w:val="20"/>
                <w:szCs w:val="20"/>
                <w:color w:val="auto"/>
              </w:rPr>
            </w:pPr>
            <w:r>
              <w:rPr>
                <w:rFonts w:ascii="Arial" w:cs="Arial" w:eastAsia="Arial" w:hAnsi="Arial"/>
                <w:sz w:val="14"/>
                <w:szCs w:val="14"/>
                <w:color w:val="auto"/>
              </w:rPr>
              <w:t>2. Use our platform to support and</w:t>
            </w: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color w:val="auto"/>
              </w:rPr>
              <w:t>racial and ethnic minorities in our</w:t>
            </w:r>
          </w:p>
        </w:tc>
        <w:tc>
          <w:tcPr>
            <w:tcW w:w="6320" w:type="dxa"/>
            <w:vAlign w:val="bottom"/>
            <w:vMerge w:val="restart"/>
          </w:tcPr>
          <w:p>
            <w:pPr>
              <w:spacing w:after="0"/>
              <w:rPr>
                <w:sz w:val="20"/>
                <w:szCs w:val="20"/>
                <w:color w:val="auto"/>
              </w:rPr>
            </w:pPr>
            <w:r>
              <w:rPr>
                <w:rFonts w:ascii="Arial" w:cs="Arial" w:eastAsia="Arial" w:hAnsi="Arial"/>
                <w:sz w:val="14"/>
                <w:szCs w:val="14"/>
                <w:color w:val="auto"/>
              </w:rPr>
              <w:t>With the baseline established, our marketing team is focused on building the capabilities necessary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Borders>
              <w:right w:val="single" w:sz="8" w:color="auto"/>
            </w:tcBorders>
            <w:vMerge w:val="continue"/>
            <w:shd w:val="clear" w:color="auto" w:fill="AADEAD"/>
          </w:tcPr>
          <w:p>
            <w:pPr>
              <w:spacing w:after="0"/>
              <w:rPr>
                <w:sz w:val="12"/>
                <w:szCs w:val="12"/>
                <w:color w:val="auto"/>
              </w:rPr>
            </w:pPr>
          </w:p>
        </w:tc>
        <w:tc>
          <w:tcPr>
            <w:tcW w:w="26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marketing materials and imagery by fiscal</w:t>
            </w:r>
          </w:p>
        </w:tc>
        <w:tc>
          <w:tcPr>
            <w:tcW w:w="6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auto"/>
              <w:right w:val="single" w:sz="8" w:color="auto"/>
            </w:tcBorders>
            <w:shd w:val="clear" w:color="auto" w:fill="AADEAD"/>
          </w:tcPr>
          <w:p>
            <w:pPr>
              <w:ind w:left="20"/>
              <w:spacing w:after="0"/>
              <w:rPr>
                <w:sz w:val="20"/>
                <w:szCs w:val="20"/>
                <w:color w:val="auto"/>
              </w:rPr>
            </w:pPr>
            <w:r>
              <w:rPr>
                <w:rFonts w:ascii="Arial" w:cs="Arial" w:eastAsia="Arial" w:hAnsi="Arial"/>
                <w:sz w:val="14"/>
                <w:szCs w:val="14"/>
                <w:color w:val="auto"/>
              </w:rPr>
              <w:t>amplify diversity in fashion.</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year end 2026.</w:t>
            </w:r>
          </w:p>
        </w:tc>
        <w:tc>
          <w:tcPr>
            <w:tcW w:w="6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 increase this number and achieve our goal over the next four years.</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134747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firstLine="5"/>
        <w:spacing w:after="0" w:line="248" w:lineRule="auto"/>
        <w:tabs>
          <w:tab w:leader="none" w:pos="113"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i w:val="1"/>
          <w:iCs w:val="1"/>
          <w:color w:val="auto"/>
        </w:rPr>
        <w:t xml:space="preserve">Racial and ethnic minorities </w:t>
      </w:r>
      <w:r>
        <w:rPr>
          <w:rFonts w:ascii="Arial" w:cs="Arial" w:eastAsia="Arial" w:hAnsi="Arial"/>
          <w:sz w:val="11"/>
          <w:szCs w:val="11"/>
          <w:color w:val="auto"/>
        </w:rPr>
        <w:t>refers to American Indian or Alaskan Native, Asian, Black or African American, Hispanic/Latino, Native Hawaiian or other Pacific Islander, Middle Eastern or North African, or two or more races.</w:t>
      </w:r>
      <w:r>
        <w:rPr>
          <w:rFonts w:ascii="Arial" w:cs="Arial" w:eastAsia="Arial" w:hAnsi="Arial"/>
          <w:sz w:val="11"/>
          <w:szCs w:val="11"/>
          <w:i w:val="1"/>
          <w:iCs w:val="1"/>
          <w:color w:val="auto"/>
        </w:rPr>
        <w:t xml:space="preserve"> </w:t>
      </w:r>
      <w:r>
        <w:rPr>
          <w:rFonts w:ascii="Arial" w:cs="Arial" w:eastAsia="Arial" w:hAnsi="Arial"/>
          <w:sz w:val="11"/>
          <w:szCs w:val="11"/>
          <w:color w:val="auto"/>
        </w:rPr>
        <w:t>While we recognize that these racial and ethnic categories do not reflect the complexities of an individual's identity nor do they acknowledge the systemic and historical exclusion of these communities, we use these categories for reporting as required by the U.S. Equal Opportunity Commission.</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23"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Seasonality</w:t>
      </w:r>
    </w:p>
    <w:p>
      <w:pPr>
        <w:spacing w:after="0" w:line="13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experience seasonality in our business.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In fiscal year 2022, our active subscriber count increased sequentially in the first and third quarters and decreased sequentially in the second and fourth quarters. The third quarter increase and the fourth quarter decrease are generally consistent with more recent historical seasonality. Our second quarter typically sees a moderate increase in active subscriber count compared to the first quarter, except in fiscal year 2022 which saw a significant increase post-Omicron variant in the first quarter and in light of the adverse impact of the price increase of our Subscription programs in April 2022.</w:t>
      </w:r>
    </w:p>
    <w:p>
      <w:pPr>
        <w:spacing w:after="0" w:line="99"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Our seasonality trends have seen effects from COVID-19 and the macro environment generally and may continue to do so in the future. For example, subscriber trends and revenue have been impacted by fewer large-scale holiday and special events compared to pre-COVID-19, especially those typically occurring in the third and fourth quarters.</w:t>
      </w:r>
    </w:p>
    <w:p>
      <w:pPr>
        <w:spacing w:after="0" w:line="131"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We also experience seasonality in the timing of expenses and capital outlays. Transportation expense, and therefore fulfillment cost, is typically highest in the fourth fiscal quarter, given higher service levels, such as more costly and expedited shipping, and competition during holidays. Our most significant product capital expenditures typically occur in the first</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fiscal quarter and the third fiscal quarter, when we acquire product for the upcoming fall and spring seasons, which can increase rental product depreciation and revenue share and impact our gross margins. However, the impact on cash is typically dependent on timing of receipt of product.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see the section of Part I, Item 1A, “Risk Factors — Risks Relating To Our Business and Industry — Our business is affected by seasonality.”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Competition</w:t>
      </w:r>
    </w:p>
    <w:p>
      <w:pPr>
        <w:spacing w:after="0" w:line="200"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The fashion industry is highly fragmented and competitive. Our competitors include other fashion rental companies and also a range of traditional and online retail and resale fashion companies. Our ability to remain competitive depends on the continued shift from an ownership to an access model. While other competitors may change their business models and endeavor to expand into the rental and resale space, online fashion rental and resale presents unique operational and technical challenges.</w:t>
      </w:r>
    </w:p>
    <w:p>
      <w:pPr>
        <w:spacing w:after="0" w:line="155"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compete primarily on the basis of brand recognition, customer and brand partner experience, product mix and quality, quality of our e-commerce experiences and services, and price. Additionally, we experience competition for consumer discretionary spending from other product and experiential categories. We believe we are able to compete effectively because there are numerous trends in our favor that support the continued growth and success of online fashion rental. For example, key trends include consumers prioritizing access over ownership, consumers increasingly seeking variety and newness, growth in online shopping, an increasingly female workforce, and consumers valuing sustainability as it relates to fashion choices. See the section of Part I, Item 1A titled “Risk Factors — Risks Relating To Our Business and Industry — The global fashion industry is highly competitive and rapidly changing, and we may not be able to compete effectively.”</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Government Regulation</w:t>
      </w:r>
    </w:p>
    <w:p>
      <w:pPr>
        <w:spacing w:after="0" w:line="200"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We are subject to a wide variety of complex laws and regulations in the United States and other jurisdictions in which we operate. The laws and regulations govern many issues related to our business practices, including those regarding consumer protection, worker classification, wage and hour, sick pay and leaves of absence, anti-discrimination and harassment, whistleblower protections, background checks, privacy, data security, intellectual property, health and safety, environmental, competition, fees and payments, pricing, product liability and disclosures, property damage, communications, employee benefits, taxation, unionization and collective bargaining, contracts, arbitration agreements, class action waivers, terms of service, and accessibility of our mobile app or website.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These laws and regulations are constantly evolving and may be interpreted, applied, created, superseded, or amended in a manner that could harm our business. These changes may occur immediately or develop over time through judicial decisions or as new guidance or interpretations are provided by regulatory and governing bodies, such as federal, state and local administrative agencies. As we expand our business into new markets or introduce new features or offerings into existing markets, regulatory bodies or courts may claim that we are subject to additional requirements, or that we are prohibited from conducting business in certain jurisdictions.</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Additionally, because we receive, use, store, transmit, and disclose personal data relating to customers on our platform, we are subject to numerous laws and regulations in the United States and other countries where we do business, as well as industry standards, relating to privacy, data security and data protection, direct marketing, and online advertising. Such laws, regulations, and industry standards include, but are not limited to, Section 5(a) of the Federal Trade Commission Act, the Telephone Consumer Protection Act of 1991 and all regulations promulgated thereunder, the Controlling the Assault of Non-Solicited Pornography And Marketing Act of 2003, the California Consumer Privacy Act of 2018, the California Privacy Rights Act of 2020, the California Online Privacy Protection Act, and the Payment Card Industry (“PCI”) Data Security Standard.</w:t>
      </w:r>
    </w:p>
    <w:p>
      <w:pPr>
        <w:spacing w:after="0" w:line="161"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See Part I, Item 1A, “Risk Factors — Risks Related to Our Legal and Regulatory Environment” for additional information about the laws and regulations we are subject to and the risks to our business associated with such laws and regulations.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Intellectual Property</w:t>
      </w:r>
    </w:p>
    <w:p>
      <w:pPr>
        <w:spacing w:after="0" w:line="200"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Our intellectual property is an important component of our business. We rely on a combination of trademarks, copyrights, patents, trade secrets, license agreements, confidentiality procedures, non-disclosure agreements, employee non-disclosure and invention assignment agreements, and other legal and contractual rights, and policies and procedures, to establish and protect our proprietary rights.</w:t>
      </w:r>
    </w:p>
    <w:p>
      <w:pPr>
        <w:spacing w:after="0" w:line="155"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As of January 31, 2023, we had five issued patents in the United States that expire between 2031 and 2038, no allowed patent applications in the United States, and one patent application (including active PCT applications) pending in the United States and globally. While we believe our patents and patent applications in the aggregate enhance our competitive position, no single patent or patent application is material to us as a whole.</w:t>
      </w:r>
    </w:p>
    <w:p>
      <w:pPr>
        <w:spacing w:after="0" w:line="155"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We register our brand names and product names, taglines and logos in the United States to the extent we determine appropriate and cost-effective. As of January 31, 2023, we had a total of 26 registered trademarks in the United States and 60 registered trademarks in non-U.S. jurisdictions, as well as certain pending trademark applications. As of January 31, 2023, we had also registered a total of 12 copyrights. We also register domain names for certain websites that we use in our business, such as www.renttherunway.com, as well as similar variations to protect our brands and marks from cybersquatters.</w:t>
      </w:r>
    </w:p>
    <w:p>
      <w:pPr>
        <w:spacing w:after="0" w:line="159"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We control access to and use of our proprietary technology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We intend to pursue additional actions to establish and protect our intellectual property rights to the extent we believe it would be beneficial and cost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Employees and Human Capital Resources</w:t>
      </w:r>
    </w:p>
    <w:p>
      <w:pPr>
        <w:spacing w:after="0" w:line="20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As of January 31, 2023, we had a total of 880 full-time employees and 135 part-time employees in the United States and Ireland. As of January 31, 2023, our technology team consisted of 182 employees, across engineering, data analytics, IT, product, software quality assurance, user experience and design, including a team of 63 in Galway, Ireland, primarily in engineering and data analytics. None of our employees are represented by a labor union or covered by collective bargaining agreements and we have not experienced any work stoppages.</w:t>
      </w:r>
    </w:p>
    <w:p>
      <w:pPr>
        <w:spacing w:after="0" w:line="159"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We strive to make Rent the Runway a diverse, inclusive, and safe workplace, with opportunities for our employees to grow and develop in their careers, supported by competitive compensation and benefits programs. Our culture is underpinned by our Core Values, including that we are all Founders of Rent the Runway, and we all Dream BIG and go after it, adapt and learn from everything we do and debating, honest conversations and collaborating make the company stronger.</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See “Our ESG (Environmental, Social and Governance) Impact Strategy” for more information about our values, goals and human capital measures and objectives.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Corporate Information</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were incorporated as Rent the Runway, Inc. in Delaware on March 3, 2009. We completed our initial public offering (“IPO”) in October 2021. For additional information regarding reclassification of our stockholder equity in connection with our IPO, see Note 2 - Summary of Significant Accounting Policies in the Notes to the Consolidated Financial Statements included in Part II, Item 8. Our Class A common stock trades on The Nasdaq Global Select Market (“Nasdaq”) under the symbol RENT. Our principal executive offices are located at 10 Jay Street, Brooklyn, New York 11201 and our website address is www.renttherunway.com.</w:t>
      </w:r>
    </w:p>
    <w:p>
      <w:pPr>
        <w:spacing w:after="0" w:line="170" w:lineRule="exact"/>
        <w:rPr>
          <w:sz w:val="20"/>
          <w:szCs w:val="20"/>
          <w:color w:val="auto"/>
        </w:rPr>
      </w:pPr>
    </w:p>
    <w:p>
      <w:pPr>
        <w:jc w:val="both"/>
        <w:ind w:right="420"/>
        <w:spacing w:after="0" w:line="265" w:lineRule="auto"/>
        <w:rPr>
          <w:sz w:val="20"/>
          <w:szCs w:val="20"/>
          <w:color w:val="auto"/>
        </w:rPr>
      </w:pPr>
      <w:r>
        <w:rPr>
          <w:rFonts w:ascii="Arial" w:cs="Arial" w:eastAsia="Arial" w:hAnsi="Arial"/>
          <w:sz w:val="14"/>
          <w:szCs w:val="14"/>
          <w:color w:val="auto"/>
        </w:rPr>
        <w:t>We provide free access to various reports that we file with, or furnish to, the United States Securities and Exchange Commission (the “SEC”) through our website, as soon as reasonably practicable after they have been filed or furnished. These reports include, but are not limited to, our annual reports on Form 10-K, quarterly reports on Form 10 -Q, current reports on Form 8-K, and any amendments to those reports. Our SEC reports can also be accessed through the SEC's website at www.sec.gov. Also available on our website are printable versions of our Code of Conduct, Corporate Governance Guidelines and charters of the standing committees of our board of directors.</w:t>
      </w:r>
    </w:p>
    <w:p>
      <w:pPr>
        <w:spacing w:after="0" w:line="159"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Our Code of Conduct applies to all of our directors, officers and employees, including our principal executive officer, principal financial officer, principal accounting officer and controller, or persons performing similar functions. A copy of the code is available on our Investor Relations website at investors.renttherunway.com in the “Governance” section. In addition, we intend to post on our website all disclosures that are required by law or by Nasdaq rules concerning any amendments to, or waivers from, any provision of our Code of Conduct.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Information on our website does not constitute part of this Annual Report on Form 10-K or any other report we file or furnish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i w:val="1"/>
          <w:iCs w:val="1"/>
          <w:color w:val="auto"/>
        </w:rPr>
        <w:t>Investing in our Class A common stock involves a high degree of risk. You should consider and read carefully all of the risks and uncertainties described below, as well as other information included in this Annual Report on Form 10-K, including our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Business and Industry</w:t>
      </w:r>
    </w:p>
    <w:p>
      <w:pPr>
        <w:spacing w:after="0" w:line="179" w:lineRule="exact"/>
        <w:rPr>
          <w:sz w:val="20"/>
          <w:szCs w:val="20"/>
          <w:color w:val="auto"/>
        </w:rPr>
      </w:pPr>
    </w:p>
    <w:p>
      <w:pPr>
        <w:jc w:val="both"/>
        <w:ind w:right="180"/>
        <w:spacing w:after="0" w:line="299" w:lineRule="auto"/>
        <w:rPr>
          <w:sz w:val="20"/>
          <w:szCs w:val="20"/>
          <w:color w:val="auto"/>
        </w:rPr>
      </w:pPr>
      <w:r>
        <w:rPr>
          <w:rFonts w:ascii="Arial" w:cs="Arial" w:eastAsia="Arial" w:hAnsi="Arial"/>
          <w:sz w:val="14"/>
          <w:szCs w:val="14"/>
          <w:b w:val="1"/>
          <w:bCs w:val="1"/>
          <w:i w:val="1"/>
          <w:iCs w:val="1"/>
          <w:color w:val="auto"/>
        </w:rPr>
        <w:t>We have grown rapidly in recent years and have limited experience at our current scale of operations and our historical growth rates are not necessarily indicative of our future performance. If we are unable to drive future growth or manage our growth effectively, our brand, company culture, and financial performance may suffer</w:t>
      </w:r>
      <w:r>
        <w:rPr>
          <w:rFonts w:ascii="Arial" w:cs="Arial" w:eastAsia="Arial" w:hAnsi="Arial"/>
          <w:sz w:val="14"/>
          <w:szCs w:val="14"/>
          <w:color w:val="auto"/>
        </w:rPr>
        <w:t>.</w:t>
      </w:r>
    </w:p>
    <w:p>
      <w:pPr>
        <w:spacing w:after="0" w:line="2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We have grown rapidly over the last several years, due in large part to the growth in demand for our Subscription offerings, however, our recent growth rates and financial performance should not necessarily be considered indicative of our future performance. To effectively manage and capitalize on our growth, we must continue to enhance customer experience and attract and retain customers (particularly subscribers), iterate our subscription products, invest in digital consumer innovation, expand our brand awareness and marketing,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a diverse and growing employee base. Failure to scale and preserve our company culture as we grow could also harm our future success, including our ability to retain and recruit personnel and to effectively focus on and pursue our corporate objectives.</w:t>
      </w:r>
    </w:p>
    <w:p>
      <w:pPr>
        <w:spacing w:after="0" w:line="142"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Our growth strategy is focused on continuing to grow, engage, and retain our subscriber and customer base, expanding our brand partner relationships and product assortment, increasing our advertising and other marketing spending, and continuing to invest in our offerings and technology. The majority of our revenue is generated by our subscribers. Our base subscription plans range in price 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or buy items via our Reserve offering and Resale offering, respectively. Our subscription plans and offerings do not have demonstrably long track records of success and may not grow as much or as fast as we expect. For example, our active subscriber growth rate slowed year over year as of January 31, 2023. In addition, we presently anticipate our revenue growth rate to slow in fiscal year 2023. If our growth rates continue to decelerate, investors’ perception of our business, financial condition and results of operations may be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fashion industry is rapidly evolving and our business may not develop as we expect. Overall growth of our revenue will depend on a number of factors, including our ability to:</w:t>
      </w:r>
    </w:p>
    <w:p>
      <w:pPr>
        <w:spacing w:after="0" w:line="94" w:lineRule="exact"/>
        <w:rPr>
          <w:sz w:val="20"/>
          <w:szCs w:val="20"/>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 traditional consumer buying habits and normalize clothing subscription, rental and resale;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price our Subscription, Reserve and Resale offerings so that we are able to attract new customers, and retain and expand our relationships with existing customers;</w:t>
      </w:r>
    </w:p>
    <w:p>
      <w:pPr>
        <w:spacing w:after="0" w:line="93"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ensure that we maintain an adequate depth and breadth of available products to meet customer demand and respond swiftly and appropriately to new and changing styles, trends or desired consumer preferences;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accurately forecast our revenue and plan our fulfillment, operating expenses and capital expenditures;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provide customers with a high-quality, seamless user experience and order fulfillment, as well as customer service and support that meets their needs;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acquire customers into varying levels of subscription programs at different price points;</w:t>
      </w:r>
    </w:p>
    <w:p>
      <w:pPr>
        <w:spacing w:after="0" w:line="93" w:lineRule="exact"/>
        <w:rPr>
          <w:rFonts w:ascii="Arial" w:cs="Arial" w:eastAsia="Arial" w:hAnsi="Arial"/>
          <w:sz w:val="14"/>
          <w:szCs w:val="14"/>
          <w:color w:val="auto"/>
        </w:rPr>
      </w:pPr>
    </w:p>
    <w:p>
      <w:pPr>
        <w:ind w:left="580" w:right="660" w:hanging="193"/>
        <w:spacing w:after="0" w:line="290" w:lineRule="auto"/>
        <w:tabs>
          <w:tab w:leader="none" w:pos="5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improve our website and app performance and successfully identify and acquire, partner or invest in products, technologies, or businesses that we believe could complement or expand our business;</w:t>
      </w:r>
    </w:p>
    <w:p>
      <w:pPr>
        <w:spacing w:after="0" w:line="35" w:lineRule="exact"/>
        <w:rPr>
          <w:rFonts w:ascii="Arial" w:cs="Arial" w:eastAsia="Arial" w:hAnsi="Arial"/>
          <w:sz w:val="14"/>
          <w:szCs w:val="14"/>
          <w:color w:val="auto"/>
        </w:rPr>
      </w:pPr>
    </w:p>
    <w:p>
      <w:pPr>
        <w:ind w:left="580" w:right="160" w:hanging="193"/>
        <w:spacing w:after="0" w:line="290" w:lineRule="auto"/>
        <w:tabs>
          <w:tab w:leader="none" w:pos="5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successfully maintain and grow our relationships with existing and new brand partners, including continuing to maintaining and growing our Share by RTR and Exclusive Design offerings;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avoid disruptions in acquiring and distributing our products and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be efficient in our paid marketing;</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maintain and enhance our reputation and the value of our brand;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hire, integrate and retain talented personnel across all levels of our organization;</w:t>
      </w:r>
    </w:p>
    <w:p>
      <w:pPr>
        <w:spacing w:after="0" w:line="93" w:lineRule="exact"/>
        <w:rPr>
          <w:rFonts w:ascii="Arial" w:cs="Arial" w:eastAsia="Arial" w:hAnsi="Arial"/>
          <w:sz w:val="14"/>
          <w:szCs w:val="14"/>
          <w:color w:val="auto"/>
        </w:rPr>
      </w:pPr>
    </w:p>
    <w:p>
      <w:pPr>
        <w:ind w:left="580" w:right="60" w:hanging="193"/>
        <w:spacing w:after="0" w:line="290" w:lineRule="auto"/>
        <w:tabs>
          <w:tab w:leader="none" w:pos="5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comply with existing and new laws and regulations applicable to our business;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successfully expand into new and penetrate existing geographic markets in the United States;</w:t>
      </w:r>
    </w:p>
    <w:p>
      <w:pPr>
        <w:spacing w:after="0" w:line="93" w:lineRule="exact"/>
        <w:rPr>
          <w:rFonts w:ascii="Arial" w:cs="Arial" w:eastAsia="Arial" w:hAnsi="Arial"/>
          <w:sz w:val="14"/>
          <w:szCs w:val="14"/>
          <w:color w:val="auto"/>
        </w:rPr>
      </w:pPr>
    </w:p>
    <w:p>
      <w:pPr>
        <w:ind w:left="580" w:right="180" w:hanging="193"/>
        <w:spacing w:after="0" w:line="290" w:lineRule="auto"/>
        <w:tabs>
          <w:tab w:leader="none" w:pos="5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successfully develop new offerings and innovate and enhance our existing offerings and their features, including in response to new trends, competitive dynamics or the needs of customers and subscribers;</w:t>
      </w:r>
    </w:p>
    <w:p>
      <w:pPr>
        <w:spacing w:after="0" w:line="35" w:lineRule="exact"/>
        <w:rPr>
          <w:rFonts w:ascii="Arial" w:cs="Arial" w:eastAsia="Arial" w:hAnsi="Arial"/>
          <w:sz w:val="14"/>
          <w:szCs w:val="14"/>
          <w:color w:val="auto"/>
        </w:rPr>
      </w:pPr>
    </w:p>
    <w:p>
      <w:pPr>
        <w:ind w:left="580" w:right="80" w:hanging="193"/>
        <w:spacing w:after="0" w:line="290" w:lineRule="auto"/>
        <w:tabs>
          <w:tab w:leader="none" w:pos="5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effectively manage growth of our business, personnel, and operations, including expanding our shipping and distribution network and fulfillment center operations, as well as our logistics footprint and the number of facilities we operate in the future;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effectively manage our costs related to our business and operations; and</w:t>
      </w:r>
    </w:p>
    <w:p>
      <w:pPr>
        <w:spacing w:after="0" w:line="93" w:lineRule="exact"/>
        <w:rPr>
          <w:rFonts w:ascii="Arial" w:cs="Arial" w:eastAsia="Arial" w:hAnsi="Arial"/>
          <w:sz w:val="14"/>
          <w:szCs w:val="14"/>
          <w:color w:val="auto"/>
        </w:rPr>
      </w:pPr>
    </w:p>
    <w:p>
      <w:pPr>
        <w:ind w:left="580" w:right="260" w:hanging="193"/>
        <w:spacing w:after="0" w:line="290" w:lineRule="auto"/>
        <w:tabs>
          <w:tab w:leader="none" w:pos="5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avoid or manage interruptions in our business from information technology downtime, cybersecurity incidents and other factors that could affect our physical and digital infrastructure.</w:t>
      </w:r>
    </w:p>
    <w:p>
      <w:pPr>
        <w:spacing w:after="0" w:line="120"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3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global fashion industry is highly competitive and rapidly changing, and we may not be able to compete effectively.</w:t>
      </w:r>
    </w:p>
    <w:p>
      <w:pPr>
        <w:spacing w:after="0" w:line="92"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ability to compete effectively depends on many factors within and beyond our control, including:</w:t>
      </w:r>
    </w:p>
    <w:p>
      <w:pPr>
        <w:spacing w:after="0" w:line="94" w:lineRule="exact"/>
        <w:rPr>
          <w:sz w:val="20"/>
          <w:szCs w:val="20"/>
          <w:color w:val="auto"/>
        </w:rPr>
      </w:pPr>
    </w:p>
    <w:p>
      <w:pPr>
        <w:ind w:left="5560" w:right="4800" w:hanging="5173"/>
        <w:spacing w:after="0" w:line="986" w:lineRule="auto"/>
        <w:tabs>
          <w:tab w:leader="none" w:pos="569"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ability to normalize fashion rental and change traditional retail shopping habits and norms;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-276860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how effectively differentiated our offerings, customer experience and value proposition are from those of our competitors;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how effectively we market and communicate how to use our Subscription, Reserve and Resale offerings and attract and retain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ability to expand and maintain an appealing depth and breadth of our products to meet customer demand;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price at which we are able to offer our Subscription, Reserve and Resale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amount, diversity, and quality of brands that we or our competitors offer;</w:t>
      </w:r>
    </w:p>
    <w:p>
      <w:pPr>
        <w:spacing w:after="0" w:line="93"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ability to acquire products on favorable and efficient terms, including our ability to attract new brand partners and retain existing brand partners in our Share by RTR and Exclusive Design programs;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speed and cost at which we can deliver products to our customers and the ease with which they can return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effectiveness of our customer service;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further developing our data science capabilities for brand partners;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strength of our brand, including maintaining favorable brand recognition and effectively marketing our services and value proposition to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success of our reverse-logistics processes in delivering products in good condition to customers;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anticipating and successfully responding to changing apparel trends and consumer shopping preferences.</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14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40"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740"/>
        <w:spacing w:after="0" w:line="299" w:lineRule="auto"/>
        <w:rPr>
          <w:sz w:val="20"/>
          <w:szCs w:val="20"/>
          <w:color w:val="auto"/>
        </w:rPr>
      </w:pPr>
      <w:r>
        <w:rPr>
          <w:rFonts w:ascii="Arial" w:cs="Arial" w:eastAsia="Arial" w:hAnsi="Arial"/>
          <w:sz w:val="14"/>
          <w:szCs w:val="14"/>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4"/>
          <w:szCs w:val="14"/>
          <w:color w:val="auto"/>
        </w:rPr>
        <w:t>.</w:t>
      </w:r>
    </w:p>
    <w:p>
      <w:pPr>
        <w:spacing w:after="0" w:line="21"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COVID-19 pandemic and recent volatile macroeconomic environment and have seen negative impacts on customer demand at varying levels as a result.</w:t>
      </w:r>
    </w:p>
    <w:p>
      <w:pPr>
        <w:spacing w:after="0" w:line="14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Furthermore, increases in consumer discretionary spending tend to fluctuate and may decrease, particularly if there is a recession and/or higher inflation leading to increased price sensitivity. Economic conditions in certain regions may also be affected by natural disasters, such as hurricanes, tropical storms, earthquakes, and wildfires; other public health crises;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spacing w:after="0" w:line="140"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Additionally, adverse economic changes could reduce consumer confidence, and could thereby negatively affect our operating results. In the event of a prolonged economic downturn or acute recession, significant inflation, or increased supply chain shortages, consumer spending habits could be adversely affected, and we could experience lower than expected revenue, net income,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spacing w:after="0" w:line="227"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4"/>
          <w:szCs w:val="14"/>
          <w:b w:val="1"/>
          <w:bCs w:val="1"/>
          <w:color w:val="auto"/>
        </w:rPr>
        <w:t>.</w:t>
      </w:r>
    </w:p>
    <w:p>
      <w:pPr>
        <w:spacing w:after="0" w:line="21"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In fiscal year 2022, as we have increased paid marketing spend, we have seen an increase in the proportion of new customers attributed to paid channels. Our current marketing initiatives are focused on re-engaging lapsed and paused customers, retaining existing customers and growing our base of new customers. Although we expect to make significant investments in improving the customer experience going forward, these investments may not result in an increase in customer loyalty or higher customer engagement. As a result, our levels of paid and organic growth may continue to fluctuate and/or overall growth may decline.</w:t>
      </w:r>
    </w:p>
    <w:p>
      <w:pPr>
        <w:spacing w:after="0" w:line="57"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Paid marketing is a key part of our growth strategy and we have increased our spending and plan to continue to increase spending and run marketing campaigns to acquire additional subscribers and customers, all of which could impact our customer acquisition costs and overall profitability. We also utilize promotional pricing to attract customers and subscribers who may have heightened price sensitivity and not be willing to pay full price for our offering when the promotion period expires. We may incur marketing expenses significantly in advance of the time we anticipate recognized revenue associated with such expenses. In addition, our paid marketing may not effectively reach potential customers or be cost-effective, changes in regulations or third-party interference could limit the ability of search engines and social media platforms for marketing, potential customers may decide not to rent through our platform or the spend of new customers may not yield the intended return on investment, any of which could negatively affect our results of operations.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In addition, customer preferences may change and customers may not rent through our platform as frequently or spend as much with us.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and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retain customers, our business, financial condition, and results of operations would be harmed</w:t>
      </w:r>
      <w:r>
        <w:rPr>
          <w:rFonts w:ascii="Arial" w:cs="Arial" w:eastAsia="Arial" w:hAnsi="Arial"/>
          <w:sz w:val="14"/>
          <w:szCs w:val="14"/>
          <w:color w:val="auto"/>
        </w:rPr>
        <w:t>.</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 high proportion of our revenue comes from longer-tenured subscribers. A decrease in the number of customers, their tenures with us, and/or a reduction in the amount customers spend on our offerings could negatively affect our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Our number of customers and the amounts they spend on our offerings may decline materially or fluctuate as a result of many factors, including, among other things:</w:t>
      </w:r>
    </w:p>
    <w:p>
      <w:pPr>
        <w:spacing w:after="0" w:line="94" w:lineRule="exact"/>
        <w:rPr>
          <w:sz w:val="20"/>
          <w:szCs w:val="20"/>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quality, consumer appeal, price, and reliability of our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dissatisfaction with changes we make to our offerings and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perceived value of our offerings, especially in response to price increases and changes in the macroeconomic environment;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quality control the products delivered to our customers and their fit;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ensuring on-time delivery of orders;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ease with which customers can find items they are looking for, including the effectiveness of our search and discovery tools and rental product availability;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performance of our website and mobile app, including site speed and reliability;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negative customer service experience;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intense competition in the fashion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negative publicity that impacts our brand and reputation;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consumer preferences regarding the use of pre-loved apparel;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lack of market acceptance of our business model;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unpredictable nature of the continued impact of the COVID-19 pandemic or a future outbreak of disease or similar public health concern;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failure (or perceived failure) to meet customer expectations regarding our environmental, social and governance (“ESG”), initiatives;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efficiency of our historic or current customer acquisition methods.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right="20"/>
        <w:spacing w:after="0" w:line="256" w:lineRule="auto"/>
        <w:rPr>
          <w:sz w:val="20"/>
          <w:szCs w:val="20"/>
          <w:color w:val="auto"/>
        </w:rPr>
      </w:pPr>
      <w:r>
        <w:rPr>
          <w:rFonts w:ascii="Arial" w:cs="Arial" w:eastAsia="Arial" w:hAnsi="Arial"/>
          <w:sz w:val="14"/>
          <w:szCs w:val="14"/>
          <w:color w:val="auto"/>
        </w:rPr>
        <w:t>If existing customers no longer find our offerings and products appealing, appropriately priced or easy to use, or if we are unable to provide high-quality support to customers to help them resolve issues in a timely and acceptable manner, they may stop using our offerings, negative publicity may be generated and word-of-mouth and other referrals may be hampered. For example, in April 2022 we announced a price increase for our subscription plans. Based on performance and additional data in the third and fourth quarters of fiscal year 2022, we believe that the April price increase was a significant negative contributor to subscriber pause and retention levels, and to a lesser extent, subscriber acquisition, in the second quarter of fiscal year 2022, in addition to seasonality and other potential macroeconomic factors. We saw improvement in these trends in the second half of fiscal year 2022; however, these improvements may not be sustained. If our customers no longer perceive our subscription plans as appropriately priced and cancel or pause their subscriptions, our business and financial results could be harmed. We are focused on investing in our customer and delivering even more value to her, including by adding an extra item to each shipment beginning in the first quarter of fiscal year 2023, and emphasizing the value proposition of our offering in our marketing materials; however these or other initiatives to retain customers may not be successful and may require additional costs or lead to unanticipated consequences. Even if our existing customers continue to find our offerings and products appealing and our customer service satisfactory, they may decide to downgrade to a less frequent, lower cost subscription and/or rent fewer items due to price sensitivity and/or changing demand or other reasons. If customers downgrade their subscriptions or make fewer or lower priced rentals, our financial results could be negatively affected.</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losses, and we may be unable to achieve or sustain profitability</w:t>
      </w:r>
      <w:r>
        <w:rPr>
          <w:rFonts w:ascii="Arial" w:cs="Arial" w:eastAsia="Arial" w:hAnsi="Arial"/>
          <w:sz w:val="14"/>
          <w:szCs w:val="14"/>
          <w:color w:val="auto"/>
        </w:rPr>
        <w:t>.</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had a net loss of $(138.7) million and $(211.8) million for the years ended January 31, 2023 and 2022, respectively, and have in the past had net losses. As of January 31, 2023, we had an accumulated deficit of $(939.9)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134"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Our ability to generate profit depends on our ability to grow customers and revenue and drive operational efficiencies in our business to generate better margins. In fiscal year 2022, we took significant steps to reduce our operating costs, improve our margins, and make progress towards profitability, which is an important financial goal for us over time. Nevertheless, our efforts may be unsuccessful and we may continue to generate net losses in order to:</w:t>
      </w:r>
    </w:p>
    <w:p>
      <w:pPr>
        <w:spacing w:after="0" w:line="49" w:lineRule="exact"/>
        <w:rPr>
          <w:sz w:val="20"/>
          <w:szCs w:val="20"/>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acquire rental product, which impacts rental product depreciation and revenue share expenses;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fulfill customer orders and provide customer service;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increase the engagement, enhance retention and improve the experience, of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drive customer acquisition and brand awareness through marketing and promotional initiatives;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invest in technology, including to enhance our website and mobile offerings and functionality;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attract, motivate and retain our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develop new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generally support a larger customer base;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invest in our operations, including our logistics fulfillment, capacity and footprint, and other capital expenditures to support the growth in our business.</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may discover unanticipated operating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or due to other factors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4"/>
          <w:szCs w:val="14"/>
          <w:color w:val="auto"/>
        </w:rPr>
        <w:t>.</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spacing w:after="0" w:line="53" w:lineRule="exact"/>
        <w:rPr>
          <w:sz w:val="20"/>
          <w:szCs w:val="20"/>
          <w:color w:val="auto"/>
        </w:rPr>
      </w:pPr>
    </w:p>
    <w:p>
      <w:pPr>
        <w:jc w:val="both"/>
        <w:ind w:right="140"/>
        <w:spacing w:after="0" w:line="265" w:lineRule="auto"/>
        <w:rPr>
          <w:sz w:val="20"/>
          <w:szCs w:val="20"/>
          <w:color w:val="auto"/>
        </w:rPr>
      </w:pPr>
      <w:r>
        <w:rPr>
          <w:rFonts w:ascii="Arial" w:cs="Arial" w:eastAsia="Arial" w:hAnsi="Arial"/>
          <w:sz w:val="14"/>
          <w:szCs w:val="14"/>
          <w:color w:val="auto"/>
        </w:rPr>
        <w:t>We have not always predicted our customers’ preferences and acceptance levels of our products with accuracy. For example, during the second quarter of fiscal year 2022, there was higher than expected usage of high formality apparel, which may have constrained the availability of these items and our ability to meet demand. In addition, external events may disrupt or change customer preferences and behaviors in ways we are not able to anticipate. We have observed that our customers live, work, socialize and travel differently than they did prior to the COVID-19 pandemic and this influences what they wear.</w:t>
      </w:r>
    </w:p>
    <w:p>
      <w:pPr>
        <w:spacing w:after="0" w:line="138"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38" w:lineRule="exact"/>
        <w:rPr>
          <w:sz w:val="20"/>
          <w:szCs w:val="20"/>
          <w:color w:val="auto"/>
        </w:rPr>
      </w:pPr>
    </w:p>
    <w:p>
      <w:pPr>
        <w:ind w:right="360"/>
        <w:spacing w:after="0" w:line="271" w:lineRule="auto"/>
        <w:rPr>
          <w:sz w:val="20"/>
          <w:szCs w:val="20"/>
          <w:color w:val="auto"/>
        </w:rPr>
      </w:pPr>
      <w:r>
        <w:rPr>
          <w:rFonts w:ascii="Arial" w:cs="Arial" w:eastAsia="Arial" w:hAnsi="Arial"/>
          <w:sz w:val="14"/>
          <w:szCs w:val="14"/>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221"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4"/>
          <w:szCs w:val="14"/>
          <w:color w:val="auto"/>
        </w:rPr>
        <w:t>.</w:t>
      </w:r>
    </w:p>
    <w:p>
      <w:pPr>
        <w:spacing w:after="0" w:line="21"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We currently rely on several third-party national and regional shipping vendors for our outbound and inbound logistics. A substantial portion of our shipments to and from customers are currently conducted through a single vendor; however, we continue to focus on optimizing our provider network based on customer experience and cost and we cannot predict how changes and transitions may impact our costs and our customer sentiment and satisfaction.</w:t>
      </w:r>
    </w:p>
    <w:p>
      <w:pPr>
        <w:spacing w:after="0" w:line="134"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spacing w:after="0" w:line="134"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or on time, they could become dissatisfied and cease using our services, which would adversely affect our business and operating results. Our shipping vendors have faced and may continue to face increased volumes which, in turn, has caused and could in the future cause a decrease in their service levels, including shipping delays, or result in an increase of their prices. We have recently experienced increased shipping costs, and these costs may continue to increase in the future. Increases in shipping costs or other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In addition to offering the ability to return products by dropping off items with third-party shipping vendors, we now offer at-home pickup for customers located in 34 markets to return their orders as of January 31, 2023. We believe at-home pickup is more convenient for many customers and is more cost-effective for us. Although we have had positive customer feedback and adoption to date, at-home pickup is a new offering and may not be successful over the long-term. In the event that we do not successfully and cost-effectively manage at-home pickup logistics, it will make it more difficult for us to satisfy our customers and efficiently manage shipping costs, which will negatively affect our brand, financial condition and results of operations.</w:t>
      </w:r>
    </w:p>
    <w:p>
      <w:pPr>
        <w:spacing w:after="0" w:line="227" w:lineRule="exact"/>
        <w:rPr>
          <w:sz w:val="20"/>
          <w:szCs w:val="20"/>
          <w:color w:val="auto"/>
        </w:rPr>
      </w:pPr>
    </w:p>
    <w:p>
      <w:pPr>
        <w:ind w:right="280"/>
        <w:spacing w:after="0" w:line="299" w:lineRule="auto"/>
        <w:rPr>
          <w:sz w:val="20"/>
          <w:szCs w:val="20"/>
          <w:color w:val="auto"/>
        </w:rPr>
      </w:pPr>
      <w:r>
        <w:rPr>
          <w:rFonts w:ascii="Arial" w:cs="Arial" w:eastAsia="Arial" w:hAnsi="Arial"/>
          <w:sz w:val="14"/>
          <w:szCs w:val="14"/>
          <w:b w:val="1"/>
          <w:bCs w:val="1"/>
          <w:i w:val="1"/>
          <w:iCs w:val="1"/>
          <w:color w:val="auto"/>
        </w:rPr>
        <w:t>If we are unable to accurately forecast customer demand, acquire and manage our products effectively and plan for future expenses, our operating results could be adversely affected.</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are vulnerable to demand and pricing shifts and to suboptimal selection and timing of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on a timely basis. We typically do not enter into long-term contracts with our brand and manufacturing partners and, as such, we operate without significant contractual assurances of continued supply, pricing or access to products. Although we believe we have had limited voluntary attrition of brand partners to date, a brand partner could choose to no longer work with us or provide less favorable terms for a variety of reasons, including current market and supply chain conditions.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spacing w:after="0" w:line="146"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have been focused on expanding our relationships with brand partners and continuing to work to increase the proportion of our products procured under Exclusive Designs arrangements, which reduces our purchases of rental product. For our Exclusive Designs, RTR generally sources the materials and relies upon third-party manufacturing partners to produce products. For Wholesale and Share by RTR items, entering into contracts in advance of a particular season requires brand partners to agree to incur costs related to sourcing and manufacturing products before we have paid for them, which requires the brand partners to continue to trust us. If we were viewed as less financially viable, we may receive less favorable terms and conditions from our brand partners, including requiring upfront payments or other demonstrations of credit. The cash flow benefits we 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or (3)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Russia’s invasion of Ukraine have led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We also rely on our merchandising team to order styles that our customers will rent and we rely on our data science to inform the levels of and which products we purchase, including when to reorder items that are renting well and when to sell or write-off items that are not renting well.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309"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55"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4"/>
          <w:szCs w:val="14"/>
          <w:color w:val="auto"/>
        </w:rPr>
        <w:t>.</w:t>
      </w:r>
    </w:p>
    <w:p>
      <w:pPr>
        <w:spacing w:after="0" w:line="2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Furthermore, whether accurate or not, negative publicity about our business, operations, or employees, and customer complaints could harm our reputation, customer trust and referrals of our 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07" w:lineRule="exact"/>
        <w:rPr>
          <w:sz w:val="20"/>
          <w:szCs w:val="20"/>
          <w:color w:val="auto"/>
        </w:rPr>
      </w:pPr>
    </w:p>
    <w:p>
      <w:pPr>
        <w:ind w:right="600"/>
        <w:spacing w:after="0" w:line="299" w:lineRule="auto"/>
        <w:rPr>
          <w:sz w:val="20"/>
          <w:szCs w:val="20"/>
          <w:color w:val="auto"/>
        </w:rPr>
      </w:pPr>
      <w:r>
        <w:rPr>
          <w:rFonts w:ascii="Arial" w:cs="Arial" w:eastAsia="Arial" w:hAnsi="Arial"/>
          <w:sz w:val="14"/>
          <w:szCs w:val="14"/>
          <w:b w:val="1"/>
          <w:bCs w:val="1"/>
          <w:i w:val="1"/>
          <w:iCs w:val="1"/>
          <w:color w:val="auto"/>
        </w:rPr>
        <w:t>If we are not able to improve our website and mobile app performance, keep pace with technological changes, enhance our current offerings, and develop new offerings to respond to the changing needs of partners and customers, our business, financial performance, and growth may be harmed</w:t>
      </w:r>
      <w:r>
        <w:rPr>
          <w:rFonts w:ascii="Arial" w:cs="Arial" w:eastAsia="Arial" w:hAnsi="Arial"/>
          <w:sz w:val="14"/>
          <w:szCs w:val="14"/>
          <w:color w:val="auto"/>
        </w:rPr>
        <w:t>.</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industry is characterized by rapidly changing technology, new service and product introductions, and changing customer demands and preferences, and we are not able to predict the effect of these changes on our business. For example, we are currently focused on improving the performance of our website and mobile application for our customers, including increasing site speed and reliability; however, our efforts may be unsuccessful. The technologies that we currently use to support our business platform may become inadequate or obsolete, and the cost of incorporating new technologies into our offerings and services may be substantial.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drive efficiencies in our operations, our business, results of operations and financial condition could be harmed.</w:t>
      </w:r>
    </w:p>
    <w:p>
      <w:pPr>
        <w:spacing w:after="0" w:line="143"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Additionally, as we invest in and experiment with new offerings or changes to our platform, our partners and customers may find these changes to be disruptive and may perceive them negatively. For example, in 2021, we phased out our “unlimited swaps” subscription plan and shifted to our current subscription plans with different price points based on usage. In addition, our at-home pickup offering offers customers in certain markets a new way to return their items without going to a physical drop off location. In March 2023, we changed our subscription programs to provide customers with one additional item per shipment at no extra charge, which is intended to provide more value to our customers and increase retention. These new plans and offerings do not have demonstrably long track records of success for us and could result in higher fulfillment costs and lower gross margins, higher product spend, and/or other unforeseen impacts on the business.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rely heavily on the Internet, in-house proprietary technology, third-party software and infrastructure, and customized off-the-shelf technology solutions across our business (collectively, our “IT Systems”).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our IT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 technology underlying our platform is highly interconnected and complex and may contain undetected errors or vulnerabilities. Due to the interconnected nature of the software underlying our platform, updates to parts of our code, third-party code, and application programming interfaces,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4"/>
          <w:szCs w:val="14"/>
          <w:color w:val="auto"/>
        </w:rPr>
        <w:t>.</w:t>
      </w:r>
    </w:p>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Our ability to effectively manage our business, particularly our product management, order and fulfillment operations,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The secure processing, maintenance and transmission of this information is critical to our operations. Our IT Systems and those of our service providers and business partners may be subject to damage or interruption from cyber attacks,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In addition, we may have to upgrade our existing IT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Despite various security measures that have been implemented, our IT Systems and those of our third-party service providers and business partners are vulnerable to security incidents, attacks by hackers, acts of vandalism, malware, social engineering, denial or degradation of service attacks, computer viruses, software bugs or vulnerabilities, supply chain attacks, phishing attacks, ransomware attacks, misplaced or lost data, human errors, malicious insiders or other similar events. If unauthorized parties gain access to our IT Systems or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In addition, employees may intentionally or inadvertently cause data or security incidents that result in unauthorized release of personal or confidential information. Because the techniques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Certain of the aforementioned types of cyberattacks and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phishing attempts,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In addition, company-issued laptops or other devices have been, and may in the future be, lost, stolen, or infected with malware. The security measures we employ to prevent, detect, and mitigate potential harm to our users from the theft of or misuse of user credentials on our network may not be effective in every instance.</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rely on a number of third-party providers of products and services to operate our critical internal and external operations, such as the processing of confidential and personally identifiable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information they process on our behalf and may not be able to contain or recover from such incidents or to notify us in a timely manner. Moreover, we or our third-party service providers may be more vulnerable to such attacks in remote or hybrid work environments, which have increased in response to the COVID-19 pandemic. Any cyberattack, security incident, or material disruption or slowdown affecting our IT Systems or those of our third-party service providers or business partners, could have a material adverse effect on our business, financial condition, and results of operations.</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While we maintain cyber insurance that may help provide coverage for these types of events, we cannot provide assurances that our insurance will be adequate to cover costs and liabilities related 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(the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Our e-commerce business faces distinct risks, such as fulfillment of orders, and our failure to successfully manage these risks could have a negative impact on our profitability.</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rental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We cannot guarantee that we will be able to renew or negotiate new leases on terms acceptable to us or at all. If we are unable to secure such leases, or if we can only secure such leases on economic terms that are less than optimal for us, it may materially adversely impact our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Risks associated with our e-commerce business include:</w:t>
      </w:r>
    </w:p>
    <w:p>
      <w:pPr>
        <w:spacing w:after="0" w:line="94" w:lineRule="exact"/>
        <w:rPr>
          <w:sz w:val="20"/>
          <w:szCs w:val="20"/>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provide a delightful and effective search and discovery experience for our customers;</w:t>
      </w:r>
    </w:p>
    <w:p>
      <w:pPr>
        <w:spacing w:after="0" w:line="93" w:lineRule="exact"/>
        <w:rPr>
          <w:rFonts w:ascii="Arial" w:cs="Arial" w:eastAsia="Arial" w:hAnsi="Arial"/>
          <w:sz w:val="14"/>
          <w:szCs w:val="14"/>
          <w:color w:val="auto"/>
        </w:rPr>
      </w:pPr>
    </w:p>
    <w:p>
      <w:pPr>
        <w:ind w:left="580" w:right="240" w:hanging="193"/>
        <w:spacing w:after="0" w:line="290"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failure to successfully execute planned enhancements to our website and mobile application performance to improve site speed and reliability in order to keep pace with industry standards and meet customer expectations;</w:t>
      </w:r>
    </w:p>
    <w:p>
      <w:pPr>
        <w:spacing w:after="0" w:line="35" w:lineRule="exact"/>
        <w:rPr>
          <w:rFonts w:ascii="Arial" w:cs="Arial" w:eastAsia="Arial" w:hAnsi="Arial"/>
          <w:sz w:val="14"/>
          <w:szCs w:val="14"/>
          <w:color w:val="auto"/>
        </w:rPr>
      </w:pPr>
    </w:p>
    <w:p>
      <w:pPr>
        <w:ind w:left="580" w:right="100" w:hanging="193"/>
        <w:spacing w:after="0" w:line="271"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disruptions in internet service or power outages;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reliance on third parties for computer hardware and software, as well as delivery of products to our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rapid technology changes;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credit or debit card fraud and other payment processing related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applicable federal, state and international regulations;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legal claims related to our e-commerce operations and fulfillment, including liability for online content;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cybersecurity, consumer privacy and consumer protection concerns and regulation;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natural disasters or adverse weather conditions.</w:t>
      </w:r>
    </w:p>
    <w:p>
      <w:pPr>
        <w:spacing w:after="0" w:line="179"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34" w:lineRule="exact"/>
        <w:rPr>
          <w:sz w:val="20"/>
          <w:szCs w:val="20"/>
          <w:color w:val="auto"/>
        </w:rPr>
      </w:pPr>
    </w:p>
    <w:p>
      <w:pPr>
        <w:jc w:val="both"/>
        <w:ind w:right="80"/>
        <w:spacing w:after="0" w:line="265" w:lineRule="auto"/>
        <w:rPr>
          <w:sz w:val="20"/>
          <w:szCs w:val="20"/>
          <w:color w:val="auto"/>
        </w:rPr>
      </w:pPr>
      <w:r>
        <w:rPr>
          <w:rFonts w:ascii="Arial" w:cs="Arial" w:eastAsia="Arial" w:hAnsi="Arial"/>
          <w:sz w:val="14"/>
          <w:szCs w:val="14"/>
          <w:color w:val="auto"/>
        </w:rPr>
        <w:t>In addition, we must keep up to date with competitive technology trends, including the use of new or improved technology, checkout and payment options,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and annual results of operations may fluctuate, which may make it difficult to predict our future performance</w:t>
      </w:r>
      <w:r>
        <w:rPr>
          <w:rFonts w:ascii="Arial" w:cs="Arial" w:eastAsia="Arial" w:hAnsi="Arial"/>
          <w:sz w:val="14"/>
          <w:szCs w:val="14"/>
          <w:color w:val="auto"/>
        </w:rPr>
        <w:t>.</w:t>
      </w:r>
    </w:p>
    <w:p>
      <w:pPr>
        <w:spacing w:after="0" w:line="94"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 -to-period basis or our revenue growth rate for any prior period may not be meaningful. In addition to other risk factors discussed in this section, factors that may contribute to the variability of our quarterly and annual results include:</w:t>
      </w:r>
    </w:p>
    <w:p>
      <w:pPr>
        <w:spacing w:after="0" w:line="53" w:lineRule="exact"/>
        <w:rPr>
          <w:sz w:val="20"/>
          <w:szCs w:val="20"/>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success in attracting and retaining customers and subscribers;</w:t>
      </w:r>
    </w:p>
    <w:p>
      <w:pPr>
        <w:spacing w:after="0" w:line="93" w:lineRule="exact"/>
        <w:rPr>
          <w:rFonts w:ascii="Arial" w:cs="Arial" w:eastAsia="Arial" w:hAnsi="Arial"/>
          <w:sz w:val="14"/>
          <w:szCs w:val="14"/>
          <w:color w:val="auto"/>
        </w:rPr>
      </w:pPr>
    </w:p>
    <w:p>
      <w:pPr>
        <w:ind w:left="580" w:right="140" w:hanging="193"/>
        <w:spacing w:after="0" w:line="290" w:lineRule="auto"/>
        <w:tabs>
          <w:tab w:leader="none" w:pos="576" w:val="left"/>
        </w:tabs>
        <w:numPr>
          <w:ilvl w:val="0"/>
          <w:numId w:val="32"/>
        </w:numPr>
        <w:rPr>
          <w:rFonts w:ascii="Arial" w:cs="Arial" w:eastAsia="Arial" w:hAnsi="Arial"/>
          <w:sz w:val="14"/>
          <w:szCs w:val="14"/>
          <w:color w:val="auto"/>
        </w:rPr>
      </w:pPr>
      <w:r>
        <w:rPr>
          <w:rFonts w:ascii="Arial" w:cs="Arial" w:eastAsia="Arial" w:hAnsi="Arial"/>
          <w:sz w:val="14"/>
          <w:szCs w:val="14"/>
          <w:color w:val="auto"/>
        </w:rPr>
        <w:t>maintaining successful relationships with brand partners and our ability to acquire products at acceptable prices and offer a compelling mix of products that are available for subscription, a-la-carte rental or purchase at any given time;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 and timing of our fulfillment costs, operating expenses and capital expenditures;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timing and success of product launches, including pricing changes, new services and features we may introduce;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success of our marketing and promotional efforts;</w:t>
      </w:r>
    </w:p>
    <w:p>
      <w:pPr>
        <w:spacing w:after="0" w:line="93" w:lineRule="exact"/>
        <w:rPr>
          <w:rFonts w:ascii="Arial" w:cs="Arial" w:eastAsia="Arial" w:hAnsi="Arial"/>
          <w:sz w:val="14"/>
          <w:szCs w:val="14"/>
          <w:color w:val="auto"/>
        </w:rPr>
      </w:pPr>
    </w:p>
    <w:p>
      <w:pPr>
        <w:ind w:left="580" w:right="280" w:hanging="193"/>
        <w:spacing w:after="0" w:line="290" w:lineRule="auto"/>
        <w:tabs>
          <w:tab w:leader="none" w:pos="576" w:val="left"/>
        </w:tabs>
        <w:numPr>
          <w:ilvl w:val="0"/>
          <w:numId w:val="32"/>
        </w:numPr>
        <w:rPr>
          <w:rFonts w:ascii="Arial" w:cs="Arial" w:eastAsia="Arial" w:hAnsi="Arial"/>
          <w:sz w:val="14"/>
          <w:szCs w:val="14"/>
          <w:color w:val="auto"/>
        </w:rPr>
      </w:pPr>
      <w:r>
        <w:rPr>
          <w:rFonts w:ascii="Arial" w:cs="Arial" w:eastAsia="Arial" w:hAnsi="Arial"/>
          <w:sz w:val="14"/>
          <w:szCs w:val="14"/>
          <w:color w:val="auto"/>
        </w:rPr>
        <w:t>adverse economic and market conditions and other adverse global events that negatively impact commerce and consumer behavior and that could lead to inflationary pressures and supply chain disruptions;</w:t>
      </w:r>
    </w:p>
    <w:p>
      <w:pPr>
        <w:spacing w:after="0" w:line="35" w:lineRule="exact"/>
        <w:rPr>
          <w:rFonts w:ascii="Arial" w:cs="Arial" w:eastAsia="Arial" w:hAnsi="Arial"/>
          <w:sz w:val="14"/>
          <w:szCs w:val="14"/>
          <w:color w:val="auto"/>
        </w:rPr>
      </w:pPr>
    </w:p>
    <w:p>
      <w:pPr>
        <w:ind w:left="580" w:right="600" w:hanging="193"/>
        <w:spacing w:after="0" w:line="290" w:lineRule="auto"/>
        <w:tabs>
          <w:tab w:leader="none" w:pos="576" w:val="left"/>
        </w:tabs>
        <w:numPr>
          <w:ilvl w:val="0"/>
          <w:numId w:val="32"/>
        </w:numPr>
        <w:rPr>
          <w:rFonts w:ascii="Arial" w:cs="Arial" w:eastAsia="Arial" w:hAnsi="Arial"/>
          <w:sz w:val="14"/>
          <w:szCs w:val="14"/>
          <w:color w:val="auto"/>
        </w:rPr>
      </w:pPr>
      <w:r>
        <w:rPr>
          <w:rFonts w:ascii="Arial" w:cs="Arial" w:eastAsia="Arial" w:hAnsi="Arial"/>
          <w:sz w:val="14"/>
          <w:szCs w:val="14"/>
          <w:color w:val="auto"/>
        </w:rPr>
        <w:t>disruptions or defects in our software or operations, such as privacy or data security incidents, outages, or other incidents that impact the availability, reliability, or performance of our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competitive developments and our response to those developments;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manage our business and future growth;</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recruit and retain employees including fulfillment center labor to process, itemize, list, pack and ship our products;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to financial accounting standards and the interpretation of those standards, which may affect the way we recognize and report our financial results.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40"/>
        <w:spacing w:after="0" w:line="299" w:lineRule="auto"/>
        <w:rPr>
          <w:sz w:val="20"/>
          <w:szCs w:val="20"/>
          <w:color w:val="auto"/>
        </w:rPr>
      </w:pPr>
      <w:r>
        <w:rPr>
          <w:rFonts w:ascii="Arial" w:cs="Arial" w:eastAsia="Arial" w:hAnsi="Arial"/>
          <w:sz w:val="14"/>
          <w:szCs w:val="14"/>
          <w:b w:val="1"/>
          <w:bCs w:val="1"/>
          <w:i w:val="1"/>
          <w:iCs w:val="1"/>
          <w:color w:val="auto"/>
        </w:rPr>
        <w:t>We face risks arising from the restructuring of our operations, which could adversely affect our financial condition, results of operations, cash flows, or business reputation.</w:t>
      </w:r>
    </w:p>
    <w:p>
      <w:pPr>
        <w:spacing w:after="0" w:line="21"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In September 2022, we announced a restructuring plan that is intended to reduce costs, streamline our organizational structure and drive operational efficiencies. This plan presents significant risks that could have a material adverse effect on our operations, financial condition, results of operations, cash flow, or business reputation. Such risks include:</w:t>
      </w:r>
    </w:p>
    <w:p>
      <w:pPr>
        <w:spacing w:after="0" w:line="35" w:lineRule="exact"/>
        <w:rPr>
          <w:sz w:val="20"/>
          <w:szCs w:val="20"/>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failure to achieve targeted cost savings and efficiency and profitability goals;</w:t>
      </w:r>
    </w:p>
    <w:p>
      <w:pPr>
        <w:spacing w:after="0" w:line="93" w:lineRule="exact"/>
        <w:rPr>
          <w:rFonts w:ascii="Arial" w:cs="Arial" w:eastAsia="Arial" w:hAnsi="Arial"/>
          <w:sz w:val="14"/>
          <w:szCs w:val="14"/>
          <w:color w:val="auto"/>
        </w:rPr>
      </w:pPr>
    </w:p>
    <w:p>
      <w:pPr>
        <w:ind w:left="580" w:right="440" w:hanging="193"/>
        <w:spacing w:after="0" w:line="290" w:lineRule="auto"/>
        <w:tabs>
          <w:tab w:leader="none" w:pos="5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a decrease in employee morale, a negative impact to our corporate culture, and heightened regrettable attrition, including by critical employees, each of which we’ve observed to some extent and are focused on addressing;</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 increase in employment claims;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actual or perceived disruption of service or reduction in service standards to customers; and</w:t>
      </w:r>
    </w:p>
    <w:p>
      <w:pPr>
        <w:spacing w:after="0" w:line="93" w:lineRule="exact"/>
        <w:rPr>
          <w:rFonts w:ascii="Arial" w:cs="Arial" w:eastAsia="Arial" w:hAnsi="Arial"/>
          <w:sz w:val="14"/>
          <w:szCs w:val="14"/>
          <w:color w:val="auto"/>
        </w:rPr>
      </w:pPr>
    </w:p>
    <w:p>
      <w:pPr>
        <w:ind w:left="580" w:right="640" w:hanging="193"/>
        <w:spacing w:after="0" w:line="290" w:lineRule="auto"/>
        <w:tabs>
          <w:tab w:leader="none" w:pos="5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failure to meet our operational standards, needs, or goals due to fewer employees, including potential single points of failure, or due to reduced or reallocated resources generally.</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social and governance matters may impact our business and reputation.</w:t>
      </w:r>
    </w:p>
    <w:p>
      <w:pPr>
        <w:spacing w:after="0" w:line="92"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 We expect that an increased focus on ESG considerations will affect some aspects of our operations.</w:t>
      </w:r>
    </w:p>
    <w:p>
      <w:pPr>
        <w:spacing w:after="0" w:line="13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Any failure by us to meet our Impact Strategy goals or a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 In addition, achieving our Impact Strategy goals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we may lose potential or current customers, we may be unable to recruit and retain employees effectively, and potential or current investors may elect to invest with our competitors instead.</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Voluntary or required 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w:t>
      </w:r>
    </w:p>
    <w:p>
      <w:pPr>
        <w:ind w:right="520"/>
        <w:spacing w:after="0" w:line="253" w:lineRule="auto"/>
        <w:rPr>
          <w:sz w:val="20"/>
          <w:szCs w:val="20"/>
          <w:color w:val="auto"/>
        </w:rPr>
      </w:pPr>
      <w:r>
        <w:rPr>
          <w:rFonts w:ascii="Arial" w:cs="Arial" w:eastAsia="Arial" w:hAnsi="Arial"/>
          <w:sz w:val="14"/>
          <w:szCs w:val="14"/>
          <w:color w:val="auto"/>
        </w:rPr>
        <w:t>Alternatively, if we are unable to satisfy such new criteria, investors may conclude that our policies or actions with respect to corporate responsibility are inadequate. We risk damage to our brand and reputation in the event that our corporate responsibility procedures or standards do not meet the standards set by various constituencies.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A variety of organizations measure the performance of companies on such ESG topics, and the results of these assessments are widely publicized. In addition, investment in funds</w:t>
      </w:r>
    </w:p>
    <w:p>
      <w:pPr>
        <w:spacing w:after="0" w:line="12"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w:t>
      </w:r>
    </w:p>
    <w:p>
      <w:pPr>
        <w:ind w:right="140"/>
        <w:spacing w:after="0" w:line="242" w:lineRule="auto"/>
        <w:rPr>
          <w:sz w:val="20"/>
          <w:szCs w:val="20"/>
          <w:color w:val="auto"/>
        </w:rPr>
      </w:pPr>
      <w:r>
        <w:rPr>
          <w:rFonts w:ascii="Arial" w:cs="Arial" w:eastAsia="Arial" w:hAnsi="Arial"/>
          <w:sz w:val="14"/>
          <w:szCs w:val="14"/>
          <w:color w:val="auto"/>
        </w:rPr>
        <w:t>rights, ethics and compliance with law and the role of the Company’s board of directors in supervising ESG issues. Unfavorable ESG ratings could lead to negative investor sentiment toward us and/or our industry, which could have a negative impact on our access to and costs of capital. In light of investors’ and other stakeholders’ increased focus on ESG matters, there can be no certainty that we will manage such issues successfully, or that we will successfully meet our stakeholders’ or society’s ESG expectations or achieve our ESG goals and financial goals.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20"/>
        <w:spacing w:after="0" w:line="299" w:lineRule="auto"/>
        <w:rPr>
          <w:sz w:val="20"/>
          <w:szCs w:val="20"/>
          <w:color w:val="auto"/>
        </w:rPr>
      </w:pPr>
      <w:r>
        <w:rPr>
          <w:rFonts w:ascii="Arial" w:cs="Arial" w:eastAsia="Arial" w:hAnsi="Arial"/>
          <w:sz w:val="14"/>
          <w:szCs w:val="14"/>
          <w:b w:val="1"/>
          <w:bCs w:val="1"/>
          <w:i w:val="1"/>
          <w:iCs w:val="1"/>
          <w:color w:val="auto"/>
        </w:rPr>
        <w:t>We rely on the experience and expertise of our Co-Founder and Chief Executive Officer, senior management team, key technical and strategic employees and hourly personnel.</w:t>
      </w:r>
    </w:p>
    <w:p>
      <w:pPr>
        <w:spacing w:after="0" w:line="21"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We believe that 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In addition, our future success will depend upon our ability to attract and retain employees, particularly for key roles, such as engineering and technology (including data science and analytics),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are likely to increase further due to inflation and potential minimum wage increases, which could increase attrition and make recruiting more difficult. Alternatively, we may be required to increase current compensation levels to attract and retain employees, which could negatively impact our profitability goals. In addition, prospective and existing employees often consider the value</w:t>
      </w:r>
    </w:p>
    <w:p>
      <w:pPr>
        <w:spacing w:after="0" w:line="3" w:lineRule="exact"/>
        <w:rPr>
          <w:sz w:val="20"/>
          <w:szCs w:val="20"/>
          <w:color w:val="auto"/>
        </w:rPr>
      </w:pPr>
    </w:p>
    <w:p>
      <w:pPr>
        <w:ind w:right="260"/>
        <w:spacing w:after="0" w:line="229" w:lineRule="auto"/>
        <w:rPr>
          <w:sz w:val="20"/>
          <w:szCs w:val="20"/>
          <w:color w:val="auto"/>
        </w:rPr>
      </w:pPr>
      <w:r>
        <w:rPr>
          <w:rFonts w:ascii="Arial" w:cs="Arial" w:eastAsia="Arial" w:hAnsi="Arial"/>
          <w:sz w:val="14"/>
          <w:szCs w:val="14"/>
          <w:color w:val="auto"/>
        </w:rPr>
        <w:t>of the equity awards they may receive in connection with their employment and our stock price has declined significantly since our 2021 IPO. If the perceived value of our equity awards is inadequate or experiences significant volatility, it may adversely affect our ability to recruit and retain key employees. In April 2023, we announced a proposed option</w:t>
      </w:r>
    </w:p>
    <w:p>
      <w:pPr>
        <w:ind w:right="20"/>
        <w:spacing w:after="0" w:line="242" w:lineRule="auto"/>
        <w:rPr>
          <w:sz w:val="20"/>
          <w:szCs w:val="20"/>
          <w:color w:val="auto"/>
        </w:rPr>
      </w:pPr>
      <w:r>
        <w:rPr>
          <w:rFonts w:ascii="Arial" w:cs="Arial" w:eastAsia="Arial" w:hAnsi="Arial"/>
          <w:sz w:val="14"/>
          <w:szCs w:val="14"/>
          <w:color w:val="auto"/>
        </w:rPr>
        <w:t>exchange designed to incentivize and retain employees, directors and other service providers by providing the ability to exchange outstanding stock options for RSUs. This option exchange may not be approved by stockholders or we may change our plans, and it may cause us to incur significant and unexpected costs. In addition, the option exchange may not have the intended incentivization and retention benefits. Additionally, our September 2022 restructuring plan has made and in the future may continue to make it more difficult to attract and retain employees for key roles.</w:t>
      </w:r>
    </w:p>
    <w:p>
      <w:pPr>
        <w:spacing w:after="0" w:line="154"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Our corporate employees primarily worked remotely from March 2020 to April 2022. Since then, we have reopened our offices and moved to a hybrid working model for New York City and Galway, in which employees were asked to be in the office two days per week in 2022 and three days per week starting in March 2023. If the hybrid model is not aligned with our employees’ preferences, it may adversely affect our ability to recruit and retain employees. In addition, the hybrid model may negatively impact our company culture, collaboration and productivity.</w:t>
      </w:r>
    </w:p>
    <w:p>
      <w:pPr>
        <w:spacing w:after="0" w:line="138"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We have experienced in the past, and may in the future experience, voluntary attrition at significant rates for various reasons, including challenging labor market conditions such as rising wages, and a decreased level of workforce participation. If we are unable to attract and retain qualified employees in a timely fashion, particularly for the key roles described above, our ability to achieve our strategic objectives will be adversely impacted, and our business and future growth prospects will be harmed.</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believe that our company culture has contributed to our success and if we cannot maintain this culture as we grow, our business could be harmed.</w:t>
      </w:r>
    </w:p>
    <w:p>
      <w:pPr>
        <w:spacing w:after="0" w:line="92"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49" w:lineRule="exact"/>
        <w:rPr>
          <w:sz w:val="20"/>
          <w:szCs w:val="20"/>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September 2022 restructuring plan, which negatively impacted morale for some employees and our efforts to boost morale may not be successful;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failure to identify, attract, reward, and retain employees who share and further our culture, values, and mission;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increasing size, complexity and geographic diversity of our workforce, and our ability to promote a uniform and consistent culture across all our offices and employees;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employee and market perception of our ESG efforts, which may impact employee morale and recruiting efforts;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competitive pressures to move in directions that may divert us from our mission, vision, and values;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hybrid working model for corporate employees in New York City and Galway and the remote working model for customer service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continued challenges of a rapidly-evolving industry;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increasing need to develop expertise in new areas of business that affect us.</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particular, Diversity, Equity and Inclusion is a strategic imperative for us. We are focused on driving inclusiveness, innovation and stronger business results by attracting a diverse talent pool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 changes in the pricing practices of our brand and manufacturing partners and/or the costs of raw materials could negatively impact our profitability.</w:t>
      </w:r>
    </w:p>
    <w:p>
      <w:pPr>
        <w:spacing w:after="0" w:line="92"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our manufacturing partners increase their costs, our Exclusive Designs may not be as cost-effective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supply of the fabrics or raw materials used in the manufacture of the products we offer, such as due to restrictions on Xinjiang cotton, we and/or our partners might not be able to locate alternative suppliers of materials of comparable quality at an acceptable price. For example, disruptions in the supply chain as a result of the COVID-19 pandemic and the current inflationary environment increased raw material costs, impacting pricing of our products, and caused shipping delays for certain of our products.</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affected by seasonality.</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could have a disproportionate effect on our results of operations for our entire fiscal year.</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520"/>
        <w:spacing w:after="0" w:line="239" w:lineRule="auto"/>
        <w:rPr>
          <w:sz w:val="20"/>
          <w:szCs w:val="20"/>
          <w:color w:val="auto"/>
        </w:rPr>
      </w:pPr>
      <w:r>
        <w:rPr>
          <w:rFonts w:ascii="Arial" w:cs="Arial" w:eastAsia="Arial" w:hAnsi="Arial"/>
          <w:sz w:val="14"/>
          <w:szCs w:val="14"/>
          <w:color w:val="auto"/>
        </w:rPr>
        <w:t>We also experience seasonality in the timing of expenses and capital outlays. In anticipation of increased rental activity during seasonal peaks, we typically incur significant expenses, such as rental product capital expenditures. We may also incur expenses for additional marketing and/or additional staffing in our customer support operations. In</w:t>
      </w:r>
    </w:p>
    <w:p>
      <w:pPr>
        <w:spacing w:after="0" w:line="1" w:lineRule="exact"/>
        <w:rPr>
          <w:sz w:val="20"/>
          <w:szCs w:val="20"/>
          <w:color w:val="auto"/>
        </w:rPr>
      </w:pPr>
    </w:p>
    <w:p>
      <w:pPr>
        <w:jc w:val="both"/>
        <w:ind w:right="280"/>
        <w:spacing w:after="0" w:line="233" w:lineRule="auto"/>
        <w:rPr>
          <w:sz w:val="20"/>
          <w:szCs w:val="20"/>
          <w:color w:val="auto"/>
        </w:rPr>
      </w:pPr>
      <w:r>
        <w:rPr>
          <w:rFonts w:ascii="Arial" w:cs="Arial" w:eastAsia="Arial" w:hAnsi="Arial"/>
          <w:sz w:val="14"/>
          <w:szCs w:val="14"/>
          <w:color w:val="auto"/>
        </w:rPr>
        <w:t>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spacing w:after="0" w:line="143"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color w:val="auto"/>
        </w:rPr>
        <w:t>Furthermore, our rapid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225"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We may require additional capital to support the growth of our business and satisfy our debt obligations, and this capital might not be available on acceptable terms, if at all</w:t>
      </w:r>
      <w:r>
        <w:rPr>
          <w:rFonts w:ascii="Arial" w:cs="Arial" w:eastAsia="Arial" w:hAnsi="Arial"/>
          <w:sz w:val="14"/>
          <w:szCs w:val="14"/>
          <w:color w:val="auto"/>
        </w:rPr>
        <w:t>.</w:t>
      </w:r>
    </w:p>
    <w:p>
      <w:pPr>
        <w:spacing w:after="0" w:line="2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We have funded our operations since inception primarily through equity and debt financings and revenue generated from our offerings. Our goal is to be a profitable company;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If we are unable to obtain adequate financing or financing on terms satisfactory to us, our ability to support our business growth, and respond to business challenges could be significantly impaired, and our business may be adversely affected. Additionally, in recent months, there has been volatility in and disruptions to the global economy, including the equity and debt financial markets. Such weakness and volatility in capital markets and the economy in general could limit our access to capital markets and increase our costs of borrowing.</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80"/>
        <w:spacing w:after="0" w:line="299" w:lineRule="auto"/>
        <w:rPr>
          <w:sz w:val="20"/>
          <w:szCs w:val="20"/>
          <w:color w:val="auto"/>
        </w:rPr>
      </w:pPr>
      <w:r>
        <w:rPr>
          <w:rFonts w:ascii="Arial" w:cs="Arial" w:eastAsia="Arial" w:hAnsi="Arial"/>
          <w:sz w:val="14"/>
          <w:szCs w:val="14"/>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21"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As of January 31, 2023, we had $272.5 million aggregate principal amount of borrowings under a credit facility with Double Helix Pte Ltd. as administrative agent for Temasek Holdings (as currently in effect, the “2022 Amended Temasek Facility”). The 2022 Amended Temasek Facility matures in October 2026.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“Note 8 —Long-Term Debt” in the Notes to Consolidated Financial Statements for more information on our indebtedness.</w:t>
      </w:r>
    </w:p>
    <w:p>
      <w:pPr>
        <w:spacing w:after="0" w:line="233"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b w:val="1"/>
          <w:bCs w:val="1"/>
          <w:i w:val="1"/>
          <w:iCs w:val="1"/>
          <w:color w:val="auto"/>
        </w:rPr>
        <w:t>Our 2022 Amended Temasek Facility contains financial covenants and other restrictions on our actions that may limit our operational flexibility or otherwise adversely affect our business, financial condition and results of operations.</w:t>
      </w:r>
    </w:p>
    <w:p>
      <w:pPr>
        <w:spacing w:after="0" w:line="2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terms of our 2022 Amended Temasek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Additionally, the 2022 Amended Temasek Facility includes a minimum liquidity maintenance covenant of $50.0 million. The terms of our 2022 Amended Temasek Facility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spacing w:after="0" w:line="55"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A failure by us to comply with the covenants specified in the 2022 Amended Temasek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4"/>
          <w:szCs w:val="14"/>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4"/>
          <w:szCs w:val="14"/>
          <w:color w:val="auto"/>
        </w:rPr>
        <w:t>.</w:t>
      </w:r>
    </w:p>
    <w:p>
      <w:pPr>
        <w:spacing w:after="0" w:line="4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connection with the preparation of our consolidated financial statements as of January 31, 2021, we identified material weaknesses in our internal control over financial reporting, as described below. As of January 31, 2023, these material weaknesses were still in the process of being 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8"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120"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42"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3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34" w:lineRule="exact"/>
        <w:rPr>
          <w:sz w:val="20"/>
          <w:szCs w:val="20"/>
          <w:color w:val="auto"/>
        </w:rPr>
      </w:pPr>
    </w:p>
    <w:p>
      <w:pPr>
        <w:jc w:val="both"/>
        <w:ind w:right="160"/>
        <w:spacing w:after="0" w:line="271" w:lineRule="auto"/>
        <w:rPr>
          <w:sz w:val="20"/>
          <w:szCs w:val="20"/>
          <w:color w:val="auto"/>
        </w:rPr>
      </w:pPr>
      <w:r>
        <w:rPr>
          <w:rFonts w:ascii="Arial" w:cs="Arial" w:eastAsia="Arial" w:hAnsi="Arial"/>
          <w:sz w:val="14"/>
          <w:szCs w:val="14"/>
          <w:color w:val="auto"/>
        </w:rPr>
        <w:t>We continue to implement measures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144"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We have performed extensive work with personnel responsible for the design and operating effectiveness of internal control over financial reporting in our efforts to ensure that appropriate evidence is maintained. We are continuing to implement comprehensive access control protocols for our enterprise resource planning environment in order to implement</w:t>
      </w:r>
    </w:p>
    <w:p>
      <w:pPr>
        <w:spacing w:after="0" w:line="1" w:lineRule="exact"/>
        <w:rPr>
          <w:sz w:val="20"/>
          <w:szCs w:val="20"/>
          <w:color w:val="auto"/>
        </w:rPr>
      </w:pPr>
    </w:p>
    <w:p>
      <w:pPr>
        <w:ind w:right="200"/>
        <w:spacing w:after="0" w:line="233" w:lineRule="auto"/>
        <w:rPr>
          <w:sz w:val="20"/>
          <w:szCs w:val="20"/>
          <w:color w:val="auto"/>
        </w:rPr>
      </w:pPr>
      <w:r>
        <w:rPr>
          <w:rFonts w:ascii="Arial" w:cs="Arial" w:eastAsia="Arial" w:hAnsi="Arial"/>
          <w:sz w:val="14"/>
          <w:szCs w:val="14"/>
          <w:color w:val="auto"/>
        </w:rPr>
        <w:t>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w:t>
      </w:r>
    </w:p>
    <w:p>
      <w:pPr>
        <w:spacing w:after="0" w:line="12"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color w:val="auto"/>
        </w:rPr>
        <w:t>effectiveness of internal controls over a sustained period of financial reporting cycles, and as a result, the timing of when we will be able to fully remediate the material weaknesses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in a timely manner, or if we fail to implement and maintain effective internal control over financial reporting, there could be errors in our annual or interim consolidated financial statements that could result in a restatement of our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and could cause us to fail to meet our reporting obligations, any of which could diminish investor confidence in us and cause a decline in the price of our Class A common stock.</w:t>
      </w:r>
    </w:p>
    <w:p>
      <w:pPr>
        <w:spacing w:after="0" w:line="154" w:lineRule="exact"/>
        <w:rPr>
          <w:sz w:val="20"/>
          <w:szCs w:val="20"/>
          <w:color w:val="auto"/>
        </w:rPr>
      </w:pPr>
    </w:p>
    <w:p>
      <w:pPr>
        <w:jc w:val="both"/>
        <w:ind w:right="80"/>
        <w:spacing w:after="0" w:line="265" w:lineRule="auto"/>
        <w:rPr>
          <w:sz w:val="20"/>
          <w:szCs w:val="20"/>
          <w:color w:val="auto"/>
        </w:rPr>
      </w:pPr>
      <w:r>
        <w:rPr>
          <w:rFonts w:ascii="Arial" w:cs="Arial" w:eastAsia="Arial" w:hAnsi="Arial"/>
          <w:sz w:val="14"/>
          <w:szCs w:val="14"/>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in a timely manner, or if additional material weaknesses exist or are discovered in the future, and we are unable to remediate any such material weakness, our reputation, results of operations and financial condition could suffer.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900"/>
        <w:spacing w:after="0" w:line="299" w:lineRule="auto"/>
        <w:rPr>
          <w:sz w:val="20"/>
          <w:szCs w:val="20"/>
          <w:color w:val="auto"/>
        </w:rPr>
      </w:pPr>
      <w:r>
        <w:rPr>
          <w:rFonts w:ascii="Arial" w:cs="Arial" w:eastAsia="Arial" w:hAnsi="Arial"/>
          <w:sz w:val="14"/>
          <w:szCs w:val="14"/>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4"/>
          <w:szCs w:val="14"/>
          <w:color w:val="auto"/>
        </w:rPr>
        <w:t>.</w:t>
      </w:r>
    </w:p>
    <w:p>
      <w:pPr>
        <w:spacing w:after="0" w:line="21"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We have hired additional employees and engaged consultants to assist us in complying with these requirements; however we may invest additional resources in our compliance efforts, including hiring more employees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46"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221" w:lineRule="exact"/>
        <w:rPr>
          <w:sz w:val="20"/>
          <w:szCs w:val="20"/>
          <w:color w:val="auto"/>
        </w:rPr>
      </w:pPr>
    </w:p>
    <w:p>
      <w:pPr>
        <w:ind w:right="300"/>
        <w:spacing w:after="0" w:line="299" w:lineRule="auto"/>
        <w:rPr>
          <w:sz w:val="20"/>
          <w:szCs w:val="20"/>
          <w:color w:val="auto"/>
        </w:rPr>
      </w:pPr>
      <w:r>
        <w:rPr>
          <w:rFonts w:ascii="Arial" w:cs="Arial" w:eastAsia="Arial" w:hAnsi="Arial"/>
          <w:sz w:val="14"/>
          <w:szCs w:val="14"/>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4"/>
          <w:szCs w:val="14"/>
          <w:color w:val="auto"/>
        </w:rPr>
        <w:t>.</w:t>
      </w:r>
    </w:p>
    <w:p>
      <w:pPr>
        <w:spacing w:after="0" w:line="117" w:lineRule="exact"/>
        <w:rPr>
          <w:sz w:val="20"/>
          <w:szCs w:val="20"/>
          <w:color w:val="auto"/>
        </w:rPr>
      </w:pPr>
    </w:p>
    <w:p>
      <w:pPr>
        <w:ind w:right="260"/>
        <w:spacing w:after="0" w:line="246" w:lineRule="auto"/>
        <w:rPr>
          <w:sz w:val="20"/>
          <w:szCs w:val="20"/>
          <w:color w:val="auto"/>
        </w:rPr>
      </w:pPr>
      <w:r>
        <w:rPr>
          <w:rFonts w:ascii="Arial" w:cs="Arial" w:eastAsia="Arial" w:hAnsi="Arial"/>
          <w:sz w:val="14"/>
          <w:szCs w:val="14"/>
          <w:color w:val="auto"/>
        </w:rPr>
        <w:t>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will require that we incur substantial expenses and expend significant management efforts.</w:t>
      </w:r>
    </w:p>
    <w:p>
      <w:pPr>
        <w:spacing w:after="0" w:line="15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addition to the material weaknesses in internal control over financial reporting identified in connection with the audit of our financial statements as of and for the fiscal year 2020,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21"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35" w:lineRule="exact"/>
        <w:rPr>
          <w:sz w:val="20"/>
          <w:szCs w:val="20"/>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auditor attestation requirements of Section 404;</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reduced disclosure obligations regarding executive compensation in our periodic reports and proxy statements; and</w:t>
      </w:r>
    </w:p>
    <w:p>
      <w:pPr>
        <w:spacing w:after="0" w:line="93"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exemptions from the requirements of holding a non-binding advisory stockholder vote on executive compensation and non-binding advisory stockholder vote to approve any golden parachute payments not previously approved.</w:t>
      </w:r>
    </w:p>
    <w:p>
      <w:pPr>
        <w:spacing w:after="0" w:line="12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We will remain an emerging growth company until the earliest of:</w:t>
      </w:r>
    </w:p>
    <w:p>
      <w:pPr>
        <w:spacing w:after="0" w:line="94" w:lineRule="exact"/>
        <w:rPr>
          <w:sz w:val="20"/>
          <w:szCs w:val="20"/>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last day of the fiscal year following the fifth anniversary of our IPO;</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last day of the first fiscal year in which our annual gross revenue is $1.235 billion or more;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date on which we have, during the previous rolling three-year period, issued more than $1 billion in non-convertible debt securities;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date we qualify as a “large accelerated filer,” with at least $700 million of equity securities held by non-affiliates.</w:t>
      </w:r>
    </w:p>
    <w:p>
      <w:pPr>
        <w:spacing w:after="0" w:line="263" w:lineRule="exact"/>
        <w:rPr>
          <w:sz w:val="20"/>
          <w:szCs w:val="20"/>
          <w:color w:val="auto"/>
        </w:rPr>
      </w:pPr>
    </w:p>
    <w:p>
      <w:pPr>
        <w:ind w:right="220"/>
        <w:spacing w:after="0" w:line="302" w:lineRule="auto"/>
        <w:rPr>
          <w:sz w:val="20"/>
          <w:szCs w:val="20"/>
          <w:color w:val="auto"/>
        </w:rPr>
      </w:pPr>
      <w:r>
        <w:rPr>
          <w:rFonts w:ascii="Arial" w:cs="Arial" w:eastAsia="Arial" w:hAnsi="Arial"/>
          <w:sz w:val="14"/>
          <w:szCs w:val="14"/>
          <w:b w:val="1"/>
          <w:bCs w:val="1"/>
          <w:i w:val="1"/>
          <w:iCs w:val="1"/>
          <w:color w:val="auto"/>
        </w:rPr>
        <w:t>The COVID-19 pandemic has had, and may in the future continue to have, a material adverse impact on our business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Other future pandemics or public health crises may have a similar adverse impact on our business.</w:t>
      </w:r>
    </w:p>
    <w:p>
      <w:pPr>
        <w:spacing w:after="0" w:line="19"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The COVID-19 pandemic materially adversely affected our operating and financial results during fiscal year 2020 due to the occurrence of the following events or circumstances, among others:</w:t>
      </w:r>
    </w:p>
    <w:p>
      <w:pPr>
        <w:spacing w:after="0" w:line="35" w:lineRule="exact"/>
        <w:rPr>
          <w:sz w:val="20"/>
          <w:szCs w:val="20"/>
          <w:color w:val="auto"/>
        </w:rPr>
      </w:pPr>
    </w:p>
    <w:p>
      <w:pPr>
        <w:ind w:left="580" w:right="120" w:hanging="193"/>
        <w:spacing w:after="0" w:line="290" w:lineRule="auto"/>
        <w:tabs>
          <w:tab w:leader="none" w:pos="576"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35" w:lineRule="exact"/>
        <w:rPr>
          <w:rFonts w:ascii="Arial" w:cs="Arial" w:eastAsia="Arial" w:hAnsi="Arial"/>
          <w:sz w:val="14"/>
          <w:szCs w:val="14"/>
          <w:color w:val="auto"/>
        </w:rPr>
      </w:pPr>
    </w:p>
    <w:p>
      <w:pPr>
        <w:ind w:left="580" w:right="20" w:hanging="193"/>
        <w:spacing w:after="0" w:line="290" w:lineRule="auto"/>
        <w:tabs>
          <w:tab w:leader="none" w:pos="576"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significant number of subscribers paused or canceled their subscriptions or downgraded to lower-priced plans, and we experienced significant decreased demand for our Reserve offering and customers canceled their existing orders for special events;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subscribers engaged less, which impacted the success of our organic marketing and reduced the volume of our data and business insights;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disruptions of the operations of our brand partners and delays in shipment and delivery of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pausing all of our paid marketing spend and eliminating or significantly reducing investments in growth initiatives;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carrying more products relative to customer demand, negatively impacting gross margins;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performance-based revenue share payments to brands were decreased due to lower total revenue, impacting our brand partner relationships and value proposition;</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right="520" w:hanging="193"/>
        <w:spacing w:after="0" w:line="290" w:lineRule="auto"/>
        <w:tabs>
          <w:tab w:leader="none" w:pos="576" w:val="left"/>
        </w:tabs>
        <w:numPr>
          <w:ilvl w:val="0"/>
          <w:numId w:val="39"/>
        </w:numPr>
        <w:rPr>
          <w:rFonts w:ascii="Arial" w:cs="Arial" w:eastAsia="Arial" w:hAnsi="Arial"/>
          <w:sz w:val="14"/>
          <w:szCs w:val="14"/>
          <w:color w:val="auto"/>
        </w:rPr>
      </w:pPr>
      <w:r>
        <w:rPr>
          <w:rFonts w:ascii="Arial" w:cs="Arial" w:eastAsia="Arial" w:hAnsi="Arial"/>
          <w:sz w:val="14"/>
          <w:szCs w:val="14"/>
          <w:color w:val="auto"/>
        </w:rPr>
        <w:t>implementing temporary salary cuts, employee layoffs and furloughs, and pausing recruiting efforts, which negatively impacted employee morale and resulted in an increase in regrettable employee attrition;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closure of our brick-and-mortar retail stores, which was perceived negatively by some customers.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In fiscal years 2021 and 2022, our operating and financial results continued to be impacted by the COVID-19 pandemic, including the Omicron variant.</w:t>
      </w:r>
    </w:p>
    <w:p>
      <w:pPr>
        <w:spacing w:after="0" w:line="179"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 effects of the COVID-19 pandemic, including the identification and spread of new variants of the virus, may continue to have a negative impact on our business operations and long-term financial results of operations due to the occurrence of the following events or circumstances, among others:</w:t>
      </w:r>
    </w:p>
    <w:p>
      <w:pPr>
        <w:spacing w:after="0" w:line="35" w:lineRule="exact"/>
        <w:rPr>
          <w:sz w:val="20"/>
          <w:szCs w:val="20"/>
          <w:color w:val="auto"/>
        </w:rPr>
      </w:pPr>
    </w:p>
    <w:p>
      <w:pPr>
        <w:ind w:left="580" w:right="220" w:hanging="193"/>
        <w:spacing w:after="0" w:line="290" w:lineRule="auto"/>
        <w:tabs>
          <w:tab w:leader="none" w:pos="5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difficulty in accurately predicting the timing of potential new variants and/or the pace of our business recovery, particularly changes in demand, subscriber levels and pause activity, and Reserve and Resale orders, leading to potentially over-spending and lower profitability if demand and engagement are not as expected;</w:t>
      </w:r>
    </w:p>
    <w:p>
      <w:pPr>
        <w:spacing w:after="0" w:line="35" w:lineRule="exact"/>
        <w:rPr>
          <w:rFonts w:ascii="Arial" w:cs="Arial" w:eastAsia="Arial" w:hAnsi="Arial"/>
          <w:sz w:val="14"/>
          <w:szCs w:val="14"/>
          <w:color w:val="auto"/>
        </w:rPr>
      </w:pPr>
    </w:p>
    <w:p>
      <w:pPr>
        <w:ind w:left="580" w:right="320" w:hanging="193"/>
        <w:spacing w:after="0" w:line="290" w:lineRule="auto"/>
        <w:tabs>
          <w:tab w:leader="none" w:pos="5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inability to meet increased demand and provide an optimal customer experience as a result of difficulty in hiring additional employees, particularly in our fulfillment, operations and customer experience functions;</w:t>
      </w:r>
    </w:p>
    <w:p>
      <w:pPr>
        <w:spacing w:after="0" w:line="35" w:lineRule="exact"/>
        <w:rPr>
          <w:rFonts w:ascii="Arial" w:cs="Arial" w:eastAsia="Arial" w:hAnsi="Arial"/>
          <w:sz w:val="14"/>
          <w:szCs w:val="14"/>
          <w:color w:val="auto"/>
        </w:rPr>
      </w:pPr>
    </w:p>
    <w:p>
      <w:pPr>
        <w:ind w:left="580" w:right="160" w:hanging="193"/>
        <w:spacing w:after="0" w:line="290" w:lineRule="auto"/>
        <w:tabs>
          <w:tab w:leader="none" w:pos="5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continuing supply chain disruptions and/or disruptions in the operations of our brand partners, which could impact our ability to acquire an adequate depth and breadth of products at favorable prices in a timely manner to match demand; and</w:t>
      </w:r>
    </w:p>
    <w:p>
      <w:pPr>
        <w:spacing w:after="0" w:line="35" w:lineRule="exact"/>
        <w:rPr>
          <w:rFonts w:ascii="Arial" w:cs="Arial" w:eastAsia="Arial" w:hAnsi="Arial"/>
          <w:sz w:val="14"/>
          <w:szCs w:val="14"/>
          <w:color w:val="auto"/>
        </w:rPr>
      </w:pPr>
    </w:p>
    <w:p>
      <w:pPr>
        <w:ind w:left="580" w:right="60" w:hanging="193"/>
        <w:spacing w:after="0" w:line="290" w:lineRule="auto"/>
        <w:tabs>
          <w:tab w:leader="none" w:pos="5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possible resurgences of the COVID-19 pandemic that lead to new or additional shelter-in-place orders, travel advisories, and/or reduced social activities and events, which may dampen future demand for our products and offering.</w:t>
      </w:r>
    </w:p>
    <w:p>
      <w:pPr>
        <w:spacing w:after="0" w:line="22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Future pandemics or public health crises may have similar adverse effects on our business. Although we anticipate that our operating results in future fiscal years will begin to reflect a more normal operating environment, the current economic and public health climate has created a high degree of uncertainty and there is no assurance that our scale, number of customers and revenue will return to or surpass pre-pandemic levels for a sustained period of time. As such, we continue to closely monitor this global health crisis and will continue to reassess our strategy and operational structure on a regular, ongoing basis as the situation evolves. See Part II, Item 7, “Management’s Discussion and Analysis of Financial Condition and Results of Operations” for more details on the impact of the COVID-19 pandemic.</w:t>
      </w:r>
    </w:p>
    <w:p>
      <w:pPr>
        <w:spacing w:after="0" w:line="163"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4"/>
          <w:szCs w:val="14"/>
          <w:b w:val="1"/>
          <w:bCs w:val="1"/>
          <w:color w:val="auto"/>
        </w:rPr>
        <w:t>.</w:t>
      </w:r>
    </w:p>
    <w:p>
      <w:pPr>
        <w:spacing w:after="0" w:line="21"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55" w:lineRule="exact"/>
        <w:rPr>
          <w:sz w:val="20"/>
          <w:szCs w:val="20"/>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 partnership or acquisition may disrupt our ongoing business, divert resources, increase our expenses, and distract our management;</w:t>
      </w:r>
    </w:p>
    <w:p>
      <w:pPr>
        <w:spacing w:after="0" w:line="93" w:lineRule="exact"/>
        <w:rPr>
          <w:rFonts w:ascii="Arial" w:cs="Arial" w:eastAsia="Arial" w:hAnsi="Arial"/>
          <w:sz w:val="14"/>
          <w:szCs w:val="14"/>
          <w:color w:val="auto"/>
        </w:rPr>
      </w:pPr>
    </w:p>
    <w:p>
      <w:pPr>
        <w:ind w:left="580" w:right="160" w:hanging="193"/>
        <w:spacing w:after="0" w:line="271" w:lineRule="auto"/>
        <w:tabs>
          <w:tab w:leader="none" w:pos="576"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right="40" w:hanging="193"/>
        <w:spacing w:after="0" w:line="290" w:lineRule="auto"/>
        <w:tabs>
          <w:tab w:leader="none" w:pos="576"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may encounter difficulties or unforeseen expenditures in integrating the business, offerings, technologies, personnel, or operations of any company that we partner with or acquire; and</w:t>
      </w:r>
    </w:p>
    <w:p>
      <w:pPr>
        <w:spacing w:after="0" w:line="35" w:lineRule="exact"/>
        <w:rPr>
          <w:rFonts w:ascii="Arial" w:cs="Arial" w:eastAsia="Arial" w:hAnsi="Arial"/>
          <w:sz w:val="14"/>
          <w:szCs w:val="14"/>
          <w:color w:val="auto"/>
        </w:rPr>
      </w:pPr>
    </w:p>
    <w:p>
      <w:pPr>
        <w:jc w:val="both"/>
        <w:ind w:left="580" w:right="120" w:hanging="193"/>
        <w:spacing w:after="0" w:line="271" w:lineRule="auto"/>
        <w:tabs>
          <w:tab w:leader="none" w:pos="576" w:val="left"/>
        </w:tabs>
        <w:numPr>
          <w:ilvl w:val="0"/>
          <w:numId w:val="42"/>
        </w:numPr>
        <w:rPr>
          <w:rFonts w:ascii="Arial" w:cs="Arial" w:eastAsia="Arial" w:hAnsi="Arial"/>
          <w:sz w:val="14"/>
          <w:szCs w:val="14"/>
          <w:color w:val="auto"/>
        </w:rPr>
      </w:pPr>
      <w:r>
        <w:rPr>
          <w:rFonts w:ascii="Arial" w:cs="Arial" w:eastAsia="Arial" w:hAnsi="Arial"/>
          <w:sz w:val="14"/>
          <w:szCs w:val="14"/>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occurrence of any of these foregoing risks could adversely affect our business, financial condition, and results of operations and expose us to unknown risks or liabilities.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reported financial results may be adversely affected by changes in accounting principles generally accepted in the United States</w:t>
      </w:r>
      <w:r>
        <w:rPr>
          <w:rFonts w:ascii="Arial" w:cs="Arial" w:eastAsia="Arial" w:hAnsi="Arial"/>
          <w:sz w:val="14"/>
          <w:szCs w:val="14"/>
          <w:color w:val="auto"/>
        </w:rPr>
        <w:t>.</w:t>
      </w:r>
    </w:p>
    <w:p>
      <w:pPr>
        <w:spacing w:after="0" w:line="94"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4"/>
          <w:szCs w:val="14"/>
          <w:color w:val="auto"/>
        </w:rPr>
        <w:t>.</w:t>
      </w:r>
    </w:p>
    <w:p>
      <w:pPr>
        <w:spacing w:after="0" w:line="9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amounts reported in our consolidated financial statements and accompanying notes appearing elsewhere in this Annual Report. We base our estimates on historical experience and on various other assumptions that we believe to be reasonable under the circumstances, as provided in Part II, Item 7,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and the valuation of share-based compensation and warrants.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30"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21"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Annual Report.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Expansion of our operations internationally requires management attention and resources, involves additional risks, and may be unsuccessful.</w:t>
      </w:r>
    </w:p>
    <w:p>
      <w:pPr>
        <w:spacing w:after="0" w:line="9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38"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49" w:lineRule="exact"/>
        <w:rPr>
          <w:sz w:val="20"/>
          <w:szCs w:val="20"/>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lower acceptance of our offerings and the concept of renting apparel and accessories and the need to localize our products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competition from local incumbents that understand the local market and may operate more effectively;</w:t>
      </w:r>
    </w:p>
    <w:p>
      <w:pPr>
        <w:spacing w:after="0" w:line="93" w:lineRule="exact"/>
        <w:rPr>
          <w:rFonts w:ascii="Arial" w:cs="Arial" w:eastAsia="Arial" w:hAnsi="Arial"/>
          <w:sz w:val="14"/>
          <w:szCs w:val="14"/>
          <w:color w:val="auto"/>
        </w:rPr>
      </w:pPr>
    </w:p>
    <w:p>
      <w:pPr>
        <w:ind w:left="580" w:right="120" w:hanging="193"/>
        <w:spacing w:after="0" w:line="290" w:lineRule="auto"/>
        <w:tabs>
          <w:tab w:leader="none" w:pos="576"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regulatory requirements, taxes, trade laws, trade sanctions and economic embargoes, tariffs, export quotas, custom duties, or other trade restrictions, or any unexpected changes thereto;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risks resulting from changes in currency exchange rates.</w:t>
      </w:r>
    </w:p>
    <w:p>
      <w:pPr>
        <w:spacing w:after="0" w:line="179"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If we invest substantial time and resources to establish and expand our operations internationally and are unable to do so successfully and in a timely manner, our operating results would suffer.</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Legal and Regulatory Environment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subject to a large number of U.S. and non-U.S. laws and regulations, many of which are evolving.</w:t>
      </w:r>
    </w:p>
    <w:p>
      <w:pPr>
        <w:spacing w:after="0" w:line="92" w:lineRule="exact"/>
        <w:rPr>
          <w:sz w:val="20"/>
          <w:szCs w:val="20"/>
          <w:color w:val="auto"/>
        </w:rPr>
      </w:pPr>
    </w:p>
    <w:p>
      <w:pPr>
        <w:ind w:right="280"/>
        <w:spacing w:after="0" w:line="260" w:lineRule="auto"/>
        <w:rPr>
          <w:sz w:val="20"/>
          <w:szCs w:val="20"/>
          <w:color w:val="auto"/>
        </w:rPr>
      </w:pPr>
      <w:r>
        <w:rPr>
          <w:rFonts w:ascii="Arial" w:cs="Arial" w:eastAsia="Arial" w:hAnsi="Arial"/>
          <w:sz w:val="14"/>
          <w:szCs w:val="14"/>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42"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4"/>
          <w:szCs w:val="14"/>
          <w:b w:val="1"/>
          <w:bCs w:val="1"/>
          <w:color w:val="auto"/>
        </w:rPr>
        <w:t>.</w:t>
      </w:r>
    </w:p>
    <w:p>
      <w:pPr>
        <w:spacing w:after="0" w:line="37"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231"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4"/>
          <w:szCs w:val="14"/>
          <w:color w:val="auto"/>
        </w:rPr>
        <w:t>.</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alleges that we violated Sections 11 and 15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w:t>
      </w:r>
    </w:p>
    <w:p>
      <w:pPr>
        <w:spacing w:after="0" w:line="16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addition,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25"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4"/>
          <w:szCs w:val="14"/>
          <w:color w:val="auto"/>
        </w:rPr>
        <w:t>.</w:t>
      </w:r>
    </w:p>
    <w:p>
      <w:pPr>
        <w:spacing w:after="0" w:line="21" w:lineRule="exact"/>
        <w:rPr>
          <w:sz w:val="20"/>
          <w:szCs w:val="20"/>
          <w:color w:val="auto"/>
        </w:rPr>
      </w:pPr>
    </w:p>
    <w:p>
      <w:pPr>
        <w:ind w:right="200"/>
        <w:spacing w:after="0" w:line="260" w:lineRule="auto"/>
        <w:rPr>
          <w:sz w:val="20"/>
          <w:szCs w:val="20"/>
          <w:color w:val="auto"/>
        </w:rPr>
      </w:pPr>
      <w:r>
        <w:rPr>
          <w:rFonts w:ascii="Arial" w:cs="Arial" w:eastAsia="Arial" w:hAnsi="Arial"/>
          <w:sz w:val="14"/>
          <w:szCs w:val="14"/>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4"/>
          <w:szCs w:val="14"/>
          <w:b w:val="1"/>
          <w:bCs w:val="1"/>
          <w:color w:val="auto"/>
        </w:rPr>
        <w:t>.</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14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37"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w:t>
      </w:r>
    </w:p>
    <w:p>
      <w:pPr>
        <w:spacing w:after="0" w:line="138"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and could cause us to incur additional CCPA compliance costs or create adverse effects as a result of its restrictions. The CCPA provides for civil penalties for violations, and creates a private right of action for data security incidents that is expected to increase data security-related litigation. Additionally, the California Privacy Rights Act (the “CPRA”) largely took effect on January 1, 2023. The CPRA restricts the use of cross-context behavioral advertising techniques on which our products and offerings may rely on in the future; expands requirements on businesses that “sell” personal information under the CCPA to businesses like ours that “share” it; requires all businesses with any California employees to limit uses of employee data; establish restrictions on the retention of personal information; expands the types of data security incidents subject to the private right of action; and establishes the California Privacy Protection Agency to implement and enforce the new law, as well as impose administrative fines. We expect to continue to invest in compliance initiatives and potentially implement business process changes to support our compliance efforts. Similar laws have been proposed in other states and at the federal level, reflecting a trend toward more stringent privacy legislation in the United States. For example, in March 2021, Virginia enacted the Virginia Consumer Data Protection Act (the “CDPA”), a comprehensive privacy statute that shares similarities with the CCPA, CPRA, and legislation proposed in other states. Some observers have noted that the CCPA, CPRA, and CDPA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152"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In addition, the Telephone Consumer Protection Act (the “TCPA”), imposes significant restrictions on the ability to make telephone calls or send text messages to mobile telephone numbers without the prior consent of the person being contacted. We use text messages frequently to communicate with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(the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 xml:space="preserve">We are also subject to the European Union General Data Protection Regulation (the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constantly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w:t>
      </w:r>
      <w:r>
        <w:rPr>
          <w:rFonts w:ascii="Times New Roman" w:cs="Times New Roman" w:eastAsia="Times New Roman" w:hAnsi="Times New Roman"/>
          <w:sz w:val="14"/>
          <w:szCs w:val="14"/>
          <w:color w:val="auto"/>
        </w:rPr>
        <w:t>€</w:t>
      </w:r>
      <w:r>
        <w:rPr>
          <w:rFonts w:ascii="Arial" w:cs="Arial" w:eastAsia="Arial" w:hAnsi="Arial"/>
          <w:sz w:val="14"/>
          <w:szCs w:val="14"/>
          <w:color w:val="auto"/>
        </w:rPr>
        <w:t>20 million or 4% of the annual global revenues of the noncompliant entity, whichever is greater.</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spacing w:after="0" w:line="142"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4"/>
          <w:szCs w:val="14"/>
          <w:color w:val="auto"/>
        </w:rPr>
        <w:t>.</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health and safety of our employees; and the maintenance of our facilities and operations. Our compliance efforts are expected to require ongoing investments and may be costly to maintain.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120"/>
        <w:spacing w:after="0" w:line="265" w:lineRule="auto"/>
        <w:rPr>
          <w:sz w:val="20"/>
          <w:szCs w:val="20"/>
          <w:color w:val="auto"/>
        </w:rPr>
      </w:pPr>
      <w:r>
        <w:rPr>
          <w:rFonts w:ascii="Arial" w:cs="Arial" w:eastAsia="Arial" w:hAnsi="Arial"/>
          <w:sz w:val="14"/>
          <w:szCs w:val="14"/>
          <w:color w:val="auto"/>
        </w:rPr>
        <w:t>Despite our efforts, we may become subject to claims that we have violated such laws and regulations based on past, present, and future practices, which could have an adverse impact on our business and reputation, and be costly for us to defend. Failure to comply with such laws and regulations, which tend to become more stringent over time, can result in significant fines, penalties, costs, liabilities or restrictions on operations,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138"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even if non-hazardous, can be 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w:t>
      </w:r>
    </w:p>
    <w:p>
      <w:pPr>
        <w:spacing w:after="0" w:line="142"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4"/>
          <w:szCs w:val="14"/>
          <w:color w:val="auto"/>
        </w:rPr>
        <w:t>.</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As of January 31, 2023, we had federal net operating loss carryforwards of $596.0 million, $152.0 million of which will expire at various times through 2038. Furthermore, we had stated net operating loss carryforwards of $33.0 million, which will expire at various times through 2041. Portions of these net operating loss carryforwards could expire unused and be unavailable to offset future income tax liabilities. Under the legislation enacted in 2017, commonly referred to as the Tax Cuts and Jobs Act (the “Tax Act”), U.S. federal net operating losses incurred in taxable years beginning after December 31, 2017, may be carried forward indefinitely, but the deductibility of such federal net operating losses is limited. In addition, for state income tax purposes, there may be periods during which the use of net operating loss carryforwards is suspended or otherwise limited, which could accelerate or permanently increase state taxes owed.</w:t>
      </w:r>
    </w:p>
    <w:p>
      <w:pPr>
        <w:spacing w:after="0" w:line="142"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We may have experienced and may experience in the future additional ownership changes as a result of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our effective tax rate or tax liability may have an adverse effect on our results of operations</w:t>
      </w:r>
      <w:r>
        <w:rPr>
          <w:rFonts w:ascii="Arial" w:cs="Arial" w:eastAsia="Arial" w:hAnsi="Arial"/>
          <w:sz w:val="14"/>
          <w:szCs w:val="14"/>
          <w:color w:val="auto"/>
        </w:rPr>
        <w:t>.</w:t>
      </w:r>
    </w:p>
    <w:p>
      <w:pPr>
        <w:spacing w:after="0" w:line="94"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35" w:lineRule="exact"/>
        <w:rPr>
          <w:sz w:val="20"/>
          <w:szCs w:val="20"/>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changes in the relative amounts of income before taxes in the various jurisdictions in which we operate that have differing statutory tax rates;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changes in the United States or foreign tax laws, tax treaties, and regulations or the interpretation of them;</w:t>
      </w:r>
    </w:p>
    <w:p>
      <w:pPr>
        <w:spacing w:after="0" w:line="93"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outcome of current and future tax audits, examinations, or administrative appeals;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limitations or adverse findings regarding our ability to do business in some jurisdictions.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recent Inflation Reduction Act enacted, among other changes, a 15% corporate minimum tax on certain United States corporations and a 1% excise tax on certain stock redemptions by United States corporations. To the extent that such changes or any future changes have a negative impact on us, our suppliers or our customers, these changes may materially and adversely impact our business, financial condition, results of operations and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Dependence on Third Parties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associated with brand and manufacturing partners from whom our products are sourced or co-manufactured.</w:t>
      </w:r>
    </w:p>
    <w:p>
      <w:pPr>
        <w:spacing w:after="0" w:line="92"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spacing w:after="0" w:line="35" w:lineRule="exact"/>
        <w:rPr>
          <w:sz w:val="20"/>
          <w:szCs w:val="20"/>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discontinue selling products to us or manufacturing our Exclusive Designs;</w:t>
      </w:r>
    </w:p>
    <w:p>
      <w:pPr>
        <w:spacing w:after="0" w:line="93" w:lineRule="exact"/>
        <w:rPr>
          <w:rFonts w:ascii="Arial" w:cs="Arial" w:eastAsia="Arial" w:hAnsi="Arial"/>
          <w:sz w:val="14"/>
          <w:szCs w:val="14"/>
          <w:color w:val="auto"/>
        </w:rPr>
      </w:pPr>
    </w:p>
    <w:p>
      <w:pPr>
        <w:ind w:left="580" w:right="120" w:hanging="193"/>
        <w:spacing w:after="0" w:line="290" w:lineRule="auto"/>
        <w:tabs>
          <w:tab w:leader="none" w:pos="5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enter into arrangements with competitors that could impair our ability to source their products, including by giving our competitors exclusivity arrangements or limiting our access to certain products;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raise the prices they charge us;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are not satisfied with the value proposition we offer them;</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do not view our brand favorably;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change pricing terms to require us to pay a significant portion of the cost of items on delivery or upfront;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experience negative publicity or reputational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do not follow our vendor code of conduct and/or violate legal and regulatory requirements;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experience supply chain disruptions that cause lead times to be lengthened or missed entirely; or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fail to execute on the design we have provided for co-manufactured products.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42" w:lineRule="exact"/>
        <w:rPr>
          <w:sz w:val="20"/>
          <w:szCs w:val="20"/>
          <w:color w:val="auto"/>
        </w:rPr>
      </w:pPr>
    </w:p>
    <w:p>
      <w:pPr>
        <w:jc w:val="both"/>
        <w:ind w:right="40"/>
        <w:spacing w:after="0" w:line="260" w:lineRule="auto"/>
        <w:rPr>
          <w:sz w:val="20"/>
          <w:szCs w:val="20"/>
          <w:color w:val="auto"/>
        </w:rPr>
      </w:pPr>
      <w:r>
        <w:rPr>
          <w:rFonts w:ascii="Arial" w:cs="Arial" w:eastAsia="Arial" w:hAnsi="Arial"/>
          <w:sz w:val="14"/>
          <w:szCs w:val="14"/>
          <w:color w:val="auto"/>
        </w:rPr>
        <w:t>Our brand partners and manufacturers may be forced to reduce their production, shut down their operations or file for bankruptcy. Our ability to obtain products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w:t>
      </w:r>
    </w:p>
    <w:p>
      <w:pPr>
        <w:ind w:right="20"/>
        <w:spacing w:after="0" w:line="261" w:lineRule="auto"/>
        <w:rPr>
          <w:sz w:val="20"/>
          <w:szCs w:val="20"/>
          <w:color w:val="auto"/>
        </w:rPr>
      </w:pPr>
      <w:r>
        <w:rPr>
          <w:rFonts w:ascii="Arial" w:cs="Arial" w:eastAsia="Arial" w:hAnsi="Arial"/>
          <w:sz w:val="14"/>
          <w:szCs w:val="14"/>
          <w:color w:val="auto"/>
        </w:rPr>
        <w:t>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27"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4"/>
          <w:szCs w:val="14"/>
          <w:color w:val="auto"/>
        </w:rPr>
        <w:t>.</w:t>
      </w:r>
    </w:p>
    <w:p>
      <w:pPr>
        <w:spacing w:after="0" w:line="2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We rely on third parties, including for our payment 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4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as effective, efficient, or well-received by our customers.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40"/>
        <w:spacing w:after="0" w:line="299" w:lineRule="auto"/>
        <w:rPr>
          <w:sz w:val="20"/>
          <w:szCs w:val="20"/>
          <w:color w:val="auto"/>
        </w:rPr>
      </w:pPr>
      <w:r>
        <w:rPr>
          <w:rFonts w:ascii="Arial" w:cs="Arial" w:eastAsia="Arial" w:hAnsi="Arial"/>
          <w:sz w:val="14"/>
          <w:szCs w:val="14"/>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2022, we migrated a substantial portion of our primary production environment, core architecture, and data centers to a new third-party cloud provider, which provides a distributed computing infrastructure as a service platform for business operations. We use another third-party cloud provider for other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and internal tools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143"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14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29" w:lineRule="exact"/>
        <w:rPr>
          <w:sz w:val="20"/>
          <w:szCs w:val="20"/>
          <w:color w:val="auto"/>
        </w:rPr>
      </w:pPr>
    </w:p>
    <w:p>
      <w:pPr>
        <w:jc w:val="both"/>
        <w:ind w:right="140"/>
        <w:spacing w:after="0" w:line="276" w:lineRule="auto"/>
        <w:rPr>
          <w:sz w:val="20"/>
          <w:szCs w:val="20"/>
          <w:color w:val="auto"/>
        </w:rPr>
      </w:pPr>
      <w:r>
        <w:rPr>
          <w:rFonts w:ascii="Arial" w:cs="Arial" w:eastAsia="Arial" w:hAnsi="Arial"/>
          <w:sz w:val="14"/>
          <w:szCs w:val="14"/>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4"/>
          <w:szCs w:val="14"/>
          <w:color w:val="auto"/>
        </w:rPr>
        <w:t>.</w:t>
      </w:r>
    </w:p>
    <w:p>
      <w:pPr>
        <w:spacing w:after="0" w:line="37" w:lineRule="exact"/>
        <w:rPr>
          <w:sz w:val="20"/>
          <w:szCs w:val="20"/>
          <w:color w:val="auto"/>
        </w:rPr>
      </w:pPr>
    </w:p>
    <w:p>
      <w:pPr>
        <w:ind w:right="300"/>
        <w:spacing w:after="0" w:line="271" w:lineRule="auto"/>
        <w:rPr>
          <w:sz w:val="20"/>
          <w:szCs w:val="20"/>
          <w:color w:val="auto"/>
        </w:rPr>
      </w:pPr>
      <w:r>
        <w:rPr>
          <w:rFonts w:ascii="Arial" w:cs="Arial" w:eastAsia="Arial" w:hAnsi="Arial"/>
          <w:sz w:val="14"/>
          <w:szCs w:val="14"/>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4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4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4"/>
          <w:szCs w:val="14"/>
          <w:color w:val="auto"/>
        </w:rPr>
        <w:t>.</w:t>
      </w:r>
    </w:p>
    <w:p>
      <w:pPr>
        <w:spacing w:after="0" w:line="21"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134"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The products we rent or sell to our customers is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40"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significant losses from fraud</w:t>
      </w:r>
      <w:r>
        <w:rPr>
          <w:rFonts w:ascii="Arial" w:cs="Arial" w:eastAsia="Arial" w:hAnsi="Arial"/>
          <w:sz w:val="14"/>
          <w:szCs w:val="14"/>
          <w:color w:val="auto"/>
        </w:rPr>
        <w:t>.</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our failure to adequately prevent fraudulent transactions could damage our reputation, result in litigation or regulatory action, and lead to expenses that could substantially impact our operating results.</w:t>
      </w:r>
    </w:p>
    <w:p>
      <w:pPr>
        <w:spacing w:after="0" w:line="229"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4"/>
          <w:szCs w:val="14"/>
          <w:color w:val="auto"/>
        </w:rPr>
        <w:t>.</w:t>
      </w:r>
    </w:p>
    <w:p>
      <w:pPr>
        <w:spacing w:after="0" w:line="2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Ownership of Our Class A Common Stock</w:t>
      </w:r>
    </w:p>
    <w:p>
      <w:pPr>
        <w:spacing w:after="0" w:line="179" w:lineRule="exact"/>
        <w:rPr>
          <w:sz w:val="20"/>
          <w:szCs w:val="20"/>
          <w:color w:val="auto"/>
        </w:rPr>
      </w:pPr>
    </w:p>
    <w:p>
      <w:pPr>
        <w:ind w:right="180"/>
        <w:spacing w:after="0" w:line="276" w:lineRule="auto"/>
        <w:rPr>
          <w:sz w:val="20"/>
          <w:szCs w:val="20"/>
          <w:color w:val="auto"/>
        </w:rPr>
      </w:pPr>
      <w:r>
        <w:rPr>
          <w:rFonts w:ascii="Arial" w:cs="Arial" w:eastAsia="Arial" w:hAnsi="Arial"/>
          <w:sz w:val="14"/>
          <w:szCs w:val="14"/>
          <w:b w:val="1"/>
          <w:bCs w:val="1"/>
          <w:i w:val="1"/>
          <w:iCs w:val="1"/>
          <w:color w:val="auto"/>
        </w:rPr>
        <w:t>The dual class structure of our common stock and stockholders’ agreement among us and certain stockholders has the effect of concentrating voting control with those stockholders who held our capital stock prior to the listing of our Class A common stock on Nasdaq, including our Co-Founders, and their affiliates, which will limit an investor’s ability to influence the outcome of important transactions, including a change of control</w:t>
      </w:r>
      <w:r>
        <w:rPr>
          <w:rFonts w:ascii="Arial" w:cs="Arial" w:eastAsia="Arial" w:hAnsi="Arial"/>
          <w:sz w:val="14"/>
          <w:szCs w:val="14"/>
          <w:color w:val="auto"/>
        </w:rPr>
        <w:t>.</w:t>
      </w:r>
    </w:p>
    <w:p>
      <w:pPr>
        <w:spacing w:after="0" w:line="37"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Our Class B common stock has 20 votes per share, and our Class A common stock has one vote per share. Because of the twenty-to-one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and Co-Founder Jennifer Y. Hyman, entered into a stockholders’ agreement in connection with our IPO with respect to the election of directors. This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investors may believe are in their best interests.</w:t>
      </w:r>
    </w:p>
    <w:p>
      <w:pPr>
        <w:spacing w:after="0" w:line="14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the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 price may be volatile, and our investors may be unable to sell shares at or above the price they paid for them</w:t>
      </w:r>
      <w:r>
        <w:rPr>
          <w:rFonts w:ascii="Arial" w:cs="Arial" w:eastAsia="Arial" w:hAnsi="Arial"/>
          <w:sz w:val="14"/>
          <w:szCs w:val="14"/>
          <w:color w:val="auto"/>
        </w:rPr>
        <w:t>.</w:t>
      </w:r>
    </w:p>
    <w:p>
      <w:pPr>
        <w:spacing w:after="0" w:line="94"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color w:val="auto"/>
        </w:rPr>
        <w:t>The market price of our Class A common stock has declined significantly since our IPO, has been volatile and is likely to continue to be volatile and could be subject to wide fluctuations in response to the risk factors described in this Annual Report, and others within or beyond our control, including:</w:t>
      </w:r>
    </w:p>
    <w:p>
      <w:pPr>
        <w:spacing w:after="0" w:line="35" w:lineRule="exact"/>
        <w:rPr>
          <w:sz w:val="20"/>
          <w:szCs w:val="20"/>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actual or anticipated fluctuations in our revenue or other operating metrics;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actual or anticipated operating performance and the operating performance of our competitors;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changes in the financial projections we provide to the public or our failure to meet these projections;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perceived adequacy of our ESG efforts;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positive or negative publicity;</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right="120" w:hanging="193"/>
        <w:spacing w:after="0" w:line="290" w:lineRule="auto"/>
        <w:tabs>
          <w:tab w:leader="none" w:pos="576" w:val="left"/>
        </w:tabs>
        <w:numPr>
          <w:ilvl w:val="0"/>
          <w:numId w:val="47"/>
        </w:numPr>
        <w:rPr>
          <w:rFonts w:ascii="Arial" w:cs="Arial" w:eastAsia="Arial" w:hAnsi="Arial"/>
          <w:sz w:val="14"/>
          <w:szCs w:val="14"/>
          <w:color w:val="auto"/>
        </w:rPr>
      </w:pPr>
      <w:r>
        <w:rPr>
          <w:rFonts w:ascii="Arial" w:cs="Arial" w:eastAsia="Arial" w:hAnsi="Arial"/>
          <w:sz w:val="14"/>
          <w:szCs w:val="14"/>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any major change in our board of directors, management, or key personnel;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economy as a whole and market conditions in our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93" w:lineRule="exact"/>
        <w:rPr>
          <w:rFonts w:ascii="Arial" w:cs="Arial" w:eastAsia="Arial" w:hAnsi="Arial"/>
          <w:sz w:val="14"/>
          <w:szCs w:val="14"/>
          <w:color w:val="auto"/>
        </w:rPr>
      </w:pPr>
    </w:p>
    <w:p>
      <w:pPr>
        <w:ind w:left="580" w:right="440" w:hanging="193"/>
        <w:spacing w:after="0" w:line="290" w:lineRule="auto"/>
        <w:tabs>
          <w:tab w:leader="none" w:pos="576"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innovations, new products, services, features, integrations, or capabilities, acquisitions, strategic investments, partnerships, joint ventures, or capital commitments;</w:t>
      </w:r>
    </w:p>
    <w:p>
      <w:pPr>
        <w:spacing w:after="0" w:line="35" w:lineRule="exact"/>
        <w:rPr>
          <w:rFonts w:ascii="Arial" w:cs="Arial" w:eastAsia="Arial" w:hAnsi="Arial"/>
          <w:sz w:val="14"/>
          <w:szCs w:val="14"/>
          <w:color w:val="auto"/>
        </w:rPr>
      </w:pPr>
    </w:p>
    <w:p>
      <w:pPr>
        <w:ind w:left="580" w:right="40" w:hanging="193"/>
        <w:spacing w:after="0" w:line="290" w:lineRule="auto"/>
        <w:tabs>
          <w:tab w:leader="none" w:pos="576"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legal and regulatory landscape and changes in the application of existing laws or adoption of new laws that impact our business, including changes in e-commerce and tax laws;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legal and regulatory claims, litigation, or pre-litigation disputes and other proceedings;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pace of the COVID-19 pandemic recovery and its impact on our business or the fashion industry and sharing economy generally;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sales or expected sales of our Class A common stock by us, our officers, directors, principal stockholders, and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if securities or industry analysts publish research about our business, or if they publish unfavorable research;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war, incidents of terrorism, or responses to these events.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Company insiders have the ability to control or significantly influence all matters submitted to stockholders for approval.</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Our executive officers, directors, and stockholders party to our stockholders’ agreement entered into in connection with our IPO, in the aggregate, beneficially own over 50% of our outstanding common stock as of January 31, 2023.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has broad discretion in the use of our cash resources and may not use them effectively</w:t>
      </w:r>
      <w:r>
        <w:rPr>
          <w:rFonts w:ascii="Arial" w:cs="Arial" w:eastAsia="Arial" w:hAnsi="Arial"/>
          <w:sz w:val="14"/>
          <w:szCs w:val="14"/>
          <w:color w:val="auto"/>
        </w:rPr>
        <w:t>.</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management has broad discretion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cannot predict the effect our dual class structure may have on the trading price of our Class A common stock</w:t>
      </w:r>
      <w:r>
        <w:rPr>
          <w:rFonts w:ascii="Arial" w:cs="Arial" w:eastAsia="Arial" w:hAnsi="Arial"/>
          <w:sz w:val="14"/>
          <w:szCs w:val="14"/>
          <w:color w:val="auto"/>
        </w:rPr>
        <w:t>.</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Under such announced policies, the dual class structure of our common stock makes us ineligible for inclusion in certain indices and, as a result, mutual funds, exchange-traded funds, and other investment vehicles that attempt to passively track those indices may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are currently not eligible for inclusion in certain indices, and we cannot provide assurance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4"/>
          <w:szCs w:val="14"/>
          <w:color w:val="auto"/>
        </w:rPr>
        <w:t>.</w:t>
      </w:r>
    </w:p>
    <w:p>
      <w:pPr>
        <w:spacing w:after="0" w:line="9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our common stock in the public market could cause our share price to fall</w:t>
      </w:r>
      <w:r>
        <w:rPr>
          <w:rFonts w:ascii="Arial" w:cs="Arial" w:eastAsia="Arial" w:hAnsi="Arial"/>
          <w:sz w:val="14"/>
          <w:szCs w:val="14"/>
          <w:color w:val="auto"/>
        </w:rPr>
        <w:t>.</w:t>
      </w:r>
    </w:p>
    <w:p>
      <w:pPr>
        <w:spacing w:after="0" w:line="94"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34"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In the future, we may sell additional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40"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These factors could also make it more difficult for us to raise additional funds through future offerings of our shares of Class A common stock or other securities.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4"/>
          <w:szCs w:val="14"/>
          <w:color w:val="auto"/>
        </w:rPr>
        <w:t>.</w:t>
      </w:r>
    </w:p>
    <w:p>
      <w:pPr>
        <w:spacing w:after="0" w:line="21"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There are provisions in our Amended Charter and Amended Bylaws that may make it difficult for a third party to acquire, or attempt to acquire, control of our company, even if a change in control were considered favorable by our stockholders. These anti-takeover provisions include:</w:t>
      </w:r>
    </w:p>
    <w:p>
      <w:pPr>
        <w:spacing w:after="0" w:line="35" w:lineRule="exact"/>
        <w:rPr>
          <w:sz w:val="20"/>
          <w:szCs w:val="20"/>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authorization of the issuance of “blank check” preferred stock that our board of directors could use to implement a stockholder rights plan;</w:t>
      </w:r>
    </w:p>
    <w:p>
      <w:pPr>
        <w:spacing w:after="0" w:line="93" w:lineRule="exact"/>
        <w:rPr>
          <w:rFonts w:ascii="Arial" w:cs="Arial" w:eastAsia="Arial" w:hAnsi="Arial"/>
          <w:sz w:val="14"/>
          <w:szCs w:val="14"/>
          <w:color w:val="auto"/>
        </w:rPr>
      </w:pPr>
    </w:p>
    <w:p>
      <w:pPr>
        <w:jc w:val="both"/>
        <w:ind w:left="580" w:right="60" w:hanging="193"/>
        <w:spacing w:after="0" w:line="271" w:lineRule="auto"/>
        <w:tabs>
          <w:tab w:leader="none" w:pos="576"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provide for 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classified board of directors so that not all members of our board of directors are elected at one time;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requirement that our directors may only be removed for cause;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ability of our directors to fill all board vacancies, subject to the rights granted pursuant to the stockholders’ agreement;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prohibition on stockholder actions by written consent, thereby requiring that all stockholder actions be taken at a meeting of our stockholders;</w:t>
      </w:r>
    </w:p>
    <w:p>
      <w:pPr>
        <w:spacing w:after="0" w:line="93" w:lineRule="exact"/>
        <w:rPr>
          <w:rFonts w:ascii="Arial" w:cs="Arial" w:eastAsia="Arial" w:hAnsi="Arial"/>
          <w:sz w:val="14"/>
          <w:szCs w:val="14"/>
          <w:color w:val="auto"/>
        </w:rPr>
      </w:pPr>
    </w:p>
    <w:p>
      <w:pPr>
        <w:ind w:left="580" w:right="120" w:hanging="193"/>
        <w:spacing w:after="0" w:line="290" w:lineRule="auto"/>
        <w:tabs>
          <w:tab w:leader="none" w:pos="576" w:val="left"/>
        </w:tabs>
        <w:numPr>
          <w:ilvl w:val="0"/>
          <w:numId w:val="48"/>
        </w:numPr>
        <w:rPr>
          <w:rFonts w:ascii="Arial" w:cs="Arial" w:eastAsia="Arial" w:hAnsi="Arial"/>
          <w:sz w:val="14"/>
          <w:szCs w:val="14"/>
          <w:color w:val="auto"/>
        </w:rPr>
      </w:pPr>
      <w:r>
        <w:rPr>
          <w:rFonts w:ascii="Arial" w:cs="Arial" w:eastAsia="Arial" w:hAnsi="Arial"/>
          <w:sz w:val="14"/>
          <w:szCs w:val="14"/>
          <w:color w:val="auto"/>
        </w:rPr>
        <w:t>advance notice procedures for stockholder director nominees and annual meeting matters (other than the parties to our stockholders; agreement for nominations made pursuant to the terms of the stockholders’ agreement);</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 inability of our stockholders to call special meetings of stockholders;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ability of our directors to amend our Amended Bylaws without stockholder consent;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requirement of a super-majority to amend some provisions in our Amended Charter and Amended Bylaws;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prohibition on cumulative voting for directors.</w:t>
      </w:r>
    </w:p>
    <w:p>
      <w:pPr>
        <w:spacing w:after="0" w:line="17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Although we have opted out of Section 203 of the General Corporation Law of the State of Delaware (the “DGCL”),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40"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3"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4"/>
          <w:szCs w:val="14"/>
          <w:color w:val="auto"/>
        </w:rPr>
        <w:t>.</w:t>
      </w:r>
    </w:p>
    <w:p>
      <w:pPr>
        <w:spacing w:after="0" w:line="3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14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38" w:lineRule="exact"/>
        <w:rPr>
          <w:sz w:val="20"/>
          <w:szCs w:val="20"/>
          <w:color w:val="auto"/>
        </w:rPr>
      </w:pPr>
    </w:p>
    <w:p>
      <w:pPr>
        <w:jc w:val="both"/>
        <w:ind w:right="320"/>
        <w:spacing w:after="0" w:line="265" w:lineRule="auto"/>
        <w:rPr>
          <w:sz w:val="20"/>
          <w:szCs w:val="20"/>
          <w:color w:val="auto"/>
        </w:rPr>
      </w:pPr>
      <w:r>
        <w:rPr>
          <w:rFonts w:ascii="Arial" w:cs="Arial" w:eastAsia="Arial" w:hAnsi="Arial"/>
          <w:sz w:val="14"/>
          <w:szCs w:val="14"/>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Amended Charter provides that the doctrine of “corporate opportunity” does not apply with respect to any directors (or their affiliates) who are not our employees.</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Our corporate headquarters is located in Brooklyn, New York, which consists of approximately 47,000 square feet of space under a lease that expires in November 2032. We also lease a corporate space and photo studio in New York, New York and lease and operate fulfillment centers in Secaucus, New Jersey and Arlington, Texas totaling approximately 540,000 square feet, under leases that expire in August 2024 and May 2030, respectively. We also lease a corporate space in Galway, Ireland.</w:t>
      </w:r>
    </w:p>
    <w:p>
      <w:pPr>
        <w:spacing w:after="0" w:line="155"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We believe our facilities are suitable for our current needs. We intend to expand our facilities or add new facilities as we grow and believe that suitable additional or alternative space will be available as needed to accommodate such growth.</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contained in “Note 16 — Commitments and Contingencies” in the Notes to the Consolidated Financial Statements is incorporated by reference into this Item.</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3"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II</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Class A common stock is listed on the Nasdaq Global Select Market under the symbol “RENT.”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Record</w:t>
      </w:r>
    </w:p>
    <w:p>
      <w:pPr>
        <w:spacing w:after="0" w:line="200"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As of April 7, 2023, there were approximately 177 stockholders of record of our Class A common stock and seven stockholders of record of our Class B common stock. The number of stockholders of record is based upon the actual number of holders registered on this date and does not include holders of common stock in “street name” by brokers or other entities on behalf of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20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We have never declared or paid any cash dividends on our capital stock. We currently intend to retain all future earnings and do not anticipate declaring or paying any dividends in the foreseeable future. Any future determination to declare dividends will be made at the discretion of our board of directors, subject to compliance with applicable law and contractual restrictions in the agreements governing our current and future indebtedness, and will depend on a number of then-existing factors, including our business prospects, results of operations, financial condition, cash requirements and availability and other factors that our board of directors may deem relevant.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200"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Other than sales previously reported in the Company’s Current Report on Form 8-K filed with the SEC on January 31, 2023, the Company did not sell any unregistered securities during the period covered by this report.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 from our IPO</w:t>
      </w:r>
    </w:p>
    <w:p>
      <w:pPr>
        <w:spacing w:after="0" w:line="200"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The offer and sale of the shares in the IPO was registered under the Securities Act pursuant to a registration statement on Form S-1 (File No. 333-260027), which was declared effective by the SEC on October 26, 2021.</w:t>
      </w:r>
    </w:p>
    <w:p>
      <w:pPr>
        <w:spacing w:after="0" w:line="141"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There has been no material change in the expected use of the net proceeds from our IPO, as described in our final prospectus filed with the SEC on October 27, 2021 pursuant to Rule 424(b) under the Securities Act of 1933.</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96"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following graph shows a comparison from October 27, 2021 (the date our common stock commenced trading on Nasdaq), through January 31, 2023, of the cumulative total returns for our common stock, the Nasdaq Composite Index and the S&amp;P Retail Select Index. The graph assumes $100 was invested at the market close on October 27, 2021 in our Class A common stock, the Nasdaq Composite Index, and the S&amp;P Retail Select Index, respectively. Such returns are based on historical results and are not intended to suggest future performance. The Nasdaq Composite Index and S&amp;P Retail Select Index assume reinvestment of any dividends.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4130040" cy="2573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130040" cy="257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3" w:right="47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23"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i w:val="1"/>
          <w:iCs w:val="1"/>
          <w:color w:val="auto"/>
        </w:rPr>
        <w:t>The following discussion of our financial condition and results of operations should be read in conjunction with our audited consolidated financial statements and the related notes included elsewhere in this Annual Report on Form 10-K. The following discussion focuses on fiscal years 2022 and 2021 financial condition and results of operations and year-to-year comparisons between fiscal years 2022 and 2021. Discussion of fiscal year 2020 financial condition and results of operations and year-to-year comparisons between fiscal years 2021 and 2020 are included in Part II, Item 7, “Management’s Discussion and Analysis of Financial Condition and Results of Operations” in our Annual Report on Form 10-K for the fiscal year ended January 31, 2022.</w:t>
      </w:r>
    </w:p>
    <w:p>
      <w:pPr>
        <w:spacing w:after="0" w:line="174"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Annual Report on Form 10-K, particularly in Part I, Item 1A, “Risk Factors”.</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4"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We give customers ongoing access to our “unlimited closet” — with tens of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 million lifetime customers across all of our offerings and we had 171,998 ending total subscribers</w:t>
      </w:r>
      <w:r>
        <w:rPr>
          <w:rFonts w:ascii="Arial" w:cs="Arial" w:eastAsia="Arial" w:hAnsi="Arial"/>
          <w:sz w:val="18"/>
          <w:szCs w:val="18"/>
          <w:color w:val="auto"/>
          <w:vertAlign w:val="superscript"/>
        </w:rPr>
        <w:t>11</w:t>
      </w:r>
      <w:r>
        <w:rPr>
          <w:rFonts w:ascii="Arial" w:cs="Arial" w:eastAsia="Arial" w:hAnsi="Arial"/>
          <w:sz w:val="14"/>
          <w:szCs w:val="14"/>
          <w:color w:val="auto"/>
        </w:rPr>
        <w:t xml:space="preserve"> (active and paused) as of January 31, 2023. We had 126,712 active subscribers as of January 31, 2023 and 141,205 active subscribers as of April 8, 2023. The majority of our revenue is highly recurring and is generated by our subscribers. For the years ended January 31, 2023 and 2022, respectively, 86% and 84% of our total revenue (including Reserve and Resale revenue) was generated by subscribers while they were active or paused.</w:t>
      </w:r>
    </w:p>
    <w:p>
      <w:pPr>
        <w:spacing w:after="0" w:line="66"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items at a fraction of their retail or comparable value, creating an attractive price and value proposition for our subscribers and customers.</w:t>
      </w:r>
    </w:p>
    <w:p>
      <w:pPr>
        <w:spacing w:after="0" w:line="49"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We source virtually all of our products, which includes apparel and accessories, directly from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155"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On October 29, 2021, we closed our initial public offering (“IPO”), in which we issued and sold 17,000,000 shares at the public offering price of $21.00 per share. We received net proceeds of $327.3 million after deducting underwriting discounts and commissions and offering expenses.</w:t>
      </w:r>
    </w:p>
    <w:p>
      <w:pPr>
        <w:spacing w:after="0" w:line="141"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Concurrent with our IPO, we paid down our senior secured term loan with Ares Corporate Opportunities Fund V, L.P. of $80.7 million in full and $60.0 million of our subordinated, junior lien term loan with Double Helix Pte Ltd. as administrative agent for Temasek Holdings (the “Temasek Facility”), resulting in a total debt repayment of $140.7 million. We also refinanced the remaining Temasek Facility concurrent with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134747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75" w:lineRule="exact"/>
        <w:rPr>
          <w:sz w:val="20"/>
          <w:szCs w:val="20"/>
          <w:color w:val="auto"/>
        </w:rPr>
      </w:pPr>
    </w:p>
    <w:p>
      <w:pPr>
        <w:ind w:right="80" w:firstLine="5"/>
        <w:spacing w:after="0" w:line="285" w:lineRule="auto"/>
        <w:tabs>
          <w:tab w:leader="none" w:pos="108" w:val="left"/>
        </w:tabs>
        <w:numPr>
          <w:ilvl w:val="0"/>
          <w:numId w:val="49"/>
        </w:numPr>
        <w:rPr>
          <w:rFonts w:ascii="Arial" w:cs="Arial" w:eastAsia="Arial" w:hAnsi="Arial"/>
          <w:sz w:val="13"/>
          <w:szCs w:val="13"/>
          <w:color w:val="auto"/>
          <w:vertAlign w:val="superscript"/>
        </w:rPr>
      </w:pPr>
      <w:r>
        <w:rPr>
          <w:rFonts w:ascii="Arial" w:cs="Arial" w:eastAsia="Arial" w:hAnsi="Arial"/>
          <w:sz w:val="10"/>
          <w:szCs w:val="10"/>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4"/>
          <w:szCs w:val="14"/>
          <w:b w:val="1"/>
          <w:bCs w:val="1"/>
          <w:i w:val="1"/>
          <w:iCs w:val="1"/>
          <w:color w:val="auto"/>
        </w:rPr>
        <w:t xml:space="preserve">5 Item Plan. </w:t>
      </w:r>
      <w:r>
        <w:rPr>
          <w:rFonts w:ascii="Arial" w:cs="Arial" w:eastAsia="Arial" w:hAnsi="Arial"/>
          <w:sz w:val="14"/>
          <w:szCs w:val="14"/>
          <w:color w:val="auto"/>
        </w:rPr>
        <w:t>Beginning in March 2023, we permanently added an extra item to every shipment of our rental subscription programs to deliver greater value to subscribers. We expect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this program change to improve retention and acquisition rates and increase fulfillment and product depreciation and revenue share expenses with minimal impact on gross margin in fiscal year 2023.</w:t>
      </w:r>
    </w:p>
    <w:p>
      <w:pPr>
        <w:spacing w:after="0" w:line="155"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b w:val="1"/>
          <w:bCs w:val="1"/>
          <w:i w:val="1"/>
          <w:iCs w:val="1"/>
          <w:color w:val="auto"/>
        </w:rPr>
        <w:t xml:space="preserve">Debt Restructuring. </w:t>
      </w:r>
      <w:r>
        <w:rPr>
          <w:rFonts w:ascii="Arial" w:cs="Arial" w:eastAsia="Arial" w:hAnsi="Arial"/>
          <w:sz w:val="14"/>
          <w:szCs w:val="14"/>
          <w:color w:val="auto"/>
        </w:rPr>
        <w:t>On January 31, 2023, we completed an amendment to our Temasek Facility (“2022 Amended Temasek Facility”). The 2022 Amended Temasek Facility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extended the maturity date of our credit facility from October 2024 to October 2026, reduced cash interest payments by over $20 million in the next two fiscal years while the total interest rate remains unchanged during this period, with subsequent increases thereafter. In connection with the 2022 Amended Temasek Facility, we also granted warrants to Temasek to purchase two million shares of Class A Common Stock at an exercise price of $5.00 per share and made other clarifications and updates. See Note 8, “Long-Term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Debt” in the Notes to the Consolidated Financial Statements for more details.</w:t>
      </w:r>
    </w:p>
    <w:p>
      <w:pPr>
        <w:spacing w:after="0" w:line="184" w:lineRule="exact"/>
        <w:rPr>
          <w:sz w:val="20"/>
          <w:szCs w:val="20"/>
          <w:color w:val="auto"/>
        </w:rPr>
      </w:pPr>
    </w:p>
    <w:p>
      <w:pPr>
        <w:ind w:right="620"/>
        <w:spacing w:after="0" w:line="255" w:lineRule="auto"/>
        <w:rPr>
          <w:sz w:val="20"/>
          <w:szCs w:val="20"/>
          <w:color w:val="auto"/>
        </w:rPr>
      </w:pPr>
      <w:r>
        <w:rPr>
          <w:rFonts w:ascii="Arial" w:cs="Arial" w:eastAsia="Arial" w:hAnsi="Arial"/>
          <w:sz w:val="14"/>
          <w:szCs w:val="14"/>
          <w:b w:val="1"/>
          <w:bCs w:val="1"/>
          <w:i w:val="1"/>
          <w:iCs w:val="1"/>
          <w:color w:val="auto"/>
        </w:rPr>
        <w:t>Corporate Restructuring Plan</w:t>
      </w:r>
      <w:r>
        <w:rPr>
          <w:rFonts w:ascii="Arial" w:cs="Arial" w:eastAsia="Arial" w:hAnsi="Arial"/>
          <w:sz w:val="14"/>
          <w:szCs w:val="14"/>
          <w:color w:val="auto"/>
        </w:rPr>
        <w:t>. On September 12, 2022, we announced a restructuring plan to reduce costs, streamline our organizational structure and drive operational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efficiencies. The plan primarily included total workforce reductions of approximately 24% of corporate employees (primarily a reduction in force, with some open role closures/reduced backfills), reorganizing certain functions and reallocating resources to continue to focus on customer experience and growth initiatives.</w:t>
      </w:r>
    </w:p>
    <w:p>
      <w:pPr>
        <w:spacing w:after="0" w:line="166"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Restructuring charges of $2.4 million for severance and related costs were recognized during the year ended January 31, 2023 and are reflected in Restructuring charges on our Consolidated Statements of Operations. We recorded asset impairment charges of $5.3 million during the year ended January 31, 2023 related to discontinuing two warehouse operations projects during the third and fourth quarters of fiscal year 2022 in connection with the restructuring plan, of which $4.9 million related to the write-off of fixed assets and $0.4 million related to accrued expenses. The charge is reflected in Loss on asset impairment related to restructuring on our Consolidated Statements of Operations. We may incur additional restructuring charges in the future.</w:t>
      </w:r>
    </w:p>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We expect the restructuring plan to generate total annual operating expense savings of approximately $25 million (relative to the second quarter of fiscal year 2022 run rate) in fiscal year 2023. Approximately $17 million of the total annualized savings reflect the portion related to personnel expenses, which was substantially completed by the end of the fourth quarter of fiscal year 2022, and we expect approximately $8 million of technology and general and administrative expense savings to be realized in fiscal year 2023.</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See Note 4, “Restructuring and Related Charges” in the Notes to the Consolidated Financial Statements for more details on these charges.</w:t>
      </w:r>
    </w:p>
    <w:p>
      <w:pPr>
        <w:spacing w:after="0" w:line="200"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b w:val="1"/>
          <w:bCs w:val="1"/>
          <w:i w:val="1"/>
          <w:iCs w:val="1"/>
          <w:color w:val="auto"/>
        </w:rPr>
        <w:t>Option Exchange</w:t>
      </w:r>
      <w:r>
        <w:rPr>
          <w:rFonts w:ascii="Arial" w:cs="Arial" w:eastAsia="Arial" w:hAnsi="Arial"/>
          <w:sz w:val="14"/>
          <w:szCs w:val="14"/>
          <w:color w:val="auto"/>
        </w:rPr>
        <w:t>. In April 2023, we announced a proposed option exchange designed to incentivize and retain employees, directors and other service providers by providing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ability to exchange outstanding stock options for RSUs. This option exchange may not be approved by stockholders. The option exchange is expected to result in minimal incremental stock-based compensation expense over the anticipated life of the replacement RSUs, in addition to certain administrative expenses in fiscal year 2023. In addition, the option exchange may not have the intended incentivization and retention benefits.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Additional Key Fiscal Fourth Quarter, Fiscal Year 2022 and Recent Business Highlights:</w:t>
      </w:r>
    </w:p>
    <w:p>
      <w:pPr>
        <w:spacing w:after="0" w:line="198" w:lineRule="exact"/>
        <w:rPr>
          <w:sz w:val="20"/>
          <w:szCs w:val="20"/>
          <w:color w:val="auto"/>
        </w:rPr>
      </w:pPr>
    </w:p>
    <w:p>
      <w:pPr>
        <w:ind w:left="580" w:hanging="257"/>
        <w:spacing w:after="0" w:line="290" w:lineRule="auto"/>
        <w:tabs>
          <w:tab w:leader="none" w:pos="576"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March 2023, rolled out “Rent the Look”, a highly requested feature that showcases how to rent full outfits styled on-model and presents similar items if a particular item is not available to rent right now.</w:t>
      </w:r>
    </w:p>
    <w:p>
      <w:pPr>
        <w:spacing w:after="0" w:line="141" w:lineRule="exact"/>
        <w:rPr>
          <w:rFonts w:ascii="Arial" w:cs="Arial" w:eastAsia="Arial" w:hAnsi="Arial"/>
          <w:sz w:val="14"/>
          <w:szCs w:val="14"/>
          <w:color w:val="auto"/>
        </w:rPr>
      </w:pPr>
    </w:p>
    <w:p>
      <w:pPr>
        <w:ind w:left="580" w:right="20" w:hanging="257"/>
        <w:spacing w:after="0" w:line="290" w:lineRule="auto"/>
        <w:tabs>
          <w:tab w:leader="none" w:pos="576"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February 2023, executed this year’s first major technology launch to deliver best-in-class product discovery, completing the integration of our new product catalog, EPIC, into our new search service. As a result, we believe richer and fresher product attributes are yielding better search results.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0" w:right="420" w:hanging="193"/>
        <w:spacing w:after="0" w:line="290" w:lineRule="auto"/>
        <w:tabs>
          <w:tab w:leader="none" w:pos="576" w:val="left"/>
        </w:tabs>
        <w:numPr>
          <w:ilvl w:val="1"/>
          <w:numId w:val="51"/>
        </w:numPr>
        <w:rPr>
          <w:rFonts w:ascii="Arial" w:cs="Arial" w:eastAsia="Arial" w:hAnsi="Arial"/>
          <w:sz w:val="14"/>
          <w:szCs w:val="14"/>
          <w:color w:val="auto"/>
        </w:rPr>
      </w:pPr>
      <w:r>
        <w:rPr>
          <w:rFonts w:ascii="Arial" w:cs="Arial" w:eastAsia="Arial" w:hAnsi="Arial"/>
          <w:sz w:val="14"/>
          <w:szCs w:val="14"/>
          <w:color w:val="auto"/>
        </w:rPr>
        <w:t>In fiscal 2022, completed migration to the cloud to unlock better resiliency, site performance and reliability, increased developer velocity, and the ability to scale more efficiently with subscriber growth.</w:t>
      </w:r>
    </w:p>
    <w:p>
      <w:pPr>
        <w:spacing w:after="0" w:line="141" w:lineRule="exact"/>
        <w:rPr>
          <w:rFonts w:ascii="Arial" w:cs="Arial" w:eastAsia="Arial" w:hAnsi="Arial"/>
          <w:sz w:val="14"/>
          <w:szCs w:val="14"/>
          <w:color w:val="auto"/>
        </w:rPr>
      </w:pPr>
    </w:p>
    <w:p>
      <w:pPr>
        <w:ind w:left="580" w:hanging="193"/>
        <w:spacing w:after="0"/>
        <w:tabs>
          <w:tab w:leader="none" w:pos="5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Q4 2022 saw continued strong subscriber engagement, with 28% of subscribers adding one or more paid additional items into their subscription program.</w:t>
      </w:r>
    </w:p>
    <w:p>
      <w:pPr>
        <w:spacing w:after="0" w:line="199" w:lineRule="exact"/>
        <w:rPr>
          <w:rFonts w:ascii="Arial" w:cs="Arial" w:eastAsia="Arial" w:hAnsi="Arial"/>
          <w:sz w:val="14"/>
          <w:szCs w:val="14"/>
          <w:color w:val="auto"/>
        </w:rPr>
      </w:pPr>
    </w:p>
    <w:p>
      <w:pPr>
        <w:ind w:left="580" w:hanging="193"/>
        <w:spacing w:after="0" w:line="271" w:lineRule="auto"/>
        <w:tabs>
          <w:tab w:leader="none" w:pos="576" w:val="left"/>
        </w:tabs>
        <w:numPr>
          <w:ilvl w:val="1"/>
          <w:numId w:val="51"/>
        </w:numPr>
        <w:rPr>
          <w:rFonts w:ascii="Arial" w:cs="Arial" w:eastAsia="Arial" w:hAnsi="Arial"/>
          <w:sz w:val="14"/>
          <w:szCs w:val="14"/>
          <w:color w:val="auto"/>
        </w:rPr>
      </w:pPr>
      <w:r>
        <w:rPr>
          <w:rFonts w:ascii="Arial" w:cs="Arial" w:eastAsia="Arial" w:hAnsi="Arial"/>
          <w:sz w:val="14"/>
          <w:szCs w:val="14"/>
          <w:color w:val="auto"/>
        </w:rPr>
        <w:t>Expanded at-home pickup to 34 markets covering 60% of our subscriber base. In addition, 29% of at-home pickups in Q4 2022 were “live-swap” (where the delivery and return happen simultaneously), leading to consolidation-based transportation cost savings. Subscriber adoption of at-home pickup within eligible zip codes was 37% during the last fiscal week of Q4 2022.</w:t>
      </w:r>
    </w:p>
    <w:p>
      <w:pPr>
        <w:spacing w:after="0" w:line="154" w:lineRule="exact"/>
        <w:rPr>
          <w:rFonts w:ascii="Arial" w:cs="Arial" w:eastAsia="Arial" w:hAnsi="Arial"/>
          <w:sz w:val="14"/>
          <w:szCs w:val="14"/>
          <w:color w:val="auto"/>
        </w:rPr>
      </w:pPr>
    </w:p>
    <w:p>
      <w:pPr>
        <w:ind w:left="580" w:right="360" w:hanging="193"/>
        <w:spacing w:after="0" w:line="290" w:lineRule="auto"/>
        <w:tabs>
          <w:tab w:leader="none" w:pos="576" w:val="left"/>
        </w:tabs>
        <w:numPr>
          <w:ilvl w:val="1"/>
          <w:numId w:val="51"/>
        </w:numPr>
        <w:rPr>
          <w:rFonts w:ascii="Arial" w:cs="Arial" w:eastAsia="Arial" w:hAnsi="Arial"/>
          <w:sz w:val="14"/>
          <w:szCs w:val="14"/>
          <w:color w:val="auto"/>
        </w:rPr>
      </w:pPr>
      <w:r>
        <w:rPr>
          <w:rFonts w:ascii="Arial" w:cs="Arial" w:eastAsia="Arial" w:hAnsi="Arial"/>
          <w:sz w:val="14"/>
          <w:szCs w:val="14"/>
          <w:color w:val="auto"/>
        </w:rPr>
        <w:t>Achieved our product acquisition goal of 60% non-wholesale in fiscal 2022, excluding the opportunistic pull-forward of product spend from fiscal 2023 into fiscal 2022. Inclusive of all product spend for the year, non-wholesale represented 58% in fiscal 2022.</w:t>
      </w:r>
    </w:p>
    <w:p>
      <w:pPr>
        <w:spacing w:after="0" w:line="141" w:lineRule="exact"/>
        <w:rPr>
          <w:rFonts w:ascii="Arial" w:cs="Arial" w:eastAsia="Arial" w:hAnsi="Arial"/>
          <w:sz w:val="14"/>
          <w:szCs w:val="14"/>
          <w:color w:val="auto"/>
        </w:rPr>
      </w:pPr>
    </w:p>
    <w:p>
      <w:pPr>
        <w:jc w:val="both"/>
        <w:ind w:left="580" w:right="260" w:hanging="193"/>
        <w:spacing w:after="0" w:line="271" w:lineRule="auto"/>
        <w:tabs>
          <w:tab w:leader="none" w:pos="576" w:val="left"/>
        </w:tabs>
        <w:numPr>
          <w:ilvl w:val="1"/>
          <w:numId w:val="51"/>
        </w:numPr>
        <w:rPr>
          <w:rFonts w:ascii="Arial" w:cs="Arial" w:eastAsia="Arial" w:hAnsi="Arial"/>
          <w:sz w:val="14"/>
          <w:szCs w:val="14"/>
          <w:color w:val="auto"/>
        </w:rPr>
      </w:pPr>
      <w:r>
        <w:rPr>
          <w:rFonts w:ascii="Arial" w:cs="Arial" w:eastAsia="Arial" w:hAnsi="Arial"/>
          <w:sz w:val="14"/>
          <w:szCs w:val="14"/>
          <w:color w:val="auto"/>
        </w:rPr>
        <w:t>In March 2023, launched 360, full-funnel “Era of Extra” marketing campaign to announce the launch of RTR's new subscription plans, which included collaboration with social media creators, video content to members from our CEO, full site and app takeover, a multi-touch email campaign, full coverage on paid social and search, plus activation with the RTR ambassador community.</w:t>
      </w:r>
    </w:p>
    <w:p>
      <w:pPr>
        <w:spacing w:after="0" w:line="154" w:lineRule="exact"/>
        <w:rPr>
          <w:rFonts w:ascii="Arial" w:cs="Arial" w:eastAsia="Arial" w:hAnsi="Arial"/>
          <w:sz w:val="14"/>
          <w:szCs w:val="14"/>
          <w:color w:val="auto"/>
        </w:rPr>
      </w:pPr>
    </w:p>
    <w:p>
      <w:pPr>
        <w:ind w:left="580" w:hanging="257"/>
        <w:spacing w:after="0" w:line="290" w:lineRule="auto"/>
        <w:tabs>
          <w:tab w:leader="none" w:pos="576"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In March 2023, executed continued integration of Rent the Runway’s brand into pop culture with notable inclusion in Netflix’s </w:t>
      </w:r>
      <w:r>
        <w:rPr>
          <w:rFonts w:ascii="Arial" w:cs="Arial" w:eastAsia="Arial" w:hAnsi="Arial"/>
          <w:sz w:val="14"/>
          <w:szCs w:val="14"/>
          <w:i w:val="1"/>
          <w:iCs w:val="1"/>
          <w:color w:val="auto"/>
        </w:rPr>
        <w:t>Next in Fashion</w:t>
      </w:r>
      <w:r>
        <w:rPr>
          <w:rFonts w:ascii="Arial" w:cs="Arial" w:eastAsia="Arial" w:hAnsi="Arial"/>
          <w:sz w:val="14"/>
          <w:szCs w:val="14"/>
          <w:color w:val="auto"/>
        </w:rPr>
        <w:t xml:space="preserve"> hosted by Gigi Hadid and Tan France. Winner Nigel Xavier’s collection -- which appears exclusively on RTR -- features upcycled garments, including pre-loved items from RTR.</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Key Operating and Financial Results. </w:t>
      </w:r>
      <w:r>
        <w:rPr>
          <w:rFonts w:ascii="Arial" w:cs="Arial" w:eastAsia="Arial" w:hAnsi="Arial"/>
          <w:sz w:val="14"/>
          <w:szCs w:val="14"/>
          <w:color w:val="auto"/>
        </w:rPr>
        <w:t>We have achieved the following operating and financial results for the years ended January 31, 2023 and 2022, respectively:</w:t>
      </w:r>
    </w:p>
    <w:p>
      <w:pPr>
        <w:spacing w:after="0" w:line="285" w:lineRule="exact"/>
        <w:rPr>
          <w:sz w:val="20"/>
          <w:szCs w:val="20"/>
          <w:color w:val="auto"/>
        </w:rPr>
      </w:pPr>
    </w:p>
    <w:p>
      <w:pPr>
        <w:ind w:left="580" w:hanging="193"/>
        <w:spacing w:after="0"/>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Revenue was $296.4 million and $203.3 million, respectively, representing 45.8% growth year-over-year;</w:t>
      </w:r>
    </w:p>
    <w:p>
      <w:pPr>
        <w:spacing w:after="0" w:line="91" w:lineRule="exact"/>
        <w:rPr>
          <w:rFonts w:ascii="Arial" w:cs="Arial" w:eastAsia="Arial" w:hAnsi="Arial"/>
          <w:sz w:val="14"/>
          <w:szCs w:val="14"/>
          <w:color w:val="auto"/>
        </w:rPr>
      </w:pPr>
    </w:p>
    <w:p>
      <w:pPr>
        <w:ind w:left="580" w:hanging="193"/>
        <w:spacing w:after="0"/>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126,712 and 115,240 ending Active Subscribers</w:t>
      </w:r>
      <w:r>
        <w:rPr>
          <w:rFonts w:ascii="Arial" w:cs="Arial" w:eastAsia="Arial" w:hAnsi="Arial"/>
          <w:sz w:val="18"/>
          <w:szCs w:val="18"/>
          <w:color w:val="auto"/>
          <w:vertAlign w:val="superscript"/>
        </w:rPr>
        <w:t>12</w:t>
      </w:r>
      <w:r>
        <w:rPr>
          <w:rFonts w:ascii="Arial" w:cs="Arial" w:eastAsia="Arial" w:hAnsi="Arial"/>
          <w:sz w:val="14"/>
          <w:szCs w:val="14"/>
          <w:color w:val="auto"/>
        </w:rPr>
        <w:t xml:space="preserve"> (excluding paused subscribers), respectively, representing 10% growth year-over-year;</w:t>
      </w:r>
    </w:p>
    <w:p>
      <w:pPr>
        <w:spacing w:after="0" w:line="47" w:lineRule="exact"/>
        <w:rPr>
          <w:rFonts w:ascii="Arial" w:cs="Arial" w:eastAsia="Arial" w:hAnsi="Arial"/>
          <w:sz w:val="14"/>
          <w:szCs w:val="14"/>
          <w:color w:val="auto"/>
        </w:rPr>
      </w:pPr>
    </w:p>
    <w:p>
      <w:pPr>
        <w:ind w:left="580" w:hanging="193"/>
        <w:spacing w:after="0"/>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128,586 and 93,371 Average Active Subscribers</w:t>
      </w:r>
      <w:r>
        <w:rPr>
          <w:rFonts w:ascii="Arial" w:cs="Arial" w:eastAsia="Arial" w:hAnsi="Arial"/>
          <w:sz w:val="18"/>
          <w:szCs w:val="18"/>
          <w:color w:val="auto"/>
          <w:vertAlign w:val="superscript"/>
        </w:rPr>
        <w:t>13</w:t>
      </w:r>
      <w:r>
        <w:rPr>
          <w:rFonts w:ascii="Arial" w:cs="Arial" w:eastAsia="Arial" w:hAnsi="Arial"/>
          <w:sz w:val="14"/>
          <w:szCs w:val="14"/>
          <w:color w:val="auto"/>
        </w:rPr>
        <w:t>, respectively, representing 38% growth year-over-year;</w:t>
      </w:r>
    </w:p>
    <w:p>
      <w:pPr>
        <w:spacing w:after="0" w:line="49" w:lineRule="exact"/>
        <w:rPr>
          <w:rFonts w:ascii="Arial" w:cs="Arial" w:eastAsia="Arial" w:hAnsi="Arial"/>
          <w:sz w:val="14"/>
          <w:szCs w:val="14"/>
          <w:color w:val="auto"/>
        </w:rPr>
      </w:pPr>
    </w:p>
    <w:p>
      <w:pPr>
        <w:ind w:left="580" w:hanging="193"/>
        <w:spacing w:after="0"/>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171,998 and 159,544 ending Total Subscribers (including paused subscribers), respectively, representing 8% growth year-over-year;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Gross Profit was $120.0 million and $69.7 million, respectively, representing a gross margin of 40.5% and 34.3%, respectively;</w:t>
      </w:r>
    </w:p>
    <w:p>
      <w:pPr>
        <w:spacing w:after="0" w:line="93" w:lineRule="exact"/>
        <w:rPr>
          <w:rFonts w:ascii="Arial" w:cs="Arial" w:eastAsia="Arial" w:hAnsi="Arial"/>
          <w:sz w:val="14"/>
          <w:szCs w:val="14"/>
          <w:color w:val="auto"/>
        </w:rPr>
      </w:pPr>
    </w:p>
    <w:p>
      <w:pPr>
        <w:ind w:left="580" w:right="600" w:hanging="193"/>
        <w:spacing w:after="0" w:line="290" w:lineRule="auto"/>
        <w:tabs>
          <w:tab w:leader="none" w:pos="576" w:val="left"/>
        </w:tabs>
        <w:numPr>
          <w:ilvl w:val="0"/>
          <w:numId w:val="52"/>
        </w:numPr>
        <w:rPr>
          <w:rFonts w:ascii="Arial" w:cs="Arial" w:eastAsia="Arial" w:hAnsi="Arial"/>
          <w:sz w:val="14"/>
          <w:szCs w:val="14"/>
          <w:color w:val="auto"/>
        </w:rPr>
      </w:pPr>
      <w:r>
        <w:rPr>
          <w:rFonts w:ascii="Arial" w:cs="Arial" w:eastAsia="Arial" w:hAnsi="Arial"/>
          <w:sz w:val="14"/>
          <w:szCs w:val="14"/>
          <w:color w:val="auto"/>
        </w:rPr>
        <w:t>Net Loss was $(138.7) million and $(211.8) million, respectively. Net Loss as a percentage of revenue was (46.8)%, and (104.2)%, respectively. In the year ended January 31, 2023, Net Loss included $7.7 million of restructuring and related charges;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Adjusted EBITDA was $6.7 million and $(19.2) million, respectively, representing an Adjusted EBITDA margin of 2.3% and (9.4)%, respectively;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Net cash used in operating activities plus net cash used in investing activities was $(92.0) million and $(64.8) million, respectively;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Net cash used in operating activities plus net cash used in investing activities as a percentage of revenue was (31.0)% and (31.9)%, respectively;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Cash and Cash Equivalents was $154.5 million and $247.6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134747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20" w:lineRule="exact"/>
        <w:rPr>
          <w:sz w:val="20"/>
          <w:szCs w:val="20"/>
          <w:color w:val="auto"/>
        </w:rPr>
      </w:pPr>
    </w:p>
    <w:p>
      <w:pPr>
        <w:ind w:left="120" w:hanging="115"/>
        <w:spacing w:after="0"/>
        <w:tabs>
          <w:tab w:leader="none" w:pos="120" w:val="left"/>
        </w:tabs>
        <w:numPr>
          <w:ilvl w:val="0"/>
          <w:numId w:val="53"/>
        </w:numPr>
        <w:rPr>
          <w:rFonts w:ascii="Arial" w:cs="Arial" w:eastAsia="Arial" w:hAnsi="Arial"/>
          <w:sz w:val="7"/>
          <w:szCs w:val="7"/>
          <w:color w:val="auto"/>
        </w:rPr>
      </w:pPr>
      <w:r>
        <w:rPr>
          <w:rFonts w:ascii="Arial" w:cs="Arial" w:eastAsia="Arial" w:hAnsi="Arial"/>
          <w:sz w:val="11"/>
          <w:szCs w:val="11"/>
          <w:color w:val="auto"/>
        </w:rPr>
        <w:t>Active Subscribers is defined as ending total subscribers as of period end, excluding paused subscribers.</w:t>
      </w:r>
    </w:p>
    <w:p>
      <w:pPr>
        <w:spacing w:after="0" w:line="21" w:lineRule="exact"/>
        <w:rPr>
          <w:rFonts w:ascii="Arial" w:cs="Arial" w:eastAsia="Arial" w:hAnsi="Arial"/>
          <w:sz w:val="7"/>
          <w:szCs w:val="7"/>
          <w:color w:val="auto"/>
        </w:rPr>
      </w:pPr>
    </w:p>
    <w:p>
      <w:pPr>
        <w:ind w:right="280" w:firstLine="5"/>
        <w:spacing w:after="0" w:line="230" w:lineRule="auto"/>
        <w:tabs>
          <w:tab w:leader="none" w:pos="113" w:val="left"/>
        </w:tabs>
        <w:numPr>
          <w:ilvl w:val="0"/>
          <w:numId w:val="53"/>
        </w:numPr>
        <w:rPr>
          <w:rFonts w:ascii="Arial" w:cs="Arial" w:eastAsia="Arial" w:hAnsi="Arial"/>
          <w:sz w:val="14"/>
          <w:szCs w:val="14"/>
          <w:color w:val="auto"/>
          <w:vertAlign w:val="superscript"/>
        </w:rPr>
      </w:pPr>
      <w:r>
        <w:rPr>
          <w:rFonts w:ascii="Arial" w:cs="Arial" w:eastAsia="Arial" w:hAnsi="Arial"/>
          <w:sz w:val="11"/>
          <w:szCs w:val="11"/>
          <w:color w:val="auto"/>
        </w:rPr>
        <w:t>Average Active Subscribers represents the mean of the beginning of quarter and end of quarter Active Subscribers for a quarterly period; and for other periods, represents the mean of the Average Active Subscribers of every quarter within that period.</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 Acquisition Strategy</w:t>
      </w:r>
    </w:p>
    <w:p>
      <w:pPr>
        <w:spacing w:after="0" w:line="136"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acquire and monetize products in three ways: Wholesale, Share by RTR and Exclusive Designs. These three product acquisition methods are strategic levers to manage our capital efficiency, profitability and product risk. Our Exclusive Designs channel uses data insights to acquire items at a lower cost, which are designed to generate higher profitability over time. Share by RTR meaningfully reduces our purchases of rental product and de-risks our investment since we pay brands primarily based on item performance. Our Share by RTR arrangements with brands target delivering 75%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55"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chart below summarizes the percentage of new items acquired via each method. In total, approximately 58% of new items were acquired through the more capital-efficient channels in fiscal year 2022, approximately 55% in fiscal year 2021 and approximately 54% in fiscal year 2020. Both our purchasing power and the diversification into Share by RTR and Exclusive Designs have led to a decrease in rental product capital expenditures (or Purchases of Rental Product as presented in the Consolidated Statement of Cash Flows) as a percentage of revenue over time. We plan to further decrease the percentage of units acquired through Wholesale and increase the percentage of units acquired through our more capital-efficient channels, Exclusive Designs and Share by RTR over time.</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800" w:type="dxa"/>
            <w:vAlign w:val="bottom"/>
            <w:tcBorders>
              <w:right w:val="single" w:sz="8" w:color="auto"/>
            </w:tcBorders>
          </w:tcPr>
          <w:p>
            <w:pPr>
              <w:spacing w:after="0"/>
              <w:rPr>
                <w:sz w:val="12"/>
                <w:szCs w:val="12"/>
                <w:color w:val="auto"/>
              </w:rPr>
            </w:pPr>
          </w:p>
        </w:tc>
        <w:tc>
          <w:tcPr>
            <w:tcW w:w="1900" w:type="dxa"/>
            <w:vAlign w:val="bottom"/>
            <w:tcBorders>
              <w:top w:val="single" w:sz="8" w:color="auto"/>
              <w:right w:val="single" w:sz="8" w:color="auto"/>
            </w:tcBorders>
            <w:vMerge w:val="restart"/>
            <w:shd w:val="clear" w:color="auto" w:fill="1F5122"/>
          </w:tcPr>
          <w:p>
            <w:pPr>
              <w:ind w:left="540"/>
              <w:spacing w:after="0"/>
              <w:rPr>
                <w:sz w:val="20"/>
                <w:szCs w:val="20"/>
                <w:color w:val="auto"/>
              </w:rPr>
            </w:pPr>
            <w:r>
              <w:rPr>
                <w:rFonts w:ascii="Arial" w:cs="Arial" w:eastAsia="Arial" w:hAnsi="Arial"/>
                <w:sz w:val="14"/>
                <w:szCs w:val="14"/>
                <w:b w:val="1"/>
                <w:bCs w:val="1"/>
                <w:color w:val="FFFFFF"/>
              </w:rPr>
              <w:t>Description</w:t>
            </w:r>
          </w:p>
        </w:tc>
        <w:tc>
          <w:tcPr>
            <w:tcW w:w="1900" w:type="dxa"/>
            <w:vAlign w:val="bottom"/>
            <w:tcBorders>
              <w:top w:val="single" w:sz="8" w:color="auto"/>
              <w:right w:val="single" w:sz="8" w:color="auto"/>
            </w:tcBorders>
            <w:shd w:val="clear" w:color="auto" w:fill="1F5122"/>
          </w:tcPr>
          <w:p>
            <w:pPr>
              <w:ind w:left="40"/>
              <w:spacing w:after="0" w:line="149" w:lineRule="exact"/>
              <w:rPr>
                <w:sz w:val="20"/>
                <w:szCs w:val="20"/>
                <w:color w:val="auto"/>
              </w:rPr>
            </w:pPr>
            <w:r>
              <w:rPr>
                <w:rFonts w:ascii="Arial" w:cs="Arial" w:eastAsia="Arial" w:hAnsi="Arial"/>
                <w:sz w:val="14"/>
                <w:szCs w:val="14"/>
                <w:b w:val="1"/>
                <w:bCs w:val="1"/>
                <w:color w:val="FFFFFF"/>
              </w:rPr>
              <w:t>Consolidated Statement of</w:t>
            </w:r>
          </w:p>
        </w:tc>
        <w:tc>
          <w:tcPr>
            <w:tcW w:w="1900" w:type="dxa"/>
            <w:vAlign w:val="bottom"/>
            <w:tcBorders>
              <w:top w:val="single" w:sz="8" w:color="auto"/>
              <w:right w:val="single" w:sz="8" w:color="auto"/>
            </w:tcBorders>
            <w:shd w:val="clear" w:color="auto" w:fill="1F5122"/>
          </w:tcPr>
          <w:p>
            <w:pPr>
              <w:jc w:val="center"/>
              <w:spacing w:after="0" w:line="149" w:lineRule="exact"/>
              <w:rPr>
                <w:sz w:val="20"/>
                <w:szCs w:val="20"/>
                <w:color w:val="auto"/>
              </w:rPr>
            </w:pPr>
            <w:r>
              <w:rPr>
                <w:rFonts w:ascii="Arial" w:cs="Arial" w:eastAsia="Arial" w:hAnsi="Arial"/>
                <w:sz w:val="14"/>
                <w:szCs w:val="14"/>
                <w:b w:val="1"/>
                <w:bCs w:val="1"/>
                <w:color w:val="FFFFFF"/>
                <w:w w:val="99"/>
              </w:rPr>
              <w:t>Consolidated Balance</w:t>
            </w:r>
          </w:p>
        </w:tc>
        <w:tc>
          <w:tcPr>
            <w:tcW w:w="1900" w:type="dxa"/>
            <w:vAlign w:val="bottom"/>
            <w:tcBorders>
              <w:top w:val="single" w:sz="8" w:color="auto"/>
              <w:right w:val="single" w:sz="8" w:color="auto"/>
            </w:tcBorders>
            <w:shd w:val="clear" w:color="auto" w:fill="1F5122"/>
          </w:tcPr>
          <w:p>
            <w:pPr>
              <w:jc w:val="center"/>
              <w:spacing w:after="0" w:line="149" w:lineRule="exact"/>
              <w:rPr>
                <w:sz w:val="20"/>
                <w:szCs w:val="20"/>
                <w:color w:val="auto"/>
              </w:rPr>
            </w:pPr>
            <w:r>
              <w:rPr>
                <w:rFonts w:ascii="Arial" w:cs="Arial" w:eastAsia="Arial" w:hAnsi="Arial"/>
                <w:sz w:val="14"/>
                <w:szCs w:val="14"/>
                <w:b w:val="1"/>
                <w:bCs w:val="1"/>
                <w:color w:val="FFFFFF"/>
              </w:rPr>
              <w:t>Consolidated Statement of</w:t>
            </w:r>
          </w:p>
        </w:tc>
        <w:tc>
          <w:tcPr>
            <w:tcW w:w="1900" w:type="dxa"/>
            <w:vAlign w:val="bottom"/>
            <w:tcBorders>
              <w:top w:val="single" w:sz="8" w:color="auto"/>
              <w:right w:val="single" w:sz="8" w:color="auto"/>
            </w:tcBorders>
            <w:shd w:val="clear" w:color="auto" w:fill="1F5122"/>
          </w:tcPr>
          <w:p>
            <w:pPr>
              <w:jc w:val="right"/>
              <w:ind w:right="29"/>
              <w:spacing w:after="0" w:line="149" w:lineRule="exact"/>
              <w:rPr>
                <w:sz w:val="20"/>
                <w:szCs w:val="20"/>
                <w:color w:val="auto"/>
              </w:rPr>
            </w:pPr>
            <w:r>
              <w:rPr>
                <w:rFonts w:ascii="Arial" w:cs="Arial" w:eastAsia="Arial" w:hAnsi="Arial"/>
                <w:sz w:val="14"/>
                <w:szCs w:val="14"/>
                <w:b w:val="1"/>
                <w:bCs w:val="1"/>
                <w:color w:val="FFFFFF"/>
              </w:rPr>
              <w:t>Percent of Items Acquired</w:t>
            </w:r>
          </w:p>
        </w:tc>
        <w:tc>
          <w:tcPr>
            <w:tcW w:w="0" w:type="dxa"/>
            <w:vAlign w:val="bottom"/>
          </w:tcPr>
          <w:p>
            <w:pPr>
              <w:spacing w:after="0"/>
              <w:rPr>
                <w:sz w:val="1"/>
                <w:szCs w:val="1"/>
                <w:color w:val="auto"/>
              </w:rPr>
            </w:pPr>
          </w:p>
        </w:tc>
      </w:tr>
      <w:tr>
        <w:trPr>
          <w:trHeight w:val="126"/>
        </w:trPr>
        <w:tc>
          <w:tcPr>
            <w:tcW w:w="180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shd w:val="clear" w:color="auto" w:fill="1F5122"/>
          </w:tcPr>
          <w:p>
            <w:pPr>
              <w:spacing w:after="0"/>
              <w:rPr>
                <w:sz w:val="10"/>
                <w:szCs w:val="10"/>
                <w:color w:val="auto"/>
              </w:rPr>
            </w:pPr>
          </w:p>
        </w:tc>
        <w:tc>
          <w:tcPr>
            <w:tcW w:w="1900" w:type="dxa"/>
            <w:vAlign w:val="bottom"/>
            <w:tcBorders>
              <w:right w:val="single" w:sz="8" w:color="auto"/>
            </w:tcBorders>
            <w:vMerge w:val="restart"/>
            <w:shd w:val="clear" w:color="auto" w:fill="1F5122"/>
          </w:tcPr>
          <w:p>
            <w:pPr>
              <w:ind w:left="560"/>
              <w:spacing w:after="0"/>
              <w:rPr>
                <w:sz w:val="20"/>
                <w:szCs w:val="20"/>
                <w:color w:val="auto"/>
              </w:rPr>
            </w:pPr>
            <w:r>
              <w:rPr>
                <w:rFonts w:ascii="Arial" w:cs="Arial" w:eastAsia="Arial" w:hAnsi="Arial"/>
                <w:sz w:val="14"/>
                <w:szCs w:val="14"/>
                <w:b w:val="1"/>
                <w:bCs w:val="1"/>
                <w:color w:val="FFFFFF"/>
              </w:rPr>
              <w:t>Operations</w:t>
            </w:r>
          </w:p>
        </w:tc>
        <w:tc>
          <w:tcPr>
            <w:tcW w:w="1900" w:type="dxa"/>
            <w:vAlign w:val="bottom"/>
            <w:tcBorders>
              <w:right w:val="single" w:sz="8" w:color="auto"/>
            </w:tcBorders>
            <w:vMerge w:val="restart"/>
            <w:shd w:val="clear" w:color="auto" w:fill="1F5122"/>
          </w:tcPr>
          <w:p>
            <w:pPr>
              <w:jc w:val="center"/>
              <w:spacing w:after="0"/>
              <w:rPr>
                <w:sz w:val="20"/>
                <w:szCs w:val="20"/>
                <w:color w:val="auto"/>
              </w:rPr>
            </w:pPr>
            <w:r>
              <w:rPr>
                <w:rFonts w:ascii="Arial" w:cs="Arial" w:eastAsia="Arial" w:hAnsi="Arial"/>
                <w:sz w:val="14"/>
                <w:szCs w:val="14"/>
                <w:b w:val="1"/>
                <w:bCs w:val="1"/>
                <w:color w:val="FFFFFF"/>
              </w:rPr>
              <w:t>Sheets</w:t>
            </w:r>
          </w:p>
        </w:tc>
        <w:tc>
          <w:tcPr>
            <w:tcW w:w="1900" w:type="dxa"/>
            <w:vAlign w:val="bottom"/>
            <w:tcBorders>
              <w:right w:val="single" w:sz="8" w:color="auto"/>
            </w:tcBorders>
            <w:vMerge w:val="restart"/>
            <w:shd w:val="clear" w:color="auto" w:fill="1F5122"/>
          </w:tcPr>
          <w:p>
            <w:pPr>
              <w:jc w:val="center"/>
              <w:spacing w:after="0"/>
              <w:rPr>
                <w:sz w:val="20"/>
                <w:szCs w:val="20"/>
                <w:color w:val="auto"/>
              </w:rPr>
            </w:pPr>
            <w:r>
              <w:rPr>
                <w:rFonts w:ascii="Arial" w:cs="Arial" w:eastAsia="Arial" w:hAnsi="Arial"/>
                <w:sz w:val="14"/>
                <w:szCs w:val="14"/>
                <w:b w:val="1"/>
                <w:bCs w:val="1"/>
                <w:color w:val="FFFFFF"/>
              </w:rPr>
              <w:t>Cash Flows</w:t>
            </w:r>
          </w:p>
        </w:tc>
        <w:tc>
          <w:tcPr>
            <w:tcW w:w="1900" w:type="dxa"/>
            <w:vAlign w:val="bottom"/>
            <w:tcBorders>
              <w:right w:val="single" w:sz="8" w:color="auto"/>
            </w:tcBorders>
            <w:vMerge w:val="restart"/>
            <w:shd w:val="clear" w:color="auto" w:fill="1F5122"/>
          </w:tcPr>
          <w:p>
            <w:pPr>
              <w:jc w:val="right"/>
              <w:ind w:right="109"/>
              <w:spacing w:after="0"/>
              <w:rPr>
                <w:sz w:val="20"/>
                <w:szCs w:val="20"/>
                <w:color w:val="auto"/>
              </w:rPr>
            </w:pPr>
            <w:r>
              <w:rPr>
                <w:rFonts w:ascii="Arial" w:cs="Arial" w:eastAsia="Arial" w:hAnsi="Arial"/>
                <w:sz w:val="14"/>
                <w:szCs w:val="14"/>
                <w:b w:val="1"/>
                <w:bCs w:val="1"/>
                <w:color w:val="FFFFFF"/>
              </w:rPr>
              <w:t>in FY 2022 / 2021 / 2020</w:t>
            </w:r>
          </w:p>
        </w:tc>
        <w:tc>
          <w:tcPr>
            <w:tcW w:w="0" w:type="dxa"/>
            <w:vAlign w:val="bottom"/>
          </w:tcPr>
          <w:p>
            <w:pPr>
              <w:spacing w:after="0"/>
              <w:rPr>
                <w:sz w:val="1"/>
                <w:szCs w:val="1"/>
                <w:color w:val="auto"/>
              </w:rPr>
            </w:pPr>
          </w:p>
        </w:tc>
      </w:tr>
      <w:tr>
        <w:trPr>
          <w:trHeight w:val="65"/>
        </w:trPr>
        <w:tc>
          <w:tcPr>
            <w:tcW w:w="18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shd w:val="clear" w:color="auto" w:fill="1F5122"/>
          </w:tcPr>
          <w:p>
            <w:pPr>
              <w:spacing w:after="0"/>
              <w:rPr>
                <w:sz w:val="5"/>
                <w:szCs w:val="5"/>
                <w:color w:val="auto"/>
              </w:rPr>
            </w:pPr>
          </w:p>
        </w:tc>
        <w:tc>
          <w:tcPr>
            <w:tcW w:w="1900" w:type="dxa"/>
            <w:vAlign w:val="bottom"/>
            <w:tcBorders>
              <w:bottom w:val="single" w:sz="8" w:color="auto"/>
              <w:right w:val="single" w:sz="8" w:color="auto"/>
            </w:tcBorders>
            <w:vMerge w:val="continue"/>
            <w:shd w:val="clear" w:color="auto" w:fill="1F5122"/>
          </w:tcPr>
          <w:p>
            <w:pPr>
              <w:spacing w:after="0"/>
              <w:rPr>
                <w:sz w:val="5"/>
                <w:szCs w:val="5"/>
                <w:color w:val="auto"/>
              </w:rPr>
            </w:pPr>
          </w:p>
        </w:tc>
        <w:tc>
          <w:tcPr>
            <w:tcW w:w="1900" w:type="dxa"/>
            <w:vAlign w:val="bottom"/>
            <w:tcBorders>
              <w:bottom w:val="single" w:sz="8" w:color="auto"/>
              <w:right w:val="single" w:sz="8" w:color="auto"/>
            </w:tcBorders>
            <w:vMerge w:val="continue"/>
            <w:shd w:val="clear" w:color="auto" w:fill="1F5122"/>
          </w:tcPr>
          <w:p>
            <w:pPr>
              <w:spacing w:after="0"/>
              <w:rPr>
                <w:sz w:val="5"/>
                <w:szCs w:val="5"/>
                <w:color w:val="auto"/>
              </w:rPr>
            </w:pPr>
          </w:p>
        </w:tc>
        <w:tc>
          <w:tcPr>
            <w:tcW w:w="1900" w:type="dxa"/>
            <w:vAlign w:val="bottom"/>
            <w:tcBorders>
              <w:bottom w:val="single" w:sz="8" w:color="auto"/>
              <w:right w:val="single" w:sz="8" w:color="auto"/>
            </w:tcBorders>
            <w:vMerge w:val="continue"/>
            <w:shd w:val="clear" w:color="auto" w:fill="1F5122"/>
          </w:tcPr>
          <w:p>
            <w:pPr>
              <w:spacing w:after="0"/>
              <w:rPr>
                <w:sz w:val="5"/>
                <w:szCs w:val="5"/>
                <w:color w:val="auto"/>
              </w:rPr>
            </w:pPr>
          </w:p>
        </w:tc>
        <w:tc>
          <w:tcPr>
            <w:tcW w:w="1900" w:type="dxa"/>
            <w:vAlign w:val="bottom"/>
            <w:tcBorders>
              <w:bottom w:val="single" w:sz="8" w:color="auto"/>
              <w:right w:val="single" w:sz="8" w:color="auto"/>
            </w:tcBorders>
            <w:vMerge w:val="continue"/>
            <w:shd w:val="clear" w:color="auto" w:fill="1F5122"/>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00" w:type="dxa"/>
            <w:vAlign w:val="bottom"/>
            <w:tcBorders>
              <w:left w:val="single" w:sz="8" w:color="auto"/>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shd w:val="clear" w:color="auto" w:fill="AADEAD"/>
          </w:tcPr>
          <w:p>
            <w:pPr>
              <w:spacing w:after="0" w:line="129" w:lineRule="exact"/>
              <w:rPr>
                <w:sz w:val="20"/>
                <w:szCs w:val="20"/>
                <w:color w:val="auto"/>
              </w:rPr>
            </w:pPr>
            <w:r>
              <w:rPr>
                <w:rFonts w:ascii="Arial" w:cs="Arial" w:eastAsia="Arial" w:hAnsi="Arial"/>
                <w:sz w:val="14"/>
                <w:szCs w:val="14"/>
                <w:color w:val="auto"/>
              </w:rPr>
              <w:t>Cost is recognized through</w:t>
            </w: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restart"/>
            <w:shd w:val="clear" w:color="auto" w:fill="AADEAD"/>
          </w:tcPr>
          <w:p>
            <w:pPr>
              <w:spacing w:after="0"/>
              <w:rPr>
                <w:sz w:val="20"/>
                <w:szCs w:val="20"/>
                <w:color w:val="auto"/>
              </w:rPr>
            </w:pPr>
            <w:r>
              <w:rPr>
                <w:rFonts w:ascii="Arial" w:cs="Arial" w:eastAsia="Arial" w:hAnsi="Arial"/>
                <w:sz w:val="14"/>
                <w:szCs w:val="14"/>
                <w:color w:val="auto"/>
              </w:rPr>
              <w:t>Total cost is recognized as a</w:t>
            </w:r>
          </w:p>
        </w:tc>
        <w:tc>
          <w:tcPr>
            <w:tcW w:w="1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00" w:type="dxa"/>
            <w:vAlign w:val="bottom"/>
            <w:tcBorders>
              <w:left w:val="single" w:sz="8" w:color="auto"/>
              <w:right w:val="single" w:sz="8" w:color="auto"/>
            </w:tcBorders>
          </w:tcPr>
          <w:p>
            <w:pPr>
              <w:spacing w:after="0"/>
              <w:rPr>
                <w:sz w:val="11"/>
                <w:szCs w:val="11"/>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Items are acquired directly</w:t>
            </w:r>
          </w:p>
        </w:tc>
        <w:tc>
          <w:tcPr>
            <w:tcW w:w="1900" w:type="dxa"/>
            <w:vAlign w:val="bottom"/>
            <w:tcBorders>
              <w:right w:val="single" w:sz="8" w:color="auto"/>
            </w:tcBorders>
            <w:shd w:val="clear" w:color="auto" w:fill="AADEAD"/>
          </w:tcPr>
          <w:p>
            <w:pPr>
              <w:spacing w:after="0" w:line="138" w:lineRule="exact"/>
              <w:rPr>
                <w:sz w:val="20"/>
                <w:szCs w:val="20"/>
                <w:color w:val="auto"/>
              </w:rPr>
            </w:pPr>
            <w:r>
              <w:rPr>
                <w:rFonts w:ascii="Arial" w:cs="Arial" w:eastAsia="Arial" w:hAnsi="Arial"/>
                <w:sz w:val="14"/>
                <w:szCs w:val="14"/>
                <w:color w:val="auto"/>
              </w:rPr>
              <w:t>straight-line depreciation,</w:t>
            </w: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shd w:val="clear" w:color="auto" w:fill="AADEAD"/>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tcBorders>
              <w:left w:val="single" w:sz="8" w:color="auto"/>
              <w:right w:val="single" w:sz="8" w:color="auto"/>
            </w:tcBorders>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shd w:val="clear" w:color="auto" w:fill="AADEAD"/>
          </w:tcPr>
          <w:p>
            <w:pPr>
              <w:spacing w:after="0" w:line="149" w:lineRule="exact"/>
              <w:rPr>
                <w:sz w:val="20"/>
                <w:szCs w:val="20"/>
                <w:color w:val="auto"/>
              </w:rPr>
            </w:pPr>
            <w:r>
              <w:rPr>
                <w:rFonts w:ascii="Arial" w:cs="Arial" w:eastAsia="Arial" w:hAnsi="Arial"/>
                <w:sz w:val="14"/>
                <w:szCs w:val="14"/>
                <w:color w:val="auto"/>
              </w:rPr>
              <w:t>with a three-year useful life</w:t>
            </w:r>
          </w:p>
        </w:tc>
        <w:tc>
          <w:tcPr>
            <w:tcW w:w="1900" w:type="dxa"/>
            <w:vAlign w:val="bottom"/>
            <w:tcBorders>
              <w:right w:val="single" w:sz="8" w:color="auto"/>
            </w:tcBorders>
            <w:vMerge w:val="restart"/>
          </w:tcPr>
          <w:p>
            <w:pPr>
              <w:spacing w:after="0" w:line="149" w:lineRule="exact"/>
              <w:rPr>
                <w:sz w:val="20"/>
                <w:szCs w:val="20"/>
                <w:color w:val="auto"/>
              </w:rPr>
            </w:pPr>
            <w:r>
              <w:rPr>
                <w:rFonts w:ascii="Arial" w:cs="Arial" w:eastAsia="Arial" w:hAnsi="Arial"/>
                <w:sz w:val="14"/>
                <w:szCs w:val="14"/>
                <w:color w:val="auto"/>
              </w:rPr>
              <w:t>Total cost is capitalized as</w:t>
            </w:r>
          </w:p>
        </w:tc>
        <w:tc>
          <w:tcPr>
            <w:tcW w:w="1900" w:type="dxa"/>
            <w:vAlign w:val="bottom"/>
            <w:tcBorders>
              <w:right w:val="single" w:sz="8" w:color="auto"/>
            </w:tcBorders>
            <w:vMerge w:val="restart"/>
            <w:shd w:val="clear" w:color="auto" w:fill="AADEAD"/>
          </w:tcPr>
          <w:p>
            <w:pPr>
              <w:spacing w:after="0" w:line="149" w:lineRule="exact"/>
              <w:rPr>
                <w:sz w:val="20"/>
                <w:szCs w:val="20"/>
                <w:color w:val="auto"/>
              </w:rPr>
            </w:pPr>
            <w:r>
              <w:rPr>
                <w:rFonts w:ascii="Arial" w:cs="Arial" w:eastAsia="Arial" w:hAnsi="Arial"/>
                <w:sz w:val="14"/>
                <w:szCs w:val="14"/>
                <w:color w:val="auto"/>
              </w:rPr>
              <w:t>capital expenditure</w:t>
            </w: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0F7F40"/>
              </w:rPr>
              <w:t>WHOLESALE</w:t>
            </w:r>
          </w:p>
        </w:tc>
        <w:tc>
          <w:tcPr>
            <w:tcW w:w="1900" w:type="dxa"/>
            <w:vAlign w:val="bottom"/>
            <w:tcBorders>
              <w:right w:val="single" w:sz="8" w:color="auto"/>
            </w:tcBorders>
            <w:vMerge w:val="restart"/>
          </w:tcPr>
          <w:p>
            <w:pPr>
              <w:spacing w:after="0" w:line="145" w:lineRule="exact"/>
              <w:rPr>
                <w:sz w:val="20"/>
                <w:szCs w:val="20"/>
                <w:color w:val="auto"/>
              </w:rPr>
            </w:pPr>
            <w:r>
              <w:rPr>
                <w:rFonts w:ascii="Arial" w:cs="Arial" w:eastAsia="Arial" w:hAnsi="Arial"/>
                <w:sz w:val="14"/>
                <w:szCs w:val="14"/>
                <w:color w:val="auto"/>
              </w:rPr>
              <w:t>from brands partners,</w:t>
            </w: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800" w:type="dxa"/>
            <w:vAlign w:val="bottom"/>
            <w:tcBorders>
              <w:left w:val="single" w:sz="8" w:color="auto"/>
              <w:right w:val="single" w:sz="8" w:color="auto"/>
            </w:tcBorders>
            <w:vMerge w:val="continue"/>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shd w:val="clear" w:color="auto" w:fill="AADEAD"/>
          </w:tcPr>
          <w:p>
            <w:pPr>
              <w:spacing w:after="0" w:line="138" w:lineRule="exact"/>
              <w:rPr>
                <w:sz w:val="20"/>
                <w:szCs w:val="20"/>
                <w:color w:val="auto"/>
              </w:rPr>
            </w:pPr>
            <w:r>
              <w:rPr>
                <w:rFonts w:ascii="Arial" w:cs="Arial" w:eastAsia="Arial" w:hAnsi="Arial"/>
                <w:sz w:val="14"/>
                <w:szCs w:val="14"/>
                <w:color w:val="auto"/>
              </w:rPr>
              <w:t>and 20% salvage value, in</w:t>
            </w:r>
          </w:p>
        </w:tc>
        <w:tc>
          <w:tcPr>
            <w:tcW w:w="1900" w:type="dxa"/>
            <w:vAlign w:val="bottom"/>
            <w:tcBorders>
              <w:right w:val="single" w:sz="8" w:color="auto"/>
            </w:tcBorders>
            <w:vMerge w:val="restart"/>
          </w:tcPr>
          <w:p>
            <w:pPr>
              <w:spacing w:after="0" w:line="138" w:lineRule="exact"/>
              <w:rPr>
                <w:sz w:val="20"/>
                <w:szCs w:val="20"/>
                <w:color w:val="auto"/>
              </w:rPr>
            </w:pPr>
            <w:r>
              <w:rPr>
                <w:rFonts w:ascii="Arial" w:cs="Arial" w:eastAsia="Arial" w:hAnsi="Arial"/>
                <w:sz w:val="14"/>
                <w:szCs w:val="14"/>
                <w:color w:val="auto"/>
              </w:rPr>
              <w:t>"Rental Products" in long-</w:t>
            </w:r>
          </w:p>
        </w:tc>
        <w:tc>
          <w:tcPr>
            <w:tcW w:w="1900" w:type="dxa"/>
            <w:vAlign w:val="bottom"/>
            <w:tcBorders>
              <w:right w:val="single" w:sz="8" w:color="auto"/>
            </w:tcBorders>
            <w:vMerge w:val="restart"/>
            <w:shd w:val="clear" w:color="auto" w:fill="AADEAD"/>
          </w:tcPr>
          <w:p>
            <w:pPr>
              <w:spacing w:after="0" w:line="138" w:lineRule="exact"/>
              <w:rPr>
                <w:sz w:val="20"/>
                <w:szCs w:val="20"/>
                <w:color w:val="auto"/>
              </w:rPr>
            </w:pPr>
            <w:r>
              <w:rPr>
                <w:rFonts w:ascii="Arial" w:cs="Arial" w:eastAsia="Arial" w:hAnsi="Arial"/>
                <w:sz w:val="14"/>
                <w:szCs w:val="14"/>
                <w:color w:val="auto"/>
              </w:rPr>
              <w:t>("Purchases of Rental</w:t>
            </w:r>
          </w:p>
        </w:tc>
        <w:tc>
          <w:tcPr>
            <w:tcW w:w="1900" w:type="dxa"/>
            <w:vAlign w:val="bottom"/>
            <w:tcBorders>
              <w:right w:val="single" w:sz="8" w:color="auto"/>
            </w:tcBorders>
            <w:vMerge w:val="restart"/>
          </w:tcPr>
          <w:p>
            <w:pPr>
              <w:jc w:val="right"/>
              <w:ind w:right="749"/>
              <w:spacing w:after="0" w:line="138" w:lineRule="exact"/>
              <w:rPr>
                <w:sz w:val="20"/>
                <w:szCs w:val="20"/>
                <w:color w:val="auto"/>
              </w:rPr>
            </w:pPr>
            <w:r>
              <w:rPr>
                <w:rFonts w:ascii="Arial" w:cs="Arial" w:eastAsia="Arial" w:hAnsi="Arial"/>
                <w:sz w:val="14"/>
                <w:szCs w:val="14"/>
                <w:color w:val="auto"/>
                <w:w w:val="98"/>
              </w:rPr>
              <w:t>42% / 45% / 46%</w:t>
            </w:r>
          </w:p>
        </w:tc>
        <w:tc>
          <w:tcPr>
            <w:tcW w:w="0" w:type="dxa"/>
            <w:vAlign w:val="bottom"/>
          </w:tcPr>
          <w:p>
            <w:pPr>
              <w:spacing w:after="0"/>
              <w:rPr>
                <w:sz w:val="1"/>
                <w:szCs w:val="1"/>
                <w:color w:val="auto"/>
              </w:rPr>
            </w:pPr>
          </w:p>
        </w:tc>
      </w:tr>
      <w:tr>
        <w:trPr>
          <w:trHeight w:val="68"/>
        </w:trPr>
        <w:tc>
          <w:tcPr>
            <w:tcW w:w="1800" w:type="dxa"/>
            <w:vAlign w:val="bottom"/>
            <w:tcBorders>
              <w:left w:val="single" w:sz="8" w:color="auto"/>
              <w:right w:val="single" w:sz="8" w:color="auto"/>
            </w:tcBorders>
            <w:vMerge w:val="continue"/>
          </w:tcPr>
          <w:p>
            <w:pPr>
              <w:spacing w:after="0"/>
              <w:rPr>
                <w:sz w:val="5"/>
                <w:szCs w:val="5"/>
                <w:color w:val="auto"/>
              </w:rPr>
            </w:pPr>
          </w:p>
        </w:tc>
        <w:tc>
          <w:tcPr>
            <w:tcW w:w="1900" w:type="dxa"/>
            <w:vAlign w:val="bottom"/>
            <w:tcBorders>
              <w:right w:val="single" w:sz="8" w:color="auto"/>
            </w:tcBorders>
            <w:vMerge w:val="restart"/>
          </w:tcPr>
          <w:p>
            <w:pPr>
              <w:spacing w:after="0" w:line="142" w:lineRule="exact"/>
              <w:rPr>
                <w:sz w:val="20"/>
                <w:szCs w:val="20"/>
                <w:color w:val="auto"/>
              </w:rPr>
            </w:pPr>
            <w:r>
              <w:rPr>
                <w:rFonts w:ascii="Arial" w:cs="Arial" w:eastAsia="Arial" w:hAnsi="Arial"/>
                <w:sz w:val="14"/>
                <w:szCs w:val="14"/>
                <w:color w:val="auto"/>
              </w:rPr>
              <w:t>typically at a discount to</w:t>
            </w:r>
          </w:p>
        </w:tc>
        <w:tc>
          <w:tcPr>
            <w:tcW w:w="1900" w:type="dxa"/>
            <w:vAlign w:val="bottom"/>
            <w:tcBorders>
              <w:right w:val="single" w:sz="8" w:color="auto"/>
            </w:tcBorders>
            <w:vMerge w:val="continue"/>
            <w:shd w:val="clear" w:color="auto" w:fill="AADEAD"/>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continue"/>
            <w:shd w:val="clear" w:color="auto" w:fill="AADEAD"/>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800" w:type="dxa"/>
            <w:vAlign w:val="bottom"/>
            <w:tcBorders>
              <w:left w:val="single" w:sz="8" w:color="auto"/>
              <w:right w:val="single" w:sz="8" w:color="auto"/>
            </w:tcBorders>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shd w:val="clear" w:color="auto" w:fill="AADEAD"/>
          </w:tcPr>
          <w:p>
            <w:pPr>
              <w:spacing w:after="0" w:line="138" w:lineRule="exact"/>
              <w:rPr>
                <w:sz w:val="20"/>
                <w:szCs w:val="20"/>
                <w:color w:val="auto"/>
              </w:rPr>
            </w:pPr>
            <w:r>
              <w:rPr>
                <w:rFonts w:ascii="Arial" w:cs="Arial" w:eastAsia="Arial" w:hAnsi="Arial"/>
                <w:sz w:val="14"/>
                <w:szCs w:val="14"/>
                <w:color w:val="auto"/>
              </w:rPr>
              <w:t>the "Rental Product</w:t>
            </w:r>
          </w:p>
        </w:tc>
        <w:tc>
          <w:tcPr>
            <w:tcW w:w="1900" w:type="dxa"/>
            <w:vAlign w:val="bottom"/>
            <w:tcBorders>
              <w:right w:val="single" w:sz="8" w:color="auto"/>
            </w:tcBorders>
            <w:vMerge w:val="restart"/>
          </w:tcPr>
          <w:p>
            <w:pPr>
              <w:spacing w:after="0" w:line="138" w:lineRule="exact"/>
              <w:rPr>
                <w:sz w:val="20"/>
                <w:szCs w:val="20"/>
                <w:color w:val="auto"/>
              </w:rPr>
            </w:pPr>
            <w:r>
              <w:rPr>
                <w:rFonts w:ascii="Arial" w:cs="Arial" w:eastAsia="Arial" w:hAnsi="Arial"/>
                <w:sz w:val="14"/>
                <w:szCs w:val="14"/>
                <w:color w:val="auto"/>
              </w:rPr>
              <w:t>term assets</w:t>
            </w:r>
          </w:p>
        </w:tc>
        <w:tc>
          <w:tcPr>
            <w:tcW w:w="1900" w:type="dxa"/>
            <w:vAlign w:val="bottom"/>
            <w:tcBorders>
              <w:right w:val="single" w:sz="8" w:color="auto"/>
            </w:tcBorders>
            <w:vMerge w:val="restart"/>
            <w:shd w:val="clear" w:color="auto" w:fill="AADEAD"/>
          </w:tcPr>
          <w:p>
            <w:pPr>
              <w:spacing w:after="0" w:line="138" w:lineRule="exact"/>
              <w:rPr>
                <w:sz w:val="20"/>
                <w:szCs w:val="20"/>
                <w:color w:val="auto"/>
              </w:rPr>
            </w:pPr>
            <w:r>
              <w:rPr>
                <w:rFonts w:ascii="Arial" w:cs="Arial" w:eastAsia="Arial" w:hAnsi="Arial"/>
                <w:sz w:val="14"/>
                <w:szCs w:val="14"/>
                <w:color w:val="auto"/>
              </w:rPr>
              <w:t>Product") at time of</w:t>
            </w: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800" w:type="dxa"/>
            <w:vAlign w:val="bottom"/>
            <w:tcBorders>
              <w:left w:val="single" w:sz="8" w:color="auto"/>
              <w:right w:val="single" w:sz="8" w:color="auto"/>
            </w:tcBorders>
          </w:tcPr>
          <w:p>
            <w:pPr>
              <w:spacing w:after="0"/>
              <w:rPr>
                <w:sz w:val="5"/>
                <w:szCs w:val="5"/>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wholesale price</w:t>
            </w:r>
          </w:p>
        </w:tc>
        <w:tc>
          <w:tcPr>
            <w:tcW w:w="1900" w:type="dxa"/>
            <w:vAlign w:val="bottom"/>
            <w:tcBorders>
              <w:right w:val="single" w:sz="8" w:color="auto"/>
            </w:tcBorders>
            <w:vMerge w:val="continue"/>
            <w:shd w:val="clear" w:color="auto" w:fill="AADEAD"/>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continue"/>
            <w:shd w:val="clear" w:color="auto" w:fill="AADEAD"/>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auto"/>
              <w:right w:val="single" w:sz="8" w:color="auto"/>
            </w:tcBorders>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shd w:val="clear" w:color="auto" w:fill="AADEAD"/>
          </w:tcPr>
          <w:p>
            <w:pPr>
              <w:spacing w:after="0" w:line="149" w:lineRule="exact"/>
              <w:rPr>
                <w:sz w:val="20"/>
                <w:szCs w:val="20"/>
                <w:color w:val="auto"/>
              </w:rPr>
            </w:pPr>
            <w:r>
              <w:rPr>
                <w:rFonts w:ascii="Arial" w:cs="Arial" w:eastAsia="Arial" w:hAnsi="Arial"/>
                <w:sz w:val="14"/>
                <w:szCs w:val="14"/>
                <w:color w:val="auto"/>
              </w:rPr>
              <w:t>Depreciation and Revenue</w:t>
            </w: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AADEAD"/>
          </w:tcPr>
          <w:p>
            <w:pPr>
              <w:spacing w:after="0" w:line="149" w:lineRule="exact"/>
              <w:rPr>
                <w:sz w:val="20"/>
                <w:szCs w:val="20"/>
                <w:color w:val="auto"/>
              </w:rPr>
            </w:pPr>
            <w:r>
              <w:rPr>
                <w:rFonts w:ascii="Arial" w:cs="Arial" w:eastAsia="Arial" w:hAnsi="Arial"/>
                <w:sz w:val="14"/>
                <w:szCs w:val="14"/>
                <w:color w:val="auto"/>
              </w:rPr>
              <w:t>acquisition</w:t>
            </w:r>
          </w:p>
        </w:tc>
        <w:tc>
          <w:tcPr>
            <w:tcW w:w="1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0" w:type="dxa"/>
            <w:vAlign w:val="bottom"/>
            <w:tcBorders>
              <w:left w:val="single" w:sz="8" w:color="auto"/>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shd w:val="clear" w:color="auto" w:fill="AADEAD"/>
          </w:tcPr>
          <w:p>
            <w:pPr>
              <w:spacing w:after="0" w:line="161" w:lineRule="exact"/>
              <w:rPr>
                <w:sz w:val="20"/>
                <w:szCs w:val="20"/>
                <w:color w:val="auto"/>
              </w:rPr>
            </w:pPr>
            <w:r>
              <w:rPr>
                <w:rFonts w:ascii="Arial" w:cs="Arial" w:eastAsia="Arial" w:hAnsi="Arial"/>
                <w:sz w:val="14"/>
                <w:szCs w:val="14"/>
                <w:color w:val="auto"/>
              </w:rPr>
              <w:t xml:space="preserve">Share" line </w:t>
            </w:r>
            <w:r>
              <w:rPr>
                <w:rFonts w:ascii="MS PGothic" w:cs="MS PGothic" w:eastAsia="MS PGothic" w:hAnsi="MS PGothic"/>
                <w:sz w:val="14"/>
                <w:szCs w:val="14"/>
                <w:color w:val="auto"/>
              </w:rPr>
              <w:t>⁽</w:t>
            </w:r>
            <w:r>
              <w:rPr>
                <w:rFonts w:ascii="Arial" w:cs="Arial" w:eastAsia="Arial" w:hAnsi="Arial"/>
                <w:sz w:val="14"/>
                <w:szCs w:val="14"/>
                <w:color w:val="auto"/>
              </w:rPr>
              <w:t>¹</w:t>
            </w:r>
            <w:r>
              <w:rPr>
                <w:rFonts w:ascii="MS PGothic" w:cs="MS PGothic" w:eastAsia="MS PGothic" w:hAnsi="MS PGothic"/>
                <w:sz w:val="14"/>
                <w:szCs w:val="14"/>
                <w:color w:val="auto"/>
              </w:rPr>
              <w:t>⁾</w:t>
            </w:r>
          </w:p>
        </w:tc>
        <w:tc>
          <w:tcPr>
            <w:tcW w:w="190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shd w:val="clear" w:color="auto" w:fill="AADEAD"/>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00" w:type="dxa"/>
            <w:vAlign w:val="bottom"/>
            <w:tcBorders>
              <w:left w:val="single" w:sz="8" w:color="auto"/>
              <w:right w:val="single" w:sz="8" w:color="auto"/>
            </w:tcBorders>
          </w:tcPr>
          <w:p>
            <w:pPr>
              <w:spacing w:after="0"/>
              <w:rPr>
                <w:sz w:val="11"/>
                <w:szCs w:val="11"/>
                <w:color w:val="auto"/>
              </w:rPr>
            </w:pPr>
          </w:p>
        </w:tc>
        <w:tc>
          <w:tcPr>
            <w:tcW w:w="1900" w:type="dxa"/>
            <w:vAlign w:val="bottom"/>
            <w:tcBorders>
              <w:right w:val="single" w:sz="8" w:color="auto"/>
            </w:tcBorders>
          </w:tcPr>
          <w:p>
            <w:pPr>
              <w:spacing w:after="0" w:line="129" w:lineRule="exact"/>
              <w:rPr>
                <w:sz w:val="20"/>
                <w:szCs w:val="20"/>
                <w:color w:val="auto"/>
              </w:rPr>
            </w:pPr>
            <w:r>
              <w:rPr>
                <w:rFonts w:ascii="Arial" w:cs="Arial" w:eastAsia="Arial" w:hAnsi="Arial"/>
                <w:sz w:val="14"/>
                <w:szCs w:val="14"/>
                <w:color w:val="auto"/>
              </w:rPr>
              <w:t>Items are acquired directly</w:t>
            </w:r>
          </w:p>
        </w:tc>
        <w:tc>
          <w:tcPr>
            <w:tcW w:w="1900" w:type="dxa"/>
            <w:vAlign w:val="bottom"/>
            <w:tcBorders>
              <w:right w:val="single" w:sz="8" w:color="auto"/>
            </w:tcBorders>
            <w:vMerge w:val="restart"/>
            <w:shd w:val="clear" w:color="auto" w:fill="AADEAD"/>
          </w:tcPr>
          <w:p>
            <w:pPr>
              <w:spacing w:after="0"/>
              <w:rPr>
                <w:sz w:val="20"/>
                <w:szCs w:val="20"/>
                <w:color w:val="auto"/>
              </w:rPr>
            </w:pPr>
            <w:r>
              <w:rPr>
                <w:rFonts w:ascii="Arial" w:cs="Arial" w:eastAsia="Arial" w:hAnsi="Arial"/>
                <w:sz w:val="14"/>
                <w:szCs w:val="14"/>
                <w:color w:val="auto"/>
              </w:rPr>
              <w:t>Upfront and performance-</w:t>
            </w: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shd w:val="clear" w:color="auto" w:fill="AADEAD"/>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1800" w:type="dxa"/>
            <w:vAlign w:val="bottom"/>
            <w:tcBorders>
              <w:left w:val="single" w:sz="8" w:color="auto"/>
              <w:right w:val="single" w:sz="8" w:color="auto"/>
            </w:tcBorders>
          </w:tcPr>
          <w:p>
            <w:pPr>
              <w:spacing w:after="0"/>
              <w:rPr>
                <w:sz w:val="5"/>
                <w:szCs w:val="5"/>
                <w:color w:val="auto"/>
              </w:rPr>
            </w:pPr>
          </w:p>
        </w:tc>
        <w:tc>
          <w:tcPr>
            <w:tcW w:w="1900" w:type="dxa"/>
            <w:vAlign w:val="bottom"/>
            <w:tcBorders>
              <w:right w:val="single" w:sz="8" w:color="auto"/>
            </w:tcBorders>
            <w:vMerge w:val="restart"/>
          </w:tcPr>
          <w:p>
            <w:pPr>
              <w:spacing w:after="0" w:line="145" w:lineRule="exact"/>
              <w:rPr>
                <w:sz w:val="20"/>
                <w:szCs w:val="20"/>
                <w:color w:val="auto"/>
              </w:rPr>
            </w:pPr>
            <w:r>
              <w:rPr>
                <w:rFonts w:ascii="Arial" w:cs="Arial" w:eastAsia="Arial" w:hAnsi="Arial"/>
                <w:sz w:val="14"/>
                <w:szCs w:val="14"/>
                <w:color w:val="auto"/>
              </w:rPr>
              <w:t>from brand partners on</w:t>
            </w:r>
          </w:p>
        </w:tc>
        <w:tc>
          <w:tcPr>
            <w:tcW w:w="1900" w:type="dxa"/>
            <w:vAlign w:val="bottom"/>
            <w:tcBorders>
              <w:right w:val="single" w:sz="8" w:color="auto"/>
            </w:tcBorders>
            <w:vMerge w:val="continue"/>
            <w:shd w:val="clear" w:color="auto" w:fill="AADEAD"/>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shd w:val="clear" w:color="auto" w:fill="AADEAD"/>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800" w:type="dxa"/>
            <w:vAlign w:val="bottom"/>
            <w:tcBorders>
              <w:left w:val="single" w:sz="8" w:color="auto"/>
              <w:right w:val="single" w:sz="8" w:color="auto"/>
            </w:tcBorders>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vMerge w:val="restart"/>
            <w:shd w:val="clear" w:color="auto" w:fill="AADEAD"/>
          </w:tcPr>
          <w:p>
            <w:pPr>
              <w:spacing w:after="0" w:line="145" w:lineRule="exact"/>
              <w:rPr>
                <w:sz w:val="20"/>
                <w:szCs w:val="20"/>
                <w:color w:val="auto"/>
              </w:rPr>
            </w:pPr>
            <w:r>
              <w:rPr>
                <w:rFonts w:ascii="Arial" w:cs="Arial" w:eastAsia="Arial" w:hAnsi="Arial"/>
                <w:sz w:val="14"/>
                <w:szCs w:val="14"/>
                <w:color w:val="auto"/>
              </w:rPr>
              <w:t>based revenue share</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Items are not capitalized on</w:t>
            </w:r>
          </w:p>
        </w:tc>
        <w:tc>
          <w:tcPr>
            <w:tcW w:w="1900" w:type="dxa"/>
            <w:vAlign w:val="bottom"/>
            <w:tcBorders>
              <w:right w:val="single" w:sz="8" w:color="auto"/>
            </w:tcBorders>
            <w:vMerge w:val="restart"/>
            <w:shd w:val="clear" w:color="auto" w:fill="AADEAD"/>
          </w:tcPr>
          <w:p>
            <w:pPr>
              <w:spacing w:after="0"/>
              <w:rPr>
                <w:sz w:val="20"/>
                <w:szCs w:val="20"/>
                <w:color w:val="auto"/>
              </w:rPr>
            </w:pPr>
            <w:r>
              <w:rPr>
                <w:rFonts w:ascii="Arial" w:cs="Arial" w:eastAsia="Arial" w:hAnsi="Arial"/>
                <w:sz w:val="14"/>
                <w:szCs w:val="14"/>
                <w:color w:val="auto"/>
              </w:rPr>
              <w:t>Upfront revenue share</w:t>
            </w:r>
          </w:p>
        </w:tc>
        <w:tc>
          <w:tcPr>
            <w:tcW w:w="1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1800" w:type="dxa"/>
            <w:vAlign w:val="bottom"/>
            <w:tcBorders>
              <w:left w:val="single" w:sz="8" w:color="auto"/>
              <w:right w:val="single" w:sz="8" w:color="auto"/>
            </w:tcBorders>
          </w:tcPr>
          <w:p>
            <w:pPr>
              <w:spacing w:after="0"/>
              <w:rPr>
                <w:sz w:val="5"/>
                <w:szCs w:val="5"/>
                <w:color w:val="auto"/>
              </w:rPr>
            </w:pPr>
          </w:p>
        </w:tc>
        <w:tc>
          <w:tcPr>
            <w:tcW w:w="1900" w:type="dxa"/>
            <w:vAlign w:val="bottom"/>
            <w:tcBorders>
              <w:right w:val="single" w:sz="8" w:color="auto"/>
            </w:tcBorders>
            <w:vMerge w:val="restart"/>
          </w:tcPr>
          <w:p>
            <w:pPr>
              <w:spacing w:after="0" w:line="142" w:lineRule="exact"/>
              <w:rPr>
                <w:sz w:val="20"/>
                <w:szCs w:val="20"/>
                <w:color w:val="auto"/>
              </w:rPr>
            </w:pPr>
            <w:r>
              <w:rPr>
                <w:rFonts w:ascii="Arial" w:cs="Arial" w:eastAsia="Arial" w:hAnsi="Arial"/>
                <w:sz w:val="14"/>
                <w:szCs w:val="14"/>
                <w:color w:val="auto"/>
              </w:rPr>
              <w:t>consignment, at zero to low</w:t>
            </w:r>
          </w:p>
        </w:tc>
        <w:tc>
          <w:tcPr>
            <w:tcW w:w="1900" w:type="dxa"/>
            <w:vAlign w:val="bottom"/>
            <w:tcBorders>
              <w:right w:val="single" w:sz="8" w:color="auto"/>
            </w:tcBorders>
            <w:vMerge w:val="continue"/>
            <w:shd w:val="clear" w:color="auto" w:fill="AADEAD"/>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continue"/>
            <w:shd w:val="clear" w:color="auto" w:fill="AADEAD"/>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1800" w:type="dxa"/>
            <w:vAlign w:val="bottom"/>
            <w:tcBorders>
              <w:left w:val="single" w:sz="8" w:color="auto"/>
              <w:right w:val="single" w:sz="8" w:color="auto"/>
            </w:tcBorders>
            <w:vMerge w:val="restart"/>
          </w:tcPr>
          <w:p>
            <w:pPr>
              <w:ind w:left="40"/>
              <w:spacing w:after="0" w:line="184" w:lineRule="exact"/>
              <w:rPr>
                <w:sz w:val="20"/>
                <w:szCs w:val="20"/>
                <w:color w:val="auto"/>
              </w:rPr>
            </w:pPr>
            <w:r>
              <w:rPr>
                <w:rFonts w:ascii="Arial" w:cs="Arial" w:eastAsia="Arial" w:hAnsi="Arial"/>
                <w:sz w:val="16"/>
                <w:szCs w:val="16"/>
                <w:b w:val="1"/>
                <w:bCs w:val="1"/>
                <w:color w:val="0F7F40"/>
              </w:rPr>
              <w:t xml:space="preserve">SHARE BY RTR </w:t>
            </w:r>
            <w:r>
              <w:rPr>
                <w:rFonts w:ascii="MS PGothic" w:cs="MS PGothic" w:eastAsia="MS PGothic" w:hAnsi="MS PGothic"/>
                <w:sz w:val="16"/>
                <w:szCs w:val="16"/>
                <w:color w:val="000000"/>
              </w:rPr>
              <w:t>⁽</w:t>
            </w:r>
            <w:r>
              <w:rPr>
                <w:rFonts w:ascii="Arial" w:cs="Arial" w:eastAsia="Arial" w:hAnsi="Arial"/>
                <w:sz w:val="16"/>
                <w:szCs w:val="16"/>
                <w:b w:val="1"/>
                <w:bCs w:val="1"/>
                <w:color w:val="0F7F40"/>
              </w:rPr>
              <w:t>²</w:t>
            </w:r>
            <w:r>
              <w:rPr>
                <w:rFonts w:ascii="MS PGothic" w:cs="MS PGothic" w:eastAsia="MS PGothic" w:hAnsi="MS PGothic"/>
                <w:sz w:val="16"/>
                <w:szCs w:val="16"/>
                <w:color w:val="000000"/>
              </w:rPr>
              <w:t>⁾</w:t>
            </w: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shd w:val="clear" w:color="auto" w:fill="AADEAD"/>
          </w:tcPr>
          <w:p>
            <w:pPr>
              <w:spacing w:after="0" w:line="142" w:lineRule="exact"/>
              <w:rPr>
                <w:sz w:val="20"/>
                <w:szCs w:val="20"/>
                <w:color w:val="auto"/>
              </w:rPr>
            </w:pPr>
            <w:r>
              <w:rPr>
                <w:rFonts w:ascii="Arial" w:cs="Arial" w:eastAsia="Arial" w:hAnsi="Arial"/>
                <w:sz w:val="14"/>
                <w:szCs w:val="14"/>
                <w:color w:val="auto"/>
              </w:rPr>
              <w:t>payments are expensed as</w:t>
            </w: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800" w:type="dxa"/>
            <w:vAlign w:val="bottom"/>
            <w:tcBorders>
              <w:left w:val="single" w:sz="8" w:color="auto"/>
              <w:right w:val="single" w:sz="8" w:color="auto"/>
            </w:tcBorders>
            <w:vMerge w:val="continue"/>
          </w:tcPr>
          <w:p>
            <w:pPr>
              <w:spacing w:after="0"/>
              <w:rPr>
                <w:sz w:val="5"/>
                <w:szCs w:val="5"/>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upfront cost, with</w:t>
            </w:r>
          </w:p>
        </w:tc>
        <w:tc>
          <w:tcPr>
            <w:tcW w:w="1900" w:type="dxa"/>
            <w:vAlign w:val="bottom"/>
            <w:tcBorders>
              <w:right w:val="single" w:sz="8" w:color="auto"/>
            </w:tcBorders>
            <w:vMerge w:val="continue"/>
            <w:shd w:val="clear" w:color="auto" w:fill="AADEAD"/>
          </w:tcPr>
          <w:p>
            <w:pPr>
              <w:spacing w:after="0"/>
              <w:rPr>
                <w:sz w:val="5"/>
                <w:szCs w:val="5"/>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the balance sheet as we do</w:t>
            </w:r>
          </w:p>
        </w:tc>
        <w:tc>
          <w:tcPr>
            <w:tcW w:w="1900" w:type="dxa"/>
            <w:vAlign w:val="bottom"/>
            <w:tcBorders>
              <w:right w:val="single" w:sz="8" w:color="auto"/>
            </w:tcBorders>
            <w:vMerge w:val="restart"/>
            <w:shd w:val="clear" w:color="auto" w:fill="AADEAD"/>
          </w:tcPr>
          <w:p>
            <w:pPr>
              <w:spacing w:after="0"/>
              <w:rPr>
                <w:sz w:val="20"/>
                <w:szCs w:val="20"/>
                <w:color w:val="auto"/>
              </w:rPr>
            </w:pPr>
            <w:r>
              <w:rPr>
                <w:rFonts w:ascii="Arial" w:cs="Arial" w:eastAsia="Arial" w:hAnsi="Arial"/>
                <w:sz w:val="14"/>
                <w:szCs w:val="14"/>
                <w:color w:val="auto"/>
              </w:rPr>
              <w:t>payments flow through Net</w:t>
            </w:r>
          </w:p>
        </w:tc>
        <w:tc>
          <w:tcPr>
            <w:tcW w:w="1900" w:type="dxa"/>
            <w:vAlign w:val="bottom"/>
            <w:tcBorders>
              <w:right w:val="single" w:sz="8" w:color="auto"/>
            </w:tcBorders>
            <w:vMerge w:val="restart"/>
          </w:tcPr>
          <w:p>
            <w:pPr>
              <w:jc w:val="right"/>
              <w:ind w:right="749"/>
              <w:spacing w:after="0"/>
              <w:rPr>
                <w:sz w:val="20"/>
                <w:szCs w:val="20"/>
                <w:color w:val="auto"/>
              </w:rPr>
            </w:pPr>
            <w:r>
              <w:rPr>
                <w:rFonts w:ascii="Arial" w:cs="Arial" w:eastAsia="Arial" w:hAnsi="Arial"/>
                <w:sz w:val="14"/>
                <w:szCs w:val="14"/>
                <w:color w:val="auto"/>
                <w:w w:val="98"/>
              </w:rPr>
              <w:t>27% / 33% / 36%</w:t>
            </w:r>
          </w:p>
        </w:tc>
        <w:tc>
          <w:tcPr>
            <w:tcW w:w="0" w:type="dxa"/>
            <w:vAlign w:val="bottom"/>
          </w:tcPr>
          <w:p>
            <w:pPr>
              <w:spacing w:after="0"/>
              <w:rPr>
                <w:sz w:val="1"/>
                <w:szCs w:val="1"/>
                <w:color w:val="auto"/>
              </w:rPr>
            </w:pPr>
          </w:p>
        </w:tc>
      </w:tr>
      <w:tr>
        <w:trPr>
          <w:trHeight w:val="138"/>
        </w:trPr>
        <w:tc>
          <w:tcPr>
            <w:tcW w:w="1800" w:type="dxa"/>
            <w:vAlign w:val="bottom"/>
            <w:tcBorders>
              <w:left w:val="single" w:sz="8" w:color="auto"/>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shd w:val="clear" w:color="auto" w:fill="AADEAD"/>
          </w:tcPr>
          <w:p>
            <w:pPr>
              <w:spacing w:after="0" w:line="138" w:lineRule="exact"/>
              <w:rPr>
                <w:sz w:val="20"/>
                <w:szCs w:val="20"/>
                <w:color w:val="auto"/>
              </w:rPr>
            </w:pPr>
            <w:r>
              <w:rPr>
                <w:rFonts w:ascii="Arial" w:cs="Arial" w:eastAsia="Arial" w:hAnsi="Arial"/>
                <w:sz w:val="14"/>
                <w:szCs w:val="14"/>
                <w:color w:val="auto"/>
              </w:rPr>
              <w:t>incurred in the "Rental</w:t>
            </w:r>
          </w:p>
        </w:tc>
        <w:tc>
          <w:tcPr>
            <w:tcW w:w="19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shd w:val="clear" w:color="auto" w:fill="AADEAD"/>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00" w:type="dxa"/>
            <w:vAlign w:val="bottom"/>
            <w:tcBorders>
              <w:left w:val="single" w:sz="8" w:color="auto"/>
              <w:right w:val="single" w:sz="8" w:color="auto"/>
            </w:tcBorders>
          </w:tcPr>
          <w:p>
            <w:pPr>
              <w:spacing w:after="0"/>
              <w:rPr>
                <w:sz w:val="11"/>
                <w:szCs w:val="11"/>
                <w:color w:val="auto"/>
              </w:rPr>
            </w:pPr>
          </w:p>
        </w:tc>
        <w:tc>
          <w:tcPr>
            <w:tcW w:w="190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performance-based revenue</w:t>
            </w:r>
          </w:p>
        </w:tc>
        <w:tc>
          <w:tcPr>
            <w:tcW w:w="1900" w:type="dxa"/>
            <w:vAlign w:val="bottom"/>
            <w:tcBorders>
              <w:right w:val="single" w:sz="8" w:color="auto"/>
            </w:tcBorders>
            <w:shd w:val="clear" w:color="auto" w:fill="AADEAD"/>
          </w:tcPr>
          <w:p>
            <w:pPr>
              <w:spacing w:after="0" w:line="138" w:lineRule="exact"/>
              <w:rPr>
                <w:sz w:val="20"/>
                <w:szCs w:val="20"/>
                <w:color w:val="auto"/>
              </w:rPr>
            </w:pPr>
            <w:r>
              <w:rPr>
                <w:rFonts w:ascii="Arial" w:cs="Arial" w:eastAsia="Arial" w:hAnsi="Arial"/>
                <w:sz w:val="14"/>
                <w:szCs w:val="14"/>
                <w:color w:val="auto"/>
              </w:rPr>
              <w:t>Product Depreciation and</w:t>
            </w:r>
          </w:p>
        </w:tc>
        <w:tc>
          <w:tcPr>
            <w:tcW w:w="190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not own them</w:t>
            </w:r>
          </w:p>
        </w:tc>
        <w:tc>
          <w:tcPr>
            <w:tcW w:w="1900" w:type="dxa"/>
            <w:vAlign w:val="bottom"/>
            <w:tcBorders>
              <w:right w:val="single" w:sz="8" w:color="auto"/>
            </w:tcBorders>
            <w:shd w:val="clear" w:color="auto" w:fill="AADEAD"/>
          </w:tcPr>
          <w:p>
            <w:pPr>
              <w:spacing w:after="0" w:line="138" w:lineRule="exact"/>
              <w:rPr>
                <w:sz w:val="20"/>
                <w:szCs w:val="20"/>
                <w:color w:val="auto"/>
              </w:rPr>
            </w:pPr>
            <w:r>
              <w:rPr>
                <w:rFonts w:ascii="Arial" w:cs="Arial" w:eastAsia="Arial" w:hAnsi="Arial"/>
                <w:sz w:val="14"/>
                <w:szCs w:val="14"/>
                <w:color w:val="auto"/>
              </w:rPr>
              <w:t>Income as incurred</w:t>
            </w:r>
          </w:p>
        </w:tc>
        <w:tc>
          <w:tcPr>
            <w:tcW w:w="1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auto"/>
              <w:right w:val="single" w:sz="8" w:color="auto"/>
            </w:tcBorders>
          </w:tcPr>
          <w:p>
            <w:pPr>
              <w:spacing w:after="0"/>
              <w:rPr>
                <w:sz w:val="12"/>
                <w:szCs w:val="12"/>
                <w:color w:val="auto"/>
              </w:rPr>
            </w:pPr>
          </w:p>
        </w:tc>
        <w:tc>
          <w:tcPr>
            <w:tcW w:w="190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share payments to our brand</w:t>
            </w:r>
          </w:p>
        </w:tc>
        <w:tc>
          <w:tcPr>
            <w:tcW w:w="1900" w:type="dxa"/>
            <w:vAlign w:val="bottom"/>
            <w:tcBorders>
              <w:right w:val="single" w:sz="8" w:color="auto"/>
            </w:tcBorders>
            <w:shd w:val="clear" w:color="auto" w:fill="AADEAD"/>
          </w:tcPr>
          <w:p>
            <w:pPr>
              <w:spacing w:after="0" w:line="149" w:lineRule="exact"/>
              <w:rPr>
                <w:sz w:val="20"/>
                <w:szCs w:val="20"/>
                <w:color w:val="auto"/>
              </w:rPr>
            </w:pPr>
            <w:r>
              <w:rPr>
                <w:rFonts w:ascii="Arial" w:cs="Arial" w:eastAsia="Arial" w:hAnsi="Arial"/>
                <w:sz w:val="14"/>
                <w:szCs w:val="14"/>
                <w:color w:val="auto"/>
              </w:rPr>
              <w:t>Revenue Share" line</w:t>
            </w: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AADEAD"/>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00" w:type="dxa"/>
            <w:vAlign w:val="bottom"/>
            <w:tcBorders>
              <w:left w:val="single" w:sz="8" w:color="auto"/>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line="117" w:lineRule="exact"/>
              <w:rPr>
                <w:sz w:val="20"/>
                <w:szCs w:val="20"/>
                <w:color w:val="auto"/>
              </w:rPr>
            </w:pPr>
            <w:r>
              <w:rPr>
                <w:rFonts w:ascii="Arial" w:cs="Arial" w:eastAsia="Arial" w:hAnsi="Arial"/>
                <w:sz w:val="13"/>
                <w:szCs w:val="13"/>
                <w:color w:val="auto"/>
              </w:rPr>
              <w:t>partners over time</w:t>
            </w:r>
          </w:p>
        </w:tc>
        <w:tc>
          <w:tcPr>
            <w:tcW w:w="1900" w:type="dxa"/>
            <w:vAlign w:val="bottom"/>
            <w:tcBorders>
              <w:bottom w:val="single" w:sz="8" w:color="auto"/>
              <w:right w:val="single" w:sz="8" w:color="auto"/>
            </w:tcBorders>
            <w:shd w:val="clear" w:color="auto" w:fill="AADEAD"/>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shd w:val="clear" w:color="auto" w:fill="AADEAD"/>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3"/>
        </w:trPr>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00" w:type="dxa"/>
            <w:vAlign w:val="bottom"/>
          </w:tcPr>
          <w:p>
            <w:pPr>
              <w:jc w:val="right"/>
              <w:ind w:right="1710"/>
              <w:spacing w:after="0"/>
              <w:rPr>
                <w:sz w:val="20"/>
                <w:szCs w:val="20"/>
                <w:color w:val="auto"/>
              </w:rPr>
            </w:pPr>
            <w:r>
              <w:rPr>
                <w:rFonts w:ascii="Arial" w:cs="Arial" w:eastAsia="Arial" w:hAnsi="Arial"/>
                <w:sz w:val="12"/>
                <w:szCs w:val="12"/>
                <w:color w:val="auto"/>
                <w:w w:val="74"/>
              </w:rPr>
              <w:t>67</w:t>
            </w: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8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-912495</wp:posOffset>
            </wp:positionV>
            <wp:extent cx="102870" cy="78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7874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378460</wp:posOffset>
            </wp:positionV>
            <wp:extent cx="7155180" cy="22231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5180" cy="222313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78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shd w:val="clear" w:color="auto" w:fill="AADEAD"/>
          </w:tcPr>
          <w:p>
            <w:pPr>
              <w:spacing w:after="0" w:line="149" w:lineRule="exact"/>
              <w:rPr>
                <w:sz w:val="20"/>
                <w:szCs w:val="20"/>
                <w:color w:val="auto"/>
              </w:rPr>
            </w:pPr>
            <w:r>
              <w:rPr>
                <w:rFonts w:ascii="Arial" w:cs="Arial" w:eastAsia="Arial" w:hAnsi="Arial"/>
                <w:sz w:val="14"/>
                <w:szCs w:val="14"/>
                <w:color w:val="auto"/>
              </w:rPr>
              <w:t>Upfront and performance-</w:t>
            </w:r>
          </w:p>
        </w:tc>
        <w:tc>
          <w:tcPr>
            <w:tcW w:w="190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shd w:val="clear" w:color="auto" w:fill="AADEAD"/>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AADEAD"/>
          </w:tcPr>
          <w:p>
            <w:pPr>
              <w:spacing w:after="0" w:line="145" w:lineRule="exact"/>
              <w:rPr>
                <w:sz w:val="20"/>
                <w:szCs w:val="20"/>
                <w:color w:val="auto"/>
              </w:rPr>
            </w:pPr>
            <w:r>
              <w:rPr>
                <w:rFonts w:ascii="Arial" w:cs="Arial" w:eastAsia="Arial" w:hAnsi="Arial"/>
                <w:sz w:val="14"/>
                <w:szCs w:val="14"/>
                <w:color w:val="auto"/>
              </w:rPr>
              <w:t>based revenue share</w:t>
            </w: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AADEAD"/>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78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Items are designed using our</w:t>
            </w:r>
          </w:p>
        </w:tc>
        <w:tc>
          <w:tcPr>
            <w:tcW w:w="1900" w:type="dxa"/>
            <w:vAlign w:val="bottom"/>
            <w:tcBorders>
              <w:right w:val="single" w:sz="8" w:color="auto"/>
            </w:tcBorders>
            <w:shd w:val="clear" w:color="auto" w:fill="AADEAD"/>
          </w:tcPr>
          <w:p>
            <w:pPr>
              <w:spacing w:after="0"/>
              <w:rPr>
                <w:sz w:val="20"/>
                <w:szCs w:val="20"/>
                <w:color w:val="auto"/>
              </w:rPr>
            </w:pPr>
            <w:r>
              <w:rPr>
                <w:rFonts w:ascii="Arial" w:cs="Arial" w:eastAsia="Arial" w:hAnsi="Arial"/>
                <w:sz w:val="14"/>
                <w:szCs w:val="14"/>
                <w:color w:val="auto"/>
              </w:rPr>
              <w:t>payments are expensed as</w:t>
            </w: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shd w:val="clear" w:color="auto" w:fill="AADEAD"/>
          </w:tcPr>
          <w:p>
            <w:pPr>
              <w:spacing w:after="0"/>
              <w:rPr>
                <w:sz w:val="20"/>
                <w:szCs w:val="20"/>
                <w:color w:val="auto"/>
              </w:rPr>
            </w:pPr>
            <w:r>
              <w:rPr>
                <w:rFonts w:ascii="Arial" w:cs="Arial" w:eastAsia="Arial" w:hAnsi="Arial"/>
                <w:sz w:val="14"/>
                <w:szCs w:val="14"/>
                <w:color w:val="auto"/>
              </w:rPr>
              <w:t>Upfront and revenue share</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7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data in collaboration with our</w:t>
            </w:r>
          </w:p>
        </w:tc>
        <w:tc>
          <w:tcPr>
            <w:tcW w:w="1900" w:type="dxa"/>
            <w:vAlign w:val="bottom"/>
            <w:tcBorders>
              <w:right w:val="single" w:sz="8" w:color="auto"/>
            </w:tcBorders>
            <w:shd w:val="clear" w:color="auto" w:fill="AADEAD"/>
          </w:tcPr>
          <w:p>
            <w:pPr>
              <w:spacing w:after="0" w:line="138" w:lineRule="exact"/>
              <w:rPr>
                <w:sz w:val="20"/>
                <w:szCs w:val="20"/>
                <w:color w:val="auto"/>
              </w:rPr>
            </w:pPr>
            <w:r>
              <w:rPr>
                <w:rFonts w:ascii="Arial" w:cs="Arial" w:eastAsia="Arial" w:hAnsi="Arial"/>
                <w:sz w:val="14"/>
                <w:szCs w:val="14"/>
                <w:color w:val="auto"/>
              </w:rPr>
              <w:t>incurred in the "Rental</w:t>
            </w: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shd w:val="clear" w:color="auto" w:fill="AADEAD"/>
          </w:tcPr>
          <w:p>
            <w:pPr>
              <w:spacing w:after="0" w:line="138" w:lineRule="exact"/>
              <w:rPr>
                <w:sz w:val="20"/>
                <w:szCs w:val="20"/>
                <w:color w:val="auto"/>
              </w:rPr>
            </w:pPr>
            <w:r>
              <w:rPr>
                <w:rFonts w:ascii="Arial" w:cs="Arial" w:eastAsia="Arial" w:hAnsi="Arial"/>
                <w:sz w:val="14"/>
                <w:szCs w:val="14"/>
                <w:color w:val="auto"/>
              </w:rPr>
              <w:t>payments flow through Net</w:t>
            </w: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brand partners</w:t>
            </w:r>
          </w:p>
        </w:tc>
        <w:tc>
          <w:tcPr>
            <w:tcW w:w="1900" w:type="dxa"/>
            <w:vAlign w:val="bottom"/>
            <w:tcBorders>
              <w:right w:val="single" w:sz="8" w:color="auto"/>
            </w:tcBorders>
            <w:shd w:val="clear" w:color="auto" w:fill="AADEAD"/>
          </w:tcPr>
          <w:p>
            <w:pPr>
              <w:spacing w:after="0" w:line="81" w:lineRule="exact"/>
              <w:rPr>
                <w:sz w:val="20"/>
                <w:szCs w:val="20"/>
                <w:color w:val="auto"/>
              </w:rPr>
            </w:pPr>
            <w:r>
              <w:rPr>
                <w:rFonts w:ascii="Arial" w:cs="Arial" w:eastAsia="Arial" w:hAnsi="Arial"/>
                <w:sz w:val="9"/>
                <w:szCs w:val="9"/>
                <w:color w:val="auto"/>
              </w:rPr>
              <w:t>Product Depreciation and</w:t>
            </w:r>
          </w:p>
        </w:tc>
        <w:tc>
          <w:tcPr>
            <w:tcW w:w="19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shd w:val="clear" w:color="auto" w:fill="AADEAD"/>
          </w:tcPr>
          <w:p>
            <w:pPr>
              <w:spacing w:after="0"/>
              <w:rPr>
                <w:sz w:val="20"/>
                <w:szCs w:val="20"/>
                <w:color w:val="auto"/>
              </w:rPr>
            </w:pPr>
            <w:r>
              <w:rPr>
                <w:rFonts w:ascii="Arial" w:cs="Arial" w:eastAsia="Arial" w:hAnsi="Arial"/>
                <w:sz w:val="14"/>
                <w:szCs w:val="14"/>
                <w:color w:val="auto"/>
              </w:rPr>
              <w:t>Income as incurred</w:t>
            </w: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78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restart"/>
            <w:shd w:val="clear" w:color="auto" w:fill="AADEAD"/>
          </w:tcPr>
          <w:p>
            <w:pPr>
              <w:spacing w:after="0"/>
              <w:rPr>
                <w:sz w:val="20"/>
                <w:szCs w:val="20"/>
                <w:color w:val="auto"/>
              </w:rPr>
            </w:pPr>
            <w:r>
              <w:rPr>
                <w:rFonts w:ascii="Arial" w:cs="Arial" w:eastAsia="Arial" w:hAnsi="Arial"/>
                <w:sz w:val="14"/>
                <w:szCs w:val="14"/>
                <w:color w:val="auto"/>
              </w:rPr>
              <w:t>Revenue Share" line</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Manufacturing cost is</w:t>
            </w:r>
          </w:p>
        </w:tc>
        <w:tc>
          <w:tcPr>
            <w:tcW w:w="1900" w:type="dxa"/>
            <w:vAlign w:val="bottom"/>
            <w:tcBorders>
              <w:right w:val="single" w:sz="8" w:color="auto"/>
            </w:tcBorders>
            <w:vMerge w:val="continue"/>
            <w:shd w:val="clear" w:color="auto" w:fill="AADEAD"/>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0F7F40"/>
              </w:rPr>
              <w:t>EXCLUSIVE DESIGNS</w:t>
            </w:r>
          </w:p>
        </w:tc>
        <w:tc>
          <w:tcPr>
            <w:tcW w:w="19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continue"/>
            <w:shd w:val="clear" w:color="auto" w:fill="AADEAD"/>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shd w:val="clear" w:color="auto" w:fill="AADEAD"/>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78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tcPr>
          <w:p>
            <w:pPr>
              <w:spacing w:after="0" w:line="148" w:lineRule="exact"/>
              <w:rPr>
                <w:sz w:val="20"/>
                <w:szCs w:val="20"/>
                <w:color w:val="auto"/>
              </w:rPr>
            </w:pPr>
            <w:r>
              <w:rPr>
                <w:rFonts w:ascii="Arial" w:cs="Arial" w:eastAsia="Arial" w:hAnsi="Arial"/>
                <w:sz w:val="14"/>
                <w:szCs w:val="14"/>
                <w:color w:val="auto"/>
              </w:rPr>
              <w:t>We manufacture through</w:t>
            </w:r>
          </w:p>
        </w:tc>
        <w:tc>
          <w:tcPr>
            <w:tcW w:w="1900" w:type="dxa"/>
            <w:vAlign w:val="bottom"/>
            <w:tcBorders>
              <w:right w:val="single" w:sz="8" w:color="auto"/>
            </w:tcBorders>
            <w:vMerge w:val="restart"/>
            <w:shd w:val="clear" w:color="auto" w:fill="AADEAD"/>
          </w:tcPr>
          <w:p>
            <w:pPr>
              <w:spacing w:after="0"/>
              <w:rPr>
                <w:sz w:val="20"/>
                <w:szCs w:val="20"/>
                <w:color w:val="auto"/>
              </w:rPr>
            </w:pPr>
            <w:r>
              <w:rPr>
                <w:rFonts w:ascii="Arial" w:cs="Arial" w:eastAsia="Arial" w:hAnsi="Arial"/>
                <w:sz w:val="14"/>
                <w:szCs w:val="14"/>
                <w:color w:val="auto"/>
              </w:rPr>
              <w:t>Manufacturing cost is</w:t>
            </w:r>
          </w:p>
        </w:tc>
        <w:tc>
          <w:tcPr>
            <w:tcW w:w="1900" w:type="dxa"/>
            <w:vAlign w:val="bottom"/>
            <w:tcBorders>
              <w:right w:val="single" w:sz="8" w:color="auto"/>
            </w:tcBorders>
          </w:tcPr>
          <w:p>
            <w:pPr>
              <w:spacing w:after="0" w:line="148" w:lineRule="exact"/>
              <w:rPr>
                <w:sz w:val="20"/>
                <w:szCs w:val="20"/>
                <w:color w:val="auto"/>
              </w:rPr>
            </w:pPr>
            <w:r>
              <w:rPr>
                <w:rFonts w:ascii="Arial" w:cs="Arial" w:eastAsia="Arial" w:hAnsi="Arial"/>
                <w:sz w:val="14"/>
                <w:szCs w:val="14"/>
                <w:color w:val="auto"/>
              </w:rPr>
              <w:t>capitalized as "Rental</w:t>
            </w:r>
          </w:p>
        </w:tc>
        <w:tc>
          <w:tcPr>
            <w:tcW w:w="1900" w:type="dxa"/>
            <w:vAlign w:val="bottom"/>
            <w:tcBorders>
              <w:right w:val="single" w:sz="8" w:color="auto"/>
            </w:tcBorders>
            <w:shd w:val="clear" w:color="auto" w:fill="AADEAD"/>
          </w:tcPr>
          <w:p>
            <w:pPr>
              <w:spacing w:after="0" w:line="148" w:lineRule="exact"/>
              <w:rPr>
                <w:sz w:val="20"/>
                <w:szCs w:val="20"/>
                <w:color w:val="auto"/>
              </w:rPr>
            </w:pPr>
            <w:r>
              <w:rPr>
                <w:rFonts w:ascii="Arial" w:cs="Arial" w:eastAsia="Arial" w:hAnsi="Arial"/>
                <w:sz w:val="14"/>
                <w:szCs w:val="14"/>
                <w:color w:val="auto"/>
              </w:rPr>
              <w:t>Manufacturing cost is</w:t>
            </w:r>
          </w:p>
        </w:tc>
        <w:tc>
          <w:tcPr>
            <w:tcW w:w="1880" w:type="dxa"/>
            <w:vAlign w:val="bottom"/>
          </w:tcPr>
          <w:p>
            <w:pPr>
              <w:jc w:val="right"/>
              <w:ind w:right="729"/>
              <w:spacing w:after="0" w:line="148" w:lineRule="exact"/>
              <w:rPr>
                <w:sz w:val="20"/>
                <w:szCs w:val="20"/>
                <w:color w:val="auto"/>
              </w:rPr>
            </w:pPr>
            <w:r>
              <w:rPr>
                <w:rFonts w:ascii="Arial" w:cs="Arial" w:eastAsia="Arial" w:hAnsi="Arial"/>
                <w:sz w:val="14"/>
                <w:szCs w:val="14"/>
                <w:color w:val="auto"/>
                <w:w w:val="98"/>
              </w:rPr>
              <w:t>31% / 22% / 18%</w:t>
            </w:r>
          </w:p>
        </w:tc>
        <w:tc>
          <w:tcPr>
            <w:tcW w:w="0" w:type="dxa"/>
            <w:vAlign w:val="bottom"/>
          </w:tcPr>
          <w:p>
            <w:pPr>
              <w:spacing w:after="0"/>
              <w:rPr>
                <w:sz w:val="1"/>
                <w:szCs w:val="1"/>
                <w:color w:val="auto"/>
              </w:rPr>
            </w:pPr>
          </w:p>
        </w:tc>
      </w:tr>
      <w:tr>
        <w:trPr>
          <w:trHeight w:val="74"/>
        </w:trPr>
        <w:tc>
          <w:tcPr>
            <w:tcW w:w="1780" w:type="dxa"/>
            <w:vAlign w:val="bottom"/>
            <w:tcBorders>
              <w:right w:val="single" w:sz="8" w:color="auto"/>
            </w:tcBorders>
          </w:tcPr>
          <w:p>
            <w:pPr>
              <w:ind w:left="20"/>
              <w:spacing w:after="0" w:line="74" w:lineRule="exact"/>
              <w:rPr>
                <w:sz w:val="20"/>
                <w:szCs w:val="20"/>
                <w:color w:val="auto"/>
              </w:rPr>
            </w:pPr>
            <w:r>
              <w:rPr>
                <w:rFonts w:ascii="MS PGothic" w:cs="MS PGothic" w:eastAsia="MS PGothic" w:hAnsi="MS PGothic"/>
                <w:sz w:val="8"/>
                <w:szCs w:val="8"/>
                <w:color w:val="000000"/>
              </w:rPr>
              <w:t>⁽</w:t>
            </w:r>
            <w:r>
              <w:rPr>
                <w:rFonts w:ascii="Arial" w:cs="Arial" w:eastAsia="Arial" w:hAnsi="Arial"/>
                <w:sz w:val="8"/>
                <w:szCs w:val="8"/>
                <w:b w:val="1"/>
                <w:bCs w:val="1"/>
                <w:color w:val="0F7F40"/>
              </w:rPr>
              <w:t>²</w:t>
            </w:r>
            <w:r>
              <w:rPr>
                <w:rFonts w:ascii="MS PGothic" w:cs="MS PGothic" w:eastAsia="MS PGothic" w:hAnsi="MS PGothic"/>
                <w:sz w:val="8"/>
                <w:szCs w:val="8"/>
                <w:color w:val="000000"/>
              </w:rPr>
              <w:t>⁾⁽</w:t>
            </w:r>
            <w:r>
              <w:rPr>
                <w:rFonts w:ascii="Arial" w:cs="Arial" w:eastAsia="Arial" w:hAnsi="Arial"/>
                <w:sz w:val="8"/>
                <w:szCs w:val="8"/>
                <w:b w:val="1"/>
                <w:bCs w:val="1"/>
                <w:color w:val="0F7F40"/>
              </w:rPr>
              <w:t>³</w:t>
            </w:r>
            <w:r>
              <w:rPr>
                <w:rFonts w:ascii="MS PGothic" w:cs="MS PGothic" w:eastAsia="MS PGothic" w:hAnsi="MS PGothic"/>
                <w:sz w:val="8"/>
                <w:szCs w:val="8"/>
                <w:color w:val="000000"/>
              </w:rPr>
              <w:t>⁾</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third-party partners and pay</w:t>
            </w: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Products" in long-term assets</w:t>
            </w:r>
          </w:p>
        </w:tc>
        <w:tc>
          <w:tcPr>
            <w:tcW w:w="1900" w:type="dxa"/>
            <w:vAlign w:val="bottom"/>
            <w:tcBorders>
              <w:right w:val="single" w:sz="8" w:color="auto"/>
            </w:tcBorders>
            <w:vMerge w:val="restart"/>
            <w:shd w:val="clear" w:color="auto" w:fill="AADEAD"/>
          </w:tcPr>
          <w:p>
            <w:pPr>
              <w:spacing w:after="0"/>
              <w:rPr>
                <w:sz w:val="20"/>
                <w:szCs w:val="20"/>
                <w:color w:val="auto"/>
              </w:rPr>
            </w:pPr>
            <w:r>
              <w:rPr>
                <w:rFonts w:ascii="Arial" w:cs="Arial" w:eastAsia="Arial" w:hAnsi="Arial"/>
                <w:sz w:val="14"/>
                <w:szCs w:val="14"/>
                <w:color w:val="auto"/>
              </w:rPr>
              <w:t>recognized as a capital</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7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shd w:val="clear" w:color="auto" w:fill="AADEAD"/>
          </w:tcPr>
          <w:p>
            <w:pPr>
              <w:spacing w:after="0" w:line="138" w:lineRule="exact"/>
              <w:rPr>
                <w:sz w:val="20"/>
                <w:szCs w:val="20"/>
                <w:color w:val="auto"/>
              </w:rPr>
            </w:pPr>
            <w:r>
              <w:rPr>
                <w:rFonts w:ascii="Arial" w:cs="Arial" w:eastAsia="Arial" w:hAnsi="Arial"/>
                <w:sz w:val="14"/>
                <w:szCs w:val="14"/>
                <w:color w:val="auto"/>
              </w:rPr>
              <w:t>recognized through straight-</w:t>
            </w:r>
          </w:p>
        </w:tc>
        <w:tc>
          <w:tcPr>
            <w:tcW w:w="19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shd w:val="clear" w:color="auto" w:fill="AADEAD"/>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the brand partner an upfront</w:t>
            </w:r>
          </w:p>
        </w:tc>
        <w:tc>
          <w:tcPr>
            <w:tcW w:w="1900" w:type="dxa"/>
            <w:vAlign w:val="bottom"/>
            <w:tcBorders>
              <w:right w:val="single" w:sz="8" w:color="auto"/>
            </w:tcBorders>
            <w:shd w:val="clear" w:color="auto" w:fill="AADEAD"/>
          </w:tcPr>
          <w:p>
            <w:pPr>
              <w:spacing w:after="0" w:line="149" w:lineRule="exact"/>
              <w:rPr>
                <w:sz w:val="20"/>
                <w:szCs w:val="20"/>
                <w:color w:val="auto"/>
              </w:rPr>
            </w:pPr>
            <w:r>
              <w:rPr>
                <w:rFonts w:ascii="Arial" w:cs="Arial" w:eastAsia="Arial" w:hAnsi="Arial"/>
                <w:sz w:val="14"/>
                <w:szCs w:val="14"/>
                <w:color w:val="auto"/>
              </w:rPr>
              <w:t>line depreciation, with a</w:t>
            </w: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AADEAD"/>
          </w:tcPr>
          <w:p>
            <w:pPr>
              <w:spacing w:after="0" w:line="149" w:lineRule="exact"/>
              <w:rPr>
                <w:sz w:val="20"/>
                <w:szCs w:val="20"/>
                <w:color w:val="auto"/>
              </w:rPr>
            </w:pPr>
            <w:r>
              <w:rPr>
                <w:rFonts w:ascii="Arial" w:cs="Arial" w:eastAsia="Arial" w:hAnsi="Arial"/>
                <w:sz w:val="14"/>
                <w:szCs w:val="14"/>
                <w:color w:val="auto"/>
              </w:rPr>
              <w:t>expenditure ("Purchases of</w:t>
            </w: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7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tcPr>
          <w:p>
            <w:pPr>
              <w:spacing w:after="0" w:line="64" w:lineRule="exact"/>
              <w:rPr>
                <w:sz w:val="20"/>
                <w:szCs w:val="20"/>
                <w:color w:val="auto"/>
              </w:rPr>
            </w:pPr>
            <w:r>
              <w:rPr>
                <w:rFonts w:ascii="Arial" w:cs="Arial" w:eastAsia="Arial" w:hAnsi="Arial"/>
                <w:sz w:val="7"/>
                <w:szCs w:val="7"/>
                <w:color w:val="auto"/>
              </w:rPr>
              <w:t>fee and minimal revenue</w:t>
            </w:r>
          </w:p>
        </w:tc>
        <w:tc>
          <w:tcPr>
            <w:tcW w:w="1900" w:type="dxa"/>
            <w:vAlign w:val="bottom"/>
            <w:tcBorders>
              <w:right w:val="single" w:sz="8" w:color="auto"/>
            </w:tcBorders>
            <w:vMerge w:val="restart"/>
            <w:shd w:val="clear" w:color="auto" w:fill="AADEAD"/>
          </w:tcPr>
          <w:p>
            <w:pPr>
              <w:spacing w:after="0" w:line="138" w:lineRule="exact"/>
              <w:rPr>
                <w:sz w:val="20"/>
                <w:szCs w:val="20"/>
                <w:color w:val="auto"/>
              </w:rPr>
            </w:pPr>
            <w:r>
              <w:rPr>
                <w:rFonts w:ascii="Arial" w:cs="Arial" w:eastAsia="Arial" w:hAnsi="Arial"/>
                <w:sz w:val="14"/>
                <w:szCs w:val="14"/>
                <w:color w:val="auto"/>
              </w:rPr>
              <w:t>three-year useful life and</w:t>
            </w:r>
          </w:p>
        </w:tc>
        <w:tc>
          <w:tcPr>
            <w:tcW w:w="190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shd w:val="clear" w:color="auto" w:fill="AADEAD"/>
          </w:tcPr>
          <w:p>
            <w:pPr>
              <w:spacing w:after="0" w:line="64" w:lineRule="exact"/>
              <w:rPr>
                <w:sz w:val="20"/>
                <w:szCs w:val="20"/>
                <w:color w:val="auto"/>
              </w:rPr>
            </w:pPr>
            <w:r>
              <w:rPr>
                <w:rFonts w:ascii="Arial" w:cs="Arial" w:eastAsia="Arial" w:hAnsi="Arial"/>
                <w:sz w:val="7"/>
                <w:szCs w:val="7"/>
                <w:color w:val="auto"/>
              </w:rPr>
              <w:t>Rental Product") at time of</w:t>
            </w:r>
          </w:p>
        </w:tc>
        <w:tc>
          <w:tcPr>
            <w:tcW w:w="1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7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share payments</w:t>
            </w: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shd w:val="clear" w:color="auto" w:fill="AADEAD"/>
          </w:tcPr>
          <w:p>
            <w:pPr>
              <w:spacing w:after="0"/>
              <w:rPr>
                <w:sz w:val="20"/>
                <w:szCs w:val="20"/>
                <w:color w:val="auto"/>
              </w:rPr>
            </w:pPr>
            <w:r>
              <w:rPr>
                <w:rFonts w:ascii="Arial" w:cs="Arial" w:eastAsia="Arial" w:hAnsi="Arial"/>
                <w:sz w:val="14"/>
                <w:szCs w:val="14"/>
                <w:color w:val="auto"/>
              </w:rPr>
              <w:t>acquisition</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178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restart"/>
            <w:shd w:val="clear" w:color="auto" w:fill="AADEAD"/>
          </w:tcPr>
          <w:p>
            <w:pPr>
              <w:spacing w:after="0" w:line="145" w:lineRule="exact"/>
              <w:rPr>
                <w:sz w:val="20"/>
                <w:szCs w:val="20"/>
                <w:color w:val="auto"/>
              </w:rPr>
            </w:pPr>
            <w:r>
              <w:rPr>
                <w:rFonts w:ascii="Arial" w:cs="Arial" w:eastAsia="Arial" w:hAnsi="Arial"/>
                <w:sz w:val="14"/>
                <w:szCs w:val="14"/>
                <w:color w:val="auto"/>
              </w:rPr>
              <w:t>20% salvage value, in the</w:t>
            </w:r>
          </w:p>
        </w:tc>
        <w:tc>
          <w:tcPr>
            <w:tcW w:w="190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shd w:val="clear" w:color="auto" w:fill="AADEAD"/>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78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vMerge w:val="continue"/>
            <w:shd w:val="clear" w:color="auto" w:fill="AADEAD"/>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shd w:val="clear" w:color="auto" w:fill="AADEAD"/>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AADEAD"/>
          </w:tcPr>
          <w:p>
            <w:pPr>
              <w:spacing w:after="0" w:line="142" w:lineRule="exact"/>
              <w:rPr>
                <w:sz w:val="20"/>
                <w:szCs w:val="20"/>
                <w:color w:val="auto"/>
              </w:rPr>
            </w:pPr>
            <w:r>
              <w:rPr>
                <w:rFonts w:ascii="Arial" w:cs="Arial" w:eastAsia="Arial" w:hAnsi="Arial"/>
                <w:sz w:val="14"/>
                <w:szCs w:val="14"/>
                <w:color w:val="auto"/>
              </w:rPr>
              <w:t>"Rental Product Depreciation</w:t>
            </w: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AADEAD"/>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8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shd w:val="clear" w:color="auto" w:fill="AADEAD"/>
          </w:tcPr>
          <w:p>
            <w:pPr>
              <w:spacing w:after="0" w:line="161" w:lineRule="exact"/>
              <w:rPr>
                <w:sz w:val="20"/>
                <w:szCs w:val="20"/>
                <w:color w:val="auto"/>
              </w:rPr>
            </w:pPr>
            <w:r>
              <w:rPr>
                <w:rFonts w:ascii="Arial" w:cs="Arial" w:eastAsia="Arial" w:hAnsi="Arial"/>
                <w:sz w:val="14"/>
                <w:szCs w:val="14"/>
                <w:color w:val="auto"/>
              </w:rPr>
              <w:t xml:space="preserve">and Revenue Share" line </w:t>
            </w:r>
            <w:r>
              <w:rPr>
                <w:rFonts w:ascii="MS PGothic" w:cs="MS PGothic" w:eastAsia="MS PGothic" w:hAnsi="MS PGothic"/>
                <w:sz w:val="14"/>
                <w:szCs w:val="14"/>
                <w:color w:val="auto"/>
              </w:rPr>
              <w:t>⁽</w:t>
            </w:r>
            <w:r>
              <w:rPr>
                <w:rFonts w:ascii="Arial" w:cs="Arial" w:eastAsia="Arial" w:hAnsi="Arial"/>
                <w:sz w:val="14"/>
                <w:szCs w:val="14"/>
                <w:color w:val="auto"/>
              </w:rPr>
              <w:t>¹</w:t>
            </w:r>
            <w:r>
              <w:rPr>
                <w:rFonts w:ascii="MS PGothic" w:cs="MS PGothic" w:eastAsia="MS PGothic" w:hAnsi="MS PGothic"/>
                <w:sz w:val="14"/>
                <w:szCs w:val="14"/>
                <w:color w:val="auto"/>
              </w:rPr>
              <w:t>⁾</w:t>
            </w:r>
          </w:p>
        </w:tc>
        <w:tc>
          <w:tcPr>
            <w:tcW w:w="190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shd w:val="clear" w:color="auto" w:fill="AADEAD"/>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4"/>
          <w:szCs w:val="14"/>
          <w:color w:val="auto"/>
        </w:rPr>
        <w:t>For additional details, refer to the section titled "Business - Our Unique Brand Partner Approach."</w:t>
      </w:r>
    </w:p>
    <w:p>
      <w:pPr>
        <w:spacing w:after="0" w:line="21" w:lineRule="exact"/>
        <w:rPr>
          <w:sz w:val="20"/>
          <w:szCs w:val="20"/>
          <w:color w:val="auto"/>
        </w:rPr>
      </w:pPr>
    </w:p>
    <w:p>
      <w:pPr>
        <w:ind w:left="40" w:right="40"/>
        <w:spacing w:after="0" w:line="165"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¹</w:t>
      </w:r>
      <w:r>
        <w:rPr>
          <w:rFonts w:ascii="MS PGothic" w:cs="MS PGothic" w:eastAsia="MS PGothic" w:hAnsi="MS PGothic"/>
          <w:sz w:val="14"/>
          <w:szCs w:val="14"/>
          <w:color w:val="auto"/>
        </w:rPr>
        <w:t>⁾</w:t>
      </w:r>
      <w:r>
        <w:rPr>
          <w:rFonts w:ascii="Arial" w:cs="Arial" w:eastAsia="Arial" w:hAnsi="Arial"/>
          <w:sz w:val="14"/>
          <w:szCs w:val="14"/>
          <w:color w:val="auto"/>
        </w:rPr>
        <w:t xml:space="preserve"> The cost of accessory items, which made up less than 10% of the gross book value of rental product as of January 31, 2023, is recognized through straight-line depreciation with two-year useful life and 30% salvage value.</w:t>
      </w:r>
    </w:p>
    <w:p>
      <w:pPr>
        <w:ind w:left="40" w:right="40"/>
        <w:spacing w:after="0" w:line="15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²</w:t>
      </w:r>
      <w:r>
        <w:rPr>
          <w:rFonts w:ascii="MS PGothic" w:cs="MS PGothic" w:eastAsia="MS PGothic" w:hAnsi="MS PGothic"/>
          <w:sz w:val="14"/>
          <w:szCs w:val="14"/>
          <w:color w:val="auto"/>
        </w:rPr>
        <w:t>⁾</w:t>
      </w:r>
      <w:r>
        <w:rPr>
          <w:rFonts w:ascii="Arial" w:cs="Arial" w:eastAsia="Arial" w:hAnsi="Arial"/>
          <w:sz w:val="14"/>
          <w:szCs w:val="14"/>
          <w:color w:val="auto"/>
        </w:rPr>
        <w:t xml:space="preserve"> For both Share by RTR and Exclusive Designs, the Company shares a percentage of revenue less a logistics fee with the brand. This revenue includes (i) revenue attributable to each item in connection with one-time reserve rentals; (ii) revenue attributable to each item from Subscription (this is based on the number of days at home during a subscription</w:t>
      </w:r>
    </w:p>
    <w:p>
      <w:pPr>
        <w:spacing w:after="0" w:line="1" w:lineRule="exact"/>
        <w:rPr>
          <w:sz w:val="20"/>
          <w:szCs w:val="20"/>
          <w:color w:val="auto"/>
        </w:rPr>
      </w:pPr>
    </w:p>
    <w:p>
      <w:pPr>
        <w:ind w:left="40" w:right="160"/>
        <w:spacing w:after="0" w:line="231" w:lineRule="auto"/>
        <w:rPr>
          <w:sz w:val="20"/>
          <w:szCs w:val="20"/>
          <w:color w:val="auto"/>
        </w:rPr>
      </w:pPr>
      <w:r>
        <w:rPr>
          <w:rFonts w:ascii="Arial" w:cs="Arial" w:eastAsia="Arial" w:hAnsi="Arial"/>
          <w:sz w:val="14"/>
          <w:szCs w:val="14"/>
          <w:color w:val="auto"/>
        </w:rPr>
        <w:t>period); and (iii) revenue attributable to each item in connection with Resale of such items, less any liquidation costs. Both the percentage of revenue, and the logistics fees, can vary depending on the brand partner. Most Share by RTR items earn revenue until a cap has been reached, at which point, title generally passes from the brand to the Company.</w:t>
      </w:r>
    </w:p>
    <w:p>
      <w:pPr>
        <w:ind w:left="40" w:right="140"/>
        <w:spacing w:after="0" w:line="159"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³</w:t>
      </w:r>
      <w:r>
        <w:rPr>
          <w:rFonts w:ascii="MS PGothic" w:cs="MS PGothic" w:eastAsia="MS PGothic" w:hAnsi="MS PGothic"/>
          <w:sz w:val="14"/>
          <w:szCs w:val="14"/>
          <w:color w:val="auto"/>
        </w:rPr>
        <w:t>⁾</w:t>
      </w:r>
      <w:r>
        <w:rPr>
          <w:rFonts w:ascii="Arial" w:cs="Arial" w:eastAsia="Arial" w:hAnsi="Arial"/>
          <w:sz w:val="14"/>
          <w:szCs w:val="14"/>
          <w:color w:val="auto"/>
        </w:rPr>
        <w:t xml:space="preserve"> Also includes a small number of products bearing our trademarks, which are non-Exclusive Designs produced by third-party partners, or our owned brands. These products are purchased at a significantly lower average cost than Wholesale.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details about our business model and our product acquisition strategy, see Part I, Item 1, “Business”.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Subscribers and Customers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Ability to Attract and Retain Subscribers and Customers and Our Attractive Cohort Trends. </w:t>
      </w:r>
      <w:r>
        <w:rPr>
          <w:rFonts w:ascii="Arial" w:cs="Arial" w:eastAsia="Arial" w:hAnsi="Arial"/>
          <w:sz w:val="14"/>
          <w:szCs w:val="14"/>
          <w:color w:val="auto"/>
        </w:rPr>
        <w:t>We believe that we have a significant market opportunity to increase our base of</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subscribers and customers, and our long-term growth depends in large part on our continued ability to acquire and retain subscribers and customers.</w:t>
      </w:r>
    </w:p>
    <w:p>
      <w:pPr>
        <w:spacing w:after="0" w:line="122"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 Our strategies in fiscal year 2023 are focused on investing in and improving the customer experience to drive growth. In particular, we believe that improving retention in the first 90 days of a subscription, which is when the majority of subscriber churn typically occurs, can increase loyalty and subscriber growth.</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20"/>
        <w:spacing w:after="0" w:line="271" w:lineRule="auto"/>
        <w:rPr>
          <w:sz w:val="20"/>
          <w:szCs w:val="20"/>
          <w:color w:val="auto"/>
        </w:rPr>
      </w:pPr>
      <w:r>
        <w:rPr>
          <w:rFonts w:ascii="Arial" w:cs="Arial" w:eastAsia="Arial" w:hAnsi="Arial"/>
          <w:sz w:val="14"/>
          <w:szCs w:val="14"/>
          <w:color w:val="auto"/>
        </w:rPr>
        <w:t>We partly assess the health of our business by analyzing the performance of our historical customer cohorts over time. We place customers in cohorts based on the fiscal year in which they first transacted with RTR. A significant portion of our total revenue in each fiscal year is generated from customers acquired in previous years. For example, over one-third of our revenue in fiscal year 2022 was generated by customers who placed their first order with us in fiscal year 2017 or prior.</w:t>
      </w:r>
    </w:p>
    <w:p>
      <w:pPr>
        <w:spacing w:after="0" w:line="155" w:lineRule="exact"/>
        <w:rPr>
          <w:sz w:val="20"/>
          <w:szCs w:val="20"/>
          <w:color w:val="auto"/>
        </w:rPr>
      </w:pPr>
    </w:p>
    <w:p>
      <w:pPr>
        <w:ind w:right="260"/>
        <w:spacing w:after="0" w:line="259" w:lineRule="auto"/>
        <w:rPr>
          <w:sz w:val="20"/>
          <w:szCs w:val="20"/>
          <w:color w:val="auto"/>
        </w:rPr>
      </w:pPr>
      <w:r>
        <w:rPr>
          <w:rFonts w:ascii="Arial" w:cs="Arial" w:eastAsia="Arial" w:hAnsi="Arial"/>
          <w:sz w:val="14"/>
          <w:szCs w:val="14"/>
          <w:color w:val="auto"/>
        </w:rPr>
        <w:t>We also assess the productivity of our historical customer cohorts by measuring the revenue and profit we generate from all new customers over their lifetime (“LTV”) against customer acquisition costs (“CAC”). We define LTV as cumulative total revenue generated across all of our product offerings (which includes Subscription and Reserve Rental Revenue and Other Revenue) by current or previous subscribers or customers, minus fulfillment expenses, rental product depreciation and revenue share expenses, credit card fees and customer service personnel and related expenses incurred to generate such revenue divided by the number of new customers acquired during that period. Any LTV generated by a customer is assigned to the original cohort year that the customer first joined. We define CAC as total marketing expense, excluding marketing personnel and related costs incurred in a fiscal year divided by the number of new customers acquired in that period. We acquire customers efficiently as evidenced by over 80% of our lifetime customers having joined organically.</w:t>
      </w:r>
    </w:p>
    <w:p>
      <w:pPr>
        <w:spacing w:after="0" w:line="163" w:lineRule="exact"/>
        <w:rPr>
          <w:sz w:val="20"/>
          <w:szCs w:val="20"/>
          <w:color w:val="auto"/>
        </w:rPr>
      </w:pPr>
    </w:p>
    <w:p>
      <w:pPr>
        <w:ind w:right="320"/>
        <w:spacing w:after="0" w:line="260" w:lineRule="auto"/>
        <w:rPr>
          <w:sz w:val="20"/>
          <w:szCs w:val="20"/>
          <w:color w:val="auto"/>
        </w:rPr>
      </w:pPr>
      <w:r>
        <w:rPr>
          <w:rFonts w:ascii="Arial" w:cs="Arial" w:eastAsia="Arial" w:hAnsi="Arial"/>
          <w:sz w:val="14"/>
          <w:szCs w:val="14"/>
          <w:color w:val="auto"/>
        </w:rPr>
        <w:t>As seen in the table below, our LTV to CAC ratio has remained relatively consistent for our fiscal year 2018 through fiscal year 2022 customer cohorts, with the exception of our fiscal year 2020 cohort which was impacted by the COVID-19 pandemic. The fiscal year 2021 cohort, which benefited from strong loyalty post-recovery from the pandemic, exhibited an LTV to CAC ratio of 0.7x in its first six months and 1.3x in its first twelve months, implying that we recovered our customer acquisition cost between six months and twelve months for this cohort. Our fiscal year 2022 cohort thus far is exhibiting an LTV to CAC ratio of 0.6x in its first six months. We anticipate that the recent change in our subscription programs and our efforts to improve customer experience in fiscal year 2023 will benefit the retention and lifetime value of our customer cohorts. Cohorts have continued to grow over time as our most loyal customers continued to spend with us, as demonstrated by the strength in the FY 2018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3597910" cy="8553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97910" cy="85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Brands and Products</w:t>
      </w:r>
    </w:p>
    <w:p>
      <w:pPr>
        <w:spacing w:after="0" w:line="134" w:lineRule="exact"/>
        <w:rPr>
          <w:sz w:val="20"/>
          <w:szCs w:val="20"/>
          <w:color w:val="auto"/>
        </w:rPr>
      </w:pPr>
    </w:p>
    <w:p>
      <w:pPr>
        <w:spacing w:after="0" w:line="258" w:lineRule="auto"/>
        <w:rPr>
          <w:sz w:val="20"/>
          <w:szCs w:val="20"/>
          <w:color w:val="auto"/>
        </w:rPr>
      </w:pPr>
      <w:r>
        <w:rPr>
          <w:rFonts w:ascii="Arial" w:cs="Arial" w:eastAsia="Arial" w:hAnsi="Arial"/>
          <w:sz w:val="14"/>
          <w:szCs w:val="14"/>
          <w:b w:val="1"/>
          <w:bCs w:val="1"/>
          <w:i w:val="1"/>
          <w:iCs w:val="1"/>
          <w:color w:val="auto"/>
        </w:rPr>
        <w:t xml:space="preserve">Ability to Acquire and Monetize Products Efficiently. </w:t>
      </w:r>
      <w:r>
        <w:rPr>
          <w:rFonts w:ascii="Arial" w:cs="Arial" w:eastAsia="Arial" w:hAnsi="Arial"/>
          <w:sz w:val="14"/>
          <w:szCs w:val="14"/>
          <w:color w:val="auto"/>
        </w:rPr>
        <w:t>Our ability to deliver an elevated experience for our subscribers and customers that keeps them loyal to RTR depends 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us having the right assortment. Due to our deep partnerships with brands, flexibility in our buying timelines and ability to react to advantageous retail purchasing environments, we can acquire products directly from brands in multiple cost effective ways. Additionally, during the third quarter of fiscal year 2022, we launched a pilot to sell our brand new Exclusive Design products wholesale to a third-party retailer, which we believe highlights the potential of the RTR platform and our data and consumer appeal.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In fiscal year 2022, approximately 58% of new items were acquired through our more capital efficient non-Wholesale channels, compared to 55% in fiscal year 2021 and 54% in fiscal year 2020. We plan to further increase the percentage of units acquired through Exclusive Designs and Share by RTR in fiscal year 2023. We continuously evaluate our product acquisition mix to maximize our strategic priorities.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Purchases of rental product includes the cost of wholesale products acquired in the period and other ancillary costs such as freight, where applicable. Many factors impact the purchases of rental product including our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2022 was 21% as compared to 15% in fiscal year 2021 and 35% in fiscal year 2020. We anticipate this percentage to stay relatively consistent with the fiscal year 2022 percentage in the near term. Due to seasonality factors, we track our progress on purchases of rental product as a percentage of revenue on a full year basis, as quarterly costs are not necessarily reflective of full year trends.</w:t>
      </w:r>
    </w:p>
    <w:p>
      <w:pPr>
        <w:spacing w:after="0" w:line="16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b w:val="1"/>
          <w:bCs w:val="1"/>
          <w:i w:val="1"/>
          <w:iCs w:val="1"/>
          <w:color w:val="auto"/>
        </w:rPr>
        <w:t xml:space="preserve">Ability to Achieve Leverage in our Cost Structure. </w:t>
      </w:r>
      <w:r>
        <w:rPr>
          <w:rFonts w:ascii="Arial" w:cs="Arial" w:eastAsia="Arial" w:hAnsi="Arial"/>
          <w:sz w:val="14"/>
          <w:szCs w:val="14"/>
          <w:color w:val="auto"/>
        </w:rPr>
        <w:t>Improving operational efficiency of our platform is imperative to increasing profitability. We expect certain of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costs to increase as order volume increases and as we make investments to grow subscribers and revenue and to enhance the customer experience. In September 2022, we announced a restructuring plan to reduce costs, streamline our organizational structure and drive long-term operational efficiencies, primarily in headcount, related expenses, and in technology and general and administrative expenses, which we expect to reduce operating expenses by approximately $25 million in fiscal year 2023 compared to the annualized run rate for the second quarter of fiscal year 2022. Though we anticipate quarterly fluctuations in operating leverage, with these reductions we expect our fixed costs to decrease as a percentage of total revenue in fiscal year 2023, and over time we anticipate that our operating costs will grow more slowly than our total revenue on an annual basis.</w:t>
      </w:r>
    </w:p>
    <w:p>
      <w:pPr>
        <w:spacing w:after="0" w:line="163"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15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w:t>
      </w:r>
    </w:p>
    <w:p>
      <w:pPr>
        <w:spacing w:after="0" w:line="141"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 The 2022 Amended Temasek Facility reduces our cash interest payments over the next two fiscal years which we expect to improve our overall liquidity.</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94"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We experience seasonality in our business, which has been impacted and may in the future change due to the effects of the COVID-19 pandemic and the macro environment.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In fiscal year 2022, our active subscriber count increased sequentially in the first and third quarters and decreased sequentially in the second and fourth quarters. The third quarter increase and the fourth quarter decrease are generally consistent with more recent historical seasonality. Our second quarter typically sees a moderate increase in active subscriber count compared to the first quarter (except in fiscal year 2021 which saw a significant increase post-Omicron variant), however the second quarter active subscriber count of fiscal year 2022 was further impacted by the price increase of our Subscription programs in April 2022.</w:t>
      </w:r>
    </w:p>
    <w:p>
      <w:pPr>
        <w:spacing w:after="0" w:line="164"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Our seasonality trends have seen effects from COVID-19 and the macro environment generally and may continue to do so in the future. For example, subscriber trends and revenue have been impacted by fewer large-scale holiday and special events compared to pre-COVID-19, especially those typically occurring in the third and fourth quarters.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also experience seasonality in the timing of expenses and capital outlays. Transportation expense, and therefore fulfillment cost, is typically highest in the fourth fiscal quarter, given higher service levels, such as more costly and expedited shipping, and competition during holidays. Our most significant product capital expenditures typically occur in the first fiscal quarter and the third fiscal quarter, when we acquire product for the upcoming fall and spring seasons. However, the impact on cash is typically dependent on timing of receipt of product.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see the section of Part I, Item 1A, “Risk Factors — Risks Relating To Our Business and Industry — Our business is affected by seasonality.”</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Macro and Consumer Environment on Our Business</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There remains significant uncertainty in the current macroeconomic and consumer environment, driven by inflationary pressures, potential risk of recession, ongoing industry-wide supply chain issues, instability in the financial system, the war in Ukraine and the COVID-19 pandemic. These factors have impacted, and are expected to continue to impact, consumer discretionary spending and purchasing behavior, price sensitivity, wage rates, transportation costs, and other costs associated with our business.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The COVID-19 pandemic materially adversely affected our fiscal year 2020 and 2021 operating and financial results. In addition, we believe that our customers live, work, socialize and travel differently than they did prior to the COVID-19 pandemic and this influences what they wear. We continue to learn how these types of changes in customer behavior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particularly in the second quarter of fiscal year 2022, and may continue to be impacted by these factors in the future. In addition, based on performance and additional data in the third and fourth quarters of fiscal year 2022, we believe that the April price increase was a significant negative contributor to subscriber pause and retention levels and, to a lesser extent, subscriber acquisition in the second quarter of fiscal year 2022. In the third quarter of fiscal year 2022, our subscriber acquisition, pause and retention levels improved relative to the second quarter of fiscal year 2022; however, we experienced a seasonal decline in Active Subscribers in the fourth quarter of fiscal year 2022, consistent with seasonality trends.</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We continue to take actions to adjust to the changing business environment and related inflationary pressure. For example, in light of potential pricing sensitivity in the current macro-economic environment, we are focused on investing in our customer and delivering even more value to her and emphasizing the value proposition of our offering in our marketing materials. In addition, we increased wage rates throughout fiscal year 2022 to attract and retain talent at our fulfillment centers and we expect to continue to be impacted by rising labor costs in fiscal year 2023. We also expect transportation costs to continue to increase in fiscal year 2023, and therefore are focused on continuing to diversify our transportation network to mitigate these rising costs and service delays. Examples of these mitigation efforts include optimizing carrier mix such as through increasing volumes with regional and last-mile carriers and consolidating shipments through our at-home pickup service in certain markets and improving contractual terms. Although we continue to face a challenging environment, we plan to invest in our customers, manage our staffing and further diversify our transportation network in order to drive growth and efficiencies in our business.</w:t>
      </w:r>
    </w:p>
    <w:p>
      <w:pPr>
        <w:spacing w:after="0" w:line="164"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The full extent to which the macro environment will directly or indirectly impact our business, results of operations, growth rates, and financial condition will depend on future developments that are highly uncertain and cannot be accurately predicted. Given the uncertainty, we cannot estimate the financial impact of the macro environment and COVID-19 pandemic on our future results of operations, cash flows, or financial condition. For additional details, see Part I, Item 1A, “Risk Factors” of this Annual Report on Form 10-K.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and Financial Metrics</w:t>
      </w:r>
    </w:p>
    <w:p>
      <w:pPr>
        <w:spacing w:after="0" w:line="136"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and net loss.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w w:val="96"/>
              </w:rPr>
              <w:t>Years Ended January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0"/>
        </w:trPr>
        <w:tc>
          <w:tcPr>
            <w:tcW w:w="55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3"/>
                <w:szCs w:val="13"/>
                <w:b w:val="1"/>
                <w:bCs w:val="1"/>
                <w:color w:val="auto"/>
              </w:rPr>
              <w:t>2021</w:t>
            </w:r>
          </w:p>
        </w:tc>
      </w:tr>
      <w:tr>
        <w:trPr>
          <w:trHeight w:val="150"/>
        </w:trPr>
        <w:tc>
          <w:tcPr>
            <w:tcW w:w="5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Active Subscribers</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126,712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115,240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54,797</w:t>
            </w:r>
          </w:p>
        </w:tc>
      </w:tr>
      <w:tr>
        <w:trPr>
          <w:trHeight w:val="180"/>
        </w:trPr>
        <w:tc>
          <w:tcPr>
            <w:tcW w:w="5580" w:type="dxa"/>
            <w:vAlign w:val="bottom"/>
          </w:tcPr>
          <w:p>
            <w:pPr>
              <w:ind w:left="20"/>
              <w:spacing w:after="0"/>
              <w:rPr>
                <w:sz w:val="20"/>
                <w:szCs w:val="20"/>
                <w:color w:val="auto"/>
              </w:rPr>
            </w:pPr>
            <w:r>
              <w:rPr>
                <w:rFonts w:ascii="Arial" w:cs="Arial" w:eastAsia="Arial" w:hAnsi="Arial"/>
                <w:sz w:val="14"/>
                <w:szCs w:val="14"/>
                <w:color w:val="auto"/>
              </w:rPr>
              <w:t>Average Active Subscribers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128,586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93,371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66,711</w:t>
            </w:r>
          </w:p>
        </w:tc>
      </w:tr>
      <w:tr>
        <w:trPr>
          <w:trHeight w:val="180"/>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186"/>
        </w:trPr>
        <w:tc>
          <w:tcPr>
            <w:tcW w:w="5580" w:type="dxa"/>
            <w:vAlign w:val="bottom"/>
          </w:tcPr>
          <w:p>
            <w:pPr>
              <w:ind w:left="20"/>
              <w:spacing w:after="0"/>
              <w:rPr>
                <w:sz w:val="20"/>
                <w:szCs w:val="20"/>
                <w:color w:val="auto"/>
              </w:rPr>
            </w:pPr>
            <w:r>
              <w:rPr>
                <w:rFonts w:ascii="Arial" w:cs="Arial" w:eastAsia="Arial" w:hAnsi="Arial"/>
                <w:sz w:val="14"/>
                <w:szCs w:val="14"/>
                <w:color w:val="auto"/>
              </w:rPr>
              <w:t>Adjusted EBITDA (1)</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6.7</w:t>
            </w:r>
          </w:p>
        </w:tc>
        <w:tc>
          <w:tcPr>
            <w:tcW w:w="4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(20.3)</w:t>
            </w:r>
          </w:p>
        </w:tc>
      </w:tr>
    </w:tbl>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60" w:hanging="255"/>
        <w:spacing w:after="0" w:line="268" w:lineRule="auto"/>
        <w:tabs>
          <w:tab w:leader="none" w:pos="249" w:val="left"/>
        </w:tabs>
        <w:numPr>
          <w:ilvl w:val="0"/>
          <w:numId w:val="54"/>
        </w:numPr>
        <w:rPr>
          <w:rFonts w:ascii="Arial" w:cs="Arial" w:eastAsia="Arial" w:hAnsi="Arial"/>
          <w:sz w:val="11"/>
          <w:szCs w:val="11"/>
          <w:color w:val="auto"/>
        </w:rPr>
      </w:pPr>
      <w:r>
        <w:rPr>
          <w:rFonts w:ascii="Arial" w:cs="Arial" w:eastAsia="Arial" w:hAnsi="Arial"/>
          <w:sz w:val="11"/>
          <w:szCs w:val="11"/>
          <w:color w:val="auto"/>
        </w:rPr>
        <w:t>Adjusted EBITDA is a non-GAAP financial measure; for a reconciliation to the most directly comparable GAAP financial measure, net loss, and why we consider Adjusted EBITDA to be a useful metric, see “—Non-GAAP Financial Metrics” below.</w:t>
      </w:r>
    </w:p>
    <w:p>
      <w:pPr>
        <w:spacing w:after="0" w:line="327"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color w:val="auto"/>
        </w:rPr>
        <w:t>Active Subscribers</w:t>
      </w:r>
      <w:r>
        <w:rPr>
          <w:rFonts w:ascii="Arial" w:cs="Arial" w:eastAsia="Arial" w:hAnsi="Arial"/>
          <w:sz w:val="14"/>
          <w:szCs w:val="14"/>
          <w:color w:val="auto"/>
        </w:rPr>
        <w:t>: Active Subscribers represents the number of subscribers with an active membership as of the last day of any given period and excludes paused subscribers.</w:t>
      </w:r>
      <w:r>
        <w:rPr>
          <w:rFonts w:ascii="Arial" w:cs="Arial" w:eastAsia="Arial" w:hAnsi="Arial"/>
          <w:sz w:val="14"/>
          <w:szCs w:val="14"/>
          <w:b w:val="1"/>
          <w:bCs w:val="1"/>
          <w:color w:val="auto"/>
        </w:rPr>
        <w:t xml:space="preserve"> </w:t>
      </w:r>
      <w:r>
        <w:rPr>
          <w:rFonts w:ascii="Arial" w:cs="Arial" w:eastAsia="Arial" w:hAnsi="Arial"/>
          <w:sz w:val="14"/>
          <w:szCs w:val="14"/>
          <w:color w:val="auto"/>
        </w:rPr>
        <w:t>As of January 31, 2023, we had 126,712 Active Subscribers, up 10% year-over-year. Our active subscriber count growth rate slowed year over year as the second, third and fourth quarters of fiscal year 2022 saw a lower ending Active Subscriber count compared with the end of the first quarter of fiscal year 2022. We believe Active Subscriber levels were likely impacted by seasonality, macro environment factors and the reaction to our April 2022 price increase, as discussed above in the Key Factors Affecting Our Performance in Seasonality and Impact of Macro and Consumer Environment on Our Business.</w:t>
      </w:r>
    </w:p>
    <w:p>
      <w:pPr>
        <w:spacing w:after="0" w:line="161"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b w:val="1"/>
          <w:bCs w:val="1"/>
          <w:color w:val="auto"/>
        </w:rPr>
        <w:t xml:space="preserve">Average Active Subscribers: </w:t>
      </w:r>
      <w:r>
        <w:rPr>
          <w:rFonts w:ascii="Arial" w:cs="Arial" w:eastAsia="Arial" w:hAnsi="Arial"/>
          <w:sz w:val="14"/>
          <w:szCs w:val="14"/>
          <w:color w:val="auto"/>
        </w:rPr>
        <w:t>Average Active Subscribers represents the mean of the beginning of quarter and end of quarter Active Subscribers for a quarterly period; and for</w:t>
      </w:r>
      <w:r>
        <w:rPr>
          <w:rFonts w:ascii="Arial" w:cs="Arial" w:eastAsia="Arial" w:hAnsi="Arial"/>
          <w:sz w:val="14"/>
          <w:szCs w:val="14"/>
          <w:b w:val="1"/>
          <w:bCs w:val="1"/>
          <w:color w:val="auto"/>
        </w:rPr>
        <w:t xml:space="preserve"> </w:t>
      </w:r>
      <w:r>
        <w:rPr>
          <w:rFonts w:ascii="Arial" w:cs="Arial" w:eastAsia="Arial" w:hAnsi="Arial"/>
          <w:sz w:val="14"/>
          <w:szCs w:val="14"/>
          <w:color w:val="auto"/>
        </w:rPr>
        <w:t>other periods, represents the mean of the Average Active Subscribers of every quarter within that period. As of January 31, 2023, we had 128,586 Average Active Subscribers, up from 93,371 as of January 31, 2022 or a 38% increase year-over-year. Average Active Subscribers align to revenue levels in the period, while Active Subscribers are measured as of a specific day.</w:t>
      </w: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Gross Profit and Gross Margin: </w:t>
      </w:r>
      <w:r>
        <w:rPr>
          <w:rFonts w:ascii="Arial" w:cs="Arial" w:eastAsia="Arial" w:hAnsi="Arial"/>
          <w:sz w:val="14"/>
          <w:szCs w:val="14"/>
          <w:color w:val="auto"/>
        </w:rPr>
        <w:t>We define Gross Profit as total revenue less costs related to activities to fulfill customer orders and rental product acquisition costs, presented as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fulfillment and rental product depreciation and revenue share, respectively, on the consolidated statement of operations. We depreciate owned apparel assets over three years and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owned accessory assets over two years net of 20% and 30% salvage values, respectively, and recognize the depreciation on a straight-line basis and remaining cost of items when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sold or retired on our consolidated statement of operations. Rental product depreciation expense is time-based and reflects all rental product items we own. We use Gross Profit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and Gross Profit as a percentage of revenue, or Gross Margin, to measure the continued efficiency of our business after the cost of our products and fulfillment costs are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included. Gross Profit was $120.0 million for the year ended January 31, 2023 compared to $69.7 million for the year ended January 31, 2022 representing Gross Margins of 40.5%</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and 34.3%, respectively. The significant increase in Gross Profit and Gross Margin for the year ended January 31, 2023 was driven by higher revenue per shipment than prior year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due to both the price increase and higher add-on activity, lower shipments per average subscriber, and lower rental product depreciation as a percentage of total revenue than in the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prior period. These benefits more than offset higher fulfillment costs which are primarily driven by increases in fulfillment related transportation costs for the year ended January 31,</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2023 and a larger number of shipments for the year ended January 31, 2023. Rental product depreciation decreased due to the lower proportion of Wholesale items relative to prior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year. We anticipate that our Gross Margin may be lower in fiscal year 2023 compared to fiscal year 2022 due to the March 2023 launch of extra items in our subscription plans and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due to the anticipated decrease in our Reserve business. We will seek to continue to drive fulfillment and operational efficiency gains over time and strategically evolve our mix of</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product acquisition to offset cost increases and/or higher units processed per shipment.</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4"/>
          <w:szCs w:val="14"/>
          <w:b w:val="1"/>
          <w:bCs w:val="1"/>
          <w:color w:val="auto"/>
        </w:rPr>
        <w:t xml:space="preserve">Adjusted EBITDA and Adjusted EBITDA Margin: </w:t>
      </w:r>
      <w:r>
        <w:rPr>
          <w:rFonts w:ascii="Arial" w:cs="Arial" w:eastAsia="Arial" w:hAnsi="Arial"/>
          <w:sz w:val="14"/>
          <w:szCs w:val="14"/>
          <w:color w:val="auto"/>
        </w:rPr>
        <w:t>We define Adjusted EBITDA as net loss, adjusted to exclude interest expense, rental product depreciation, other depreciation</w:t>
      </w:r>
      <w:r>
        <w:rPr>
          <w:rFonts w:ascii="Arial" w:cs="Arial" w:eastAsia="Arial" w:hAnsi="Arial"/>
          <w:sz w:val="14"/>
          <w:szCs w:val="14"/>
          <w:b w:val="1"/>
          <w:bCs w:val="1"/>
          <w:color w:val="auto"/>
        </w:rPr>
        <w:t xml:space="preserve"> </w:t>
      </w:r>
      <w:r>
        <w:rPr>
          <w:rFonts w:ascii="Arial" w:cs="Arial" w:eastAsia="Arial" w:hAnsi="Arial"/>
          <w:sz w:val="14"/>
          <w:szCs w:val="14"/>
          <w:color w:val="auto"/>
        </w:rPr>
        <w:t>and amortization, share-based compensation expense, write-off of liquidated rental product assets, certain non-recurring or one-time costs (see below footnotes to the reconciliation table), restructuring charges, loss on asset impairment related to restructuring, income taxes, warrant liability revaluation gains / losses, debt extinguishment gains / losses, other income and expense, and other gains / losses. We define Adjusted EBITDA Margin as Adjusted EBITDA as a percentage of total revenue, net for a period. Adjusted EBITDA was $6.7 million for the year ended January 31, 2023 compared to $(19.2) million for the year ended January 31, 2022, representing margins of 2.3% and (9.4)%, respectively. Adjusted EBITDA Margin significantly improved for the year ended January 31, 2023 due to the improvement in Gross Profit and Gross Margin and improved operating leverage across technology, marketing and general and administrative expenses even with additional strategic investments. In the third quarter of fiscal year 2022, we launched a two-pronged pilot with Amazon to (1) sell our brand new Exclusive Design products wholesale and (2) launch a new liquidation partnership, which together contributed $5.1 million to Adjusted EBITDA in fiscal year 2022.</w:t>
      </w:r>
    </w:p>
    <w:p>
      <w:pPr>
        <w:spacing w:after="0" w:line="167" w:lineRule="exact"/>
        <w:rPr>
          <w:sz w:val="20"/>
          <w:szCs w:val="20"/>
          <w:color w:val="auto"/>
        </w:rPr>
      </w:pPr>
    </w:p>
    <w:p>
      <w:pPr>
        <w:jc w:val="both"/>
        <w:ind w:right="460"/>
        <w:spacing w:after="0" w:line="271" w:lineRule="auto"/>
        <w:rPr>
          <w:sz w:val="20"/>
          <w:szCs w:val="20"/>
          <w:color w:val="auto"/>
        </w:rPr>
      </w:pPr>
      <w:r>
        <w:rPr>
          <w:rFonts w:ascii="Arial" w:cs="Arial" w:eastAsia="Arial" w:hAnsi="Arial"/>
          <w:sz w:val="14"/>
          <w:szCs w:val="14"/>
          <w:color w:val="auto"/>
        </w:rPr>
        <w:t>We have the opportunity to improve Adjusted EBITDA and offset cost increases and/or higher units processed per shipment as we increase revenue and drive fulfillment and operational efficiency gains and operating expense leverage. In particular, we expect our restructuring plan to significantly reduce fixed costs and improve operating expense leverage in fiscal year 2023 compared to fiscal year 2022.</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Revenue, Net</w:t>
      </w:r>
    </w:p>
    <w:p>
      <w:pPr>
        <w:spacing w:after="0" w:line="21"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Our total revenue, net consists of Subscription and Reserve rental revenue and Other revenue. Total revenue is presented net of promotional discounts, credits and refunds and taxes. In fiscal year 2022, our revenue growth rate benefited from COVID recovery and the April 2022 price increase compared to fiscal year 2021. While we anticipate our total revenue and our Active Subscriber growth rate to increase in fiscal year 2023, we anticipate our total revenue growth rate to decelerate due to an anticipated lower growth rate of Average Active Subscribers in fiscal year 2023 relative to fiscal year 2022 and in part due to an anticipated decrease in Reserve revenue.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We generate Subscription and Reserve rental revenue from subscription and Reserve rental fees. We recognize subscription fees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ratably over the subscription period, commencing on the date the subscriber enrolls in a subscription program. These fees are collected upon enrollment and any revenue from an unrecognized portion of the subscription period is deferred to the following fiscal period. We announced a price increase in April 2022 for our subscription plans, which has since increased revenue per subscriber. We recognize Reserve fees over the rental period, which starts on the date of delivery of the product to the customer. Reserve orders can be placed up to four months prior to the rental start date and the customer’s payment form is charged upon order confirmation. We defer recognizing the rental fees and any related promotions for Reserve rentals until the date of delivery, and then recognize those fees evenly over the four- or eight-day rental period.</w:t>
      </w:r>
    </w:p>
    <w:p>
      <w:pPr>
        <w:spacing w:after="0" w:line="99"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We generate Other revenue primarily from the sale of products while they are in rental condition. We offer the ability for subscribers and customers to purchase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initiatives which may cause quarterly fluctuations in the Other revenue line. For example, Other revenue and Other revenue as a percentage of Total revenue was lower in the fourth quarter than the third quarter of fiscal year 2022 due to the pilot to sell brand new Exclusive Design products wholesale to a third party retailer in the third quarter of fiscal year 2022.</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consist of all costs to receive, process and fulfill customer orders. This primarily includes shipping costs to/from customers and personnel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costs to increase as order volume increases. In fiscal years 2021 and 2022 costs to ship orders increased due to increasing prices in the transportation market. Fulfillment expense may fluctuate due to various factors including commercial terms and market trends. Fulfillment expense may also increase due to competitive pressures in the labor market which could lead to continued higher wage rates. We increased warehouse wage rates during fiscal years 2021 and 2022 and expect to continue to be impacted by rising wage rates in the future. For fiscal year 2023, we anticipate our fulfillment expense may increase as a percentage of revenue compared to fiscal year 2022 due to the March 2023 launch of extra items in our subscription plans and due to the anticipated decrease in our Reserve business. We expect to continue to invest in automation and other process improvements to support and drive efficiencies in our operations. To the extent we are successful in becoming more efficient in fulfilling orders, and at a magnitude that is able to offset increasing shipping costs, wage rates and cleaning/packing supply price increases, we would expect these expenses to decrease as a percentage of total revenue over the longer term.</w:t>
      </w:r>
    </w:p>
    <w:p>
      <w:pPr>
        <w:spacing w:after="0" w:line="106" w:lineRule="exact"/>
        <w:rPr>
          <w:sz w:val="20"/>
          <w:szCs w:val="20"/>
          <w:color w:val="auto"/>
        </w:rPr>
      </w:pPr>
    </w:p>
    <w:p>
      <w:pPr>
        <w:ind w:right="260"/>
        <w:spacing w:after="0" w:line="260"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consist of personnel and related costs for employees engaged in software development and engineering, quality assurance, product,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We expect these expenses to decrease in dollars and as a percentage of total revenue as a result of our cost reduction plan. Over the medium to long term, these expenses may increase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spacing w:after="0" w:line="99"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include online and mobile marketing, search engine optimization and email costs, marketing personnel and related costs, agency fees, brand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marketing, printed collateral, consumer research, and other related costs. We expect marketing expenses to increase as we intend to increase marketing spend to drive the growth of our business and increase our brand awareness. The trend and timing of our marketing expenses will depend in part on the timing of marketing campaigns.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consist of all other personnel and related costs for customer service, finance, tax, legal, human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In the short term, we expect these expenses to decrease significantly in dollars and as a percentage of total revenue as a result of our restructuring plan while over the medium to long term, we expect these expenses to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spacing w:after="0" w:line="99"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expenses consist of depreciation and write-offs of rental products,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spacing w:after="0" w:line="99"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expenses consist of depreciation and amortization amounts for fixed assets, intangible assets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capitalized software, and financing right-of-use assets.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Restructuring charges consist of severance and related costs associated with the September 2022 restructuring plan.</w:t>
      </w:r>
    </w:p>
    <w:p>
      <w:pPr>
        <w:spacing w:after="0" w:line="200"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b w:val="1"/>
          <w:bCs w:val="1"/>
          <w:i w:val="1"/>
          <w:iCs w:val="1"/>
          <w:color w:val="auto"/>
        </w:rPr>
        <w:t>Loss on Asset Impairment Related to Restructuring</w:t>
      </w:r>
      <w:r>
        <w:rPr>
          <w:rFonts w:ascii="Arial" w:cs="Arial" w:eastAsia="Arial" w:hAnsi="Arial"/>
          <w:sz w:val="14"/>
          <w:szCs w:val="14"/>
          <w:color w:val="auto"/>
        </w:rPr>
        <w:t>. Loss on asset impairment related to restructuring consists of asset impairment charges related to discontinuing warehouse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operations projects in connection with the September 2022 restructuring plan.</w:t>
      </w:r>
    </w:p>
    <w:p>
      <w:pPr>
        <w:spacing w:after="0" w:line="78" w:lineRule="exact"/>
        <w:rPr>
          <w:sz w:val="20"/>
          <w:szCs w:val="20"/>
          <w:color w:val="auto"/>
        </w:rPr>
      </w:pPr>
    </w:p>
    <w:p>
      <w:pPr>
        <w:ind w:right="680"/>
        <w:spacing w:after="0" w:line="290" w:lineRule="auto"/>
        <w:rPr>
          <w:sz w:val="20"/>
          <w:szCs w:val="20"/>
          <w:color w:val="auto"/>
        </w:rPr>
      </w:pPr>
      <w:r>
        <w:rPr>
          <w:rFonts w:ascii="Arial" w:cs="Arial" w:eastAsia="Arial" w:hAnsi="Arial"/>
          <w:sz w:val="14"/>
          <w:szCs w:val="14"/>
          <w:b w:val="1"/>
          <w:bCs w:val="1"/>
          <w:i w:val="1"/>
          <w:iCs w:val="1"/>
          <w:color w:val="auto"/>
        </w:rPr>
        <w:t xml:space="preserve">Interest Income / (Expense). </w:t>
      </w:r>
      <w:r>
        <w:rPr>
          <w:rFonts w:ascii="Arial" w:cs="Arial" w:eastAsia="Arial" w:hAnsi="Arial"/>
          <w:sz w:val="14"/>
          <w:szCs w:val="14"/>
          <w:color w:val="auto"/>
        </w:rPr>
        <w:t>Interest income / (expense) consists primarily of accrued paid-in-kind interest, cash and cash equivalents interest and debt issuance cost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amortization associated with our 2022 Amended Temasek Facility going forward.</w:t>
      </w:r>
    </w:p>
    <w:p>
      <w:pPr>
        <w:spacing w:after="0" w:line="141"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b w:val="1"/>
          <w:bCs w:val="1"/>
          <w:i w:val="1"/>
          <w:iCs w:val="1"/>
          <w:color w:val="auto"/>
        </w:rPr>
        <w:t xml:space="preserve">Gain / (Loss) on Warrant Liability Revaluation, Net. </w:t>
      </w:r>
      <w:r>
        <w:rPr>
          <w:rFonts w:ascii="Arial" w:cs="Arial" w:eastAsia="Arial" w:hAnsi="Arial"/>
          <w:sz w:val="14"/>
          <w:szCs w:val="14"/>
          <w:color w:val="auto"/>
        </w:rPr>
        <w:t>Gain / (loss) on warrant liability revaluation is associated with revaluing liability classified warrants to the respective fair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value at period end or prior to conversion. As of January 31, 2023, all outstanding warrants are equity classified and therefore do not require remeasurement going forward.</w:t>
      </w:r>
    </w:p>
    <w:p>
      <w:pPr>
        <w:spacing w:after="0" w:line="78"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b w:val="1"/>
          <w:bCs w:val="1"/>
          <w:i w:val="1"/>
          <w:iCs w:val="1"/>
          <w:color w:val="auto"/>
        </w:rPr>
        <w:t xml:space="preserve">Gain / (Loss) on Debt Extinguishment, Net. </w:t>
      </w:r>
      <w:r>
        <w:rPr>
          <w:rFonts w:ascii="Arial" w:cs="Arial" w:eastAsia="Arial" w:hAnsi="Arial"/>
          <w:sz w:val="14"/>
          <w:szCs w:val="14"/>
          <w:color w:val="auto"/>
        </w:rPr>
        <w:t>Gain / (loss) on debt extinguishment is associated with debt extinguishment including the write off of the unamortized debt issuance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costs. These are primarily non-cash and are associated with debt payment transactions which are non-recurring.</w:t>
      </w:r>
    </w:p>
    <w:p>
      <w:pPr>
        <w:spacing w:after="0" w:line="78"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b w:val="1"/>
          <w:bCs w:val="1"/>
          <w:i w:val="1"/>
          <w:iCs w:val="1"/>
          <w:color w:val="auto"/>
        </w:rPr>
        <w:t xml:space="preserve">Other Income / (Expense). </w:t>
      </w:r>
      <w:r>
        <w:rPr>
          <w:rFonts w:ascii="Arial" w:cs="Arial" w:eastAsia="Arial" w:hAnsi="Arial"/>
          <w:sz w:val="14"/>
          <w:szCs w:val="14"/>
          <w:color w:val="auto"/>
        </w:rPr>
        <w:t>Other income / (expense) consists primarily of proceeds from previous insurance claims and proceeds from monetizing tax credits associated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growth.</w:t>
      </w:r>
    </w:p>
    <w:p>
      <w:pPr>
        <w:spacing w:after="0" w:line="78"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b w:val="1"/>
          <w:bCs w:val="1"/>
          <w:i w:val="1"/>
          <w:iCs w:val="1"/>
          <w:color w:val="auto"/>
        </w:rPr>
        <w:t xml:space="preserve">Income Tax Benefit / (Expense). </w:t>
      </w:r>
      <w:r>
        <w:rPr>
          <w:rFonts w:ascii="Arial" w:cs="Arial" w:eastAsia="Arial" w:hAnsi="Arial"/>
          <w:sz w:val="14"/>
          <w:szCs w:val="14"/>
          <w:color w:val="auto"/>
        </w:rPr>
        <w:t>Income taxes consist primarily of state minimum taxes and Irish refundable tax credits. We have established a valuation allowance for our U.S.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federal and state 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results of operations presented below should be reviewed in conjunction with the consolidated financial statements and notes included elsewhere in this Annual Report on Form 10-K. The following tables set forth our results of operations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7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rPr>
              <w:t>Years Ended January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5"/>
        </w:trPr>
        <w:tc>
          <w:tcPr>
            <w:tcW w:w="6760" w:type="dxa"/>
            <w:vAlign w:val="bottom"/>
          </w:tcPr>
          <w:p>
            <w:pPr>
              <w:spacing w:after="0"/>
              <w:rPr>
                <w:sz w:val="13"/>
                <w:szCs w:val="13"/>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71"/>
              <w:spacing w:after="0"/>
              <w:rPr>
                <w:sz w:val="20"/>
                <w:szCs w:val="20"/>
                <w:color w:val="auto"/>
              </w:rPr>
            </w:pPr>
            <w:r>
              <w:rPr>
                <w:rFonts w:ascii="Arial" w:cs="Arial" w:eastAsia="Arial" w:hAnsi="Arial"/>
                <w:sz w:val="11"/>
                <w:szCs w:val="11"/>
                <w:b w:val="1"/>
                <w:bCs w:val="1"/>
                <w:color w:val="auto"/>
                <w:w w:val="97"/>
              </w:rPr>
              <w:t>2022</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2021</w:t>
            </w:r>
          </w:p>
        </w:tc>
      </w:tr>
      <w:tr>
        <w:trPr>
          <w:trHeight w:val="150"/>
        </w:trPr>
        <w:tc>
          <w:tcPr>
            <w:tcW w:w="67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61"/>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6760" w:type="dxa"/>
            <w:vAlign w:val="bottom"/>
          </w:tcPr>
          <w:p>
            <w:pPr>
              <w:ind w:left="280"/>
              <w:spacing w:after="0"/>
              <w:rPr>
                <w:sz w:val="20"/>
                <w:szCs w:val="20"/>
                <w:color w:val="auto"/>
              </w:rPr>
            </w:pPr>
            <w:r>
              <w:rPr>
                <w:rFonts w:ascii="Arial" w:cs="Arial" w:eastAsia="Arial" w:hAnsi="Arial"/>
                <w:sz w:val="14"/>
                <w:szCs w:val="14"/>
                <w:color w:val="auto"/>
              </w:rPr>
              <w:t>Subscription and Reserve rental revenue</w:t>
            </w:r>
          </w:p>
        </w:tc>
        <w:tc>
          <w:tcPr>
            <w:tcW w:w="920" w:type="dxa"/>
            <w:vAlign w:val="bottom"/>
          </w:tcPr>
          <w:p>
            <w:pPr>
              <w:jc w:val="right"/>
              <w:ind w:right="774"/>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268.6</w:t>
            </w:r>
          </w:p>
        </w:tc>
        <w:tc>
          <w:tcPr>
            <w:tcW w:w="100" w:type="dxa"/>
            <w:vAlign w:val="bottom"/>
          </w:tcPr>
          <w:p>
            <w:pPr>
              <w:spacing w:after="0"/>
              <w:rPr>
                <w:sz w:val="15"/>
                <w:szCs w:val="15"/>
                <w:color w:val="auto"/>
              </w:rPr>
            </w:pPr>
          </w:p>
        </w:tc>
        <w:tc>
          <w:tcPr>
            <w:tcW w:w="240" w:type="dxa"/>
            <w:vAlign w:val="bottom"/>
          </w:tcPr>
          <w:p>
            <w:pPr>
              <w:jc w:val="right"/>
              <w:ind w:right="94"/>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185.8</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135.9</w:t>
            </w:r>
          </w:p>
        </w:tc>
      </w:tr>
      <w:tr>
        <w:trPr>
          <w:trHeight w:val="180"/>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w:t>
            </w: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r>
      <w:tr>
        <w:trPr>
          <w:trHeight w:val="171"/>
        </w:trPr>
        <w:tc>
          <w:tcPr>
            <w:tcW w:w="6760" w:type="dxa"/>
            <w:vAlign w:val="bottom"/>
          </w:tcPr>
          <w:p>
            <w:pPr>
              <w:ind w:left="540"/>
              <w:spacing w:after="0"/>
              <w:rPr>
                <w:sz w:val="20"/>
                <w:szCs w:val="20"/>
                <w:color w:val="auto"/>
              </w:rPr>
            </w:pPr>
            <w:r>
              <w:rPr>
                <w:rFonts w:ascii="Arial" w:cs="Arial" w:eastAsia="Arial" w:hAnsi="Arial"/>
                <w:sz w:val="14"/>
                <w:szCs w:val="14"/>
                <w:color w:val="auto"/>
              </w:rPr>
              <w:t>Total revenue, net</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203.3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157.5</w:t>
            </w:r>
          </w:p>
        </w:tc>
      </w:tr>
      <w:tr>
        <w:trPr>
          <w:trHeight w:val="180"/>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and expenses: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760" w:type="dxa"/>
            <w:vAlign w:val="bottom"/>
          </w:tcPr>
          <w:p>
            <w:pPr>
              <w:ind w:left="280"/>
              <w:spacing w:after="0"/>
              <w:rPr>
                <w:sz w:val="20"/>
                <w:szCs w:val="20"/>
                <w:color w:val="auto"/>
              </w:rPr>
            </w:pPr>
            <w:r>
              <w:rPr>
                <w:rFonts w:ascii="Arial" w:cs="Arial" w:eastAsia="Arial" w:hAnsi="Arial"/>
                <w:sz w:val="14"/>
                <w:szCs w:val="14"/>
                <w:color w:val="auto"/>
              </w:rPr>
              <w:t>Fulfillment</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53.0</w:t>
            </w:r>
          </w:p>
        </w:tc>
      </w:tr>
      <w:tr>
        <w:trPr>
          <w:trHeight w:val="180"/>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Technology</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r>
      <w:tr>
        <w:trPr>
          <w:trHeight w:val="180"/>
        </w:trPr>
        <w:tc>
          <w:tcPr>
            <w:tcW w:w="6760" w:type="dxa"/>
            <w:vAlign w:val="bottom"/>
          </w:tcPr>
          <w:p>
            <w:pPr>
              <w:ind w:left="280"/>
              <w:spacing w:after="0"/>
              <w:rPr>
                <w:sz w:val="20"/>
                <w:szCs w:val="20"/>
                <w:color w:val="auto"/>
              </w:rPr>
            </w:pPr>
            <w:r>
              <w:rPr>
                <w:rFonts w:ascii="Arial" w:cs="Arial" w:eastAsia="Arial" w:hAnsi="Arial"/>
                <w:sz w:val="14"/>
                <w:szCs w:val="14"/>
                <w:color w:val="auto"/>
              </w:rPr>
              <w:t>Marketing</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80"/>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r>
      <w:tr>
        <w:trPr>
          <w:trHeight w:val="180"/>
        </w:trPr>
        <w:tc>
          <w:tcPr>
            <w:tcW w:w="6760" w:type="dxa"/>
            <w:vAlign w:val="bottom"/>
          </w:tcPr>
          <w:p>
            <w:pPr>
              <w:ind w:left="280"/>
              <w:spacing w:after="0"/>
              <w:rPr>
                <w:sz w:val="20"/>
                <w:szCs w:val="20"/>
                <w:color w:val="auto"/>
              </w:rPr>
            </w:pPr>
            <w:r>
              <w:rPr>
                <w:rFonts w:ascii="Arial" w:cs="Arial" w:eastAsia="Arial" w:hAnsi="Arial"/>
                <w:sz w:val="14"/>
                <w:szCs w:val="14"/>
                <w:color w:val="auto"/>
              </w:rPr>
              <w:t>Rental product depreciation and revenue share</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89.0</w:t>
            </w:r>
          </w:p>
        </w:tc>
      </w:tr>
      <w:tr>
        <w:trPr>
          <w:trHeight w:val="180"/>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depreciation and amortization</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r>
      <w:tr>
        <w:trPr>
          <w:trHeight w:val="180"/>
        </w:trPr>
        <w:tc>
          <w:tcPr>
            <w:tcW w:w="6760" w:type="dxa"/>
            <w:vAlign w:val="bottom"/>
          </w:tcPr>
          <w:p>
            <w:pPr>
              <w:ind w:left="280"/>
              <w:spacing w:after="0"/>
              <w:rPr>
                <w:sz w:val="20"/>
                <w:szCs w:val="20"/>
                <w:color w:val="auto"/>
              </w:rPr>
            </w:pPr>
            <w:r>
              <w:rPr>
                <w:rFonts w:ascii="Arial" w:cs="Arial" w:eastAsia="Arial" w:hAnsi="Arial"/>
                <w:sz w:val="14"/>
                <w:szCs w:val="14"/>
                <w:color w:val="auto"/>
              </w:rPr>
              <w:t>Restructuring charges</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asset impairment related to restructuring</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7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costs and expenses</w:t>
            </w:r>
          </w:p>
        </w:tc>
        <w:tc>
          <w:tcPr>
            <w:tcW w:w="9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329.2</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288.0</w:t>
            </w:r>
          </w:p>
        </w:tc>
      </w:tr>
      <w:tr>
        <w:trPr>
          <w:trHeight w:val="171"/>
        </w:trPr>
        <w:tc>
          <w:tcPr>
            <w:tcW w:w="6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Operating loss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Interest income / (expense), net</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(46.6)</w:t>
            </w:r>
          </w:p>
        </w:tc>
      </w:tr>
      <w:tr>
        <w:trPr>
          <w:trHeight w:val="180"/>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 (loss) on warrant liability revaluation, net</w:t>
            </w:r>
          </w:p>
        </w:tc>
        <w:tc>
          <w:tcPr>
            <w:tcW w:w="9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12"/>
        </w:trPr>
        <w:tc>
          <w:tcPr>
            <w:tcW w:w="6760" w:type="dxa"/>
            <w:vAlign w:val="bottom"/>
          </w:tcPr>
          <w:p>
            <w:pPr>
              <w:ind w:left="20"/>
              <w:spacing w:after="0"/>
              <w:rPr>
                <w:sz w:val="20"/>
                <w:szCs w:val="20"/>
                <w:color w:val="auto"/>
              </w:rPr>
            </w:pPr>
            <w:r>
              <w:rPr>
                <w:rFonts w:ascii="Arial" w:cs="Arial" w:eastAsia="Arial" w:hAnsi="Arial"/>
                <w:sz w:val="14"/>
                <w:szCs w:val="14"/>
                <w:color w:val="auto"/>
              </w:rPr>
              <w:t>Gain / (loss) on debt extinguishment, net</w:t>
            </w: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180"/>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 (expense), net</w:t>
            </w: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71"/>
        </w:trPr>
        <w:tc>
          <w:tcPr>
            <w:tcW w:w="6760" w:type="dxa"/>
            <w:vAlign w:val="bottom"/>
          </w:tcPr>
          <w:p>
            <w:pPr>
              <w:ind w:left="780"/>
              <w:spacing w:after="0"/>
              <w:rPr>
                <w:sz w:val="20"/>
                <w:szCs w:val="20"/>
                <w:color w:val="auto"/>
              </w:rPr>
            </w:pPr>
            <w:r>
              <w:rPr>
                <w:rFonts w:ascii="Arial" w:cs="Arial" w:eastAsia="Arial" w:hAnsi="Arial"/>
                <w:sz w:val="14"/>
                <w:szCs w:val="14"/>
                <w:color w:val="auto"/>
              </w:rPr>
              <w:t>Net loss before income tax benefit / (expense)</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(138.9)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(212.1)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(171.1)</w:t>
            </w:r>
          </w:p>
        </w:tc>
      </w:tr>
      <w:tr>
        <w:trPr>
          <w:trHeight w:val="180"/>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 (expense)</w:t>
            </w: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760" w:type="dxa"/>
            <w:vAlign w:val="bottom"/>
          </w:tcPr>
          <w:p>
            <w:pPr>
              <w:ind w:left="780"/>
              <w:spacing w:after="0"/>
              <w:rPr>
                <w:sz w:val="20"/>
                <w:szCs w:val="20"/>
                <w:color w:val="auto"/>
              </w:rPr>
            </w:pPr>
            <w:r>
              <w:rPr>
                <w:rFonts w:ascii="Arial" w:cs="Arial" w:eastAsia="Arial" w:hAnsi="Arial"/>
                <w:sz w:val="14"/>
                <w:szCs w:val="14"/>
                <w:color w:val="auto"/>
              </w:rPr>
              <w:t>Net loss</w:t>
            </w:r>
          </w:p>
        </w:tc>
        <w:tc>
          <w:tcPr>
            <w:tcW w:w="92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(211.8)</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(171.1)</w:t>
            </w:r>
          </w:p>
        </w:tc>
      </w:tr>
      <w:tr>
        <w:trPr>
          <w:trHeight w:val="20"/>
        </w:trPr>
        <w:tc>
          <w:tcPr>
            <w:tcW w:w="6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years ended January 31, 2023 and 2022</w:t>
      </w:r>
    </w:p>
    <w:p>
      <w:pPr>
        <w:spacing w:after="0" w:line="177"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Total revenue, net was $296.4 million for the year ended January 31, 2023, an increase of $93.1 million, or 45.8%, compared to $203.3 million for the year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January 31, 2022. This increase was primarily driven by the increase in overall demand due to COVID recovery, including an increase in Active and Average Active Subscribers and an increase in revenue per subscriber, partly due to the April 2022 subscription price increase, compared to fiscal year 2021.</w:t>
      </w:r>
    </w:p>
    <w:p>
      <w:pPr>
        <w:spacing w:after="0" w:line="81" w:lineRule="exact"/>
        <w:rPr>
          <w:sz w:val="20"/>
          <w:szCs w:val="20"/>
          <w:color w:val="auto"/>
        </w:rPr>
      </w:pPr>
    </w:p>
    <w:p>
      <w:pPr>
        <w:ind w:right="140"/>
        <w:spacing w:after="0"/>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Subscription and Reserve rental revenue was $268.6 million for the year ended January 31, 2023, an increase of $82.8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44.6%, compared to $185.8 million for the year ended January 31, 2022. This increase was primarily driven by an increase in Average Active Subscribers year-over-year and an increase in revenue per subscriber which partly resulted from the price increase announced in April 2022.</w:t>
      </w:r>
    </w:p>
    <w:p>
      <w:pPr>
        <w:spacing w:after="0" w:line="90"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i w:val="1"/>
          <w:iCs w:val="1"/>
          <w:color w:val="auto"/>
        </w:rPr>
        <w:t>Other Revenue.</w:t>
      </w:r>
      <w:r>
        <w:rPr>
          <w:sz w:val="20"/>
          <w:szCs w:val="20"/>
          <w:color w:val="auto"/>
        </w:rPr>
        <w:tab/>
      </w:r>
      <w:r>
        <w:rPr>
          <w:rFonts w:ascii="Arial" w:cs="Arial" w:eastAsia="Arial" w:hAnsi="Arial"/>
          <w:sz w:val="14"/>
          <w:szCs w:val="14"/>
          <w:color w:val="auto"/>
        </w:rPr>
        <w:t>Other revenue was $27.8 million for the year ended January 31, 2023, an increase of $10.3 million, or 58.9%, compared to $17.5 million for the year ended</w:t>
      </w:r>
    </w:p>
    <w:p>
      <w:pPr>
        <w:spacing w:after="0" w:line="12"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January 31, 2022. This increase was primarily driven by an increase in active subscribers which resulted in increased purchases of resale items. Other revenue represented 9.4% of total revenue, up from 8.6% in the same period of fiscal year 2021, primarily due to increased purchases of resale items by our subscribers during fiscal year 2022 and also due to $2.3 million of revenue recognized from a pilot to sell our brand new Exclusive Design products wholesale to a third party retailer.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b w:val="1"/>
          <w:bCs w:val="1"/>
          <w:i w:val="1"/>
          <w:iCs w:val="1"/>
          <w:color w:val="auto"/>
        </w:rPr>
        <w:t xml:space="preserve">Costs and Expenses. </w:t>
      </w:r>
      <w:r>
        <w:rPr>
          <w:rFonts w:ascii="Arial" w:cs="Arial" w:eastAsia="Arial" w:hAnsi="Arial"/>
          <w:sz w:val="14"/>
          <w:szCs w:val="14"/>
          <w:color w:val="auto"/>
        </w:rPr>
        <w:t>Total costs and expenses were $400.0 million for the year ended January 31, 2023, an increase of $70.8 million, or 21.5%, compared to $329.2 million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year ended January 31, 2022. This increase was primarily driven by an increase in fulfillment, technology, paid marketing and G&amp;A expenses to support our growth, public company costs and charges related to the September 2022 restructuring plan. These increases were partially offset by cost savings from the September 2022 restructuring plan which reduced costs for the fourth quarter and part of the third quarter of fiscal year 2022. Fiscal year 2021 also included costs incurred for one-time IPO-related RSU vesting events and one-time costs associated with public company readiness.</w:t>
      </w:r>
    </w:p>
    <w:p>
      <w:pPr>
        <w:spacing w:after="0" w:line="97" w:lineRule="exact"/>
        <w:rPr>
          <w:sz w:val="20"/>
          <w:szCs w:val="20"/>
          <w:color w:val="auto"/>
        </w:rPr>
      </w:pPr>
    </w:p>
    <w:p>
      <w:pPr>
        <w:jc w:val="both"/>
        <w:ind w:right="260"/>
        <w:spacing w:after="0" w:line="271"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were $92.2 million for the year ended January 31, 2023, an increase of $30.3 million, or 48.9%, representing 31.1% of revenue, compared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$61.9 million for the year ended January 31, 2022, representing 30.4% of revenue. The increase in fulfillment dollars and as a percentage of revenue was primarily driven by an increase in shipments associated with higher revenue and an increase in transportation costs and wage rates, partially offset by fulfillment process improvements.</w:t>
      </w:r>
    </w:p>
    <w:p>
      <w:pPr>
        <w:spacing w:after="0" w:line="91"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were $55.4 million for the year ended January 31, 2023, an increase of $10.1 million, or 22.3%, compared to $45.3 million for the year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January 31, 2022. This increase was primarily driven by an increase in strategic investments and personnel costs to support future growth initiatives, including back-end infrastructure and cloud investments that provide scaling and efficiency benefits and support our work to provide an enhanced search, fit and discovery experience for the consumer. Technology expenses were 18.7% of revenue for the year ended January 31, 2023 compared to 22.3% last year as we saw increased operating leverage with higher revenue. Technology related share-based compensation expense was $5.9 million for the year ended January 31, 2023 and was $4.2 million for the same period last year.</w:t>
      </w:r>
    </w:p>
    <w:p>
      <w:pPr>
        <w:spacing w:after="0" w:line="97"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were $35.1 million for the year ended January 31, 2023, an increase of $8.6 million, or 32.5%, compared to $26.5 million for the year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January 31, 2022. This increase was driven by increased marketing initiatives as compared to last year when we reduced paid and brand marketing spend during the first and second quarters of fiscal year 2021 related to the COVID-19 pandemic. Marketing expenses unrelated to personnel costs were $30.7 million in the year ended January 31, 2023 and 10.3% of revenue, compared to $20.6 million last year and 10.1% of total revenue.</w:t>
      </w:r>
    </w:p>
    <w:p>
      <w:pPr>
        <w:spacing w:after="0" w:line="148" w:lineRule="exact"/>
        <w:rPr>
          <w:sz w:val="20"/>
          <w:szCs w:val="20"/>
          <w:color w:val="auto"/>
        </w:rPr>
      </w:pPr>
    </w:p>
    <w:p>
      <w:pPr>
        <w:ind w:right="20"/>
        <w:spacing w:after="0"/>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were $109.0 million for the year ended January 31, 2023, an increase of $4.6 million, or 4.4%,</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$104.4 million for the year ended January 31, 2022. This increase was primarily driven by the increase in personnel costs required to support our growth as a public company as well as other costs associated with revenue growth. These increases were partially offset by cost savings from the September 2022 restructuring plan recognized in the third and fourth quarters of fiscal year 2022. The prior year period also included costs incurred for one-time IPO-related RSU vesting events and one-time costs associated with public company readiness. In addition, we recognized proceeds from a new liquidation partnership with Amazon which positively impacted G&amp;A expenses by $2.3 million in the third and fourth quarters of fiscal year 2022. G&amp;A expenses as a percentage of revenue were 36.8%, compared to 51.4% last year as we saw increased operating leverage with higher</w:t>
      </w:r>
    </w:p>
    <w:p>
      <w:pPr>
        <w:spacing w:after="0" w:line="3" w:lineRule="exact"/>
        <w:rPr>
          <w:sz w:val="20"/>
          <w:szCs w:val="20"/>
          <w:color w:val="auto"/>
        </w:rPr>
      </w:pPr>
    </w:p>
    <w:p>
      <w:pPr>
        <w:ind w:right="200"/>
        <w:spacing w:after="0" w:line="229" w:lineRule="auto"/>
        <w:rPr>
          <w:sz w:val="20"/>
          <w:szCs w:val="20"/>
          <w:color w:val="auto"/>
        </w:rPr>
      </w:pPr>
      <w:r>
        <w:rPr>
          <w:rFonts w:ascii="Arial" w:cs="Arial" w:eastAsia="Arial" w:hAnsi="Arial"/>
          <w:sz w:val="14"/>
          <w:szCs w:val="14"/>
          <w:color w:val="auto"/>
        </w:rPr>
        <w:t>revenue and a lower cost base post-restructuring. G&amp;A related share-based compensation expense was $19.0 million for the year ended January 31, 2023 and was $21.4 million for the prior year. We generally expect these expenses to decrease in fiscal year 2023, compared with fiscal year 2022, as a result of the aforementioned restructuring; however,</w:t>
      </w:r>
    </w:p>
    <w:p>
      <w:pPr>
        <w:spacing w:after="0"/>
        <w:rPr>
          <w:sz w:val="20"/>
          <w:szCs w:val="20"/>
          <w:color w:val="auto"/>
        </w:rPr>
      </w:pPr>
      <w:r>
        <w:rPr>
          <w:rFonts w:ascii="Arial" w:cs="Arial" w:eastAsia="Arial" w:hAnsi="Arial"/>
          <w:sz w:val="14"/>
          <w:szCs w:val="14"/>
          <w:color w:val="auto"/>
        </w:rPr>
        <w:t>share-based compensation expense is expected to increase incrementally in fiscal year 2023.</w:t>
      </w:r>
    </w:p>
    <w:p>
      <w:pPr>
        <w:spacing w:after="0" w:line="122" w:lineRule="exact"/>
        <w:rPr>
          <w:sz w:val="20"/>
          <w:szCs w:val="20"/>
          <w:color w:val="auto"/>
        </w:rPr>
      </w:pPr>
    </w:p>
    <w:p>
      <w:pPr>
        <w:spacing w:after="0"/>
        <w:tabs>
          <w:tab w:leader="none" w:pos="3440" w:val="left"/>
        </w:tabs>
        <w:rPr>
          <w:sz w:val="20"/>
          <w:szCs w:val="20"/>
          <w:color w:val="auto"/>
        </w:rPr>
      </w:pPr>
      <w:r>
        <w:rPr>
          <w:rFonts w:ascii="Arial" w:cs="Arial" w:eastAsia="Arial" w:hAnsi="Arial"/>
          <w:sz w:val="14"/>
          <w:szCs w:val="14"/>
          <w:b w:val="1"/>
          <w:bCs w:val="1"/>
          <w:i w:val="1"/>
          <w:iCs w:val="1"/>
          <w:color w:val="auto"/>
        </w:rPr>
        <w:t>Rental Product Depreciation and Revenue Share.</w:t>
      </w:r>
      <w:r>
        <w:rPr>
          <w:sz w:val="20"/>
          <w:szCs w:val="20"/>
          <w:color w:val="auto"/>
        </w:rPr>
        <w:tab/>
      </w:r>
      <w:r>
        <w:rPr>
          <w:rFonts w:ascii="Arial" w:cs="Arial" w:eastAsia="Arial" w:hAnsi="Arial"/>
          <w:sz w:val="14"/>
          <w:szCs w:val="14"/>
          <w:color w:val="auto"/>
        </w:rPr>
        <w:t>Rental product depreciation and revenue share was $84.2 million for the year ended January 31, 2023, an increase of</w:t>
      </w:r>
    </w:p>
    <w:p>
      <w:pPr>
        <w:spacing w:after="0" w:line="23" w:lineRule="exact"/>
        <w:rPr>
          <w:sz w:val="20"/>
          <w:szCs w:val="20"/>
          <w:color w:val="auto"/>
        </w:rPr>
      </w:pPr>
    </w:p>
    <w:p>
      <w:pPr>
        <w:jc w:val="both"/>
        <w:ind w:right="60"/>
        <w:spacing w:after="0" w:line="261" w:lineRule="auto"/>
        <w:rPr>
          <w:sz w:val="20"/>
          <w:szCs w:val="20"/>
          <w:color w:val="auto"/>
        </w:rPr>
      </w:pPr>
      <w:r>
        <w:rPr>
          <w:rFonts w:ascii="Arial" w:cs="Arial" w:eastAsia="Arial" w:hAnsi="Arial"/>
          <w:sz w:val="14"/>
          <w:szCs w:val="14"/>
          <w:color w:val="auto"/>
        </w:rPr>
        <w:t>$12.5 million, or 17.4%, compared to $71.7 million for the year ended January 31, 2022. The increase is primarily a result of an increase in revenue share payments due to a higher proportion of Share by RTR items rented. Rental product depreciation and revenue share was 28.4% of revenue in the year ended January 31, 2023, down from 35.3% in the prior year primarily due to rental product depreciation decreasing as a percentage of revenue as costs were absorbed over a larger revenue base.</w:t>
      </w:r>
    </w:p>
    <w:p>
      <w:pPr>
        <w:spacing w:after="0" w:line="97"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was $16.4 million for the year ended January 31, 2023, a decrease of $(3.0) million, or (15.5)%,</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$19.4 million for the year ended January 31, 2022. This decrease was primarily driven by lower depreciation associated with leasehold improvements.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Restructuring charges were $2.4 million for the year ended January 31, 2023 for severance and related costs in connection with the September 2022</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restructuring plan.</w:t>
      </w:r>
    </w:p>
    <w:p>
      <w:pPr>
        <w:spacing w:after="0" w:line="120"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b w:val="1"/>
          <w:bCs w:val="1"/>
          <w:i w:val="1"/>
          <w:iCs w:val="1"/>
          <w:color w:val="auto"/>
        </w:rPr>
        <w:t>Loss on Asset Impairment Related to Restructuring</w:t>
      </w:r>
      <w:r>
        <w:rPr>
          <w:rFonts w:ascii="Arial" w:cs="Arial" w:eastAsia="Arial" w:hAnsi="Arial"/>
          <w:sz w:val="14"/>
          <w:szCs w:val="14"/>
          <w:color w:val="auto"/>
        </w:rPr>
        <w:t>. Loss on asset impairment related to restructuring was $5.3 million for the year ended January 31, 2023 and consists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asset impairment charges related to discontinuing two warehouse operations projects in connection with the September 2022 restructuring plan.</w:t>
      </w:r>
    </w:p>
    <w:p>
      <w:pPr>
        <w:spacing w:after="0" w:line="78"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b w:val="1"/>
          <w:bCs w:val="1"/>
          <w:i w:val="1"/>
          <w:iCs w:val="1"/>
          <w:color w:val="auto"/>
        </w:rPr>
        <w:t xml:space="preserve">Interest Income / (Expense), Net. </w:t>
      </w:r>
      <w:r>
        <w:rPr>
          <w:rFonts w:ascii="Arial" w:cs="Arial" w:eastAsia="Arial" w:hAnsi="Arial"/>
          <w:sz w:val="14"/>
          <w:szCs w:val="14"/>
          <w:color w:val="auto"/>
        </w:rPr>
        <w:t>Interest expense, net was $(36.8) million for the year ended January 31, 2023, a decrease in expense of $16.2 million, or (30.6)%, compared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$(53.0) million for the year ended January 31, 2022. This decrease was driven by the accrued payment-in-kind interest related to the additional Ares debt entered in October 2020 that was paid down in full in October 2021 and also due to higher interest income in fiscal year 2022. Of the $(36.8) million total interest expense in the year ended</w:t>
      </w:r>
    </w:p>
    <w:p>
      <w:pPr>
        <w:ind w:right="20"/>
        <w:spacing w:after="0" w:line="261" w:lineRule="auto"/>
        <w:rPr>
          <w:sz w:val="20"/>
          <w:szCs w:val="20"/>
          <w:color w:val="auto"/>
        </w:rPr>
      </w:pPr>
      <w:r>
        <w:rPr>
          <w:rFonts w:ascii="Arial" w:cs="Arial" w:eastAsia="Arial" w:hAnsi="Arial"/>
          <w:sz w:val="14"/>
          <w:szCs w:val="14"/>
          <w:color w:val="auto"/>
        </w:rPr>
        <w:t>January 31, 2023, $14.3 million was the accrual of paid-in kind (“PIK”) interest, $18.2 million was cash, financing lease interest and other interest and $ 4.3 million was debt discount amortization, compared to $38.8 million of PIK interest, $8.3 million of cash, financing lease interest and other interest and $5.9 million of debt discount amortization in the year ended January 31, 2022.</w:t>
      </w:r>
    </w:p>
    <w:p>
      <w:pPr>
        <w:spacing w:after="0" w:line="97"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b w:val="1"/>
          <w:bCs w:val="1"/>
          <w:i w:val="1"/>
          <w:iCs w:val="1"/>
          <w:color w:val="auto"/>
        </w:rPr>
        <w:t xml:space="preserve">Gain / (Loss) on Warrant Liability Revaluation, Net. </w:t>
      </w:r>
      <w:r>
        <w:rPr>
          <w:rFonts w:ascii="Arial" w:cs="Arial" w:eastAsia="Arial" w:hAnsi="Arial"/>
          <w:sz w:val="14"/>
          <w:szCs w:val="14"/>
          <w:color w:val="auto"/>
        </w:rPr>
        <w:t>Gain / (loss) on warrant liability revaluation, net was $(24.9) million for the year ended January 31, 2022. As of January 31,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2022, all of the Company’s outstanding warrants are equity-classified and, as such, did not require fair value remeasurement during the period.</w:t>
      </w:r>
    </w:p>
    <w:p>
      <w:pPr>
        <w:spacing w:after="0" w:line="78"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b w:val="1"/>
          <w:bCs w:val="1"/>
          <w:i w:val="1"/>
          <w:iCs w:val="1"/>
          <w:color w:val="auto"/>
        </w:rPr>
        <w:t xml:space="preserve">Gain / (Loss) on Debt Extinguishment, Net. </w:t>
      </w:r>
      <w:r>
        <w:rPr>
          <w:rFonts w:ascii="Arial" w:cs="Arial" w:eastAsia="Arial" w:hAnsi="Arial"/>
          <w:sz w:val="14"/>
          <w:szCs w:val="14"/>
          <w:color w:val="auto"/>
        </w:rPr>
        <w:t>Gain / (loss) on debt extinguishment, net was $(12.2) million for the year ended January 31, 2022. The costs were associated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fees and unamortized debt issuance costs related to the Ares debt paydown upon the IPO. These charges were primarily non-cash and are associated with debt paydown transactions which are non-recurring.</w:t>
      </w:r>
    </w:p>
    <w:p>
      <w:pPr>
        <w:spacing w:after="0" w:line="91" w:lineRule="exact"/>
        <w:rPr>
          <w:sz w:val="20"/>
          <w:szCs w:val="20"/>
          <w:color w:val="auto"/>
        </w:rPr>
      </w:pPr>
    </w:p>
    <w:p>
      <w:pPr>
        <w:ind w:right="200"/>
        <w:spacing w:after="0" w:line="308" w:lineRule="auto"/>
        <w:rPr>
          <w:sz w:val="20"/>
          <w:szCs w:val="20"/>
          <w:color w:val="auto"/>
        </w:rPr>
      </w:pPr>
      <w:r>
        <w:rPr>
          <w:rFonts w:ascii="Arial" w:cs="Arial" w:eastAsia="Arial" w:hAnsi="Arial"/>
          <w:sz w:val="14"/>
          <w:szCs w:val="14"/>
          <w:b w:val="1"/>
          <w:bCs w:val="1"/>
          <w:i w:val="1"/>
          <w:iCs w:val="1"/>
          <w:color w:val="auto"/>
        </w:rPr>
        <w:t xml:space="preserve">Other Income / (Expense), Net. </w:t>
      </w:r>
      <w:r>
        <w:rPr>
          <w:rFonts w:ascii="Arial" w:cs="Arial" w:eastAsia="Arial" w:hAnsi="Arial"/>
          <w:sz w:val="14"/>
          <w:szCs w:val="14"/>
          <w:color w:val="auto"/>
        </w:rPr>
        <w:t>Other income / (expense), net was $1.5 million for the year ended January 31, 2023, a decrease of $(2.4) million, compared to $3.9 million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year ended January 31, 2022. This decrease was primarily driven by $4.0 million of insurance claim proceeds, which were settled during the year ended January 31, 2022</w:t>
      </w:r>
      <w:r>
        <w:rPr>
          <w:rFonts w:ascii="Arial" w:cs="Arial" w:eastAsia="Arial" w:hAnsi="Arial"/>
          <w:sz w:val="16"/>
          <w:szCs w:val="16"/>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Metrics</w:t>
      </w:r>
    </w:p>
    <w:p>
      <w:pPr>
        <w:spacing w:after="0" w:line="94"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Annual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23" w:lineRule="exact"/>
        <w:rPr>
          <w:sz w:val="20"/>
          <w:szCs w:val="20"/>
          <w:color w:val="auto"/>
        </w:rPr>
      </w:pPr>
    </w:p>
    <w:p>
      <w:pPr>
        <w:spacing w:after="0" w:line="249" w:lineRule="auto"/>
        <w:rPr>
          <w:sz w:val="20"/>
          <w:szCs w:val="20"/>
          <w:color w:val="auto"/>
        </w:rPr>
      </w:pPr>
      <w:r>
        <w:rPr>
          <w:rFonts w:ascii="Arial" w:cs="Arial" w:eastAsia="Arial" w:hAnsi="Arial"/>
          <w:sz w:val="14"/>
          <w:szCs w:val="14"/>
          <w:b w:val="1"/>
          <w:bCs w:val="1"/>
          <w:i w:val="1"/>
          <w:iCs w:val="1"/>
          <w:color w:val="auto"/>
        </w:rPr>
        <w:t xml:space="preserve">Adjusted EBITDA and Adjusted EBITDA Margin. </w:t>
      </w:r>
      <w:r>
        <w:rPr>
          <w:rFonts w:ascii="Arial" w:cs="Arial" w:eastAsia="Arial" w:hAnsi="Arial"/>
          <w:sz w:val="14"/>
          <w:szCs w:val="14"/>
          <w:color w:val="auto"/>
        </w:rPr>
        <w:t>Adjusted EBITDA and Adjusted EBITDA Margin are key performance measures used by management to assess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performance and the operating leverage of our business prior to capital expenditures. Our Adjusted EBITDA margins have improved from (9.4)% in the year ended January 31, 2022 to 2.3% in the year ended January 31, 2023. The pilot to sell brand new Exclusive Design products wholesale to a third party retailer and launch of a new liquidation partnership together contributed $5.1 million to Adjusted EBITDA in the year ended January 31, 2023.</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reconciliation of net loss, the most comparable GAAP financial measure, to Adjusted EBITDA for the periods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7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Years Ended January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5"/>
        </w:trPr>
        <w:tc>
          <w:tcPr>
            <w:tcW w:w="572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5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2021</w:t>
            </w:r>
          </w:p>
        </w:tc>
      </w:tr>
      <w:tr>
        <w:trPr>
          <w:trHeight w:val="150"/>
        </w:trPr>
        <w:tc>
          <w:tcPr>
            <w:tcW w:w="5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1"/>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(211.8)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(171.1)</w:t>
            </w:r>
          </w:p>
        </w:tc>
      </w:tr>
      <w:tr>
        <w:trPr>
          <w:trHeight w:val="180"/>
        </w:trPr>
        <w:tc>
          <w:tcPr>
            <w:tcW w:w="5720" w:type="dxa"/>
            <w:vAlign w:val="bottom"/>
          </w:tcPr>
          <w:p>
            <w:pPr>
              <w:ind w:left="20"/>
              <w:spacing w:after="0"/>
              <w:rPr>
                <w:sz w:val="20"/>
                <w:szCs w:val="20"/>
                <w:color w:val="auto"/>
              </w:rPr>
            </w:pPr>
            <w:r>
              <w:rPr>
                <w:rFonts w:ascii="Arial" w:cs="Arial" w:eastAsia="Arial" w:hAnsi="Arial"/>
                <w:sz w:val="14"/>
                <w:szCs w:val="14"/>
                <w:color w:val="auto"/>
              </w:rPr>
              <w:t>Interest (income) / expense, net (1)</w:t>
            </w:r>
          </w:p>
        </w:tc>
        <w:tc>
          <w:tcPr>
            <w:tcW w:w="94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color w:val="auto"/>
              </w:rPr>
              <w:t>36.8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111"/>
              <w:spacing w:after="0"/>
              <w:rPr>
                <w:sz w:val="20"/>
                <w:szCs w:val="20"/>
                <w:color w:val="auto"/>
              </w:rPr>
            </w:pPr>
            <w:r>
              <w:rPr>
                <w:rFonts w:ascii="Arial" w:cs="Arial" w:eastAsia="Arial" w:hAnsi="Arial"/>
                <w:sz w:val="14"/>
                <w:szCs w:val="14"/>
                <w:color w:val="auto"/>
              </w:rPr>
              <w:t>53.0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130"/>
              <w:spacing w:after="0"/>
              <w:rPr>
                <w:sz w:val="20"/>
                <w:szCs w:val="20"/>
                <w:color w:val="auto"/>
              </w:rPr>
            </w:pPr>
            <w:r>
              <w:rPr>
                <w:rFonts w:ascii="Arial" w:cs="Arial" w:eastAsia="Arial" w:hAnsi="Arial"/>
                <w:sz w:val="14"/>
                <w:szCs w:val="14"/>
                <w:color w:val="auto"/>
              </w:rPr>
              <w:t>46.6</w:t>
            </w:r>
          </w:p>
        </w:tc>
      </w:tr>
      <w:tr>
        <w:trPr>
          <w:trHeight w:val="18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Rental product depreciation</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52.9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50.3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69.9</w:t>
            </w:r>
          </w:p>
        </w:tc>
      </w:tr>
      <w:tr>
        <w:trPr>
          <w:trHeight w:val="180"/>
        </w:trPr>
        <w:tc>
          <w:tcPr>
            <w:tcW w:w="5720" w:type="dxa"/>
            <w:vAlign w:val="bottom"/>
          </w:tcPr>
          <w:p>
            <w:pPr>
              <w:ind w:left="20"/>
              <w:spacing w:after="0"/>
              <w:rPr>
                <w:sz w:val="20"/>
                <w:szCs w:val="20"/>
                <w:color w:val="auto"/>
              </w:rPr>
            </w:pPr>
            <w:r>
              <w:rPr>
                <w:rFonts w:ascii="Arial" w:cs="Arial" w:eastAsia="Arial" w:hAnsi="Arial"/>
                <w:sz w:val="14"/>
                <w:szCs w:val="14"/>
                <w:color w:val="auto"/>
              </w:rPr>
              <w:t>Other depreciation and amortization (2)</w:t>
            </w:r>
          </w:p>
        </w:tc>
        <w:tc>
          <w:tcPr>
            <w:tcW w:w="94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111"/>
              <w:spacing w:after="0"/>
              <w:rPr>
                <w:sz w:val="20"/>
                <w:szCs w:val="20"/>
                <w:color w:val="auto"/>
              </w:rPr>
            </w:pPr>
            <w:r>
              <w:rPr>
                <w:rFonts w:ascii="Arial" w:cs="Arial" w:eastAsia="Arial" w:hAnsi="Arial"/>
                <w:sz w:val="14"/>
                <w:szCs w:val="14"/>
                <w:color w:val="auto"/>
              </w:rPr>
              <w:t>19.4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130"/>
              <w:spacing w:after="0"/>
              <w:rPr>
                <w:sz w:val="20"/>
                <w:szCs w:val="20"/>
                <w:color w:val="auto"/>
              </w:rPr>
            </w:pPr>
            <w:r>
              <w:rPr>
                <w:rFonts w:ascii="Arial" w:cs="Arial" w:eastAsia="Arial" w:hAnsi="Arial"/>
                <w:sz w:val="14"/>
                <w:szCs w:val="14"/>
                <w:color w:val="auto"/>
              </w:rPr>
              <w:t>23.0</w:t>
            </w:r>
          </w:p>
        </w:tc>
      </w:tr>
      <w:tr>
        <w:trPr>
          <w:trHeight w:val="18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(3)</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26.6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8.2</w:t>
            </w:r>
          </w:p>
        </w:tc>
      </w:tr>
      <w:tr>
        <w:trPr>
          <w:trHeight w:val="180"/>
        </w:trPr>
        <w:tc>
          <w:tcPr>
            <w:tcW w:w="5720" w:type="dxa"/>
            <w:vAlign w:val="bottom"/>
          </w:tcPr>
          <w:p>
            <w:pPr>
              <w:ind w:left="20"/>
              <w:spacing w:after="0"/>
              <w:rPr>
                <w:sz w:val="20"/>
                <w:szCs w:val="20"/>
                <w:color w:val="auto"/>
              </w:rPr>
            </w:pPr>
            <w:r>
              <w:rPr>
                <w:rFonts w:ascii="Arial" w:cs="Arial" w:eastAsia="Arial" w:hAnsi="Arial"/>
                <w:sz w:val="14"/>
                <w:szCs w:val="14"/>
                <w:color w:val="auto"/>
              </w:rPr>
              <w:t>Write-off of liquidated assets (4)</w:t>
            </w:r>
          </w:p>
        </w:tc>
        <w:tc>
          <w:tcPr>
            <w:tcW w:w="94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111"/>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130"/>
              <w:spacing w:after="0"/>
              <w:rPr>
                <w:sz w:val="20"/>
                <w:szCs w:val="20"/>
                <w:color w:val="auto"/>
              </w:rPr>
            </w:pPr>
            <w:r>
              <w:rPr>
                <w:rFonts w:ascii="Arial" w:cs="Arial" w:eastAsia="Arial" w:hAnsi="Arial"/>
                <w:sz w:val="14"/>
                <w:szCs w:val="14"/>
                <w:color w:val="auto"/>
              </w:rPr>
              <w:t>3.3</w:t>
            </w:r>
          </w:p>
        </w:tc>
      </w:tr>
      <w:tr>
        <w:trPr>
          <w:trHeight w:val="18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Non-recurring adjustments (5)</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4.2</w:t>
            </w:r>
          </w:p>
        </w:tc>
      </w:tr>
      <w:tr>
        <w:trPr>
          <w:trHeight w:val="180"/>
        </w:trPr>
        <w:tc>
          <w:tcPr>
            <w:tcW w:w="5720" w:type="dxa"/>
            <w:vAlign w:val="bottom"/>
          </w:tcPr>
          <w:p>
            <w:pPr>
              <w:ind w:left="20"/>
              <w:spacing w:after="0"/>
              <w:rPr>
                <w:sz w:val="20"/>
                <w:szCs w:val="20"/>
                <w:color w:val="auto"/>
              </w:rPr>
            </w:pPr>
            <w:r>
              <w:rPr>
                <w:rFonts w:ascii="Arial" w:cs="Arial" w:eastAsia="Arial" w:hAnsi="Arial"/>
                <w:sz w:val="14"/>
                <w:szCs w:val="14"/>
                <w:color w:val="auto"/>
              </w:rPr>
              <w:t>Non-ordinary course legal fees (6)</w:t>
            </w:r>
          </w:p>
        </w:tc>
        <w:tc>
          <w:tcPr>
            <w:tcW w:w="94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ind w:right="130"/>
              <w:spacing w:after="0"/>
              <w:rPr>
                <w:sz w:val="20"/>
                <w:szCs w:val="20"/>
                <w:color w:val="auto"/>
              </w:rPr>
            </w:pPr>
            <w:r>
              <w:rPr>
                <w:rFonts w:ascii="Arial" w:cs="Arial" w:eastAsia="Arial" w:hAnsi="Arial"/>
                <w:sz w:val="14"/>
                <w:szCs w:val="14"/>
                <w:color w:val="auto"/>
              </w:rPr>
              <w:t>—</w:t>
            </w:r>
          </w:p>
        </w:tc>
      </w:tr>
      <w:tr>
        <w:trPr>
          <w:trHeight w:val="18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 (7)</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r>
      <w:tr>
        <w:trPr>
          <w:trHeight w:val="180"/>
        </w:trPr>
        <w:tc>
          <w:tcPr>
            <w:tcW w:w="5720" w:type="dxa"/>
            <w:vAlign w:val="bottom"/>
          </w:tcPr>
          <w:p>
            <w:pPr>
              <w:ind w:left="20"/>
              <w:spacing w:after="0"/>
              <w:rPr>
                <w:sz w:val="20"/>
                <w:szCs w:val="20"/>
                <w:color w:val="auto"/>
              </w:rPr>
            </w:pPr>
            <w:r>
              <w:rPr>
                <w:rFonts w:ascii="Arial" w:cs="Arial" w:eastAsia="Arial" w:hAnsi="Arial"/>
                <w:sz w:val="14"/>
                <w:szCs w:val="14"/>
                <w:color w:val="auto"/>
              </w:rPr>
              <w:t>Loss on asset impairment related to restructuring (8)</w:t>
            </w:r>
          </w:p>
        </w:tc>
        <w:tc>
          <w:tcPr>
            <w:tcW w:w="94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ind w:right="130"/>
              <w:spacing w:after="0"/>
              <w:rPr>
                <w:sz w:val="20"/>
                <w:szCs w:val="20"/>
                <w:color w:val="auto"/>
              </w:rPr>
            </w:pPr>
            <w:r>
              <w:rPr>
                <w:rFonts w:ascii="Arial" w:cs="Arial" w:eastAsia="Arial" w:hAnsi="Arial"/>
                <w:sz w:val="14"/>
                <w:szCs w:val="14"/>
                <w:color w:val="auto"/>
              </w:rPr>
              <w:t>—</w:t>
            </w:r>
          </w:p>
        </w:tc>
      </w:tr>
      <w:tr>
        <w:trPr>
          <w:trHeight w:val="18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 expense</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r>
      <w:tr>
        <w:trPr>
          <w:trHeight w:val="180"/>
        </w:trPr>
        <w:tc>
          <w:tcPr>
            <w:tcW w:w="5720" w:type="dxa"/>
            <w:vAlign w:val="bottom"/>
          </w:tcPr>
          <w:p>
            <w:pPr>
              <w:ind w:left="20"/>
              <w:spacing w:after="0"/>
              <w:rPr>
                <w:sz w:val="20"/>
                <w:szCs w:val="20"/>
                <w:color w:val="auto"/>
              </w:rPr>
            </w:pPr>
            <w:r>
              <w:rPr>
                <w:rFonts w:ascii="Arial" w:cs="Arial" w:eastAsia="Arial" w:hAnsi="Arial"/>
                <w:sz w:val="14"/>
                <w:szCs w:val="14"/>
                <w:color w:val="auto"/>
              </w:rPr>
              <w:t>(Gain) / loss on warrant liability revaluation, net (9)</w:t>
            </w:r>
          </w:p>
        </w:tc>
        <w:tc>
          <w:tcPr>
            <w:tcW w:w="94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60" w:type="dxa"/>
            <w:vAlign w:val="bottom"/>
          </w:tcPr>
          <w:p>
            <w:pPr>
              <w:jc w:val="right"/>
              <w:ind w:right="111"/>
              <w:spacing w:after="0"/>
              <w:rPr>
                <w:sz w:val="20"/>
                <w:szCs w:val="20"/>
                <w:color w:val="auto"/>
              </w:rPr>
            </w:pPr>
            <w:r>
              <w:rPr>
                <w:rFonts w:ascii="Arial" w:cs="Arial" w:eastAsia="Arial" w:hAnsi="Arial"/>
                <w:sz w:val="14"/>
                <w:szCs w:val="14"/>
                <w:color w:val="auto"/>
              </w:rPr>
              <w:t>24.9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90"/>
              <w:spacing w:after="0"/>
              <w:rPr>
                <w:sz w:val="20"/>
                <w:szCs w:val="20"/>
                <w:color w:val="auto"/>
              </w:rPr>
            </w:pPr>
            <w:r>
              <w:rPr>
                <w:rFonts w:ascii="Arial" w:cs="Arial" w:eastAsia="Arial" w:hAnsi="Arial"/>
                <w:sz w:val="14"/>
                <w:szCs w:val="14"/>
                <w:color w:val="auto"/>
              </w:rPr>
              <w:t>(0.4)</w:t>
            </w:r>
          </w:p>
        </w:tc>
      </w:tr>
      <w:tr>
        <w:trPr>
          <w:trHeight w:val="18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 loss on debt extinguishment, net (10)</w:t>
            </w:r>
          </w:p>
        </w:tc>
        <w:tc>
          <w:tcPr>
            <w:tcW w:w="9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0.6</w:t>
            </w:r>
          </w:p>
        </w:tc>
      </w:tr>
      <w:tr>
        <w:trPr>
          <w:trHeight w:val="180"/>
        </w:trPr>
        <w:tc>
          <w:tcPr>
            <w:tcW w:w="5720" w:type="dxa"/>
            <w:vAlign w:val="bottom"/>
          </w:tcPr>
          <w:p>
            <w:pPr>
              <w:ind w:left="20"/>
              <w:spacing w:after="0"/>
              <w:rPr>
                <w:sz w:val="20"/>
                <w:szCs w:val="20"/>
                <w:color w:val="auto"/>
              </w:rPr>
            </w:pPr>
            <w:r>
              <w:rPr>
                <w:rFonts w:ascii="Arial" w:cs="Arial" w:eastAsia="Arial" w:hAnsi="Arial"/>
                <w:sz w:val="14"/>
                <w:szCs w:val="14"/>
                <w:color w:val="auto"/>
              </w:rPr>
              <w:t>Other (income) / expense, net (11)</w:t>
            </w:r>
          </w:p>
        </w:tc>
        <w:tc>
          <w:tcPr>
            <w:tcW w:w="940" w:type="dxa"/>
            <w:vAlign w:val="bottom"/>
          </w:tcPr>
          <w:p>
            <w:pPr>
              <w:spacing w:after="0"/>
              <w:rPr>
                <w:sz w:val="15"/>
                <w:szCs w:val="15"/>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71"/>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90"/>
              <w:spacing w:after="0"/>
              <w:rPr>
                <w:sz w:val="20"/>
                <w:szCs w:val="20"/>
                <w:color w:val="auto"/>
              </w:rPr>
            </w:pPr>
            <w:r>
              <w:rPr>
                <w:rFonts w:ascii="Arial" w:cs="Arial" w:eastAsia="Arial" w:hAnsi="Arial"/>
                <w:sz w:val="14"/>
                <w:szCs w:val="14"/>
                <w:color w:val="auto"/>
              </w:rPr>
              <w:t>(6.2)</w:t>
            </w:r>
          </w:p>
        </w:tc>
      </w:tr>
      <w:tr>
        <w:trPr>
          <w:trHeight w:val="18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(gains) / losses (12)</w:t>
            </w: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1.6</w:t>
            </w:r>
          </w:p>
        </w:tc>
      </w:tr>
      <w:tr>
        <w:trPr>
          <w:trHeight w:val="171"/>
        </w:trPr>
        <w:tc>
          <w:tcPr>
            <w:tcW w:w="572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94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(20.3)</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 Margin (13)</w:t>
            </w: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260" w:hanging="255"/>
        <w:spacing w:after="0" w:line="230" w:lineRule="auto"/>
        <w:tabs>
          <w:tab w:leader="none" w:pos="260" w:val="left"/>
        </w:tabs>
        <w:numPr>
          <w:ilvl w:val="0"/>
          <w:numId w:val="55"/>
        </w:numPr>
        <w:rPr>
          <w:rFonts w:ascii="Arial" w:cs="Arial" w:eastAsia="Arial" w:hAnsi="Arial"/>
          <w:sz w:val="15"/>
          <w:szCs w:val="15"/>
          <w:i w:val="1"/>
          <w:iCs w:val="1"/>
          <w:color w:val="auto"/>
          <w:vertAlign w:val="superscript"/>
        </w:rPr>
      </w:pPr>
      <w:r>
        <w:rPr>
          <w:rFonts w:ascii="Arial" w:cs="Arial" w:eastAsia="Arial" w:hAnsi="Arial"/>
          <w:sz w:val="11"/>
          <w:szCs w:val="11"/>
          <w:color w:val="auto"/>
        </w:rPr>
        <w:t>Includes debt discount amortization of $4.3 million in the year ended January 31, 2023, $5.9 million in the year ended January 31, 2022, and $5.0 million in the year ended January 31, 2021.</w:t>
      </w:r>
    </w:p>
    <w:p>
      <w:pPr>
        <w:spacing w:after="0" w:line="64" w:lineRule="exact"/>
        <w:rPr>
          <w:rFonts w:ascii="Arial" w:cs="Arial" w:eastAsia="Arial" w:hAnsi="Arial"/>
          <w:sz w:val="15"/>
          <w:szCs w:val="15"/>
          <w:i w:val="1"/>
          <w:iCs w:val="1"/>
          <w:color w:val="auto"/>
          <w:vertAlign w:val="superscript"/>
        </w:rPr>
      </w:pPr>
    </w:p>
    <w:p>
      <w:pPr>
        <w:ind w:left="260" w:hanging="255"/>
        <w:spacing w:after="0"/>
        <w:tabs>
          <w:tab w:leader="none" w:pos="260" w:val="left"/>
        </w:tabs>
        <w:numPr>
          <w:ilvl w:val="0"/>
          <w:numId w:val="55"/>
        </w:numPr>
        <w:rPr>
          <w:rFonts w:ascii="Arial" w:cs="Arial" w:eastAsia="Arial" w:hAnsi="Arial"/>
          <w:sz w:val="7"/>
          <w:szCs w:val="7"/>
          <w:i w:val="1"/>
          <w:iCs w:val="1"/>
          <w:color w:val="auto"/>
        </w:rPr>
      </w:pPr>
      <w:r>
        <w:rPr>
          <w:rFonts w:ascii="Arial" w:cs="Arial" w:eastAsia="Arial" w:hAnsi="Arial"/>
          <w:sz w:val="11"/>
          <w:szCs w:val="11"/>
          <w:color w:val="auto"/>
        </w:rPr>
        <w:t>Reflects non-rental product depreciation and capitalized software amortization.</w:t>
      </w:r>
    </w:p>
    <w:p>
      <w:pPr>
        <w:spacing w:after="0" w:line="96" w:lineRule="exact"/>
        <w:rPr>
          <w:rFonts w:ascii="Arial" w:cs="Arial" w:eastAsia="Arial" w:hAnsi="Arial"/>
          <w:sz w:val="7"/>
          <w:szCs w:val="7"/>
          <w:i w:val="1"/>
          <w:iCs w:val="1"/>
          <w:color w:val="auto"/>
        </w:rPr>
      </w:pPr>
    </w:p>
    <w:p>
      <w:pPr>
        <w:ind w:left="260" w:hanging="255"/>
        <w:spacing w:after="0"/>
        <w:tabs>
          <w:tab w:leader="none" w:pos="260" w:val="left"/>
        </w:tabs>
        <w:numPr>
          <w:ilvl w:val="0"/>
          <w:numId w:val="55"/>
        </w:numPr>
        <w:rPr>
          <w:rFonts w:ascii="Arial" w:cs="Arial" w:eastAsia="Arial" w:hAnsi="Arial"/>
          <w:sz w:val="7"/>
          <w:szCs w:val="7"/>
          <w:i w:val="1"/>
          <w:iCs w:val="1"/>
          <w:color w:val="auto"/>
        </w:rPr>
      </w:pPr>
      <w:r>
        <w:rPr>
          <w:rFonts w:ascii="Arial" w:cs="Arial" w:eastAsia="Arial" w:hAnsi="Arial"/>
          <w:sz w:val="11"/>
          <w:szCs w:val="11"/>
          <w:color w:val="auto"/>
        </w:rPr>
        <w:t>Reflects the non-cash expense for share-based compensation. The year ended January 31, 2022 includes $14.4 million of costs incurred for one-time IPO-related RSU vesting events.</w:t>
      </w:r>
    </w:p>
    <w:p>
      <w:pPr>
        <w:spacing w:after="0" w:line="72" w:lineRule="exact"/>
        <w:rPr>
          <w:rFonts w:ascii="Arial" w:cs="Arial" w:eastAsia="Arial" w:hAnsi="Arial"/>
          <w:sz w:val="7"/>
          <w:szCs w:val="7"/>
          <w:i w:val="1"/>
          <w:iCs w:val="1"/>
          <w:color w:val="auto"/>
        </w:rPr>
      </w:pPr>
    </w:p>
    <w:p>
      <w:pPr>
        <w:ind w:left="260" w:hanging="255"/>
        <w:spacing w:after="0"/>
        <w:tabs>
          <w:tab w:leader="none" w:pos="260" w:val="left"/>
        </w:tabs>
        <w:numPr>
          <w:ilvl w:val="0"/>
          <w:numId w:val="55"/>
        </w:numPr>
        <w:rPr>
          <w:rFonts w:ascii="Arial" w:cs="Arial" w:eastAsia="Arial" w:hAnsi="Arial"/>
          <w:sz w:val="15"/>
          <w:szCs w:val="15"/>
          <w:i w:val="1"/>
          <w:iCs w:val="1"/>
          <w:color w:val="auto"/>
          <w:vertAlign w:val="superscript"/>
        </w:rPr>
      </w:pPr>
      <w:r>
        <w:rPr>
          <w:rFonts w:ascii="Arial" w:cs="Arial" w:eastAsia="Arial" w:hAnsi="Arial"/>
          <w:sz w:val="11"/>
          <w:szCs w:val="11"/>
          <w:color w:val="auto"/>
        </w:rPr>
        <w:t>Reflects the write-off of the remaining book value of liquidated rental product that had previously been held for sale.</w:t>
      </w:r>
    </w:p>
    <w:p>
      <w:pPr>
        <w:spacing w:after="0" w:line="74" w:lineRule="exact"/>
        <w:rPr>
          <w:rFonts w:ascii="Arial" w:cs="Arial" w:eastAsia="Arial" w:hAnsi="Arial"/>
          <w:sz w:val="15"/>
          <w:szCs w:val="15"/>
          <w:i w:val="1"/>
          <w:iCs w:val="1"/>
          <w:color w:val="auto"/>
          <w:vertAlign w:val="superscript"/>
        </w:rPr>
      </w:pPr>
    </w:p>
    <w:p>
      <w:pPr>
        <w:ind w:left="260" w:right="200" w:hanging="255"/>
        <w:spacing w:after="0" w:line="229" w:lineRule="auto"/>
        <w:tabs>
          <w:tab w:leader="none" w:pos="254" w:val="left"/>
        </w:tabs>
        <w:numPr>
          <w:ilvl w:val="0"/>
          <w:numId w:val="55"/>
        </w:numPr>
        <w:rPr>
          <w:rFonts w:ascii="Arial" w:cs="Arial" w:eastAsia="Arial" w:hAnsi="Arial"/>
          <w:sz w:val="15"/>
          <w:szCs w:val="15"/>
          <w:i w:val="1"/>
          <w:iCs w:val="1"/>
          <w:color w:val="auto"/>
          <w:vertAlign w:val="superscript"/>
        </w:rPr>
      </w:pPr>
      <w:r>
        <w:rPr>
          <w:rFonts w:ascii="Arial" w:cs="Arial" w:eastAsia="Arial" w:hAnsi="Arial"/>
          <w:sz w:val="11"/>
          <w:szCs w:val="11"/>
          <w:color w:val="auto"/>
        </w:rPr>
        <w:t>Non-recurring adjustments for the year ended January 31, 2023 includes $1.3 million of costs related to public company SOX readiness and for the year ended January 31, 2022 includes $5.2 million of costs primarily associated with public readiness preparation.</w:t>
      </w:r>
    </w:p>
    <w:p>
      <w:pPr>
        <w:spacing w:after="0" w:line="64" w:lineRule="exact"/>
        <w:rPr>
          <w:rFonts w:ascii="Arial" w:cs="Arial" w:eastAsia="Arial" w:hAnsi="Arial"/>
          <w:sz w:val="15"/>
          <w:szCs w:val="15"/>
          <w:i w:val="1"/>
          <w:iCs w:val="1"/>
          <w:color w:val="auto"/>
          <w:vertAlign w:val="superscript"/>
        </w:rPr>
      </w:pPr>
    </w:p>
    <w:p>
      <w:pPr>
        <w:ind w:left="260" w:hanging="255"/>
        <w:spacing w:after="0"/>
        <w:tabs>
          <w:tab w:leader="none" w:pos="260" w:val="left"/>
        </w:tabs>
        <w:numPr>
          <w:ilvl w:val="0"/>
          <w:numId w:val="55"/>
        </w:numPr>
        <w:rPr>
          <w:rFonts w:ascii="Arial" w:cs="Arial" w:eastAsia="Arial" w:hAnsi="Arial"/>
          <w:sz w:val="7"/>
          <w:szCs w:val="7"/>
          <w:i w:val="1"/>
          <w:iCs w:val="1"/>
          <w:color w:val="auto"/>
        </w:rPr>
      </w:pPr>
      <w:r>
        <w:rPr>
          <w:rFonts w:ascii="Arial" w:cs="Arial" w:eastAsia="Arial" w:hAnsi="Arial"/>
          <w:sz w:val="11"/>
          <w:szCs w:val="11"/>
          <w:color w:val="auto"/>
        </w:rPr>
        <w:t>Non-ordinary course legal fees for the year ended January 31, 2023 includes $0.1 million of costs related to a class action lawsuit.</w:t>
      </w:r>
    </w:p>
    <w:p>
      <w:pPr>
        <w:spacing w:after="0" w:line="96" w:lineRule="exact"/>
        <w:rPr>
          <w:rFonts w:ascii="Arial" w:cs="Arial" w:eastAsia="Arial" w:hAnsi="Arial"/>
          <w:sz w:val="7"/>
          <w:szCs w:val="7"/>
          <w:i w:val="1"/>
          <w:iCs w:val="1"/>
          <w:color w:val="auto"/>
        </w:rPr>
      </w:pPr>
    </w:p>
    <w:p>
      <w:pPr>
        <w:ind w:left="260" w:hanging="255"/>
        <w:spacing w:after="0"/>
        <w:tabs>
          <w:tab w:leader="none" w:pos="260" w:val="left"/>
        </w:tabs>
        <w:numPr>
          <w:ilvl w:val="0"/>
          <w:numId w:val="55"/>
        </w:numPr>
        <w:rPr>
          <w:rFonts w:ascii="Arial" w:cs="Arial" w:eastAsia="Arial" w:hAnsi="Arial"/>
          <w:sz w:val="6"/>
          <w:szCs w:val="6"/>
          <w:i w:val="1"/>
          <w:iCs w:val="1"/>
          <w:color w:val="auto"/>
        </w:rPr>
      </w:pPr>
      <w:r>
        <w:rPr>
          <w:rFonts w:ascii="Arial" w:cs="Arial" w:eastAsia="Arial" w:hAnsi="Arial"/>
          <w:sz w:val="11"/>
          <w:szCs w:val="11"/>
          <w:color w:val="auto"/>
        </w:rPr>
        <w:t>Reflects restructuring charges for severance and related costs in connection with the September 2022 restructuring plan.</w:t>
      </w:r>
    </w:p>
    <w:p>
      <w:pPr>
        <w:spacing w:after="0" w:line="96" w:lineRule="exact"/>
        <w:rPr>
          <w:rFonts w:ascii="Arial" w:cs="Arial" w:eastAsia="Arial" w:hAnsi="Arial"/>
          <w:sz w:val="6"/>
          <w:szCs w:val="6"/>
          <w:i w:val="1"/>
          <w:iCs w:val="1"/>
          <w:color w:val="auto"/>
        </w:rPr>
      </w:pPr>
    </w:p>
    <w:p>
      <w:pPr>
        <w:ind w:left="260" w:hanging="255"/>
        <w:spacing w:after="0"/>
        <w:tabs>
          <w:tab w:leader="none" w:pos="260" w:val="left"/>
        </w:tabs>
        <w:numPr>
          <w:ilvl w:val="0"/>
          <w:numId w:val="55"/>
        </w:numPr>
        <w:rPr>
          <w:rFonts w:ascii="Arial" w:cs="Arial" w:eastAsia="Arial" w:hAnsi="Arial"/>
          <w:sz w:val="6"/>
          <w:szCs w:val="6"/>
          <w:i w:val="1"/>
          <w:iCs w:val="1"/>
          <w:color w:val="auto"/>
        </w:rPr>
      </w:pPr>
      <w:r>
        <w:rPr>
          <w:rFonts w:ascii="Arial" w:cs="Arial" w:eastAsia="Arial" w:hAnsi="Arial"/>
          <w:sz w:val="11"/>
          <w:szCs w:val="11"/>
          <w:color w:val="auto"/>
        </w:rPr>
        <w:t>Reflects the asset impairment charges related to discontinuing warehouse operations projects in connection with the September 2022 restructuring plan.</w:t>
      </w:r>
    </w:p>
    <w:p>
      <w:pPr>
        <w:spacing w:after="0" w:line="96" w:lineRule="exact"/>
        <w:rPr>
          <w:rFonts w:ascii="Arial" w:cs="Arial" w:eastAsia="Arial" w:hAnsi="Arial"/>
          <w:sz w:val="6"/>
          <w:szCs w:val="6"/>
          <w:i w:val="1"/>
          <w:iCs w:val="1"/>
          <w:color w:val="auto"/>
        </w:rPr>
      </w:pPr>
    </w:p>
    <w:p>
      <w:pPr>
        <w:ind w:left="260" w:hanging="255"/>
        <w:spacing w:after="0" w:line="229" w:lineRule="auto"/>
        <w:tabs>
          <w:tab w:leader="none" w:pos="254" w:val="left"/>
        </w:tabs>
        <w:numPr>
          <w:ilvl w:val="0"/>
          <w:numId w:val="55"/>
        </w:numPr>
        <w:rPr>
          <w:rFonts w:ascii="Arial" w:cs="Arial" w:eastAsia="Arial" w:hAnsi="Arial"/>
          <w:sz w:val="15"/>
          <w:szCs w:val="15"/>
          <w:i w:val="1"/>
          <w:iCs w:val="1"/>
          <w:color w:val="auto"/>
          <w:vertAlign w:val="superscript"/>
        </w:rPr>
      </w:pPr>
      <w:r>
        <w:rPr>
          <w:rFonts w:ascii="Arial" w:cs="Arial" w:eastAsia="Arial" w:hAnsi="Arial"/>
          <w:sz w:val="11"/>
          <w:szCs w:val="11"/>
          <w:color w:val="auto"/>
        </w:rPr>
        <w:t>Reflects the expense associated with revaluing prior liability classified lender warrants to the respective fair value at period end, or prior to conversion. As of January 31, 2023, all outstanding warrants are equity classified and therefore do not require remeasurement going forward.</w:t>
      </w:r>
    </w:p>
    <w:p>
      <w:pPr>
        <w:spacing w:after="0" w:line="64" w:lineRule="exact"/>
        <w:rPr>
          <w:rFonts w:ascii="Arial" w:cs="Arial" w:eastAsia="Arial" w:hAnsi="Arial"/>
          <w:sz w:val="15"/>
          <w:szCs w:val="15"/>
          <w:i w:val="1"/>
          <w:iCs w:val="1"/>
          <w:color w:val="auto"/>
          <w:vertAlign w:val="superscript"/>
        </w:rPr>
      </w:pPr>
    </w:p>
    <w:p>
      <w:pPr>
        <w:ind w:left="260" w:hanging="255"/>
        <w:spacing w:after="0"/>
        <w:tabs>
          <w:tab w:leader="none" w:pos="260" w:val="left"/>
        </w:tabs>
        <w:numPr>
          <w:ilvl w:val="0"/>
          <w:numId w:val="55"/>
        </w:numPr>
        <w:rPr>
          <w:rFonts w:ascii="Arial" w:cs="Arial" w:eastAsia="Arial" w:hAnsi="Arial"/>
          <w:sz w:val="7"/>
          <w:szCs w:val="7"/>
          <w:i w:val="1"/>
          <w:iCs w:val="1"/>
          <w:color w:val="auto"/>
        </w:rPr>
      </w:pPr>
      <w:r>
        <w:rPr>
          <w:rFonts w:ascii="Arial" w:cs="Arial" w:eastAsia="Arial" w:hAnsi="Arial"/>
          <w:sz w:val="11"/>
          <w:szCs w:val="11"/>
          <w:color w:val="auto"/>
        </w:rPr>
        <w:t>Includes debt extinguishment costs related to debt paydown in the periods presented.</w:t>
      </w:r>
    </w:p>
    <w:p>
      <w:pPr>
        <w:spacing w:after="0" w:line="96" w:lineRule="exact"/>
        <w:rPr>
          <w:rFonts w:ascii="Arial" w:cs="Arial" w:eastAsia="Arial" w:hAnsi="Arial"/>
          <w:sz w:val="7"/>
          <w:szCs w:val="7"/>
          <w:i w:val="1"/>
          <w:iCs w:val="1"/>
          <w:color w:val="auto"/>
        </w:rPr>
      </w:pPr>
    </w:p>
    <w:p>
      <w:pPr>
        <w:ind w:left="240" w:hanging="235"/>
        <w:spacing w:after="0"/>
        <w:tabs>
          <w:tab w:leader="none" w:pos="240" w:val="left"/>
        </w:tabs>
        <w:numPr>
          <w:ilvl w:val="0"/>
          <w:numId w:val="55"/>
        </w:numPr>
        <w:rPr>
          <w:rFonts w:ascii="Arial" w:cs="Arial" w:eastAsia="Arial" w:hAnsi="Arial"/>
          <w:sz w:val="7"/>
          <w:szCs w:val="7"/>
          <w:i w:val="1"/>
          <w:iCs w:val="1"/>
          <w:color w:val="auto"/>
        </w:rPr>
      </w:pPr>
      <w:r>
        <w:rPr>
          <w:rFonts w:ascii="Arial" w:cs="Arial" w:eastAsia="Arial" w:hAnsi="Arial"/>
          <w:sz w:val="11"/>
          <w:szCs w:val="11"/>
          <w:color w:val="auto"/>
        </w:rPr>
        <w:t>Primarily includes $1.4 million of monetized tax credits for the year ended January 31, 2023 and $4.0 million of insurance claim proceeds for the year ended January 31, 2022.</w:t>
      </w:r>
    </w:p>
    <w:p>
      <w:pPr>
        <w:spacing w:after="0" w:line="96" w:lineRule="exact"/>
        <w:rPr>
          <w:rFonts w:ascii="Arial" w:cs="Arial" w:eastAsia="Arial" w:hAnsi="Arial"/>
          <w:sz w:val="7"/>
          <w:szCs w:val="7"/>
          <w:i w:val="1"/>
          <w:iCs w:val="1"/>
          <w:color w:val="auto"/>
        </w:rPr>
      </w:pPr>
    </w:p>
    <w:p>
      <w:pPr>
        <w:ind w:left="260" w:right="40" w:hanging="255"/>
        <w:spacing w:after="0" w:line="229" w:lineRule="auto"/>
        <w:tabs>
          <w:tab w:leader="none" w:pos="252" w:val="left"/>
        </w:tabs>
        <w:numPr>
          <w:ilvl w:val="0"/>
          <w:numId w:val="55"/>
        </w:numPr>
        <w:rPr>
          <w:rFonts w:ascii="Arial" w:cs="Arial" w:eastAsia="Arial" w:hAnsi="Arial"/>
          <w:sz w:val="15"/>
          <w:szCs w:val="15"/>
          <w:i w:val="1"/>
          <w:iCs w:val="1"/>
          <w:color w:val="auto"/>
          <w:vertAlign w:val="superscript"/>
        </w:rPr>
      </w:pPr>
      <w:r>
        <w:rPr>
          <w:rFonts w:ascii="Arial" w:cs="Arial" w:eastAsia="Arial" w:hAnsi="Arial"/>
          <w:sz w:val="11"/>
          <w:szCs w:val="11"/>
          <w:color w:val="auto"/>
        </w:rPr>
        <w:t>Includes costs associated with the write-off of non-rental product asset disposals, operating lease termination and foreign exchange (see “Note 5 - Leases – Lessee Accounting” in the Notes to the Consolidated Financial Statements).</w:t>
      </w:r>
    </w:p>
    <w:p>
      <w:pPr>
        <w:spacing w:after="0" w:line="51" w:lineRule="exact"/>
        <w:rPr>
          <w:rFonts w:ascii="Arial" w:cs="Arial" w:eastAsia="Arial" w:hAnsi="Arial"/>
          <w:sz w:val="15"/>
          <w:szCs w:val="15"/>
          <w:i w:val="1"/>
          <w:iCs w:val="1"/>
          <w:color w:val="auto"/>
          <w:vertAlign w:val="superscript"/>
        </w:rPr>
      </w:pPr>
    </w:p>
    <w:p>
      <w:pPr>
        <w:ind w:left="260" w:hanging="255"/>
        <w:spacing w:after="0"/>
        <w:tabs>
          <w:tab w:leader="none" w:pos="260" w:val="left"/>
        </w:tabs>
        <w:numPr>
          <w:ilvl w:val="0"/>
          <w:numId w:val="55"/>
        </w:numPr>
        <w:rPr>
          <w:rFonts w:ascii="Arial" w:cs="Arial" w:eastAsia="Arial" w:hAnsi="Arial"/>
          <w:sz w:val="15"/>
          <w:szCs w:val="15"/>
          <w:i w:val="1"/>
          <w:iCs w:val="1"/>
          <w:color w:val="auto"/>
          <w:vertAlign w:val="superscript"/>
        </w:rPr>
      </w:pPr>
      <w:r>
        <w:rPr>
          <w:rFonts w:ascii="Arial" w:cs="Arial" w:eastAsia="Arial" w:hAnsi="Arial"/>
          <w:sz w:val="11"/>
          <w:szCs w:val="11"/>
          <w:color w:val="auto"/>
        </w:rPr>
        <w:t>Adjusted EBITDA Margin calculated as Adjusted EBITDA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Since our founding, we have financed our operations primarily from net proceeds from the sale of redeemable preferred stock, common stock and debt financings. As of January 31, 2023, we had cash and cash equivalents of $154.5 million and restricted cash of $9.1 million ($3.1 million current and $6.0 million noncurrent), and an accumulated deficit of $(939.9) million.</w:t>
      </w:r>
    </w:p>
    <w:p>
      <w:pPr>
        <w:spacing w:after="0" w:line="15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On October 29, 2021, we closed our IPO, in which we issued and sold 17,000,000 shares at a public offering price of $21.00 per share. We received net proceeds of $327.3 million after deducting underwriting discounts and commissions and offering expenses.</w:t>
      </w:r>
    </w:p>
    <w:p>
      <w:pPr>
        <w:spacing w:after="0" w:line="14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Concurrent with our IPO, we paid down our senior secured term loan of $80.7 million (including accrued interest) with Ares Corporate Opportunities Fund V, L.P. (the “Ares Facility”) in full and $60.0 million of our Temasek Facility and refinanced the remaining Temasek Facility, resulting in a total debt repayment of $140.7 million. In January 2023, the Company entered into the 2022 Amended Temasek Facility. The 2022 Amended Temasek Facility extended the maturity date from October 2024 to October 2026, reduced cash interest payments by over $ 20 million in cash in the next two fiscal years while the total interest rate remains unchanged during this period, with subsequent increases thereafter. In connection with the 2022 Amended Temasek Facility, we also granted warrants to purchase two million shares of Class A Common Stock at an exercise price of $5.00 per share, along with other clarifications and updates. Our total indebtedness as of January 31, 2023 was $272.5 million. For a description of the terms of our current and prior credit agreements, see “Note 8 – Long-Term Debt” in the Notes to the Consolidated Financial Statements.</w:t>
      </w:r>
    </w:p>
    <w:p>
      <w:pPr>
        <w:spacing w:after="0" w:line="16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expect that operating losses and negative cash flows from operations could continue in the foreseeable future as we continue to acquire products and increase other investments in our business. We believe our existing cash and cash equivalents, and cash generated from our operations, will be sufficient to sustain our business operations, to satisfy our debt service obligations and to comply with our amended debt covenants for at least the next twelve months from the date of this Annual Report. In September 2022, the Company announced a restructuring plan to reduce costs, streamline its organizational structure and drive operational efficiencies, which is expected to generate annual operating expense savings of approximately $25 million (relative to the second quarter of fiscal year 2022 run rate) in fiscal 2023.</w:t>
      </w:r>
    </w:p>
    <w:p>
      <w:pPr>
        <w:spacing w:after="0" w:line="16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future capital requirements will depend on many factors, including, but not limited to, growth in the number of customers and Active Subscribers and the timing of investments in technology and personnel to support the overall growth of our business. To the extent that current and anticipated future sources of liquidity are insufficient to fund our future business activities and requirements and service our debt obligations,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which could negatively affect our liquidity in the future. In the event that additional financing is required from outside sources, we may not be able to negotiate terms acceptable to us or at all.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204"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auto"/>
        </w:rPr>
        <w:t>Years Ended</w:t>
      </w:r>
    </w:p>
    <w:p>
      <w:pPr>
        <w:ind w:left="9120"/>
        <w:spacing w:after="0"/>
        <w:rPr>
          <w:sz w:val="20"/>
          <w:szCs w:val="20"/>
          <w:color w:val="auto"/>
        </w:rPr>
      </w:pPr>
      <w:r>
        <w:rPr>
          <w:rFonts w:ascii="Arial" w:cs="Arial" w:eastAsia="Arial" w:hAnsi="Arial"/>
          <w:sz w:val="13"/>
          <w:szCs w:val="13"/>
          <w:b w:val="1"/>
          <w:bCs w:val="1"/>
          <w:color w:val="auto"/>
        </w:rPr>
        <w:t>January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6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2021</w:t>
            </w:r>
          </w:p>
        </w:tc>
      </w:tr>
      <w:tr>
        <w:trPr>
          <w:trHeight w:val="160"/>
        </w:trPr>
        <w:tc>
          <w:tcPr>
            <w:tcW w:w="7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0"/>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720" w:type="dxa"/>
            <w:vAlign w:val="bottom"/>
            <w:shd w:val="clear" w:color="auto" w:fill="CCEEFF"/>
          </w:tcPr>
          <w:p>
            <w:pPr>
              <w:jc w:val="right"/>
              <w:ind w:right="572"/>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r>
      <w:tr>
        <w:trPr>
          <w:trHeight w:val="180"/>
        </w:trPr>
        <w:tc>
          <w:tcPr>
            <w:tcW w:w="7680" w:type="dxa"/>
            <w:vAlign w:val="bottom"/>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(44.3)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(58.4)</w:t>
            </w:r>
          </w:p>
        </w:tc>
      </w:tr>
      <w:tr>
        <w:trPr>
          <w:trHeight w:val="180"/>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7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168.5</w:t>
            </w:r>
          </w:p>
        </w:tc>
      </w:tr>
      <w:tr>
        <w:trPr>
          <w:trHeight w:val="171"/>
        </w:trPr>
        <w:tc>
          <w:tcPr>
            <w:tcW w:w="768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 and restricted cash</w:t>
            </w:r>
          </w:p>
        </w:tc>
        <w:tc>
          <w:tcPr>
            <w:tcW w:w="7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67.3</w:t>
            </w:r>
          </w:p>
        </w:tc>
      </w:tr>
      <w:tr>
        <w:trPr>
          <w:trHeight w:val="180"/>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7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259.6</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r>
      <w:tr>
        <w:trPr>
          <w:trHeight w:val="171"/>
        </w:trPr>
        <w:tc>
          <w:tcPr>
            <w:tcW w:w="768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at end of period</w:t>
            </w:r>
          </w:p>
        </w:tc>
        <w:tc>
          <w:tcPr>
            <w:tcW w:w="7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163.6</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r>
      <w:tr>
        <w:trPr>
          <w:trHeight w:val="20"/>
        </w:trPr>
        <w:tc>
          <w:tcPr>
            <w:tcW w:w="7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We also measure the cash consumption of the business including capital expenditures, by assessing net cash used in operating activities and net cash used in investing activities on a combined basis, which was $(92.0) million for the year ended January 31, 2023 and $ (64.8) million for the year ended January 31, 2022. The cash consumption of the business was higher in fiscal year 2022 compared with the same period of fiscal year 2021 primarily due to higher investments in rental product spend and growth initiatives and overall growth of the business compared to the prior year. We also opportunistically pulled forward spend of rental product from fiscal year 2023 to take advantage of attractive pricing in the current environment, which we intend to continue to do from time to time. The sum of net cash used in operating activities and net cash used in investing activities, as a percentage of revenue, was (31.0)% for the year ended January 31, 2023 and (31.9)% for the year ended January 31, 2022.</w:t>
      </w:r>
    </w:p>
    <w:p>
      <w:pPr>
        <w:spacing w:after="0" w:line="152"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b w:val="1"/>
          <w:bCs w:val="1"/>
          <w:color w:val="auto"/>
        </w:rPr>
        <w:t>Net cash (used in) provided by operating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year ended January 31, 2023, net cash used in operating activities was $(47.7) million, which consisted of a net</w:t>
      </w:r>
      <w:r>
        <w:rPr>
          <w:rFonts w:ascii="Arial" w:cs="Arial" w:eastAsia="Arial" w:hAnsi="Arial"/>
          <w:sz w:val="14"/>
          <w:szCs w:val="14"/>
          <w:b w:val="1"/>
          <w:bCs w:val="1"/>
          <w:color w:val="auto"/>
        </w:rPr>
        <w:t xml:space="preserve"> </w:t>
      </w:r>
      <w:r>
        <w:rPr>
          <w:rFonts w:ascii="Arial" w:cs="Arial" w:eastAsia="Arial" w:hAnsi="Arial"/>
          <w:sz w:val="14"/>
          <w:szCs w:val="14"/>
          <w:color w:val="auto"/>
        </w:rPr>
        <w:t>loss of $(138.7) million, partially offset by non-cash charges of $116.1 million, reclassification of the proceeds from the sale of rental product of $17.9 million and a net change of</w:t>
      </w:r>
    </w:p>
    <w:p>
      <w:pPr>
        <w:spacing w:after="0" w:line="1" w:lineRule="exact"/>
        <w:rPr>
          <w:sz w:val="20"/>
          <w:szCs w:val="20"/>
          <w:color w:val="auto"/>
        </w:rPr>
      </w:pPr>
    </w:p>
    <w:p>
      <w:pPr>
        <w:ind w:right="300"/>
        <w:spacing w:after="0" w:line="229" w:lineRule="auto"/>
        <w:rPr>
          <w:sz w:val="20"/>
          <w:szCs w:val="20"/>
          <w:color w:val="auto"/>
        </w:rPr>
      </w:pPr>
      <w:r>
        <w:rPr>
          <w:rFonts w:ascii="Arial" w:cs="Arial" w:eastAsia="Arial" w:hAnsi="Arial"/>
          <w:sz w:val="14"/>
          <w:szCs w:val="14"/>
          <w:color w:val="auto"/>
        </w:rPr>
        <w:t>$(7.2) million in our operating assets and liabilities. The non-cash charges were primarily comprised of $50.2 million of rental product depreciation and write-off expenses, $14.3 million of payment-in-kind interest, $25.4 million of share-based compensation, $4.3 million of debt discount amortization, $17.0 million of other fixed and intangible asset</w:t>
      </w:r>
    </w:p>
    <w:p>
      <w:pPr>
        <w:ind w:right="100"/>
        <w:spacing w:after="0" w:line="242" w:lineRule="auto"/>
        <w:rPr>
          <w:sz w:val="20"/>
          <w:szCs w:val="20"/>
          <w:color w:val="auto"/>
        </w:rPr>
      </w:pPr>
      <w:r>
        <w:rPr>
          <w:rFonts w:ascii="Arial" w:cs="Arial" w:eastAsia="Arial" w:hAnsi="Arial"/>
          <w:sz w:val="14"/>
          <w:szCs w:val="14"/>
          <w:color w:val="auto"/>
        </w:rPr>
        <w:t>depreciation and the loss on the surrender of fixed asset write-offs related to the partial termination of the lease of the corporate headquarters (see “Note 5 - Leases – Lessee Accounting” in the Notes to the Consolidated Financial Statements) and $5.3 million consisting of asset impairment charges related to discontinuing warehouse operations projects in connection with the September 2022 restructuring plan, of which $0.4 million is included in accrued expenses related to the asset impairment (see the Supplemental Cash Flow Information in Part II, Item 8. “Financial Statements and Supplementary Data”).</w:t>
      </w:r>
    </w:p>
    <w:p>
      <w:pPr>
        <w:spacing w:after="0" w:line="154"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For the year ended January 31, 2022, net cash used in operating activities was $(42.3) million, which consisted of a net loss of $(211.8) million, partially offset by non-cash charges of $171.3 million, reclassification of the proceeds from the sale of rental product of $12.9 million and a net change of $11.1 million in our operating assets and liabilities. The non-cash charges were primarily comprised of $49.7 million of rental product depreciation and write-off expenses, $38.8 million of payment-in-kind interest, $24.9 million loss on remeasurement of warrant liability, $26.6 million of share-based compensation, $5.9 million of debt discount amortization, $12.2 million loss on debt extinguishment (primarily non-cash), $ 19.5 million of other fixed and intangible asset depreciation and amortization, and $(6.3) million of previously accrued PIK interest was settled in the period in connection with the Ares debt extinguishment.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540" w:val="left"/>
        </w:tabs>
        <w:rPr>
          <w:sz w:val="20"/>
          <w:szCs w:val="20"/>
          <w:color w:val="auto"/>
        </w:rPr>
      </w:pPr>
      <w:r>
        <w:rPr>
          <w:rFonts w:ascii="Arial" w:cs="Arial" w:eastAsia="Arial" w:hAnsi="Arial"/>
          <w:sz w:val="14"/>
          <w:szCs w:val="14"/>
          <w:b w:val="1"/>
          <w:bCs w:val="1"/>
          <w:color w:val="auto"/>
        </w:rPr>
        <w:t>Net cash (used in) provided by investing activities</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4"/>
          <w:szCs w:val="14"/>
          <w:color w:val="auto"/>
        </w:rPr>
        <w:t>For the year ended January 31, 2023, net cash used in investing activities was $(44.3) million, primarily consisting of</w:t>
      </w:r>
    </w:p>
    <w:p>
      <w:pPr>
        <w:spacing w:after="0" w:line="23"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$(62.1) million of purchases of rental product incurred in the period and $(8.9) million of purchases of fixed and intangible assets. The investment in rental product does not include an additional $5.4 million of cost for units received in the current period but not yet paid for, but does include $(6.5) million of cost for units paid for in the current period but received in the prior period (see the Supplemental Cash Flow Information in Part II, Item 8. “Financial Statements and Supplementary Data”). The investment in rental product was to support our growth in customer demand. The majority of the investment in fixed and intangible assets was related to investments in automation assets, additional processing machinery and equipment for our Secaucus and Arlington warehouses. The cash used in investing activities was partially offset by $17.9 million of proceeds from the sale of owned rental product and $8.8 million of proceeds from the liquidation of rental product.</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For the year ended January 31, 2022, net cash used in investing activities was $(22.5) million, primarily consisting of $ (30.8) million of purchases of rental product and $(10.3) million of purchases of fixed and intangible assets. The investment in rental product did not include the additional $6.5 million of cost for units received in the current period but not yet paid for but did include $(3.6) million of cost for units paid for in the current period but received in the prior period (see Supplemental Cash Flow Information in Part II, Item 8. “Financial Statements and Supplementary Data”). The investment in rental product was to support growth in customer demand as a result of the COVID-19 recovery. The majority of the investment in fixed and intangible assets was related to investments in automation assets, additional processing machinery and equipment for the Secaucus and Arlington warehouses, reusable bags and capitalized technology labor. The cash used in investing activities was partially offset by $12.9 million of proceeds from sales of owned rental products and $5.7 million of proceeds from the liquidation of rental product.</w:t>
      </w:r>
    </w:p>
    <w:p>
      <w:pPr>
        <w:spacing w:after="0" w:line="142"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b w:val="1"/>
          <w:bCs w:val="1"/>
          <w:color w:val="auto"/>
        </w:rPr>
        <w:t>Net cash provided by (used in) financing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During the year ended January 31, 2023, net cash used in financing activities was $(4.0) million, consisting of other</w:t>
      </w:r>
      <w:r>
        <w:rPr>
          <w:rFonts w:ascii="Arial" w:cs="Arial" w:eastAsia="Arial" w:hAnsi="Arial"/>
          <w:sz w:val="14"/>
          <w:szCs w:val="14"/>
          <w:b w:val="1"/>
          <w:bCs w:val="1"/>
          <w:color w:val="auto"/>
        </w:rPr>
        <w:t xml:space="preserve"> </w:t>
      </w:r>
      <w:r>
        <w:rPr>
          <w:rFonts w:ascii="Arial" w:cs="Arial" w:eastAsia="Arial" w:hAnsi="Arial"/>
          <w:sz w:val="14"/>
          <w:szCs w:val="14"/>
          <w:color w:val="auto"/>
        </w:rPr>
        <w:t>financing payments.</w:t>
      </w:r>
    </w:p>
    <w:p>
      <w:pPr>
        <w:spacing w:after="0" w:line="141"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During the year ended January 31, 2022, net cash provided by financing activities was $215.2 million, consisting primarily of $327.3 million from the sale of Class A common stock in our IPO which is net of underwriting discounts of $(24.1) million and deferred equity issuance costs of $(5.6) million, $21.2 million from the issuance of redeemable preferred stock, $3.3 million from the exercise of options and $3.1 million of net proceeds from short term financing agreements and other financing payments. The cash from financing activities was partially offset by $(139.7) million in debt payments including deferred financing costs and extinguishment costs.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79"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In October 2021, we paid down outstanding principal and accrued interest of our Ares Facility in full and a portion of our then-current Temasek facility and entered into the Amended Temasek Facility. In January 2023, we entered into the 2022 Amended Temasek Facility, which extended the maturity date and reduced cash interest payments over the next two years. As of January 31, 2023, we had approximately $272.5 million of total debt outstanding, none of which is payable within the next 12 months. See “Note 8 — Long-Term Debt” in the Notes to the Consolidated Financial Statements for more information.</w:t>
      </w:r>
    </w:p>
    <w:p>
      <w:pPr>
        <w:spacing w:after="0" w:line="159"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See “Note 5 – Leases – Lessee Accounting” in the Notes to the Consolidated Financial Statements for our minimum fixed lease obligations under existing lease agreements as of January 31, 2023.</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Management’s discussion and analysis of our financial condition and results of operations is based on our consolidated financial statements, which have been prepared in accordance with GAAP. The preparation of our financial statements requires us to make estimates using assumptions that affect the reported amounts of assets and liabilities at the date of the financial statements, as well as the reported revenue generated and expenses incurred during the reporting periods, as well as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the accounting estimates discussed below are critical to understanding our historical and future performance, as these policies relate to the more significant areas involving management’s judgments and estimates.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Rental Product</w:t>
      </w:r>
    </w:p>
    <w:p>
      <w:pPr>
        <w:spacing w:after="0" w:line="9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consider rental product to be a long-term productive asset and, as such, classify it as a noncurrent asset on the consolidated balance sheets. Rental product is stated at cost, less accumulated depreciation. We depreciate rental product, less salvage value, over the useful lives of the assets using the straight-line method. Depreciation on rental products is an estimate based on the following assumptions:</w:t>
      </w:r>
    </w:p>
    <w:p>
      <w:pPr>
        <w:ind w:left="520" w:hanging="260"/>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Useful life: our projection of the period over which we can monetize our rental products through our Subscription or Reserve rental offerings</w:t>
      </w:r>
    </w:p>
    <w:p>
      <w:pPr>
        <w:spacing w:after="0" w:line="8" w:lineRule="exact"/>
        <w:rPr>
          <w:rFonts w:ascii="Arial" w:cs="Arial" w:eastAsia="Arial" w:hAnsi="Arial"/>
          <w:sz w:val="14"/>
          <w:szCs w:val="14"/>
          <w:color w:val="auto"/>
        </w:rPr>
      </w:pPr>
    </w:p>
    <w:p>
      <w:pPr>
        <w:ind w:left="520" w:right="40" w:hanging="260"/>
        <w:spacing w:after="0" w:line="269" w:lineRule="auto"/>
        <w:tabs>
          <w:tab w:leader="none" w:pos="516" w:val="left"/>
        </w:tabs>
        <w:numPr>
          <w:ilvl w:val="0"/>
          <w:numId w:val="56"/>
        </w:numPr>
        <w:rPr>
          <w:rFonts w:ascii="Arial" w:cs="Arial" w:eastAsia="Arial" w:hAnsi="Arial"/>
          <w:sz w:val="14"/>
          <w:szCs w:val="14"/>
          <w:color w:val="auto"/>
        </w:rPr>
      </w:pPr>
      <w:r>
        <w:rPr>
          <w:rFonts w:ascii="Arial" w:cs="Arial" w:eastAsia="Arial" w:hAnsi="Arial"/>
          <w:sz w:val="14"/>
          <w:szCs w:val="14"/>
          <w:color w:val="auto"/>
        </w:rPr>
        <w:t>Salvage value: our projection of the proceeds that can be expected to be generated from rental product once it is no longer considered rentable, expressed as a percentage of the acquisition cost</w:t>
      </w:r>
    </w:p>
    <w:p>
      <w:pPr>
        <w:spacing w:after="0" w:line="156"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The useful life is determined based on historical trends and an assessment of any future changes. The salvage value considers the historical trends and projected liquidation proceeds for the assets. A change in the assumption used for useful life or salvage value would either increase or decrease accumulated depreciation and depreciation expense reflected on our consolidated balance sheets within rental product, net and on our consolidated statements of operations within rental product depreciation and revenue share, respectively. Our historical results continue to support the use of these assumptions.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Right-of-Use Assets and Lease Liabilities</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Right-of-use (“ROU”) assets and lease liabilities are measured and recognized at the lease commencement date or lease modification date based on the present value of fixed lease payments over the expected lease term. Because the majority of our leases do not include an implicit discount rate, we use an estimated incremental borrowing rate (“IBR”), to determine the present value of future minimum lease payments. The sensitivity of the estimate is due to the judgement used in the determination of the synthetic credit rating and the development of the related benchmark yield curves.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92"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measure share-based compensation expense for all equity classified awards based on the estimated fair value of the awards on the date of grant. The fair value of stock options is recognized as compensation expense on a straight-line basis over the requisite service period of the award. We estimate grant date fair value of stock options using the Black-Scholes option pricing model, which requires the input of subjective assumptions, including the following:</w:t>
      </w:r>
    </w:p>
    <w:p>
      <w:pPr>
        <w:spacing w:after="0" w:line="134" w:lineRule="exact"/>
        <w:rPr>
          <w:sz w:val="20"/>
          <w:szCs w:val="20"/>
          <w:color w:val="auto"/>
        </w:rPr>
      </w:pPr>
    </w:p>
    <w:p>
      <w:pPr>
        <w:ind w:left="520" w:hanging="260"/>
        <w:spacing w:after="0" w:line="260" w:lineRule="auto"/>
        <w:tabs>
          <w:tab w:leader="none" w:pos="516" w:val="left"/>
        </w:tabs>
        <w:numPr>
          <w:ilvl w:val="0"/>
          <w:numId w:val="5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Fair value of common stock. </w:t>
      </w:r>
      <w:r>
        <w:rPr>
          <w:rFonts w:ascii="Arial" w:cs="Arial" w:eastAsia="Arial" w:hAnsi="Arial"/>
          <w:sz w:val="14"/>
          <w:szCs w:val="14"/>
          <w:color w:val="auto"/>
        </w:rPr>
        <w:t>Following the closing of our IPO, the fair market value of our common stock is based on the closing price as reported on the date of grant 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Nasdaq Stock Market, on which the Company’s stock is traded. Prior to the close of our IPO, because our common stock was not yet publicly traded, we were required to estimate the fair value of its common stock. The fair value of the shares of common stock underlying the stock options was historically determined by a third-party valuation firm and approved by our board of directors. The fair value of our common stock was determined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 other factors.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right="40" w:hanging="260"/>
        <w:spacing w:after="0" w:line="265" w:lineRule="auto"/>
        <w:tabs>
          <w:tab w:leader="none" w:pos="516" w:val="left"/>
        </w:tabs>
        <w:numPr>
          <w:ilvl w:val="0"/>
          <w:numId w:val="5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Expected volatility. </w:t>
      </w:r>
      <w:r>
        <w:rPr>
          <w:rFonts w:ascii="Arial" w:cs="Arial" w:eastAsia="Arial" w:hAnsi="Arial"/>
          <w:sz w:val="14"/>
          <w:szCs w:val="14"/>
          <w:color w:val="auto"/>
        </w:rPr>
        <w:t>As a result of the lack of historical and implied volatility data of our common stock, the expected stock price volatility has been estimated based on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historical volatilities of a specified group of companies in our industry for a period equal to the expected life of the option. We selected companies with comparable characteristics,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52" w:lineRule="exact"/>
        <w:rPr>
          <w:rFonts w:ascii="Arial" w:cs="Arial" w:eastAsia="Arial" w:hAnsi="Arial"/>
          <w:sz w:val="14"/>
          <w:szCs w:val="14"/>
          <w:color w:val="auto"/>
        </w:rPr>
      </w:pPr>
    </w:p>
    <w:p>
      <w:pPr>
        <w:ind w:left="520" w:right="140" w:hanging="260"/>
        <w:spacing w:after="0" w:line="290" w:lineRule="auto"/>
        <w:tabs>
          <w:tab w:leader="none" w:pos="516" w:val="left"/>
        </w:tabs>
        <w:numPr>
          <w:ilvl w:val="0"/>
          <w:numId w:val="5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Expected term. </w:t>
      </w:r>
      <w:r>
        <w:rPr>
          <w:rFonts w:ascii="Arial" w:cs="Arial" w:eastAsia="Arial" w:hAnsi="Arial"/>
          <w:sz w:val="14"/>
          <w:szCs w:val="14"/>
          <w:color w:val="auto"/>
        </w:rPr>
        <w:t>The expected term of stock options represents the weighted-average period the stock options are expected to remain outstanding and is estimated under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simplified method using the vesting and contractual terms.</w:t>
      </w:r>
    </w:p>
    <w:p>
      <w:pPr>
        <w:spacing w:after="0" w:line="35" w:lineRule="exact"/>
        <w:rPr>
          <w:rFonts w:ascii="Arial" w:cs="Arial" w:eastAsia="Arial" w:hAnsi="Arial"/>
          <w:sz w:val="14"/>
          <w:szCs w:val="14"/>
          <w:color w:val="auto"/>
        </w:rPr>
      </w:pPr>
    </w:p>
    <w:p>
      <w:pPr>
        <w:ind w:left="520" w:right="300" w:hanging="260"/>
        <w:spacing w:after="0" w:line="290" w:lineRule="auto"/>
        <w:tabs>
          <w:tab w:leader="none" w:pos="516" w:val="left"/>
        </w:tabs>
        <w:numPr>
          <w:ilvl w:val="0"/>
          <w:numId w:val="5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Risk-free interest rate. </w:t>
      </w:r>
      <w:r>
        <w:rPr>
          <w:rFonts w:ascii="Arial" w:cs="Arial" w:eastAsia="Arial" w:hAnsi="Arial"/>
          <w:sz w:val="14"/>
          <w:szCs w:val="14"/>
          <w:color w:val="auto"/>
        </w:rPr>
        <w:t>The expected risk-free rate assumption is based on the U.S. Treasury instruments whose term is consistent with the expected term of the stock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options.</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5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Expected dividend yield. </w:t>
      </w:r>
      <w:r>
        <w:rPr>
          <w:rFonts w:ascii="Arial" w:cs="Arial" w:eastAsia="Arial" w:hAnsi="Arial"/>
          <w:sz w:val="14"/>
          <w:szCs w:val="14"/>
          <w:color w:val="auto"/>
        </w:rPr>
        <w:t>The expected dividend assumption is based on our history and expectation of dividend. We have not paid dividends and do not expect to do so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foreseeable future.</w:t>
      </w:r>
    </w:p>
    <w:p>
      <w:pPr>
        <w:spacing w:after="0" w:line="141" w:lineRule="exact"/>
        <w:rPr>
          <w:sz w:val="20"/>
          <w:szCs w:val="20"/>
          <w:color w:val="auto"/>
        </w:rPr>
      </w:pPr>
    </w:p>
    <w:p>
      <w:pPr>
        <w:ind w:right="560"/>
        <w:spacing w:after="0" w:line="290" w:lineRule="auto"/>
        <w:rPr>
          <w:sz w:val="20"/>
          <w:szCs w:val="20"/>
          <w:color w:val="auto"/>
        </w:rPr>
      </w:pPr>
      <w:r>
        <w:rPr>
          <w:rFonts w:ascii="Arial" w:cs="Arial" w:eastAsia="Arial" w:hAnsi="Arial"/>
          <w:sz w:val="14"/>
          <w:szCs w:val="14"/>
          <w:color w:val="auto"/>
        </w:rPr>
        <w:t>Upon grant of awards, we also estimate an amount of forfeitures that will occur prior to vesting. We estimate forfeitures based on the dynamic forfeiture model based on our historical forfeitures of stock options adjusted to reflect future changes in facts and circumstances, if any.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w:t>
      </w:r>
    </w:p>
    <w:p>
      <w:pPr>
        <w:spacing w:after="0" w:line="9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Warrants held prior to the IPO which did not meet the criteria for equity treatment were recorded as liabilities. Accordingly, we classified the warrants as liabilities at their fair value and adjusted the warrants to fair value at each previous reporting period. The liabilities were subject to re-measurement at each balance sheet date until exercised, and any change in fair value was recognized in our consolidated statements of operations. The warrants were valued using the Black-Scholes option pricing model. The assumptions used in preparing the model include estimates such as fair value of the underlying shares, expected volatility, expected term, risk-free interest rate and expected dividend yield. The valuation model used unobservable market share price input on a recurring basis, and therefore the liability was classified as Level 3. As of January 31, 2023 and January 31, 2022, the Company had no outstanding warrants classified as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79"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See “Note 2 — Summary of Significant Accounting Policies” in the Notes to Consolidated Financial Statements for a description of recently adopted accounting pronouncements and recently issued accounting pronouncements not yet adopted.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w:t>
      </w:r>
    </w:p>
    <w:p>
      <w:pPr>
        <w:spacing w:after="0" w:line="179"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Market risk represents the risk of loss that may impact our financial position because of adverse changes in financial market prices and rates. Our market risk exposure is primarily a result of exposure resulting from potential changes in inflation.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2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As of January 31, 2023, we had cash and cash equivalents of $154.5 million and $272.5 million of debt outstanding under the Temasek Facility. Cash and cash equivalents consist primarily of cash held in financial institutions within the United States and Ireland and cash in transit from third-party credit card providers. Borrowings under the Temasek Facility bear interest at fixed rates. We have minimal exposure to market risk relating to changes in interest rates as they can affect the amount of interest income we earn on our cash. We do not enter into investments for trading or speculative purposes and have not used any derivative financial instruments to manage our interest rate risk exposure. As of January 31, 2023, a hypothetical 10% change in interest rates would not have resulted in a material impact on our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Risk</w:t>
      </w:r>
    </w:p>
    <w:p>
      <w:pPr>
        <w:spacing w:after="0" w:line="23"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Our net revenue is denominated in U.S. dollars and a portion of our operating expenses are incurred outside the United States, denominated in foreign currencies. Accordingly, our results of operations are subject to fluctuations due to changes in foreign currency exchange rates, particularly changes in the euro. Additionally, fluctuations in foreign currency exchange rates may cause us to recognize transaction gains and losses in our consolidated statements of operations. As the impact of foreign currency exchange rates has not been material to our historical results of operations, we have not entered into derivative or hedging transactions, but we may do so in the future if our exposure to foreign currency becomes more significant. As of January 31, 2023, a hypothetical 10% change in the relative value of the U.S. dollar to other currencies would not have had a material effect on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 Risk</w:t>
      </w:r>
    </w:p>
    <w:p>
      <w:pPr>
        <w:spacing w:after="0" w:line="94"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In recent months, inflation has continued to increase significantly in the United States and overseas resulting in rising transportation, wages, rental product and other costs. For a discussion of recent wage increases and transportation costs related, in part, to inflationary pressures, see “Impact of Macro and Consumer Environment on Our Business” in Part II, Item 7. “Management’s Discussion and Analysis of Financial Condition and Results of Operations.” If our costs become subject to significant inflationary pressures, we may not be able to fully offset such higher costs with increased revenue. Our inability or failure to do so could harm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9100" w:type="dxa"/>
            <w:vAlign w:val="bottom"/>
            <w:gridSpan w:val="26"/>
          </w:tcPr>
          <w:p>
            <w:pPr>
              <w:spacing w:after="0"/>
              <w:rPr>
                <w:sz w:val="20"/>
                <w:szCs w:val="20"/>
                <w:color w:val="auto"/>
              </w:rPr>
            </w:pPr>
            <w:r>
              <w:rPr>
                <w:rFonts w:ascii="Arial" w:cs="Arial" w:eastAsia="Arial" w:hAnsi="Arial"/>
                <w:sz w:val="14"/>
                <w:szCs w:val="14"/>
                <w:b w:val="1"/>
                <w:bCs w:val="1"/>
                <w:color w:val="0000FF"/>
              </w:rPr>
              <w:t>Table of Contents</w:t>
            </w: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3"/>
        </w:trPr>
        <w:tc>
          <w:tcPr>
            <w:tcW w:w="9100" w:type="dxa"/>
            <w:vAlign w:val="bottom"/>
            <w:gridSpan w:val="26"/>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2"/>
        </w:trPr>
        <w:tc>
          <w:tcPr>
            <w:tcW w:w="20" w:type="dxa"/>
            <w:vAlign w:val="bottom"/>
          </w:tcPr>
          <w:p>
            <w:pPr>
              <w:spacing w:after="0"/>
              <w:rPr>
                <w:sz w:val="24"/>
                <w:szCs w:val="24"/>
                <w:color w:val="auto"/>
              </w:rPr>
            </w:pPr>
          </w:p>
        </w:tc>
        <w:tc>
          <w:tcPr>
            <w:tcW w:w="9080" w:type="dxa"/>
            <w:vAlign w:val="bottom"/>
            <w:gridSpan w:val="25"/>
            <w:vMerge w:val="restart"/>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 238)</w:t>
            </w:r>
          </w:p>
        </w:tc>
        <w:tc>
          <w:tcPr>
            <w:tcW w:w="2180" w:type="dxa"/>
            <w:vAlign w:val="bottom"/>
            <w:gridSpan w:val="2"/>
          </w:tcPr>
          <w:p>
            <w:pPr>
              <w:ind w:left="5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080" w:type="dxa"/>
            <w:vAlign w:val="bottom"/>
            <w:gridSpan w:val="25"/>
            <w:vMerge w:val="continue"/>
          </w:tcPr>
          <w:p>
            <w:pPr>
              <w:spacing w:after="0"/>
              <w:rPr>
                <w:sz w:val="12"/>
                <w:szCs w:val="12"/>
                <w:color w:val="auto"/>
              </w:rPr>
            </w:pPr>
          </w:p>
        </w:tc>
        <w:tc>
          <w:tcPr>
            <w:tcW w:w="13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87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080" w:type="dxa"/>
            <w:vAlign w:val="bottom"/>
            <w:gridSpan w:val="25"/>
          </w:tcPr>
          <w:p>
            <w:pPr>
              <w:spacing w:after="0"/>
              <w:rPr>
                <w:sz w:val="20"/>
                <w:szCs w:val="20"/>
                <w:color w:val="auto"/>
              </w:rPr>
            </w:pPr>
            <w:r>
              <w:rPr>
                <w:rFonts w:ascii="Arial" w:cs="Arial" w:eastAsia="Arial" w:hAnsi="Arial"/>
                <w:sz w:val="14"/>
                <w:szCs w:val="14"/>
                <w:color w:val="0000FF"/>
              </w:rPr>
              <w:t>Consolidated Balance Sheets as of January 31, 2023 and 2022</w:t>
            </w:r>
          </w:p>
        </w:tc>
        <w:tc>
          <w:tcPr>
            <w:tcW w:w="1380" w:type="dxa"/>
            <w:vAlign w:val="bottom"/>
          </w:tcPr>
          <w:p>
            <w:pPr>
              <w:jc w:val="right"/>
              <w:spacing w:after="0"/>
              <w:rPr>
                <w:sz w:val="20"/>
                <w:szCs w:val="20"/>
                <w:color w:val="auto"/>
              </w:rPr>
            </w:pPr>
            <w:r>
              <w:rPr>
                <w:rFonts w:ascii="Arial" w:cs="Arial" w:eastAsia="Arial" w:hAnsi="Arial"/>
                <w:sz w:val="14"/>
                <w:szCs w:val="14"/>
                <w:color w:val="auto"/>
              </w:rPr>
              <w:t>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900" w:type="dxa"/>
            <w:vAlign w:val="bottom"/>
            <w:tcBorders>
              <w:bottom w:val="single" w:sz="8" w:color="0000FF"/>
            </w:tcBorders>
            <w:gridSpan w:val="22"/>
          </w:tcPr>
          <w:p>
            <w:pPr>
              <w:spacing w:after="0"/>
              <w:rPr>
                <w:sz w:val="20"/>
                <w:szCs w:val="20"/>
                <w:color w:val="auto"/>
              </w:rPr>
            </w:pPr>
            <w:r>
              <w:rPr>
                <w:rFonts w:ascii="Arial" w:cs="Arial" w:eastAsia="Arial" w:hAnsi="Arial"/>
                <w:sz w:val="14"/>
                <w:szCs w:val="14"/>
                <w:color w:val="0000FF"/>
              </w:rPr>
              <w:t>Consolidated Statements of Operations for the Years ended January 31, 2023, 2022 and 2021</w:t>
            </w:r>
          </w:p>
        </w:tc>
        <w:tc>
          <w:tcPr>
            <w:tcW w:w="3180" w:type="dxa"/>
            <w:vAlign w:val="bottom"/>
            <w:gridSpan w:val="3"/>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80" w:type="dxa"/>
            <w:vAlign w:val="bottom"/>
            <w:gridSpan w:val="25"/>
          </w:tcPr>
          <w:p>
            <w:pPr>
              <w:spacing w:after="0"/>
              <w:rPr>
                <w:sz w:val="20"/>
                <w:szCs w:val="20"/>
                <w:color w:val="auto"/>
              </w:rPr>
            </w:pPr>
            <w:r>
              <w:rPr>
                <w:rFonts w:ascii="Arial" w:cs="Arial" w:eastAsia="Arial" w:hAnsi="Arial"/>
                <w:sz w:val="14"/>
                <w:szCs w:val="14"/>
                <w:color w:val="0000FF"/>
              </w:rPr>
              <w:t>Consolidated Statements of Changes in Redeemable Preferred Stock and Stockholders’ Equity (Deficit) for the Years ended January 31, 2023,</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920" w:type="dxa"/>
            <w:vAlign w:val="bottom"/>
            <w:tcBorders>
              <w:top w:val="single" w:sz="8" w:color="0000FF"/>
            </w:tcBorders>
            <w:gridSpan w:val="24"/>
          </w:tcPr>
          <w:p>
            <w:pPr>
              <w:spacing w:after="0" w:line="107" w:lineRule="exact"/>
              <w:rPr>
                <w:sz w:val="20"/>
                <w:szCs w:val="20"/>
                <w:color w:val="auto"/>
              </w:rPr>
            </w:pPr>
            <w:r>
              <w:rPr>
                <w:rFonts w:ascii="Arial" w:cs="Arial" w:eastAsia="Arial" w:hAnsi="Arial"/>
                <w:sz w:val="12"/>
                <w:szCs w:val="12"/>
                <w:color w:val="0000FF"/>
              </w:rPr>
              <w:t>2022 and 2021</w:t>
            </w:r>
          </w:p>
        </w:tc>
        <w:tc>
          <w:tcPr>
            <w:tcW w:w="1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Borders>
              <w:bottom w:val="single" w:sz="8" w:color="0000FF"/>
            </w:tcBorders>
            <w:gridSpan w:val="23"/>
          </w:tcPr>
          <w:p>
            <w:pPr>
              <w:spacing w:after="0"/>
              <w:rPr>
                <w:sz w:val="20"/>
                <w:szCs w:val="20"/>
                <w:color w:val="auto"/>
              </w:rPr>
            </w:pPr>
            <w:r>
              <w:rPr>
                <w:rFonts w:ascii="Arial" w:cs="Arial" w:eastAsia="Arial" w:hAnsi="Arial"/>
                <w:sz w:val="14"/>
                <w:szCs w:val="14"/>
                <w:color w:val="0000FF"/>
              </w:rPr>
              <w:t>Consolidated Statements of Cash Flows for the Years ended January 31, 2023, 2022, and 2021</w:t>
            </w:r>
          </w:p>
        </w:tc>
        <w:tc>
          <w:tcPr>
            <w:tcW w:w="3100" w:type="dxa"/>
            <w:vAlign w:val="bottom"/>
            <w:gridSpan w:val="2"/>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gridSpan w:val="25"/>
          </w:tcPr>
          <w:p>
            <w:pPr>
              <w:spacing w:after="0"/>
              <w:rPr>
                <w:sz w:val="20"/>
                <w:szCs w:val="20"/>
                <w:color w:val="auto"/>
              </w:rPr>
            </w:pPr>
            <w:r>
              <w:rPr>
                <w:rFonts w:ascii="Arial" w:cs="Arial" w:eastAsia="Arial" w:hAnsi="Arial"/>
                <w:sz w:val="14"/>
                <w:szCs w:val="14"/>
                <w:b w:val="1"/>
                <w:bCs w:val="1"/>
                <w:color w:val="auto"/>
              </w:rPr>
              <w:t>Notes to Consolidated Financial Statements</w:t>
            </w: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line="153" w:lineRule="exact"/>
              <w:rPr>
                <w:sz w:val="20"/>
                <w:szCs w:val="20"/>
                <w:color w:val="auto"/>
              </w:rPr>
            </w:pPr>
            <w:r>
              <w:rPr>
                <w:rFonts w:ascii="Arial" w:cs="Arial" w:eastAsia="Arial" w:hAnsi="Arial"/>
                <w:sz w:val="14"/>
                <w:szCs w:val="14"/>
                <w:color w:val="0000FF"/>
              </w:rPr>
              <w:t>1.</w:t>
            </w:r>
          </w:p>
        </w:tc>
        <w:tc>
          <w:tcPr>
            <w:tcW w:w="600" w:type="dxa"/>
            <w:vAlign w:val="bottom"/>
            <w:tcBorders>
              <w:bottom w:val="single" w:sz="8" w:color="0000FF"/>
            </w:tcBorders>
            <w:gridSpan w:val="3"/>
          </w:tcPr>
          <w:p>
            <w:pPr>
              <w:ind w:left="20"/>
              <w:spacing w:after="0" w:line="153" w:lineRule="exact"/>
              <w:rPr>
                <w:sz w:val="20"/>
                <w:szCs w:val="20"/>
                <w:color w:val="auto"/>
              </w:rPr>
            </w:pPr>
            <w:r>
              <w:rPr>
                <w:rFonts w:ascii="Arial" w:cs="Arial" w:eastAsia="Arial" w:hAnsi="Arial"/>
                <w:sz w:val="14"/>
                <w:szCs w:val="14"/>
                <w:color w:val="0000FF"/>
                <w:w w:val="98"/>
              </w:rPr>
              <w:t>Business</w:t>
            </w:r>
          </w:p>
        </w:tc>
        <w:tc>
          <w:tcPr>
            <w:tcW w:w="8260" w:type="dxa"/>
            <w:vAlign w:val="bottom"/>
            <w:gridSpan w:val="20"/>
          </w:tcPr>
          <w:p>
            <w:pPr>
              <w:spacing w:after="0"/>
              <w:rPr>
                <w:sz w:val="13"/>
                <w:szCs w:val="13"/>
                <w:color w:val="auto"/>
              </w:rPr>
            </w:pPr>
          </w:p>
        </w:tc>
        <w:tc>
          <w:tcPr>
            <w:tcW w:w="1380" w:type="dxa"/>
            <w:vAlign w:val="bottom"/>
          </w:tcPr>
          <w:p>
            <w:pPr>
              <w:jc w:val="right"/>
              <w:spacing w:after="0" w:line="153" w:lineRule="exact"/>
              <w:rPr>
                <w:sz w:val="20"/>
                <w:szCs w:val="20"/>
                <w:color w:val="auto"/>
              </w:rPr>
            </w:pPr>
            <w:r>
              <w:rPr>
                <w:rFonts w:ascii="Arial" w:cs="Arial" w:eastAsia="Arial" w:hAnsi="Arial"/>
                <w:sz w:val="14"/>
                <w:szCs w:val="14"/>
                <w:color w:val="auto"/>
              </w:rPr>
              <w:t>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2.</w:t>
            </w:r>
          </w:p>
        </w:tc>
        <w:tc>
          <w:tcPr>
            <w:tcW w:w="8860" w:type="dxa"/>
            <w:vAlign w:val="bottom"/>
            <w:gridSpan w:val="23"/>
          </w:tcPr>
          <w:p>
            <w:pPr>
              <w:ind w:left="20"/>
              <w:spacing w:after="0"/>
              <w:rPr>
                <w:sz w:val="20"/>
                <w:szCs w:val="20"/>
                <w:color w:val="auto"/>
              </w:rPr>
            </w:pPr>
            <w:r>
              <w:rPr>
                <w:rFonts w:ascii="Arial" w:cs="Arial" w:eastAsia="Arial" w:hAnsi="Arial"/>
                <w:sz w:val="14"/>
                <w:szCs w:val="14"/>
                <w:color w:val="0000FF"/>
              </w:rPr>
              <w:t>Summary of Significant Accounting Policies</w:t>
            </w:r>
          </w:p>
        </w:tc>
        <w:tc>
          <w:tcPr>
            <w:tcW w:w="1380" w:type="dxa"/>
            <w:vAlign w:val="bottom"/>
          </w:tcPr>
          <w:p>
            <w:pPr>
              <w:jc w:val="right"/>
              <w:spacing w:after="0"/>
              <w:rPr>
                <w:sz w:val="20"/>
                <w:szCs w:val="20"/>
                <w:color w:val="auto"/>
              </w:rPr>
            </w:pPr>
            <w:r>
              <w:rPr>
                <w:rFonts w:ascii="Arial" w:cs="Arial" w:eastAsia="Arial" w:hAnsi="Arial"/>
                <w:sz w:val="14"/>
                <w:szCs w:val="14"/>
                <w:color w:val="auto"/>
              </w:rPr>
              <w:t>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rPr>
              <w:t>3.</w:t>
            </w:r>
          </w:p>
        </w:tc>
        <w:tc>
          <w:tcPr>
            <w:tcW w:w="54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4"/>
                <w:szCs w:val="14"/>
                <w:color w:val="0000FF"/>
                <w:w w:val="97"/>
              </w:rPr>
              <w:t>Liquidity</w:t>
            </w:r>
          </w:p>
        </w:tc>
        <w:tc>
          <w:tcPr>
            <w:tcW w:w="2200" w:type="dxa"/>
            <w:vAlign w:val="bottom"/>
            <w:tcBorders>
              <w:top w:val="single" w:sz="8" w:color="0000FF"/>
            </w:tcBorders>
            <w:gridSpan w:val="14"/>
          </w:tcPr>
          <w:p>
            <w:pPr>
              <w:spacing w:after="0"/>
              <w:rPr>
                <w:sz w:val="13"/>
                <w:szCs w:val="13"/>
                <w:color w:val="auto"/>
              </w:rPr>
            </w:pPr>
          </w:p>
        </w:tc>
        <w:tc>
          <w:tcPr>
            <w:tcW w:w="6120" w:type="dxa"/>
            <w:vAlign w:val="bottom"/>
            <w:gridSpan w:val="7"/>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4.</w:t>
            </w:r>
          </w:p>
        </w:tc>
        <w:tc>
          <w:tcPr>
            <w:tcW w:w="2240" w:type="dxa"/>
            <w:vAlign w:val="bottom"/>
            <w:tcBorders>
              <w:bottom w:val="single" w:sz="8" w:color="0000FF"/>
            </w:tcBorders>
            <w:gridSpan w:val="14"/>
          </w:tcPr>
          <w:p>
            <w:pPr>
              <w:ind w:left="20"/>
              <w:spacing w:after="0"/>
              <w:rPr>
                <w:sz w:val="20"/>
                <w:szCs w:val="20"/>
                <w:color w:val="auto"/>
              </w:rPr>
            </w:pPr>
            <w:r>
              <w:rPr>
                <w:rFonts w:ascii="Arial" w:cs="Arial" w:eastAsia="Arial" w:hAnsi="Arial"/>
                <w:sz w:val="14"/>
                <w:szCs w:val="14"/>
                <w:color w:val="0000FF"/>
              </w:rPr>
              <w:t>Restructuring and Related Charges</w:t>
            </w:r>
          </w:p>
        </w:tc>
        <w:tc>
          <w:tcPr>
            <w:tcW w:w="6620" w:type="dxa"/>
            <w:vAlign w:val="bottom"/>
            <w:gridSpan w:val="9"/>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5.</w:t>
            </w:r>
          </w:p>
        </w:tc>
        <w:tc>
          <w:tcPr>
            <w:tcW w:w="1760" w:type="dxa"/>
            <w:vAlign w:val="bottom"/>
            <w:tcBorders>
              <w:bottom w:val="single" w:sz="8" w:color="0000FF"/>
            </w:tcBorders>
            <w:gridSpan w:val="10"/>
          </w:tcPr>
          <w:p>
            <w:pPr>
              <w:ind w:left="20"/>
              <w:spacing w:after="0"/>
              <w:rPr>
                <w:sz w:val="20"/>
                <w:szCs w:val="20"/>
                <w:color w:val="auto"/>
              </w:rPr>
            </w:pPr>
            <w:r>
              <w:rPr>
                <w:rFonts w:ascii="Arial" w:cs="Arial" w:eastAsia="Arial" w:hAnsi="Arial"/>
                <w:sz w:val="14"/>
                <w:szCs w:val="14"/>
                <w:color w:val="0000FF"/>
                <w:w w:val="99"/>
              </w:rPr>
              <w:t>Leases- Lessee Accounting</w:t>
            </w:r>
          </w:p>
        </w:tc>
        <w:tc>
          <w:tcPr>
            <w:tcW w:w="7100" w:type="dxa"/>
            <w:vAlign w:val="bottom"/>
            <w:gridSpan w:val="13"/>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6.</w:t>
            </w:r>
          </w:p>
        </w:tc>
        <w:tc>
          <w:tcPr>
            <w:tcW w:w="1260" w:type="dxa"/>
            <w:vAlign w:val="bottom"/>
            <w:tcBorders>
              <w:bottom w:val="single" w:sz="8" w:color="0000FF"/>
            </w:tcBorders>
            <w:gridSpan w:val="7"/>
          </w:tcPr>
          <w:p>
            <w:pPr>
              <w:ind w:left="20"/>
              <w:spacing w:after="0"/>
              <w:rPr>
                <w:sz w:val="20"/>
                <w:szCs w:val="20"/>
                <w:color w:val="auto"/>
              </w:rPr>
            </w:pPr>
            <w:r>
              <w:rPr>
                <w:rFonts w:ascii="Arial" w:cs="Arial" w:eastAsia="Arial" w:hAnsi="Arial"/>
                <w:sz w:val="14"/>
                <w:szCs w:val="14"/>
                <w:color w:val="0000FF"/>
                <w:w w:val="99"/>
              </w:rPr>
              <w:t>Rental Product, Net</w:t>
            </w:r>
          </w:p>
        </w:tc>
        <w:tc>
          <w:tcPr>
            <w:tcW w:w="7600" w:type="dxa"/>
            <w:vAlign w:val="bottom"/>
            <w:gridSpan w:val="16"/>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7.</w:t>
            </w:r>
          </w:p>
        </w:tc>
        <w:tc>
          <w:tcPr>
            <w:tcW w:w="2060" w:type="dxa"/>
            <w:vAlign w:val="bottom"/>
            <w:tcBorders>
              <w:bottom w:val="single" w:sz="8" w:color="0000FF"/>
            </w:tcBorders>
            <w:gridSpan w:val="12"/>
          </w:tcPr>
          <w:p>
            <w:pPr>
              <w:ind w:left="20"/>
              <w:spacing w:after="0"/>
              <w:rPr>
                <w:sz w:val="20"/>
                <w:szCs w:val="20"/>
                <w:color w:val="auto"/>
              </w:rPr>
            </w:pPr>
            <w:r>
              <w:rPr>
                <w:rFonts w:ascii="Arial" w:cs="Arial" w:eastAsia="Arial" w:hAnsi="Arial"/>
                <w:sz w:val="14"/>
                <w:szCs w:val="14"/>
                <w:color w:val="0000FF"/>
              </w:rPr>
              <w:t>Fixed and Intangible Assets, Net</w:t>
            </w:r>
          </w:p>
        </w:tc>
        <w:tc>
          <w:tcPr>
            <w:tcW w:w="6800" w:type="dxa"/>
            <w:vAlign w:val="bottom"/>
            <w:gridSpan w:val="11"/>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8.</w:t>
            </w:r>
          </w:p>
        </w:tc>
        <w:tc>
          <w:tcPr>
            <w:tcW w:w="1040" w:type="dxa"/>
            <w:vAlign w:val="bottom"/>
            <w:tcBorders>
              <w:bottom w:val="single" w:sz="8" w:color="0000FF"/>
            </w:tcBorders>
            <w:gridSpan w:val="6"/>
          </w:tcPr>
          <w:p>
            <w:pPr>
              <w:ind w:left="20"/>
              <w:spacing w:after="0"/>
              <w:rPr>
                <w:sz w:val="20"/>
                <w:szCs w:val="20"/>
                <w:color w:val="auto"/>
              </w:rPr>
            </w:pPr>
            <w:r>
              <w:rPr>
                <w:rFonts w:ascii="Arial" w:cs="Arial" w:eastAsia="Arial" w:hAnsi="Arial"/>
                <w:sz w:val="14"/>
                <w:szCs w:val="14"/>
                <w:color w:val="0000FF"/>
                <w:w w:val="98"/>
              </w:rPr>
              <w:t>Long-Term Debt</w:t>
            </w:r>
          </w:p>
        </w:tc>
        <w:tc>
          <w:tcPr>
            <w:tcW w:w="7820" w:type="dxa"/>
            <w:vAlign w:val="bottom"/>
            <w:gridSpan w:val="17"/>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9.</w:t>
            </w:r>
          </w:p>
        </w:tc>
        <w:tc>
          <w:tcPr>
            <w:tcW w:w="940" w:type="dxa"/>
            <w:vAlign w:val="bottom"/>
            <w:tcBorders>
              <w:bottom w:val="single" w:sz="8" w:color="0000FF"/>
            </w:tcBorders>
            <w:gridSpan w:val="5"/>
          </w:tcPr>
          <w:p>
            <w:pPr>
              <w:ind w:left="20"/>
              <w:spacing w:after="0"/>
              <w:rPr>
                <w:sz w:val="20"/>
                <w:szCs w:val="20"/>
                <w:color w:val="auto"/>
              </w:rPr>
            </w:pPr>
            <w:r>
              <w:rPr>
                <w:rFonts w:ascii="Arial" w:cs="Arial" w:eastAsia="Arial" w:hAnsi="Arial"/>
                <w:sz w:val="14"/>
                <w:szCs w:val="14"/>
                <w:color w:val="0000FF"/>
              </w:rPr>
              <w:t>Income Taxes</w:t>
            </w:r>
          </w:p>
        </w:tc>
        <w:tc>
          <w:tcPr>
            <w:tcW w:w="7920" w:type="dxa"/>
            <w:vAlign w:val="bottom"/>
            <w:gridSpan w:val="18"/>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10.</w:t>
            </w:r>
          </w:p>
        </w:tc>
        <w:tc>
          <w:tcPr>
            <w:tcW w:w="3000" w:type="dxa"/>
            <w:vAlign w:val="bottom"/>
            <w:tcBorders>
              <w:bottom w:val="single" w:sz="8" w:color="0000FF"/>
            </w:tcBorders>
            <w:gridSpan w:val="16"/>
          </w:tcPr>
          <w:p>
            <w:pPr>
              <w:ind w:left="20"/>
              <w:spacing w:after="0"/>
              <w:rPr>
                <w:sz w:val="20"/>
                <w:szCs w:val="20"/>
                <w:color w:val="auto"/>
              </w:rPr>
            </w:pPr>
            <w:r>
              <w:rPr>
                <w:rFonts w:ascii="Arial" w:cs="Arial" w:eastAsia="Arial" w:hAnsi="Arial"/>
                <w:sz w:val="14"/>
                <w:szCs w:val="14"/>
                <w:color w:val="0000FF"/>
              </w:rPr>
              <w:t>Accrued Expenses and Other Current Liabilities</w:t>
            </w:r>
          </w:p>
        </w:tc>
        <w:tc>
          <w:tcPr>
            <w:tcW w:w="5780" w:type="dxa"/>
            <w:vAlign w:val="bottom"/>
            <w:gridSpan w:val="6"/>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w w:val="99"/>
              </w:rPr>
              <w:t>11. Fair Value Measurements</w:t>
            </w:r>
          </w:p>
        </w:tc>
        <w:tc>
          <w:tcPr>
            <w:tcW w:w="7160" w:type="dxa"/>
            <w:vAlign w:val="bottom"/>
            <w:gridSpan w:val="14"/>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12.</w:t>
            </w:r>
          </w:p>
        </w:tc>
        <w:tc>
          <w:tcPr>
            <w:tcW w:w="8780" w:type="dxa"/>
            <w:vAlign w:val="bottom"/>
            <w:gridSpan w:val="22"/>
          </w:tcPr>
          <w:p>
            <w:pPr>
              <w:ind w:left="20"/>
              <w:spacing w:after="0"/>
              <w:rPr>
                <w:sz w:val="20"/>
                <w:szCs w:val="20"/>
                <w:color w:val="auto"/>
              </w:rPr>
            </w:pPr>
            <w:r>
              <w:rPr>
                <w:rFonts w:ascii="Arial" w:cs="Arial" w:eastAsia="Arial" w:hAnsi="Arial"/>
                <w:sz w:val="14"/>
                <w:szCs w:val="14"/>
                <w:color w:val="0000FF"/>
              </w:rPr>
              <w:t>Redeemable Preferred Stock</w:t>
            </w:r>
          </w:p>
        </w:tc>
        <w:tc>
          <w:tcPr>
            <w:tcW w:w="1380" w:type="dxa"/>
            <w:vAlign w:val="bottom"/>
          </w:tcPr>
          <w:p>
            <w:pPr>
              <w:jc w:val="right"/>
              <w:spacing w:after="0"/>
              <w:rPr>
                <w:sz w:val="20"/>
                <w:szCs w:val="20"/>
                <w:color w:val="auto"/>
              </w:rPr>
            </w:pPr>
            <w:r>
              <w:rPr>
                <w:rFonts w:ascii="Arial" w:cs="Arial" w:eastAsia="Arial" w:hAnsi="Arial"/>
                <w:sz w:val="14"/>
                <w:szCs w:val="14"/>
                <w:color w:val="auto"/>
              </w:rPr>
              <w:t>115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13.</w:t>
            </w:r>
          </w:p>
        </w:tc>
        <w:tc>
          <w:tcPr>
            <w:tcW w:w="1840" w:type="dxa"/>
            <w:vAlign w:val="bottom"/>
            <w:tcBorders>
              <w:top w:val="single" w:sz="8" w:color="0000FF"/>
            </w:tcBorders>
            <w:gridSpan w:val="10"/>
          </w:tcPr>
          <w:p>
            <w:pPr>
              <w:ind w:left="20"/>
              <w:spacing w:after="0"/>
              <w:rPr>
                <w:sz w:val="20"/>
                <w:szCs w:val="20"/>
                <w:color w:val="auto"/>
              </w:rPr>
            </w:pPr>
            <w:r>
              <w:rPr>
                <w:rFonts w:ascii="Arial" w:cs="Arial" w:eastAsia="Arial" w:hAnsi="Arial"/>
                <w:sz w:val="14"/>
                <w:szCs w:val="14"/>
                <w:color w:val="0000FF"/>
              </w:rPr>
              <w:t>Stockholders’ Equity</w:t>
            </w:r>
          </w:p>
        </w:tc>
        <w:tc>
          <w:tcPr>
            <w:tcW w:w="6940" w:type="dxa"/>
            <w:vAlign w:val="bottom"/>
            <w:gridSpan w:val="12"/>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14.</w:t>
            </w:r>
          </w:p>
        </w:tc>
        <w:tc>
          <w:tcPr>
            <w:tcW w:w="2180" w:type="dxa"/>
            <w:vAlign w:val="bottom"/>
            <w:tcBorders>
              <w:bottom w:val="single" w:sz="8" w:color="0000FF"/>
            </w:tcBorders>
            <w:gridSpan w:val="14"/>
          </w:tcPr>
          <w:p>
            <w:pPr>
              <w:ind w:left="20"/>
              <w:spacing w:after="0"/>
              <w:rPr>
                <w:sz w:val="20"/>
                <w:szCs w:val="20"/>
                <w:color w:val="auto"/>
              </w:rPr>
            </w:pPr>
            <w:r>
              <w:rPr>
                <w:rFonts w:ascii="Arial" w:cs="Arial" w:eastAsia="Arial" w:hAnsi="Arial"/>
                <w:sz w:val="14"/>
                <w:szCs w:val="14"/>
                <w:color w:val="0000FF"/>
              </w:rPr>
              <w:t>Share-based Compensation Plans</w:t>
            </w:r>
          </w:p>
        </w:tc>
        <w:tc>
          <w:tcPr>
            <w:tcW w:w="6600" w:type="dxa"/>
            <w:vAlign w:val="bottom"/>
            <w:gridSpan w:val="8"/>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15.</w:t>
            </w:r>
          </w:p>
        </w:tc>
        <w:tc>
          <w:tcPr>
            <w:tcW w:w="3660" w:type="dxa"/>
            <w:vAlign w:val="bottom"/>
            <w:tcBorders>
              <w:bottom w:val="single" w:sz="8" w:color="0000FF"/>
            </w:tcBorders>
            <w:gridSpan w:val="18"/>
          </w:tcPr>
          <w:p>
            <w:pPr>
              <w:ind w:left="20"/>
              <w:spacing w:after="0"/>
              <w:rPr>
                <w:sz w:val="20"/>
                <w:szCs w:val="20"/>
                <w:color w:val="auto"/>
              </w:rPr>
            </w:pPr>
            <w:r>
              <w:rPr>
                <w:rFonts w:ascii="Arial" w:cs="Arial" w:eastAsia="Arial" w:hAnsi="Arial"/>
                <w:sz w:val="14"/>
                <w:szCs w:val="14"/>
                <w:color w:val="0000FF"/>
              </w:rPr>
              <w:t>Net Loss per Share Attributable to Common Stockholders</w:t>
            </w:r>
          </w:p>
        </w:tc>
        <w:tc>
          <w:tcPr>
            <w:tcW w:w="5120" w:type="dxa"/>
            <w:vAlign w:val="bottom"/>
            <w:gridSpan w:val="4"/>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16.</w:t>
            </w:r>
          </w:p>
        </w:tc>
        <w:tc>
          <w:tcPr>
            <w:tcW w:w="8780" w:type="dxa"/>
            <w:vAlign w:val="bottom"/>
            <w:gridSpan w:val="22"/>
          </w:tcPr>
          <w:p>
            <w:pPr>
              <w:ind w:left="20"/>
              <w:spacing w:after="0"/>
              <w:rPr>
                <w:sz w:val="20"/>
                <w:szCs w:val="20"/>
                <w:color w:val="auto"/>
              </w:rPr>
            </w:pPr>
            <w:r>
              <w:rPr>
                <w:rFonts w:ascii="Arial" w:cs="Arial" w:eastAsia="Arial" w:hAnsi="Arial"/>
                <w:sz w:val="14"/>
                <w:szCs w:val="14"/>
                <w:color w:val="0000FF"/>
              </w:rPr>
              <w:t>Commitments and Contingencies</w:t>
            </w:r>
          </w:p>
        </w:tc>
        <w:tc>
          <w:tcPr>
            <w:tcW w:w="1380" w:type="dxa"/>
            <w:vAlign w:val="bottom"/>
          </w:tcPr>
          <w:p>
            <w:pPr>
              <w:jc w:val="right"/>
              <w:spacing w:after="0"/>
              <w:rPr>
                <w:sz w:val="20"/>
                <w:szCs w:val="20"/>
                <w:color w:val="auto"/>
              </w:rPr>
            </w:pPr>
            <w:r>
              <w:rPr>
                <w:rFonts w:ascii="Arial" w:cs="Arial" w:eastAsia="Arial" w:hAnsi="Arial"/>
                <w:sz w:val="14"/>
                <w:szCs w:val="14"/>
                <w:color w:val="auto"/>
              </w:rPr>
              <w:t>120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100" w:type="dxa"/>
            <w:vAlign w:val="bottom"/>
            <w:tcBorders>
              <w:top w:val="single" w:sz="8" w:color="0000FF"/>
            </w:tcBorders>
            <w:gridSpan w:val="12"/>
          </w:tcPr>
          <w:p>
            <w:pPr>
              <w:spacing w:after="0"/>
              <w:rPr>
                <w:sz w:val="24"/>
                <w:szCs w:val="24"/>
                <w:color w:val="auto"/>
              </w:rPr>
            </w:pPr>
          </w:p>
        </w:tc>
        <w:tc>
          <w:tcPr>
            <w:tcW w:w="3500" w:type="dxa"/>
            <w:vAlign w:val="bottom"/>
            <w:gridSpan w:val="7"/>
          </w:tcPr>
          <w:p>
            <w:pPr>
              <w:jc w:val="right"/>
              <w:ind w:right="200"/>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9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Rent the Runway, Inc.</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on the Financial Statements</w:t>
      </w:r>
    </w:p>
    <w:p>
      <w:pPr>
        <w:spacing w:after="0" w:line="187"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We have audited the accompanying consolidated balance sheets of Rent the Runway, Inc. and its subsidiary (the “Company”) as of January 31, 2023 and 2022, and the related consolidated statements of operations, of changes in redeemable preferred stock and stockholders’ equity (deficit) and of cash flows for each of the three years in the period ended January 31, 2023, including the related notes (collectively referred to as the “consolidated financial statements”). In our opinion, the consolidated financial statements present fairly,</w:t>
      </w:r>
    </w:p>
    <w:p>
      <w:pPr>
        <w:ind w:right="40"/>
        <w:spacing w:after="0" w:line="238" w:lineRule="auto"/>
        <w:rPr>
          <w:sz w:val="20"/>
          <w:szCs w:val="20"/>
          <w:color w:val="auto"/>
        </w:rPr>
      </w:pPr>
      <w:r>
        <w:rPr>
          <w:rFonts w:ascii="Arial" w:cs="Arial" w:eastAsia="Arial" w:hAnsi="Arial"/>
          <w:sz w:val="14"/>
          <w:szCs w:val="14"/>
          <w:color w:val="auto"/>
        </w:rPr>
        <w:t>in all material respects, the financial position of the Company as of January 31, 2023 and 2022, and the results of its operations and its cash flows for each of the three years in the period ended January 31, 2023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187" w:lineRule="exact"/>
        <w:rPr>
          <w:sz w:val="20"/>
          <w:szCs w:val="20"/>
          <w:color w:val="auto"/>
        </w:rPr>
      </w:pPr>
    </w:p>
    <w:p>
      <w:pPr>
        <w:jc w:val="both"/>
        <w:ind w:right="80"/>
        <w:spacing w:after="0" w:line="249"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w:t>
      </w:r>
    </w:p>
    <w:p>
      <w:pPr>
        <w:spacing w:after="0" w:line="12"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w:t>
      </w:r>
    </w:p>
    <w:p>
      <w:pPr>
        <w:spacing w:after="0"/>
        <w:rPr>
          <w:sz w:val="20"/>
          <w:szCs w:val="20"/>
          <w:color w:val="auto"/>
        </w:rPr>
      </w:pPr>
      <w:r>
        <w:rPr>
          <w:rFonts w:ascii="Arial" w:cs="Arial" w:eastAsia="Arial" w:hAnsi="Arial"/>
          <w:sz w:val="14"/>
          <w:szCs w:val="14"/>
          <w:color w:val="auto"/>
        </w:rPr>
        <w:t>consolidated financial statements. We believe that our audits provide a reasonable basis for our opinion.</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April 13, 2023</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200" w:type="dxa"/>
            <w:vAlign w:val="bottom"/>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January 31,</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5"/>
        </w:trPr>
        <w:tc>
          <w:tcPr>
            <w:tcW w:w="82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2023</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61"/>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0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20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Cash and cash equivalents</w:t>
            </w:r>
          </w:p>
        </w:tc>
        <w:tc>
          <w:tcPr>
            <w:tcW w:w="1080" w:type="dxa"/>
            <w:vAlign w:val="bottom"/>
            <w:shd w:val="clear" w:color="auto" w:fill="CCEEFF"/>
          </w:tcPr>
          <w:p>
            <w:pPr>
              <w:jc w:val="right"/>
              <w:ind w:right="943"/>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154.5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247.6</w:t>
            </w:r>
          </w:p>
        </w:tc>
        <w:tc>
          <w:tcPr>
            <w:tcW w:w="0" w:type="dxa"/>
            <w:vAlign w:val="bottom"/>
          </w:tcPr>
          <w:p>
            <w:pPr>
              <w:spacing w:after="0"/>
              <w:rPr>
                <w:sz w:val="1"/>
                <w:szCs w:val="1"/>
                <w:color w:val="auto"/>
              </w:rPr>
            </w:pPr>
          </w:p>
        </w:tc>
      </w:tr>
      <w:tr>
        <w:trPr>
          <w:trHeight w:val="172"/>
        </w:trPr>
        <w:tc>
          <w:tcPr>
            <w:tcW w:w="8200" w:type="dxa"/>
            <w:vAlign w:val="bottom"/>
          </w:tcPr>
          <w:p>
            <w:pPr>
              <w:ind w:left="280"/>
              <w:spacing w:after="0"/>
              <w:rPr>
                <w:sz w:val="20"/>
                <w:szCs w:val="20"/>
                <w:color w:val="auto"/>
              </w:rPr>
            </w:pPr>
            <w:r>
              <w:rPr>
                <w:rFonts w:ascii="Arial" w:cs="Arial" w:eastAsia="Arial" w:hAnsi="Arial"/>
                <w:sz w:val="11"/>
                <w:szCs w:val="11"/>
                <w:color w:val="auto"/>
              </w:rPr>
              <w:t>Restricted cash, current</w:t>
            </w:r>
          </w:p>
        </w:tc>
        <w:tc>
          <w:tcPr>
            <w:tcW w:w="1080" w:type="dxa"/>
            <w:vAlign w:val="bottom"/>
          </w:tcPr>
          <w:p>
            <w:pPr>
              <w:spacing w:after="0"/>
              <w:rPr>
                <w:sz w:val="14"/>
                <w:szCs w:val="14"/>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Prepaid expenses and other current assets</w:t>
            </w:r>
          </w:p>
        </w:tc>
        <w:tc>
          <w:tcPr>
            <w:tcW w:w="10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176"/>
        </w:trPr>
        <w:tc>
          <w:tcPr>
            <w:tcW w:w="8200" w:type="dxa"/>
            <w:vAlign w:val="bottom"/>
          </w:tcPr>
          <w:p>
            <w:pPr>
              <w:ind w:left="520"/>
              <w:spacing w:after="0"/>
              <w:rPr>
                <w:sz w:val="20"/>
                <w:szCs w:val="20"/>
                <w:color w:val="auto"/>
              </w:rPr>
            </w:pPr>
            <w:r>
              <w:rPr>
                <w:rFonts w:ascii="Arial" w:cs="Arial" w:eastAsia="Arial" w:hAnsi="Arial"/>
                <w:sz w:val="11"/>
                <w:szCs w:val="11"/>
                <w:color w:val="auto"/>
              </w:rPr>
              <w:t>Total current assets</w:t>
            </w:r>
          </w:p>
        </w:tc>
        <w:tc>
          <w:tcPr>
            <w:tcW w:w="108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172.1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264.7</w:t>
            </w: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77"/>
        </w:trPr>
        <w:tc>
          <w:tcPr>
            <w:tcW w:w="8200" w:type="dxa"/>
            <w:vAlign w:val="bottom"/>
          </w:tcPr>
          <w:p>
            <w:pPr>
              <w:ind w:left="20"/>
              <w:spacing w:after="0"/>
              <w:rPr>
                <w:sz w:val="20"/>
                <w:szCs w:val="20"/>
                <w:color w:val="auto"/>
              </w:rPr>
            </w:pPr>
            <w:r>
              <w:rPr>
                <w:rFonts w:ascii="Arial" w:cs="Arial" w:eastAsia="Arial" w:hAnsi="Arial"/>
                <w:sz w:val="11"/>
                <w:szCs w:val="11"/>
                <w:color w:val="auto"/>
              </w:rPr>
              <w:t>Rental product, net</w:t>
            </w:r>
          </w:p>
        </w:tc>
        <w:tc>
          <w:tcPr>
            <w:tcW w:w="108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78.7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76.3</w:t>
            </w: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assets, net</w:t>
            </w: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57.2</w:t>
            </w:r>
          </w:p>
        </w:tc>
        <w:tc>
          <w:tcPr>
            <w:tcW w:w="0" w:type="dxa"/>
            <w:vAlign w:val="bottom"/>
          </w:tcPr>
          <w:p>
            <w:pPr>
              <w:spacing w:after="0"/>
              <w:rPr>
                <w:sz w:val="1"/>
                <w:szCs w:val="1"/>
                <w:color w:val="auto"/>
              </w:rPr>
            </w:pPr>
          </w:p>
        </w:tc>
      </w:tr>
      <w:tr>
        <w:trPr>
          <w:trHeight w:val="177"/>
        </w:trPr>
        <w:tc>
          <w:tcPr>
            <w:tcW w:w="8200" w:type="dxa"/>
            <w:vAlign w:val="bottom"/>
          </w:tcPr>
          <w:p>
            <w:pPr>
              <w:ind w:left="20"/>
              <w:spacing w:after="0"/>
              <w:rPr>
                <w:sz w:val="20"/>
                <w:szCs w:val="20"/>
                <w:color w:val="auto"/>
              </w:rPr>
            </w:pPr>
            <w:r>
              <w:rPr>
                <w:rFonts w:ascii="Arial" w:cs="Arial" w:eastAsia="Arial" w:hAnsi="Arial"/>
                <w:sz w:val="11"/>
                <w:szCs w:val="11"/>
                <w:color w:val="auto"/>
              </w:rPr>
              <w:t>Intangible assets, net</w:t>
            </w:r>
          </w:p>
        </w:tc>
        <w:tc>
          <w:tcPr>
            <w:tcW w:w="108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assets</w:t>
            </w: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31.5</w:t>
            </w:r>
          </w:p>
        </w:tc>
        <w:tc>
          <w:tcPr>
            <w:tcW w:w="0" w:type="dxa"/>
            <w:vAlign w:val="bottom"/>
          </w:tcPr>
          <w:p>
            <w:pPr>
              <w:spacing w:after="0"/>
              <w:rPr>
                <w:sz w:val="1"/>
                <w:szCs w:val="1"/>
                <w:color w:val="auto"/>
              </w:rPr>
            </w:pPr>
          </w:p>
        </w:tc>
      </w:tr>
      <w:tr>
        <w:trPr>
          <w:trHeight w:val="177"/>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assets</w:t>
            </w:r>
          </w:p>
        </w:tc>
        <w:tc>
          <w:tcPr>
            <w:tcW w:w="1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3.9</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99"/>
        </w:trPr>
        <w:tc>
          <w:tcPr>
            <w:tcW w:w="8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 assets</w:t>
            </w:r>
          </w:p>
        </w:tc>
        <w:tc>
          <w:tcPr>
            <w:tcW w:w="1080" w:type="dxa"/>
            <w:vAlign w:val="bottom"/>
            <w:tcBorders>
              <w:bottom w:val="single" w:sz="8" w:color="auto"/>
            </w:tcBorders>
            <w:shd w:val="clear" w:color="auto" w:fill="CCEEFF"/>
          </w:tcPr>
          <w:p>
            <w:pPr>
              <w:jc w:val="right"/>
              <w:ind w:right="943"/>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336.2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447.5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Liabilities and Stockholders’ Equity (Deficit)</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20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200" w:type="dxa"/>
            <w:vAlign w:val="bottom"/>
          </w:tcPr>
          <w:p>
            <w:pPr>
              <w:ind w:left="280"/>
              <w:spacing w:after="0"/>
              <w:rPr>
                <w:sz w:val="20"/>
                <w:szCs w:val="20"/>
                <w:color w:val="auto"/>
              </w:rPr>
            </w:pPr>
            <w:r>
              <w:rPr>
                <w:rFonts w:ascii="Arial" w:cs="Arial" w:eastAsia="Arial" w:hAnsi="Arial"/>
                <w:sz w:val="11"/>
                <w:szCs w:val="11"/>
                <w:color w:val="auto"/>
              </w:rPr>
              <w:t>Accounts payable</w:t>
            </w:r>
          </w:p>
        </w:tc>
        <w:tc>
          <w:tcPr>
            <w:tcW w:w="1080" w:type="dxa"/>
            <w:vAlign w:val="bottom"/>
          </w:tcPr>
          <w:p>
            <w:pPr>
              <w:jc w:val="right"/>
              <w:ind w:right="943"/>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12.4</w:t>
            </w:r>
          </w:p>
        </w:tc>
        <w:tc>
          <w:tcPr>
            <w:tcW w:w="8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15.9</w:t>
            </w:r>
          </w:p>
        </w:tc>
        <w:tc>
          <w:tcPr>
            <w:tcW w:w="0" w:type="dxa"/>
            <w:vAlign w:val="bottom"/>
          </w:tcPr>
          <w:p>
            <w:pPr>
              <w:spacing w:after="0"/>
              <w:rPr>
                <w:sz w:val="1"/>
                <w:szCs w:val="1"/>
                <w:color w:val="auto"/>
              </w:rPr>
            </w:pPr>
          </w:p>
        </w:tc>
      </w:tr>
      <w:tr>
        <w:trPr>
          <w:trHeight w:val="189"/>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Accrued expenses and other current liabilities</w:t>
            </w: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30.0</w:t>
            </w:r>
          </w:p>
        </w:tc>
        <w:tc>
          <w:tcPr>
            <w:tcW w:w="0" w:type="dxa"/>
            <w:vAlign w:val="bottom"/>
          </w:tcPr>
          <w:p>
            <w:pPr>
              <w:spacing w:after="0"/>
              <w:rPr>
                <w:sz w:val="1"/>
                <w:szCs w:val="1"/>
                <w:color w:val="auto"/>
              </w:rPr>
            </w:pPr>
          </w:p>
        </w:tc>
      </w:tr>
      <w:tr>
        <w:trPr>
          <w:trHeight w:val="172"/>
        </w:trPr>
        <w:tc>
          <w:tcPr>
            <w:tcW w:w="8200" w:type="dxa"/>
            <w:vAlign w:val="bottom"/>
          </w:tcPr>
          <w:p>
            <w:pPr>
              <w:ind w:left="280"/>
              <w:spacing w:after="0"/>
              <w:rPr>
                <w:sz w:val="20"/>
                <w:szCs w:val="20"/>
                <w:color w:val="auto"/>
              </w:rPr>
            </w:pPr>
            <w:r>
              <w:rPr>
                <w:rFonts w:ascii="Arial" w:cs="Arial" w:eastAsia="Arial" w:hAnsi="Arial"/>
                <w:sz w:val="11"/>
                <w:szCs w:val="11"/>
                <w:color w:val="auto"/>
              </w:rPr>
              <w:t>Deferred revenue</w:t>
            </w:r>
          </w:p>
        </w:tc>
        <w:tc>
          <w:tcPr>
            <w:tcW w:w="1080" w:type="dxa"/>
            <w:vAlign w:val="bottom"/>
          </w:tcPr>
          <w:p>
            <w:pPr>
              <w:spacing w:after="0"/>
              <w:rPr>
                <w:sz w:val="14"/>
                <w:szCs w:val="14"/>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12.0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10.4</w:t>
            </w:r>
          </w:p>
        </w:tc>
        <w:tc>
          <w:tcPr>
            <w:tcW w:w="0" w:type="dxa"/>
            <w:vAlign w:val="bottom"/>
          </w:tcPr>
          <w:p>
            <w:pPr>
              <w:spacing w:after="0"/>
              <w:rPr>
                <w:sz w:val="1"/>
                <w:szCs w:val="1"/>
                <w:color w:val="auto"/>
              </w:rPr>
            </w:pPr>
          </w:p>
        </w:tc>
      </w:tr>
      <w:tr>
        <w:trPr>
          <w:trHeight w:val="189"/>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Customer credit liabilities</w:t>
            </w: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72"/>
        </w:trPr>
        <w:tc>
          <w:tcPr>
            <w:tcW w:w="82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Operating lease liabilities</w:t>
            </w: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current liabilities</w:t>
            </w: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68.8</w:t>
            </w:r>
          </w:p>
        </w:tc>
        <w:tc>
          <w:tcPr>
            <w:tcW w:w="0" w:type="dxa"/>
            <w:vAlign w:val="bottom"/>
          </w:tcPr>
          <w:p>
            <w:pPr>
              <w:spacing w:after="0"/>
              <w:rPr>
                <w:sz w:val="1"/>
                <w:szCs w:val="1"/>
                <w:color w:val="auto"/>
              </w:rPr>
            </w:pPr>
          </w:p>
        </w:tc>
      </w:tr>
      <w:tr>
        <w:trPr>
          <w:trHeight w:val="172"/>
        </w:trPr>
        <w:tc>
          <w:tcPr>
            <w:tcW w:w="8200" w:type="dxa"/>
            <w:vAlign w:val="bottom"/>
          </w:tcPr>
          <w:p>
            <w:pPr>
              <w:ind w:left="20"/>
              <w:spacing w:after="0"/>
              <w:rPr>
                <w:sz w:val="20"/>
                <w:szCs w:val="20"/>
                <w:color w:val="auto"/>
              </w:rPr>
            </w:pPr>
            <w:r>
              <w:rPr>
                <w:rFonts w:ascii="Arial" w:cs="Arial" w:eastAsia="Arial" w:hAnsi="Arial"/>
                <w:sz w:val="11"/>
                <w:szCs w:val="11"/>
                <w:color w:val="auto"/>
              </w:rPr>
              <w:t>Long-term debt, net</w:t>
            </w:r>
          </w:p>
        </w:tc>
        <w:tc>
          <w:tcPr>
            <w:tcW w:w="1080" w:type="dxa"/>
            <w:vAlign w:val="bottom"/>
          </w:tcPr>
          <w:p>
            <w:pPr>
              <w:spacing w:after="0"/>
              <w:rPr>
                <w:sz w:val="14"/>
                <w:szCs w:val="14"/>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272.5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260.8</w:t>
            </w:r>
          </w:p>
        </w:tc>
        <w:tc>
          <w:tcPr>
            <w:tcW w:w="0" w:type="dxa"/>
            <w:vAlign w:val="bottom"/>
          </w:tcPr>
          <w:p>
            <w:pPr>
              <w:spacing w:after="0"/>
              <w:rPr>
                <w:sz w:val="1"/>
                <w:szCs w:val="1"/>
                <w:color w:val="auto"/>
              </w:rPr>
            </w:pP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liabilities</w:t>
            </w: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46.4</w:t>
            </w:r>
          </w:p>
        </w:tc>
        <w:tc>
          <w:tcPr>
            <w:tcW w:w="0" w:type="dxa"/>
            <w:vAlign w:val="bottom"/>
          </w:tcPr>
          <w:p>
            <w:pPr>
              <w:spacing w:after="0"/>
              <w:rPr>
                <w:sz w:val="1"/>
                <w:szCs w:val="1"/>
                <w:color w:val="auto"/>
              </w:rPr>
            </w:pPr>
          </w:p>
        </w:tc>
      </w:tr>
      <w:tr>
        <w:trPr>
          <w:trHeight w:val="17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w:t>
            </w: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liabilities</w:t>
            </w:r>
          </w:p>
        </w:tc>
        <w:tc>
          <w:tcPr>
            <w:tcW w:w="10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371.5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376.4</w:t>
            </w:r>
          </w:p>
        </w:tc>
        <w:tc>
          <w:tcPr>
            <w:tcW w:w="0" w:type="dxa"/>
            <w:vAlign w:val="bottom"/>
          </w:tcPr>
          <w:p>
            <w:pPr>
              <w:spacing w:after="0"/>
              <w:rPr>
                <w:sz w:val="1"/>
                <w:szCs w:val="1"/>
                <w:color w:val="auto"/>
              </w:rPr>
            </w:pPr>
          </w:p>
        </w:tc>
      </w:tr>
      <w:tr>
        <w:trPr>
          <w:trHeight w:val="152"/>
        </w:trPr>
        <w:tc>
          <w:tcPr>
            <w:tcW w:w="8200" w:type="dxa"/>
            <w:vAlign w:val="bottom"/>
          </w:tcPr>
          <w:p>
            <w:pPr>
              <w:ind w:left="20"/>
              <w:spacing w:after="0"/>
              <w:rPr>
                <w:sz w:val="20"/>
                <w:szCs w:val="20"/>
                <w:color w:val="auto"/>
              </w:rPr>
            </w:pPr>
            <w:r>
              <w:rPr>
                <w:rFonts w:ascii="Arial" w:cs="Arial" w:eastAsia="Arial" w:hAnsi="Arial"/>
                <w:sz w:val="11"/>
                <w:szCs w:val="11"/>
                <w:color w:val="auto"/>
              </w:rPr>
              <w:t>Commitments and Contingencies (Note 16)</w:t>
            </w: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 (deficit)</w:t>
            </w: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8200" w:type="dxa"/>
            <w:vAlign w:val="bottom"/>
          </w:tcPr>
          <w:p>
            <w:pPr>
              <w:ind w:left="280"/>
              <w:spacing w:after="0" w:line="121" w:lineRule="exact"/>
              <w:rPr>
                <w:sz w:val="20"/>
                <w:szCs w:val="20"/>
                <w:color w:val="auto"/>
              </w:rPr>
            </w:pPr>
            <w:r>
              <w:rPr>
                <w:rFonts w:ascii="Arial" w:cs="Arial" w:eastAsia="Arial" w:hAnsi="Arial"/>
                <w:sz w:val="11"/>
                <w:szCs w:val="11"/>
                <w:color w:val="auto"/>
              </w:rPr>
              <w:t>Class A common stock, $0.001 par value; 300,000,000 shares authorized as of January 31, 2023 and 2022; 61,956,536 and 60,104,058 shares issued and</w:t>
            </w:r>
          </w:p>
        </w:tc>
        <w:tc>
          <w:tcPr>
            <w:tcW w:w="1080" w:type="dxa"/>
            <w:vAlign w:val="bottom"/>
          </w:tcPr>
          <w:p>
            <w:pPr>
              <w:spacing w:after="0"/>
              <w:rPr>
                <w:sz w:val="10"/>
                <w:szCs w:val="10"/>
                <w:color w:val="auto"/>
              </w:rPr>
            </w:pPr>
          </w:p>
        </w:tc>
        <w:tc>
          <w:tcPr>
            <w:tcW w:w="420" w:type="dxa"/>
            <w:vAlign w:val="bottom"/>
          </w:tcPr>
          <w:p>
            <w:pPr>
              <w:jc w:val="right"/>
              <w:ind w:right="3"/>
              <w:spacing w:after="0" w:line="121" w:lineRule="exact"/>
              <w:rPr>
                <w:sz w:val="20"/>
                <w:szCs w:val="20"/>
                <w:color w:val="auto"/>
              </w:rPr>
            </w:pPr>
            <w:r>
              <w:rPr>
                <w:rFonts w:ascii="Arial" w:cs="Arial" w:eastAsia="Arial" w:hAnsi="Arial"/>
                <w:sz w:val="11"/>
                <w:szCs w:val="11"/>
                <w:color w:val="auto"/>
              </w:rPr>
              <w:t>0.1</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3"/>
              <w:spacing w:after="0" w:line="121" w:lineRule="exact"/>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45"/>
        </w:trPr>
        <w:tc>
          <w:tcPr>
            <w:tcW w:w="8200" w:type="dxa"/>
            <w:vAlign w:val="bottom"/>
          </w:tcPr>
          <w:p>
            <w:pPr>
              <w:ind w:left="400"/>
              <w:spacing w:after="0"/>
              <w:rPr>
                <w:sz w:val="20"/>
                <w:szCs w:val="20"/>
                <w:color w:val="auto"/>
              </w:rPr>
            </w:pPr>
            <w:r>
              <w:rPr>
                <w:rFonts w:ascii="Arial" w:cs="Arial" w:eastAsia="Arial" w:hAnsi="Arial"/>
                <w:sz w:val="11"/>
                <w:szCs w:val="11"/>
                <w:color w:val="auto"/>
              </w:rPr>
              <w:t>outstanding as of January 31, 2023 and 2022, respectively</w:t>
            </w: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8200" w:type="dxa"/>
            <w:vAlign w:val="bottom"/>
            <w:shd w:val="clear" w:color="auto" w:fill="CCEEFF"/>
          </w:tcPr>
          <w:p>
            <w:pPr>
              <w:ind w:left="280"/>
              <w:spacing w:after="0" w:line="121" w:lineRule="exact"/>
              <w:rPr>
                <w:sz w:val="20"/>
                <w:szCs w:val="20"/>
                <w:color w:val="auto"/>
              </w:rPr>
            </w:pPr>
            <w:r>
              <w:rPr>
                <w:rFonts w:ascii="Arial" w:cs="Arial" w:eastAsia="Arial" w:hAnsi="Arial"/>
                <w:sz w:val="11"/>
                <w:szCs w:val="11"/>
                <w:color w:val="auto"/>
              </w:rPr>
              <w:t>Class B common stock, $0.001 par value; 50,000,000 shares authorized as of January 31, 2023 and 2022; 3,066,251 and 2,932,739 shares issued and</w:t>
            </w:r>
          </w:p>
        </w:tc>
        <w:tc>
          <w:tcPr>
            <w:tcW w:w="10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82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outstanding as of January 31, 2023 and 2022, respectively</w:t>
            </w: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8200" w:type="dxa"/>
            <w:vAlign w:val="bottom"/>
          </w:tcPr>
          <w:p>
            <w:pPr>
              <w:ind w:left="280"/>
              <w:spacing w:after="0" w:line="121" w:lineRule="exact"/>
              <w:rPr>
                <w:sz w:val="20"/>
                <w:szCs w:val="20"/>
                <w:color w:val="auto"/>
              </w:rPr>
            </w:pPr>
            <w:r>
              <w:rPr>
                <w:rFonts w:ascii="Arial" w:cs="Arial" w:eastAsia="Arial" w:hAnsi="Arial"/>
                <w:sz w:val="11"/>
                <w:szCs w:val="11"/>
                <w:color w:val="auto"/>
              </w:rPr>
              <w:t>Preferred stock, $0.001 par value; 10,000,000 shares authorized as of January 31, 2023 and 2022; 0 shares issued and outstanding as of January 31, 2023</w:t>
            </w:r>
          </w:p>
        </w:tc>
        <w:tc>
          <w:tcPr>
            <w:tcW w:w="1080" w:type="dxa"/>
            <w:vAlign w:val="bottom"/>
          </w:tcPr>
          <w:p>
            <w:pPr>
              <w:spacing w:after="0"/>
              <w:rPr>
                <w:sz w:val="10"/>
                <w:szCs w:val="10"/>
                <w:color w:val="auto"/>
              </w:rPr>
            </w:pPr>
          </w:p>
        </w:tc>
        <w:tc>
          <w:tcPr>
            <w:tcW w:w="50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1220" w:type="dxa"/>
            <w:vAlign w:val="bottom"/>
          </w:tcPr>
          <w:p>
            <w:pPr>
              <w:jc w:val="right"/>
              <w:ind w:right="3"/>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8200" w:type="dxa"/>
            <w:vAlign w:val="bottom"/>
          </w:tcPr>
          <w:p>
            <w:pPr>
              <w:ind w:left="400"/>
              <w:spacing w:after="0"/>
              <w:rPr>
                <w:sz w:val="20"/>
                <w:szCs w:val="20"/>
                <w:color w:val="auto"/>
              </w:rPr>
            </w:pPr>
            <w:r>
              <w:rPr>
                <w:rFonts w:ascii="Arial" w:cs="Arial" w:eastAsia="Arial" w:hAnsi="Arial"/>
                <w:sz w:val="11"/>
                <w:szCs w:val="11"/>
                <w:color w:val="auto"/>
              </w:rPr>
              <w:t>and 2022</w:t>
            </w: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Additional paid-in capital</w:t>
            </w: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904.5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872.2</w:t>
            </w:r>
          </w:p>
        </w:tc>
        <w:tc>
          <w:tcPr>
            <w:tcW w:w="0" w:type="dxa"/>
            <w:vAlign w:val="bottom"/>
          </w:tcPr>
          <w:p>
            <w:pPr>
              <w:spacing w:after="0"/>
              <w:rPr>
                <w:sz w:val="1"/>
                <w:szCs w:val="1"/>
                <w:color w:val="auto"/>
              </w:rPr>
            </w:pPr>
          </w:p>
        </w:tc>
      </w:tr>
      <w:tr>
        <w:trPr>
          <w:trHeight w:val="177"/>
        </w:trPr>
        <w:tc>
          <w:tcPr>
            <w:tcW w:w="82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Accumulated deficit</w:t>
            </w:r>
          </w:p>
        </w:tc>
        <w:tc>
          <w:tcPr>
            <w:tcW w:w="1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(939.9)</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(801.2)</w:t>
            </w:r>
          </w:p>
        </w:tc>
        <w:tc>
          <w:tcPr>
            <w:tcW w:w="0" w:type="dxa"/>
            <w:vAlign w:val="bottom"/>
          </w:tcPr>
          <w:p>
            <w:pPr>
              <w:spacing w:after="0"/>
              <w:rPr>
                <w:sz w:val="1"/>
                <w:szCs w:val="1"/>
                <w:color w:val="auto"/>
              </w:rPr>
            </w:pPr>
          </w:p>
        </w:tc>
      </w:tr>
      <w:tr>
        <w:trPr>
          <w:trHeight w:val="166"/>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stockholders’ equity (deficit)</w:t>
            </w:r>
          </w:p>
        </w:tc>
        <w:tc>
          <w:tcPr>
            <w:tcW w:w="10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71.1</w:t>
            </w:r>
          </w:p>
        </w:tc>
        <w:tc>
          <w:tcPr>
            <w:tcW w:w="0" w:type="dxa"/>
            <w:vAlign w:val="bottom"/>
          </w:tcPr>
          <w:p>
            <w:pPr>
              <w:spacing w:after="0"/>
              <w:rPr>
                <w:sz w:val="1"/>
                <w:szCs w:val="1"/>
                <w:color w:val="auto"/>
              </w:rPr>
            </w:pPr>
          </w:p>
        </w:tc>
      </w:tr>
      <w:tr>
        <w:trPr>
          <w:trHeight w:val="180"/>
        </w:trPr>
        <w:tc>
          <w:tcPr>
            <w:tcW w:w="8200" w:type="dxa"/>
            <w:vAlign w:val="bottom"/>
          </w:tcPr>
          <w:p>
            <w:pPr>
              <w:ind w:left="20"/>
              <w:spacing w:after="0"/>
              <w:rPr>
                <w:sz w:val="20"/>
                <w:szCs w:val="20"/>
                <w:color w:val="auto"/>
              </w:rPr>
            </w:pPr>
            <w:r>
              <w:rPr>
                <w:rFonts w:ascii="Arial" w:cs="Arial" w:eastAsia="Arial" w:hAnsi="Arial"/>
                <w:sz w:val="11"/>
                <w:szCs w:val="11"/>
                <w:color w:val="auto"/>
              </w:rPr>
              <w:t>Total liabilities and stockholders’ equity (deficit)</w:t>
            </w:r>
          </w:p>
        </w:tc>
        <w:tc>
          <w:tcPr>
            <w:tcW w:w="1080" w:type="dxa"/>
            <w:vAlign w:val="bottom"/>
            <w:tcBorders>
              <w:bottom w:val="single" w:sz="8" w:color="auto"/>
            </w:tcBorders>
          </w:tcPr>
          <w:p>
            <w:pPr>
              <w:jc w:val="right"/>
              <w:ind w:right="943"/>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336.2</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447.5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6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January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6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98"/>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20" w:type="dxa"/>
            <w:vAlign w:val="bottom"/>
          </w:tcPr>
          <w:p>
            <w:pPr>
              <w:ind w:left="280"/>
              <w:spacing w:after="0"/>
              <w:rPr>
                <w:sz w:val="20"/>
                <w:szCs w:val="20"/>
                <w:color w:val="auto"/>
              </w:rPr>
            </w:pPr>
            <w:r>
              <w:rPr>
                <w:rFonts w:ascii="Arial" w:cs="Arial" w:eastAsia="Arial" w:hAnsi="Arial"/>
                <w:sz w:val="14"/>
                <w:szCs w:val="14"/>
                <w:color w:val="auto"/>
              </w:rPr>
              <w:t>Subscription and Reserve rental revenue</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268.6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185.8</w:t>
            </w:r>
          </w:p>
        </w:tc>
        <w:tc>
          <w:tcPr>
            <w:tcW w:w="80" w:type="dxa"/>
            <w:vAlign w:val="bottom"/>
          </w:tcPr>
          <w:p>
            <w:pPr>
              <w:spacing w:after="0"/>
              <w:rPr>
                <w:sz w:val="18"/>
                <w:szCs w:val="18"/>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revenue, net</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92"/>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and expenses: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20" w:type="dxa"/>
            <w:vAlign w:val="bottom"/>
          </w:tcPr>
          <w:p>
            <w:pPr>
              <w:ind w:left="280"/>
              <w:spacing w:after="0"/>
              <w:rPr>
                <w:sz w:val="20"/>
                <w:szCs w:val="20"/>
                <w:color w:val="auto"/>
              </w:rPr>
            </w:pPr>
            <w:r>
              <w:rPr>
                <w:rFonts w:ascii="Arial" w:cs="Arial" w:eastAsia="Arial" w:hAnsi="Arial"/>
                <w:sz w:val="14"/>
                <w:szCs w:val="14"/>
                <w:color w:val="auto"/>
              </w:rPr>
              <w:t>Fulfillment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22"/>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Technology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02"/>
        </w:trPr>
        <w:tc>
          <w:tcPr>
            <w:tcW w:w="6620" w:type="dxa"/>
            <w:vAlign w:val="bottom"/>
          </w:tcPr>
          <w:p>
            <w:pPr>
              <w:ind w:left="280"/>
              <w:spacing w:after="0"/>
              <w:rPr>
                <w:sz w:val="20"/>
                <w:szCs w:val="20"/>
                <w:color w:val="auto"/>
              </w:rPr>
            </w:pPr>
            <w:r>
              <w:rPr>
                <w:rFonts w:ascii="Arial" w:cs="Arial" w:eastAsia="Arial" w:hAnsi="Arial"/>
                <w:sz w:val="14"/>
                <w:szCs w:val="14"/>
                <w:color w:val="auto"/>
              </w:rPr>
              <w:t>Marketing</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22"/>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202"/>
        </w:trPr>
        <w:tc>
          <w:tcPr>
            <w:tcW w:w="6620" w:type="dxa"/>
            <w:vAlign w:val="bottom"/>
          </w:tcPr>
          <w:p>
            <w:pPr>
              <w:ind w:left="280"/>
              <w:spacing w:after="0"/>
              <w:rPr>
                <w:sz w:val="20"/>
                <w:szCs w:val="20"/>
                <w:color w:val="auto"/>
              </w:rPr>
            </w:pPr>
            <w:r>
              <w:rPr>
                <w:rFonts w:ascii="Arial" w:cs="Arial" w:eastAsia="Arial" w:hAnsi="Arial"/>
                <w:sz w:val="14"/>
                <w:szCs w:val="14"/>
                <w:color w:val="auto"/>
              </w:rPr>
              <w:t>Rental product depreciation and revenue share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71.7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222"/>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02"/>
        </w:trPr>
        <w:tc>
          <w:tcPr>
            <w:tcW w:w="6620" w:type="dxa"/>
            <w:vAlign w:val="bottom"/>
          </w:tcPr>
          <w:p>
            <w:pPr>
              <w:ind w:left="280"/>
              <w:spacing w:after="0"/>
              <w:rPr>
                <w:sz w:val="20"/>
                <w:szCs w:val="20"/>
                <w:color w:val="auto"/>
              </w:rPr>
            </w:pPr>
            <w:r>
              <w:rPr>
                <w:rFonts w:ascii="Arial" w:cs="Arial" w:eastAsia="Arial" w:hAnsi="Arial"/>
                <w:sz w:val="14"/>
                <w:szCs w:val="14"/>
                <w:color w:val="auto"/>
              </w:rPr>
              <w:t>Restructuring charges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asset impairment related to restructuring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costs and expenses</w:t>
            </w: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329.2</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288.0</w:t>
            </w:r>
          </w:p>
        </w:tc>
        <w:tc>
          <w:tcPr>
            <w:tcW w:w="0" w:type="dxa"/>
            <w:vAlign w:val="bottom"/>
          </w:tcPr>
          <w:p>
            <w:pPr>
              <w:spacing w:after="0"/>
              <w:rPr>
                <w:sz w:val="1"/>
                <w:szCs w:val="1"/>
                <w:color w:val="auto"/>
              </w:rPr>
            </w:pPr>
          </w:p>
        </w:tc>
      </w:tr>
      <w:tr>
        <w:trPr>
          <w:trHeight w:val="192"/>
        </w:trPr>
        <w:tc>
          <w:tcPr>
            <w:tcW w:w="6620" w:type="dxa"/>
            <w:vAlign w:val="bottom"/>
            <w:shd w:val="clear" w:color="auto" w:fill="CCEEFF"/>
          </w:tcPr>
          <w:p>
            <w:pPr>
              <w:ind w:left="780"/>
              <w:spacing w:after="0"/>
              <w:rPr>
                <w:sz w:val="20"/>
                <w:szCs w:val="20"/>
                <w:color w:val="auto"/>
              </w:rPr>
            </w:pPr>
            <w:r>
              <w:rPr>
                <w:rFonts w:ascii="Arial" w:cs="Arial" w:eastAsia="Arial" w:hAnsi="Arial"/>
                <w:sz w:val="14"/>
                <w:szCs w:val="14"/>
                <w:color w:val="auto"/>
              </w:rPr>
              <w:t>Operating loss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0" w:type="dxa"/>
            <w:vAlign w:val="bottom"/>
          </w:tcPr>
          <w:p>
            <w:pPr>
              <w:spacing w:after="0"/>
              <w:rPr>
                <w:sz w:val="1"/>
                <w:szCs w:val="1"/>
                <w:color w:val="auto"/>
              </w:rPr>
            </w:pPr>
          </w:p>
        </w:tc>
      </w:tr>
      <w:tr>
        <w:trPr>
          <w:trHeight w:val="202"/>
        </w:trPr>
        <w:tc>
          <w:tcPr>
            <w:tcW w:w="6620" w:type="dxa"/>
            <w:vAlign w:val="bottom"/>
          </w:tcPr>
          <w:p>
            <w:pPr>
              <w:ind w:left="20"/>
              <w:spacing w:after="0"/>
              <w:rPr>
                <w:sz w:val="20"/>
                <w:szCs w:val="20"/>
                <w:color w:val="auto"/>
              </w:rPr>
            </w:pPr>
            <w:r>
              <w:rPr>
                <w:rFonts w:ascii="Arial" w:cs="Arial" w:eastAsia="Arial" w:hAnsi="Arial"/>
                <w:sz w:val="14"/>
                <w:szCs w:val="14"/>
                <w:color w:val="auto"/>
              </w:rPr>
              <w:t>Interest income / (expense), net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(53.0)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222"/>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 (loss) on warrant liability revaluation, net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2"/>
        </w:trPr>
        <w:tc>
          <w:tcPr>
            <w:tcW w:w="6620" w:type="dxa"/>
            <w:vAlign w:val="bottom"/>
          </w:tcPr>
          <w:p>
            <w:pPr>
              <w:ind w:left="20"/>
              <w:spacing w:after="0"/>
              <w:rPr>
                <w:sz w:val="20"/>
                <w:szCs w:val="20"/>
                <w:color w:val="auto"/>
              </w:rPr>
            </w:pPr>
            <w:r>
              <w:rPr>
                <w:rFonts w:ascii="Arial" w:cs="Arial" w:eastAsia="Arial" w:hAnsi="Arial"/>
                <w:sz w:val="14"/>
                <w:szCs w:val="14"/>
                <w:color w:val="auto"/>
              </w:rPr>
              <w:t>Gain / (loss) on debt extinguishment, net</w:t>
            </w:r>
          </w:p>
        </w:tc>
        <w:tc>
          <w:tcPr>
            <w:tcW w:w="3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22"/>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2"/>
        </w:trPr>
        <w:tc>
          <w:tcPr>
            <w:tcW w:w="6620" w:type="dxa"/>
            <w:vAlign w:val="bottom"/>
          </w:tcPr>
          <w:p>
            <w:pPr>
              <w:ind w:left="700"/>
              <w:spacing w:after="0"/>
              <w:rPr>
                <w:sz w:val="20"/>
                <w:szCs w:val="20"/>
                <w:color w:val="auto"/>
              </w:rPr>
            </w:pPr>
            <w:r>
              <w:rPr>
                <w:rFonts w:ascii="Arial" w:cs="Arial" w:eastAsia="Arial" w:hAnsi="Arial"/>
                <w:sz w:val="14"/>
                <w:szCs w:val="14"/>
                <w:color w:val="auto"/>
              </w:rPr>
              <w:t>Net loss before income tax benefit /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(171.1)</w:t>
            </w: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 (expense)</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620" w:type="dxa"/>
            <w:vAlign w:val="bottom"/>
          </w:tcPr>
          <w:p>
            <w:pPr>
              <w:ind w:left="780"/>
              <w:spacing w:after="0"/>
              <w:rPr>
                <w:sz w:val="20"/>
                <w:szCs w:val="20"/>
                <w:color w:val="auto"/>
              </w:rPr>
            </w:pPr>
            <w:r>
              <w:rPr>
                <w:rFonts w:ascii="Arial" w:cs="Arial" w:eastAsia="Arial" w:hAnsi="Arial"/>
                <w:sz w:val="14"/>
                <w:szCs w:val="14"/>
                <w:color w:val="auto"/>
              </w:rPr>
              <w:t>Net loss</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(211.8)</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(171.1)</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Arial" w:cs="Arial" w:eastAsia="Arial" w:hAnsi="Arial"/>
                <w:sz w:val="14"/>
                <w:szCs w:val="14"/>
                <w:color w:val="auto"/>
              </w:rPr>
              <w:t>Weighted-average shares used in computing net loss per share attributable to common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6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64,254,930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24,874,061</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11,138,851</w:t>
            </w:r>
          </w:p>
        </w:tc>
        <w:tc>
          <w:tcPr>
            <w:tcW w:w="0" w:type="dxa"/>
            <w:vAlign w:val="bottom"/>
          </w:tcPr>
          <w:p>
            <w:pPr>
              <w:spacing w:after="0"/>
              <w:rPr>
                <w:sz w:val="1"/>
                <w:szCs w:val="1"/>
                <w:color w:val="auto"/>
              </w:rPr>
            </w:pPr>
          </w:p>
        </w:tc>
      </w:tr>
      <w:tr>
        <w:trPr>
          <w:trHeight w:val="184"/>
        </w:trPr>
        <w:tc>
          <w:tcPr>
            <w:tcW w:w="662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Consolidated Statements of Changes in Redeemable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2080" w:type="dxa"/>
            <w:vAlign w:val="bottom"/>
            <w:tcBorders>
              <w:right w:val="single" w:sz="8" w:color="auto"/>
            </w:tcBorders>
            <w:gridSpan w:val="4"/>
          </w:tcPr>
          <w:p>
            <w:pPr>
              <w:jc w:val="right"/>
              <w:ind w:right="636"/>
              <w:spacing w:after="0"/>
              <w:rPr>
                <w:sz w:val="20"/>
                <w:szCs w:val="20"/>
                <w:color w:val="auto"/>
              </w:rPr>
            </w:pPr>
            <w:r>
              <w:rPr>
                <w:rFonts w:ascii="Arial" w:cs="Arial" w:eastAsia="Arial" w:hAnsi="Arial"/>
                <w:sz w:val="13"/>
                <w:szCs w:val="13"/>
                <w:b w:val="1"/>
                <w:bCs w:val="1"/>
                <w:color w:val="auto"/>
              </w:rPr>
              <w:t>Redeemable</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2080" w:type="dxa"/>
            <w:vAlign w:val="bottom"/>
            <w:tcBorders>
              <w:right w:val="single" w:sz="8" w:color="auto"/>
            </w:tcBorders>
            <w:gridSpan w:val="4"/>
            <w:vMerge w:val="restart"/>
          </w:tcPr>
          <w:p>
            <w:pPr>
              <w:jc w:val="right"/>
              <w:ind w:right="536"/>
              <w:spacing w:after="0"/>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4"/>
                <w:szCs w:val="4"/>
                <w:color w:val="auto"/>
              </w:rPr>
            </w:pPr>
          </w:p>
        </w:tc>
        <w:tc>
          <w:tcPr>
            <w:tcW w:w="2000" w:type="dxa"/>
            <w:vAlign w:val="bottom"/>
            <w:gridSpan w:val="4"/>
            <w:vMerge w:val="restart"/>
          </w:tcPr>
          <w:p>
            <w:pPr>
              <w:jc w:val="right"/>
              <w:ind w:right="476"/>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2080" w:type="dxa"/>
            <w:vAlign w:val="bottom"/>
            <w:tcBorders>
              <w:bottom w:val="single" w:sz="8" w:color="auto"/>
              <w:right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200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10"/>
                <w:szCs w:val="10"/>
                <w:color w:val="auto"/>
              </w:rPr>
            </w:pPr>
          </w:p>
        </w:tc>
        <w:tc>
          <w:tcPr>
            <w:tcW w:w="104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0"/>
                <w:szCs w:val="10"/>
                <w:color w:val="auto"/>
              </w:rPr>
            </w:pPr>
          </w:p>
        </w:tc>
        <w:tc>
          <w:tcPr>
            <w:tcW w:w="1000" w:type="dxa"/>
            <w:vAlign w:val="bottom"/>
          </w:tcPr>
          <w:p>
            <w:pPr>
              <w:jc w:val="center"/>
              <w:ind w:right="17"/>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0"/>
        </w:trPr>
        <w:tc>
          <w:tcPr>
            <w:tcW w:w="35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Shares</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Capital</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Deficit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8"/>
              </w:rPr>
              <w:t>Equity (Deficit)</w:t>
            </w:r>
          </w:p>
        </w:tc>
        <w:tc>
          <w:tcPr>
            <w:tcW w:w="0" w:type="dxa"/>
            <w:vAlign w:val="bottom"/>
          </w:tcPr>
          <w:p>
            <w:pPr>
              <w:spacing w:after="0"/>
              <w:rPr>
                <w:sz w:val="1"/>
                <w:szCs w:val="1"/>
                <w:color w:val="auto"/>
              </w:rPr>
            </w:pPr>
          </w:p>
        </w:tc>
      </w:tr>
      <w:tr>
        <w:trPr>
          <w:trHeight w:val="160"/>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January 31, 2020</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26,992,271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right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330.5</w:t>
            </w:r>
          </w:p>
        </w:tc>
        <w:tc>
          <w:tcPr>
            <w:tcW w:w="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10,371,636</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(364.3)</w:t>
            </w:r>
          </w:p>
        </w:tc>
        <w:tc>
          <w:tcPr>
            <w:tcW w:w="0" w:type="dxa"/>
            <w:vAlign w:val="bottom"/>
          </w:tcPr>
          <w:p>
            <w:pPr>
              <w:spacing w:after="0"/>
              <w:rPr>
                <w:sz w:val="1"/>
                <w:szCs w:val="1"/>
                <w:color w:val="auto"/>
              </w:rPr>
            </w:pPr>
          </w:p>
        </w:tc>
      </w:tr>
      <w:tr>
        <w:trPr>
          <w:trHeight w:val="169"/>
        </w:trPr>
        <w:tc>
          <w:tcPr>
            <w:tcW w:w="3560" w:type="dxa"/>
            <w:vAlign w:val="bottom"/>
          </w:tcPr>
          <w:p>
            <w:pPr>
              <w:ind w:left="280"/>
              <w:spacing w:after="0"/>
              <w:rPr>
                <w:sz w:val="20"/>
                <w:szCs w:val="20"/>
                <w:color w:val="auto"/>
              </w:rPr>
            </w:pPr>
            <w:r>
              <w:rPr>
                <w:rFonts w:ascii="Arial" w:cs="Arial" w:eastAsia="Arial" w:hAnsi="Arial"/>
                <w:sz w:val="13"/>
                <w:szCs w:val="13"/>
                <w:color w:val="auto"/>
              </w:rPr>
              <w:t>Issuance of redeemable preferred stock</w:t>
            </w:r>
          </w:p>
        </w:tc>
        <w:tc>
          <w:tcPr>
            <w:tcW w:w="1040" w:type="dxa"/>
            <w:vAlign w:val="bottom"/>
          </w:tcPr>
          <w:p>
            <w:pPr>
              <w:jc w:val="right"/>
              <w:spacing w:after="0"/>
              <w:rPr>
                <w:sz w:val="20"/>
                <w:szCs w:val="20"/>
                <w:color w:val="auto"/>
              </w:rPr>
            </w:pPr>
            <w:r>
              <w:rPr>
                <w:rFonts w:ascii="Arial" w:cs="Arial" w:eastAsia="Arial" w:hAnsi="Arial"/>
                <w:sz w:val="13"/>
                <w:szCs w:val="13"/>
                <w:color w:val="auto"/>
              </w:rPr>
              <w:t>4,145,650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color w:val="auto"/>
              </w:rPr>
              <w:t>57.6</w:t>
            </w:r>
          </w:p>
        </w:tc>
        <w:tc>
          <w:tcPr>
            <w:tcW w:w="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 issued under stock incentive plan</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84,885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9"/>
        </w:trPr>
        <w:tc>
          <w:tcPr>
            <w:tcW w:w="3560" w:type="dxa"/>
            <w:vAlign w:val="bottom"/>
          </w:tcPr>
          <w:p>
            <w:pPr>
              <w:ind w:left="280"/>
              <w:spacing w:after="0"/>
              <w:rPr>
                <w:sz w:val="20"/>
                <w:szCs w:val="20"/>
                <w:color w:val="auto"/>
              </w:rPr>
            </w:pPr>
            <w:r>
              <w:rPr>
                <w:rFonts w:ascii="Arial" w:cs="Arial" w:eastAsia="Arial" w:hAnsi="Arial"/>
                <w:sz w:val="13"/>
                <w:szCs w:val="13"/>
                <w:color w:val="auto"/>
              </w:rPr>
              <w:t>Share-based compensation expense</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loss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(171.1)</w:t>
            </w:r>
          </w:p>
        </w:tc>
        <w:tc>
          <w:tcPr>
            <w:tcW w:w="0" w:type="dxa"/>
            <w:vAlign w:val="bottom"/>
          </w:tcPr>
          <w:p>
            <w:pPr>
              <w:spacing w:after="0"/>
              <w:rPr>
                <w:sz w:val="1"/>
                <w:szCs w:val="1"/>
                <w:color w:val="auto"/>
              </w:rPr>
            </w:pPr>
          </w:p>
        </w:tc>
      </w:tr>
      <w:tr>
        <w:trPr>
          <w:trHeight w:val="159"/>
        </w:trPr>
        <w:tc>
          <w:tcPr>
            <w:tcW w:w="3560" w:type="dxa"/>
            <w:vAlign w:val="bottom"/>
          </w:tcPr>
          <w:p>
            <w:pPr>
              <w:ind w:left="20"/>
              <w:spacing w:after="0"/>
              <w:rPr>
                <w:sz w:val="20"/>
                <w:szCs w:val="20"/>
                <w:color w:val="auto"/>
              </w:rPr>
            </w:pPr>
            <w:r>
              <w:rPr>
                <w:rFonts w:ascii="Arial" w:cs="Arial" w:eastAsia="Arial" w:hAnsi="Arial"/>
                <w:sz w:val="13"/>
                <w:szCs w:val="13"/>
                <w:color w:val="auto"/>
              </w:rPr>
              <w:t>Balances as of January 31, 2021</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31,137,921</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jc w:val="right"/>
              <w:ind w:right="76"/>
              <w:spacing w:after="0"/>
              <w:rPr>
                <w:sz w:val="20"/>
                <w:szCs w:val="20"/>
                <w:color w:val="auto"/>
              </w:rPr>
            </w:pPr>
            <w:r>
              <w:rPr>
                <w:rFonts w:ascii="Arial" w:cs="Arial" w:eastAsia="Arial" w:hAnsi="Arial"/>
                <w:sz w:val="13"/>
                <w:szCs w:val="13"/>
                <w:color w:val="auto"/>
              </w:rPr>
              <w:t>388.1</w:t>
            </w:r>
          </w:p>
        </w:tc>
        <w:tc>
          <w:tcPr>
            <w:tcW w:w="60" w:type="dxa"/>
            <w:vAlign w:val="bottom"/>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10,456,521</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62.7</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(589.4)</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(526.7)</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Issuance of redeemable preferred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1,437,541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21.2</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560" w:type="dxa"/>
            <w:vAlign w:val="bottom"/>
          </w:tcPr>
          <w:p>
            <w:pPr>
              <w:ind w:left="280"/>
              <w:spacing w:after="0"/>
              <w:rPr>
                <w:sz w:val="20"/>
                <w:szCs w:val="20"/>
                <w:color w:val="auto"/>
              </w:rPr>
            </w:pPr>
            <w:r>
              <w:rPr>
                <w:rFonts w:ascii="Arial" w:cs="Arial" w:eastAsia="Arial" w:hAnsi="Arial"/>
                <w:sz w:val="13"/>
                <w:szCs w:val="13"/>
                <w:color w:val="auto"/>
              </w:rPr>
              <w:t>Conversion of redeemable preferred stock</w:t>
            </w:r>
          </w:p>
        </w:tc>
        <w:tc>
          <w:tcPr>
            <w:tcW w:w="1040" w:type="dxa"/>
            <w:vAlign w:val="bottom"/>
          </w:tcPr>
          <w:p>
            <w:pPr>
              <w:jc w:val="right"/>
              <w:spacing w:after="0"/>
              <w:rPr>
                <w:sz w:val="20"/>
                <w:szCs w:val="20"/>
                <w:color w:val="auto"/>
              </w:rPr>
            </w:pPr>
            <w:r>
              <w:rPr>
                <w:rFonts w:ascii="Arial" w:cs="Arial" w:eastAsia="Arial" w:hAnsi="Arial"/>
                <w:sz w:val="13"/>
                <w:szCs w:val="13"/>
                <w:color w:val="auto"/>
              </w:rPr>
              <w:t>(32,575,462)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right w:val="single" w:sz="8" w:color="auto"/>
            </w:tcBorders>
          </w:tcPr>
          <w:p>
            <w:pPr>
              <w:jc w:val="right"/>
              <w:ind w:right="36"/>
              <w:spacing w:after="0"/>
              <w:rPr>
                <w:sz w:val="20"/>
                <w:szCs w:val="20"/>
                <w:color w:val="auto"/>
              </w:rPr>
            </w:pPr>
            <w:r>
              <w:rPr>
                <w:rFonts w:ascii="Arial" w:cs="Arial" w:eastAsia="Arial" w:hAnsi="Arial"/>
                <w:sz w:val="13"/>
                <w:szCs w:val="13"/>
                <w:color w:val="auto"/>
              </w:rPr>
              <w:t>(409.3)</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32,575,462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409.2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409.3</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 issued under stock incentive plan</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583,439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9"/>
        </w:trPr>
        <w:tc>
          <w:tcPr>
            <w:tcW w:w="3560" w:type="dxa"/>
            <w:vAlign w:val="bottom"/>
          </w:tcPr>
          <w:p>
            <w:pPr>
              <w:ind w:left="280"/>
              <w:spacing w:after="0"/>
              <w:rPr>
                <w:sz w:val="20"/>
                <w:szCs w:val="20"/>
                <w:color w:val="auto"/>
              </w:rPr>
            </w:pPr>
            <w:r>
              <w:rPr>
                <w:rFonts w:ascii="Arial" w:cs="Arial" w:eastAsia="Arial" w:hAnsi="Arial"/>
                <w:sz w:val="13"/>
                <w:szCs w:val="13"/>
                <w:color w:val="auto"/>
              </w:rPr>
              <w:t>Stock issued as part of IPO, net of offering costs</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17,000,000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327.3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327.3</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Issuance of warrants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69"/>
        </w:trPr>
        <w:tc>
          <w:tcPr>
            <w:tcW w:w="3560" w:type="dxa"/>
            <w:vAlign w:val="bottom"/>
          </w:tcPr>
          <w:p>
            <w:pPr>
              <w:ind w:left="280"/>
              <w:spacing w:after="0"/>
              <w:rPr>
                <w:sz w:val="20"/>
                <w:szCs w:val="20"/>
                <w:color w:val="auto"/>
              </w:rPr>
            </w:pPr>
            <w:r>
              <w:rPr>
                <w:rFonts w:ascii="Arial" w:cs="Arial" w:eastAsia="Arial" w:hAnsi="Arial"/>
                <w:sz w:val="13"/>
                <w:szCs w:val="13"/>
                <w:color w:val="auto"/>
              </w:rPr>
              <w:t>Exercise of warrants</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2,421,375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Reclassification of warrants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9"/>
        </w:trPr>
        <w:tc>
          <w:tcPr>
            <w:tcW w:w="3560" w:type="dxa"/>
            <w:vAlign w:val="bottom"/>
          </w:tcPr>
          <w:p>
            <w:pPr>
              <w:ind w:left="280"/>
              <w:spacing w:after="0"/>
              <w:rPr>
                <w:sz w:val="20"/>
                <w:szCs w:val="20"/>
                <w:color w:val="auto"/>
              </w:rPr>
            </w:pPr>
            <w:r>
              <w:rPr>
                <w:rFonts w:ascii="Arial" w:cs="Arial" w:eastAsia="Arial" w:hAnsi="Arial"/>
                <w:sz w:val="13"/>
                <w:szCs w:val="13"/>
                <w:color w:val="auto"/>
              </w:rPr>
              <w:t>Share-based compensation expense</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(211.8)</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(211.8)</w:t>
            </w:r>
          </w:p>
        </w:tc>
        <w:tc>
          <w:tcPr>
            <w:tcW w:w="0" w:type="dxa"/>
            <w:vAlign w:val="bottom"/>
          </w:tcPr>
          <w:p>
            <w:pPr>
              <w:spacing w:after="0"/>
              <w:rPr>
                <w:sz w:val="1"/>
                <w:szCs w:val="1"/>
                <w:color w:val="auto"/>
              </w:rPr>
            </w:pPr>
          </w:p>
        </w:tc>
      </w:tr>
      <w:tr>
        <w:trPr>
          <w:trHeight w:val="159"/>
        </w:trPr>
        <w:tc>
          <w:tcPr>
            <w:tcW w:w="3560" w:type="dxa"/>
            <w:vAlign w:val="bottom"/>
          </w:tcPr>
          <w:p>
            <w:pPr>
              <w:ind w:left="20"/>
              <w:spacing w:after="0"/>
              <w:rPr>
                <w:sz w:val="20"/>
                <w:szCs w:val="20"/>
                <w:color w:val="auto"/>
              </w:rPr>
            </w:pPr>
            <w:r>
              <w:rPr>
                <w:rFonts w:ascii="Arial" w:cs="Arial" w:eastAsia="Arial" w:hAnsi="Arial"/>
                <w:sz w:val="13"/>
                <w:szCs w:val="13"/>
                <w:color w:val="auto"/>
              </w:rPr>
              <w:t>Balances as of January 31, 2022</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63,036,797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872.2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(801.2)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71.1</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 issued under stock incentive plan</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1,985,990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560" w:type="dxa"/>
            <w:vAlign w:val="bottom"/>
          </w:tcPr>
          <w:p>
            <w:pPr>
              <w:ind w:left="280"/>
              <w:spacing w:after="0"/>
              <w:rPr>
                <w:sz w:val="20"/>
                <w:szCs w:val="20"/>
                <w:color w:val="auto"/>
              </w:rPr>
            </w:pPr>
            <w:r>
              <w:rPr>
                <w:rFonts w:ascii="Arial" w:cs="Arial" w:eastAsia="Arial" w:hAnsi="Arial"/>
                <w:sz w:val="13"/>
                <w:szCs w:val="13"/>
                <w:color w:val="auto"/>
              </w:rPr>
              <w:t>Issuance of warrants</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Share-based compensation expense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169"/>
        </w:trPr>
        <w:tc>
          <w:tcPr>
            <w:tcW w:w="35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Net 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(138.7)</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(138.7)</w:t>
            </w:r>
          </w:p>
        </w:tc>
        <w:tc>
          <w:tcPr>
            <w:tcW w:w="0" w:type="dxa"/>
            <w:vAlign w:val="bottom"/>
          </w:tcPr>
          <w:p>
            <w:pPr>
              <w:spacing w:after="0"/>
              <w:rPr>
                <w:sz w:val="1"/>
                <w:szCs w:val="1"/>
                <w:color w:val="auto"/>
              </w:rPr>
            </w:pPr>
          </w:p>
        </w:tc>
      </w:tr>
      <w:tr>
        <w:trPr>
          <w:trHeight w:val="182"/>
        </w:trPr>
        <w:tc>
          <w:tcPr>
            <w:tcW w:w="3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January 31, 2023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right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65,022,787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123" w:right="5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17" w:lineRule="exact"/>
        <w:rPr>
          <w:sz w:val="20"/>
          <w:szCs w:val="20"/>
          <w:color w:val="auto"/>
        </w:rPr>
      </w:pPr>
    </w:p>
    <w:p>
      <w:pPr>
        <w:ind w:left="8740"/>
        <w:spacing w:after="0"/>
        <w:rPr>
          <w:sz w:val="20"/>
          <w:szCs w:val="20"/>
          <w:color w:val="auto"/>
        </w:rPr>
      </w:pPr>
      <w:r>
        <w:rPr>
          <w:rFonts w:ascii="Arial" w:cs="Arial" w:eastAsia="Arial" w:hAnsi="Arial"/>
          <w:sz w:val="11"/>
          <w:szCs w:val="11"/>
          <w:b w:val="1"/>
          <w:bCs w:val="1"/>
          <w:color w:val="auto"/>
        </w:rPr>
        <w:t>Year Ended</w:t>
      </w:r>
    </w:p>
    <w:p>
      <w:pPr>
        <w:ind w:left="8720"/>
        <w:spacing w:after="0"/>
        <w:rPr>
          <w:sz w:val="20"/>
          <w:szCs w:val="20"/>
          <w:color w:val="auto"/>
        </w:rPr>
      </w:pPr>
      <w:r>
        <w:rPr>
          <w:rFonts w:ascii="Arial" w:cs="Arial" w:eastAsia="Arial" w:hAnsi="Arial"/>
          <w:sz w:val="11"/>
          <w:szCs w:val="11"/>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4382135</wp:posOffset>
            </wp:positionH>
            <wp:positionV relativeFrom="paragraph">
              <wp:posOffset>5080</wp:posOffset>
            </wp:positionV>
            <wp:extent cx="271526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15260" cy="6985"/>
                    </a:xfrm>
                    <a:prstGeom prst="rect">
                      <a:avLst/>
                    </a:prstGeom>
                    <a:noFill/>
                  </pic:spPr>
                </pic:pic>
              </a:graphicData>
            </a:graphic>
          </wp:anchor>
        </w:drawing>
      </w:r>
    </w:p>
    <w:p>
      <w:pPr>
        <w:spacing w:after="0" w:line="13" w:lineRule="exact"/>
        <w:rPr>
          <w:sz w:val="20"/>
          <w:szCs w:val="20"/>
          <w:color w:val="auto"/>
        </w:rPr>
      </w:pPr>
    </w:p>
    <w:tbl>
      <w:tblPr>
        <w:tblLayout w:type="fixed"/>
        <w:tblInd w:w="120" w:type="dxa"/>
        <w:tblCellMar>
          <w:top w:w="0" w:type="dxa"/>
          <w:left w:w="0" w:type="dxa"/>
          <w:bottom w:w="0" w:type="dxa"/>
          <w:right w:w="0" w:type="dxa"/>
        </w:tblCellMar>
      </w:tblPr>
      <w:tr>
        <w:trPr>
          <w:trHeight w:val="160"/>
        </w:trPr>
        <w:tc>
          <w:tcPr>
            <w:tcW w:w="67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2021</w:t>
            </w:r>
          </w:p>
        </w:tc>
      </w:tr>
      <w:tr>
        <w:trPr>
          <w:trHeight w:val="166"/>
        </w:trPr>
        <w:tc>
          <w:tcPr>
            <w:tcW w:w="67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ACTIVITIES</w:t>
            </w: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2"/>
        </w:trPr>
        <w:tc>
          <w:tcPr>
            <w:tcW w:w="6780" w:type="dxa"/>
            <w:vAlign w:val="bottom"/>
          </w:tcPr>
          <w:p>
            <w:pPr>
              <w:spacing w:after="0"/>
              <w:rPr>
                <w:sz w:val="20"/>
                <w:szCs w:val="20"/>
                <w:color w:val="auto"/>
              </w:rPr>
            </w:pPr>
            <w:r>
              <w:rPr>
                <w:rFonts w:ascii="Arial" w:cs="Arial" w:eastAsia="Arial" w:hAnsi="Arial"/>
                <w:sz w:val="11"/>
                <w:szCs w:val="11"/>
                <w:color w:val="auto"/>
              </w:rPr>
              <w:t>Net loss</w:t>
            </w:r>
          </w:p>
        </w:tc>
        <w:tc>
          <w:tcPr>
            <w:tcW w:w="900" w:type="dxa"/>
            <w:vAlign w:val="bottom"/>
          </w:tcPr>
          <w:p>
            <w:pPr>
              <w:jc w:val="right"/>
              <w:ind w:right="763"/>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(138.7)</w:t>
            </w:r>
          </w:p>
        </w:tc>
        <w:tc>
          <w:tcPr>
            <w:tcW w:w="100" w:type="dxa"/>
            <w:vAlign w:val="bottom"/>
          </w:tcPr>
          <w:p>
            <w:pPr>
              <w:spacing w:after="0"/>
              <w:rPr>
                <w:sz w:val="14"/>
                <w:szCs w:val="14"/>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(211.8)</w:t>
            </w:r>
          </w:p>
        </w:tc>
        <w:tc>
          <w:tcPr>
            <w:tcW w:w="80" w:type="dxa"/>
            <w:vAlign w:val="bottom"/>
          </w:tcPr>
          <w:p>
            <w:pPr>
              <w:spacing w:after="0"/>
              <w:rPr>
                <w:sz w:val="14"/>
                <w:szCs w:val="14"/>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(171.1)</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1"/>
                <w:szCs w:val="11"/>
                <w:color w:val="auto"/>
              </w:rPr>
              <w:t>Adjustments to reconcile net loss to net cash (used in) provided by operating activities:</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2"/>
        </w:trPr>
        <w:tc>
          <w:tcPr>
            <w:tcW w:w="6780" w:type="dxa"/>
            <w:vAlign w:val="bottom"/>
          </w:tcPr>
          <w:p>
            <w:pPr>
              <w:ind w:left="260"/>
              <w:spacing w:after="0"/>
              <w:rPr>
                <w:sz w:val="20"/>
                <w:szCs w:val="20"/>
                <w:color w:val="auto"/>
              </w:rPr>
            </w:pPr>
            <w:r>
              <w:rPr>
                <w:rFonts w:ascii="Arial" w:cs="Arial" w:eastAsia="Arial" w:hAnsi="Arial"/>
                <w:sz w:val="11"/>
                <w:szCs w:val="11"/>
                <w:color w:val="auto"/>
              </w:rPr>
              <w:t>Rental product depreciation and write-offs</w:t>
            </w: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46.2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45.6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55.9</w:t>
            </w:r>
          </w:p>
        </w:tc>
      </w:tr>
      <w:tr>
        <w:trPr>
          <w:trHeight w:val="189"/>
        </w:trPr>
        <w:tc>
          <w:tcPr>
            <w:tcW w:w="67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Write-off of rental product sold</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14.0</w:t>
            </w:r>
          </w:p>
        </w:tc>
      </w:tr>
      <w:tr>
        <w:trPr>
          <w:trHeight w:val="172"/>
        </w:trPr>
        <w:tc>
          <w:tcPr>
            <w:tcW w:w="6780" w:type="dxa"/>
            <w:vAlign w:val="bottom"/>
          </w:tcPr>
          <w:p>
            <w:pPr>
              <w:ind w:left="260"/>
              <w:spacing w:after="0"/>
              <w:rPr>
                <w:sz w:val="20"/>
                <w:szCs w:val="20"/>
                <w:color w:val="auto"/>
              </w:rPr>
            </w:pPr>
            <w:r>
              <w:rPr>
                <w:rFonts w:ascii="Arial" w:cs="Arial" w:eastAsia="Arial" w:hAnsi="Arial"/>
                <w:sz w:val="11"/>
                <w:szCs w:val="11"/>
                <w:color w:val="auto"/>
              </w:rPr>
              <w:t>Other depreciation and amortization</w:t>
            </w: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19.5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24.1</w:t>
            </w:r>
          </w:p>
        </w:tc>
      </w:tr>
      <w:tr>
        <w:trPr>
          <w:trHeight w:val="189"/>
        </w:trPr>
        <w:tc>
          <w:tcPr>
            <w:tcW w:w="67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(Gain) / loss from lease termination and write-off of fixed and intangible assets</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72"/>
        </w:trPr>
        <w:tc>
          <w:tcPr>
            <w:tcW w:w="6780" w:type="dxa"/>
            <w:vAlign w:val="bottom"/>
          </w:tcPr>
          <w:p>
            <w:pPr>
              <w:ind w:left="260"/>
              <w:spacing w:after="0"/>
              <w:rPr>
                <w:sz w:val="20"/>
                <w:szCs w:val="20"/>
                <w:color w:val="auto"/>
              </w:rPr>
            </w:pPr>
            <w:r>
              <w:rPr>
                <w:rFonts w:ascii="Arial" w:cs="Arial" w:eastAsia="Arial" w:hAnsi="Arial"/>
                <w:sz w:val="11"/>
                <w:szCs w:val="11"/>
                <w:color w:val="auto"/>
              </w:rPr>
              <w:t>Loss on asset impairment related to restructuring</w:t>
            </w: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89"/>
        </w:trPr>
        <w:tc>
          <w:tcPr>
            <w:tcW w:w="67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Proceeds from rental product sold</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w:t>
            </w:r>
          </w:p>
        </w:tc>
      </w:tr>
      <w:tr>
        <w:trPr>
          <w:trHeight w:val="172"/>
        </w:trPr>
        <w:tc>
          <w:tcPr>
            <w:tcW w:w="6780" w:type="dxa"/>
            <w:vAlign w:val="bottom"/>
          </w:tcPr>
          <w:p>
            <w:pPr>
              <w:ind w:left="260"/>
              <w:spacing w:after="0"/>
              <w:rPr>
                <w:sz w:val="20"/>
                <w:szCs w:val="20"/>
                <w:color w:val="auto"/>
              </w:rPr>
            </w:pPr>
            <w:r>
              <w:rPr>
                <w:rFonts w:ascii="Arial" w:cs="Arial" w:eastAsia="Arial" w:hAnsi="Arial"/>
                <w:sz w:val="11"/>
                <w:szCs w:val="11"/>
                <w:color w:val="auto"/>
              </w:rPr>
              <w:t>(Gain) / loss from liquidation of rental product</w:t>
            </w: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(0.6)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0.9</w:t>
            </w:r>
          </w:p>
        </w:tc>
      </w:tr>
      <w:tr>
        <w:trPr>
          <w:trHeight w:val="189"/>
        </w:trPr>
        <w:tc>
          <w:tcPr>
            <w:tcW w:w="67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Accrual of paid-in-kind interest</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36.9</w:t>
            </w:r>
          </w:p>
        </w:tc>
      </w:tr>
      <w:tr>
        <w:trPr>
          <w:trHeight w:val="172"/>
        </w:trPr>
        <w:tc>
          <w:tcPr>
            <w:tcW w:w="6780" w:type="dxa"/>
            <w:vAlign w:val="bottom"/>
          </w:tcPr>
          <w:p>
            <w:pPr>
              <w:ind w:left="260"/>
              <w:spacing w:after="0"/>
              <w:rPr>
                <w:sz w:val="20"/>
                <w:szCs w:val="20"/>
                <w:color w:val="auto"/>
              </w:rPr>
            </w:pPr>
            <w:r>
              <w:rPr>
                <w:rFonts w:ascii="Arial" w:cs="Arial" w:eastAsia="Arial" w:hAnsi="Arial"/>
                <w:sz w:val="11"/>
                <w:szCs w:val="11"/>
                <w:color w:val="auto"/>
              </w:rPr>
              <w:t>Settlement of paid-in-kind interest</w:t>
            </w:r>
          </w:p>
        </w:tc>
        <w:tc>
          <w:tcPr>
            <w:tcW w:w="9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89"/>
        </w:trPr>
        <w:tc>
          <w:tcPr>
            <w:tcW w:w="67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Amortization of debt discount</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w:t>
            </w:r>
          </w:p>
        </w:tc>
      </w:tr>
      <w:tr>
        <w:trPr>
          <w:trHeight w:val="172"/>
        </w:trPr>
        <w:tc>
          <w:tcPr>
            <w:tcW w:w="6780" w:type="dxa"/>
            <w:vAlign w:val="bottom"/>
          </w:tcPr>
          <w:p>
            <w:pPr>
              <w:ind w:left="260"/>
              <w:spacing w:after="0"/>
              <w:rPr>
                <w:sz w:val="20"/>
                <w:szCs w:val="20"/>
                <w:color w:val="auto"/>
              </w:rPr>
            </w:pPr>
            <w:r>
              <w:rPr>
                <w:rFonts w:ascii="Arial" w:cs="Arial" w:eastAsia="Arial" w:hAnsi="Arial"/>
                <w:sz w:val="11"/>
                <w:szCs w:val="11"/>
                <w:color w:val="auto"/>
              </w:rPr>
              <w:t>Loss on debt extinguishment</w:t>
            </w:r>
          </w:p>
        </w:tc>
        <w:tc>
          <w:tcPr>
            <w:tcW w:w="9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12.2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0.6</w:t>
            </w:r>
          </w:p>
        </w:tc>
      </w:tr>
      <w:tr>
        <w:trPr>
          <w:trHeight w:val="189"/>
        </w:trPr>
        <w:tc>
          <w:tcPr>
            <w:tcW w:w="67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Share-based compensation expense</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8.2</w:t>
            </w:r>
          </w:p>
        </w:tc>
      </w:tr>
      <w:tr>
        <w:trPr>
          <w:trHeight w:val="172"/>
        </w:trPr>
        <w:tc>
          <w:tcPr>
            <w:tcW w:w="6780" w:type="dxa"/>
            <w:vAlign w:val="bottom"/>
          </w:tcPr>
          <w:p>
            <w:pPr>
              <w:ind w:left="260"/>
              <w:spacing w:after="0"/>
              <w:rPr>
                <w:sz w:val="20"/>
                <w:szCs w:val="20"/>
                <w:color w:val="auto"/>
              </w:rPr>
            </w:pPr>
            <w:r>
              <w:rPr>
                <w:rFonts w:ascii="Arial" w:cs="Arial" w:eastAsia="Arial" w:hAnsi="Arial"/>
                <w:sz w:val="11"/>
                <w:szCs w:val="11"/>
                <w:color w:val="auto"/>
              </w:rPr>
              <w:t>Remeasurement of warrant liability</w:t>
            </w:r>
          </w:p>
        </w:tc>
        <w:tc>
          <w:tcPr>
            <w:tcW w:w="9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24.9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(0.4)</w:t>
            </w:r>
          </w:p>
        </w:tc>
      </w:tr>
      <w:tr>
        <w:trPr>
          <w:trHeight w:val="189"/>
        </w:trPr>
        <w:tc>
          <w:tcPr>
            <w:tcW w:w="67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Changes in operating assets and liabilities:</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2"/>
        </w:trPr>
        <w:tc>
          <w:tcPr>
            <w:tcW w:w="6780" w:type="dxa"/>
            <w:vAlign w:val="bottom"/>
          </w:tcPr>
          <w:p>
            <w:pPr>
              <w:ind w:left="520"/>
              <w:spacing w:after="0"/>
              <w:rPr>
                <w:sz w:val="20"/>
                <w:szCs w:val="20"/>
                <w:color w:val="auto"/>
              </w:rPr>
            </w:pPr>
            <w:r>
              <w:rPr>
                <w:rFonts w:ascii="Arial" w:cs="Arial" w:eastAsia="Arial" w:hAnsi="Arial"/>
                <w:sz w:val="11"/>
                <w:szCs w:val="11"/>
                <w:color w:val="auto"/>
              </w:rPr>
              <w:t>Prepaid expenses and other current assets</w:t>
            </w: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0.3</w:t>
            </w:r>
          </w:p>
        </w:tc>
      </w:tr>
      <w:tr>
        <w:trPr>
          <w:trHeight w:val="189"/>
        </w:trPr>
        <w:tc>
          <w:tcPr>
            <w:tcW w:w="67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Operating lease right-of-use assets</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r>
      <w:tr>
        <w:trPr>
          <w:trHeight w:val="172"/>
        </w:trPr>
        <w:tc>
          <w:tcPr>
            <w:tcW w:w="6780" w:type="dxa"/>
            <w:vAlign w:val="bottom"/>
          </w:tcPr>
          <w:p>
            <w:pPr>
              <w:ind w:left="520"/>
              <w:spacing w:after="0"/>
              <w:rPr>
                <w:sz w:val="20"/>
                <w:szCs w:val="20"/>
                <w:color w:val="auto"/>
              </w:rPr>
            </w:pPr>
            <w:r>
              <w:rPr>
                <w:rFonts w:ascii="Arial" w:cs="Arial" w:eastAsia="Arial" w:hAnsi="Arial"/>
                <w:sz w:val="11"/>
                <w:szCs w:val="11"/>
                <w:color w:val="auto"/>
              </w:rPr>
              <w:t>Other assets</w:t>
            </w: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1.8</w:t>
            </w:r>
          </w:p>
        </w:tc>
      </w:tr>
      <w:tr>
        <w:trPr>
          <w:trHeight w:val="189"/>
        </w:trPr>
        <w:tc>
          <w:tcPr>
            <w:tcW w:w="67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Accounts payable, accrued expenses and other current liabilities</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w:t>
            </w:r>
          </w:p>
        </w:tc>
      </w:tr>
      <w:tr>
        <w:trPr>
          <w:trHeight w:val="172"/>
        </w:trPr>
        <w:tc>
          <w:tcPr>
            <w:tcW w:w="6780" w:type="dxa"/>
            <w:vAlign w:val="bottom"/>
          </w:tcPr>
          <w:p>
            <w:pPr>
              <w:ind w:left="520"/>
              <w:spacing w:after="0"/>
              <w:rPr>
                <w:sz w:val="20"/>
                <w:szCs w:val="20"/>
                <w:color w:val="auto"/>
              </w:rPr>
            </w:pPr>
            <w:r>
              <w:rPr>
                <w:rFonts w:ascii="Arial" w:cs="Arial" w:eastAsia="Arial" w:hAnsi="Arial"/>
                <w:sz w:val="11"/>
                <w:szCs w:val="11"/>
                <w:color w:val="auto"/>
              </w:rPr>
              <w:t>Deferred revenue and customer credit liabilities</w:t>
            </w: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(7.3)</w:t>
            </w:r>
          </w:p>
        </w:tc>
      </w:tr>
      <w:tr>
        <w:trPr>
          <w:trHeight w:val="189"/>
        </w:trPr>
        <w:tc>
          <w:tcPr>
            <w:tcW w:w="67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Operating lease liabilities</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11.4</w:t>
            </w:r>
          </w:p>
        </w:tc>
      </w:tr>
      <w:tr>
        <w:trPr>
          <w:trHeight w:val="172"/>
        </w:trPr>
        <w:tc>
          <w:tcPr>
            <w:tcW w:w="6780" w:type="dxa"/>
            <w:vAlign w:val="bottom"/>
            <w:tcBorders>
              <w:bottom w:val="single" w:sz="8" w:color="CCEEFF"/>
            </w:tcBorders>
          </w:tcPr>
          <w:p>
            <w:pPr>
              <w:ind w:left="520"/>
              <w:spacing w:after="0"/>
              <w:rPr>
                <w:sz w:val="20"/>
                <w:szCs w:val="20"/>
                <w:color w:val="auto"/>
              </w:rPr>
            </w:pPr>
            <w:r>
              <w:rPr>
                <w:rFonts w:ascii="Arial" w:cs="Arial" w:eastAsia="Arial" w:hAnsi="Arial"/>
                <w:sz w:val="11"/>
                <w:szCs w:val="11"/>
                <w:color w:val="auto"/>
              </w:rPr>
              <w:t>Other liabilities</w:t>
            </w: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r>
      <w:tr>
        <w:trPr>
          <w:trHeight w:val="169"/>
        </w:trPr>
        <w:tc>
          <w:tcPr>
            <w:tcW w:w="6780" w:type="dxa"/>
            <w:vAlign w:val="bottom"/>
            <w:shd w:val="clear" w:color="auto" w:fill="CCEEFF"/>
          </w:tcPr>
          <w:p>
            <w:pPr>
              <w:ind w:left="760"/>
              <w:spacing w:after="0"/>
              <w:rPr>
                <w:sz w:val="20"/>
                <w:szCs w:val="20"/>
                <w:color w:val="auto"/>
              </w:rPr>
            </w:pPr>
            <w:r>
              <w:rPr>
                <w:rFonts w:ascii="Arial" w:cs="Arial" w:eastAsia="Arial" w:hAnsi="Arial"/>
                <w:sz w:val="11"/>
                <w:szCs w:val="11"/>
                <w:color w:val="auto"/>
              </w:rPr>
              <w:t>Net cash (used in) provided by operating activities</w:t>
            </w:r>
          </w:p>
        </w:tc>
        <w:tc>
          <w:tcPr>
            <w:tcW w:w="9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(42.8)</w:t>
            </w:r>
          </w:p>
        </w:tc>
      </w:tr>
      <w:tr>
        <w:trPr>
          <w:trHeight w:val="155"/>
        </w:trPr>
        <w:tc>
          <w:tcPr>
            <w:tcW w:w="6780" w:type="dxa"/>
            <w:vAlign w:val="bottom"/>
          </w:tcPr>
          <w:p>
            <w:pPr>
              <w:spacing w:after="0"/>
              <w:rPr>
                <w:sz w:val="20"/>
                <w:szCs w:val="20"/>
                <w:color w:val="auto"/>
              </w:rPr>
            </w:pPr>
            <w:r>
              <w:rPr>
                <w:rFonts w:ascii="Arial" w:cs="Arial" w:eastAsia="Arial" w:hAnsi="Arial"/>
                <w:sz w:val="11"/>
                <w:szCs w:val="11"/>
                <w:b w:val="1"/>
                <w:bCs w:val="1"/>
                <w:color w:val="auto"/>
              </w:rPr>
              <w:t>INVESTING ACTIVITIES</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6"/>
        </w:trPr>
        <w:tc>
          <w:tcPr>
            <w:tcW w:w="6780" w:type="dxa"/>
            <w:vAlign w:val="bottom"/>
            <w:shd w:val="clear" w:color="auto" w:fill="CCEEFF"/>
          </w:tcPr>
          <w:p>
            <w:pPr>
              <w:spacing w:after="0"/>
              <w:rPr>
                <w:sz w:val="20"/>
                <w:szCs w:val="20"/>
                <w:color w:val="auto"/>
              </w:rPr>
            </w:pPr>
            <w:r>
              <w:rPr>
                <w:rFonts w:ascii="Arial" w:cs="Arial" w:eastAsia="Arial" w:hAnsi="Arial"/>
                <w:sz w:val="11"/>
                <w:szCs w:val="11"/>
                <w:color w:val="auto"/>
              </w:rPr>
              <w:t>Purchases of rental product</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(54.9)</w:t>
            </w:r>
          </w:p>
        </w:tc>
      </w:tr>
      <w:tr>
        <w:trPr>
          <w:trHeight w:val="172"/>
        </w:trPr>
        <w:tc>
          <w:tcPr>
            <w:tcW w:w="6780" w:type="dxa"/>
            <w:vAlign w:val="bottom"/>
          </w:tcPr>
          <w:p>
            <w:pPr>
              <w:spacing w:after="0"/>
              <w:rPr>
                <w:sz w:val="20"/>
                <w:szCs w:val="20"/>
                <w:color w:val="auto"/>
              </w:rPr>
            </w:pPr>
            <w:r>
              <w:rPr>
                <w:rFonts w:ascii="Arial" w:cs="Arial" w:eastAsia="Arial" w:hAnsi="Arial"/>
                <w:sz w:val="11"/>
                <w:szCs w:val="11"/>
                <w:color w:val="auto"/>
              </w:rPr>
              <w:t>Proceeds from liquidation of rental product</w:t>
            </w: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2.4</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1"/>
                <w:szCs w:val="11"/>
                <w:color w:val="auto"/>
              </w:rPr>
              <w:t>Proceeds from sale of rental product</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17.9</w:t>
            </w:r>
          </w:p>
        </w:tc>
      </w:tr>
      <w:tr>
        <w:trPr>
          <w:trHeight w:val="172"/>
        </w:trPr>
        <w:tc>
          <w:tcPr>
            <w:tcW w:w="67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Purchases of fixed and intangible assets</w:t>
            </w: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(23.8)</w:t>
            </w:r>
          </w:p>
        </w:tc>
      </w:tr>
      <w:tr>
        <w:trPr>
          <w:trHeight w:val="169"/>
        </w:trPr>
        <w:tc>
          <w:tcPr>
            <w:tcW w:w="6780" w:type="dxa"/>
            <w:vAlign w:val="bottom"/>
            <w:shd w:val="clear" w:color="auto" w:fill="CCEEFF"/>
          </w:tcPr>
          <w:p>
            <w:pPr>
              <w:ind w:left="760"/>
              <w:spacing w:after="0"/>
              <w:rPr>
                <w:sz w:val="20"/>
                <w:szCs w:val="20"/>
                <w:color w:val="auto"/>
              </w:rPr>
            </w:pPr>
            <w:r>
              <w:rPr>
                <w:rFonts w:ascii="Arial" w:cs="Arial" w:eastAsia="Arial" w:hAnsi="Arial"/>
                <w:sz w:val="11"/>
                <w:szCs w:val="11"/>
                <w:color w:val="auto"/>
              </w:rPr>
              <w:t>Net cash (used in) provided by investing activities</w:t>
            </w:r>
          </w:p>
        </w:tc>
        <w:tc>
          <w:tcPr>
            <w:tcW w:w="9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(58.4)</w:t>
            </w:r>
          </w:p>
        </w:tc>
      </w:tr>
      <w:tr>
        <w:trPr>
          <w:trHeight w:val="139"/>
        </w:trPr>
        <w:tc>
          <w:tcPr>
            <w:tcW w:w="6780" w:type="dxa"/>
            <w:vAlign w:val="bottom"/>
          </w:tcPr>
          <w:p>
            <w:pPr>
              <w:spacing w:after="0"/>
              <w:rPr>
                <w:sz w:val="20"/>
                <w:szCs w:val="20"/>
                <w:color w:val="auto"/>
              </w:rPr>
            </w:pPr>
            <w:r>
              <w:rPr>
                <w:rFonts w:ascii="Arial" w:cs="Arial" w:eastAsia="Arial" w:hAnsi="Arial"/>
                <w:sz w:val="11"/>
                <w:szCs w:val="11"/>
                <w:b w:val="1"/>
                <w:bCs w:val="1"/>
                <w:color w:val="auto"/>
              </w:rPr>
              <w:t>FINANCING ACTIVITIES</w:t>
            </w: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81"/>
        </w:trPr>
        <w:tc>
          <w:tcPr>
            <w:tcW w:w="6780" w:type="dxa"/>
            <w:vAlign w:val="bottom"/>
            <w:shd w:val="clear" w:color="auto" w:fill="CCEEFF"/>
          </w:tcPr>
          <w:p>
            <w:pPr>
              <w:spacing w:after="0"/>
              <w:rPr>
                <w:sz w:val="20"/>
                <w:szCs w:val="20"/>
                <w:color w:val="auto"/>
              </w:rPr>
            </w:pPr>
            <w:r>
              <w:rPr>
                <w:rFonts w:ascii="Arial" w:cs="Arial" w:eastAsia="Arial" w:hAnsi="Arial"/>
                <w:sz w:val="11"/>
                <w:szCs w:val="11"/>
                <w:color w:val="auto"/>
              </w:rPr>
              <w:t>Proceeds from issuance of common stock upon IPO, net of offering costs</w:t>
            </w:r>
          </w:p>
        </w:tc>
        <w:tc>
          <w:tcPr>
            <w:tcW w:w="9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77"/>
        </w:trPr>
        <w:tc>
          <w:tcPr>
            <w:tcW w:w="6780" w:type="dxa"/>
            <w:vAlign w:val="bottom"/>
          </w:tcPr>
          <w:p>
            <w:pPr>
              <w:spacing w:after="0"/>
              <w:rPr>
                <w:sz w:val="20"/>
                <w:szCs w:val="20"/>
                <w:color w:val="auto"/>
              </w:rPr>
            </w:pPr>
            <w:r>
              <w:rPr>
                <w:rFonts w:ascii="Arial" w:cs="Arial" w:eastAsia="Arial" w:hAnsi="Arial"/>
                <w:sz w:val="11"/>
                <w:szCs w:val="11"/>
                <w:color w:val="auto"/>
              </w:rPr>
              <w:t>Proceeds from issuance of redeemable preferred stock</w:t>
            </w:r>
          </w:p>
        </w:tc>
        <w:tc>
          <w:tcPr>
            <w:tcW w:w="9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60.4</w:t>
            </w:r>
          </w:p>
        </w:tc>
      </w:tr>
      <w:tr>
        <w:trPr>
          <w:trHeight w:val="184"/>
        </w:trPr>
        <w:tc>
          <w:tcPr>
            <w:tcW w:w="6780" w:type="dxa"/>
            <w:vAlign w:val="bottom"/>
            <w:shd w:val="clear" w:color="auto" w:fill="CCEEFF"/>
          </w:tcPr>
          <w:p>
            <w:pPr>
              <w:spacing w:after="0"/>
              <w:rPr>
                <w:sz w:val="20"/>
                <w:szCs w:val="20"/>
                <w:color w:val="auto"/>
              </w:rPr>
            </w:pPr>
            <w:r>
              <w:rPr>
                <w:rFonts w:ascii="Arial" w:cs="Arial" w:eastAsia="Arial" w:hAnsi="Arial"/>
                <w:sz w:val="11"/>
                <w:szCs w:val="11"/>
                <w:color w:val="auto"/>
              </w:rPr>
              <w:t>Proceeds from exercise of stock options under stock incentive plan</w:t>
            </w:r>
          </w:p>
        </w:tc>
        <w:tc>
          <w:tcPr>
            <w:tcW w:w="9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0.5</w:t>
            </w:r>
          </w:p>
        </w:tc>
      </w:tr>
      <w:tr>
        <w:trPr>
          <w:trHeight w:val="177"/>
        </w:trPr>
        <w:tc>
          <w:tcPr>
            <w:tcW w:w="6780" w:type="dxa"/>
            <w:vAlign w:val="bottom"/>
          </w:tcPr>
          <w:p>
            <w:pPr>
              <w:spacing w:after="0"/>
              <w:rPr>
                <w:sz w:val="20"/>
                <w:szCs w:val="20"/>
                <w:color w:val="auto"/>
              </w:rPr>
            </w:pPr>
            <w:r>
              <w:rPr>
                <w:rFonts w:ascii="Arial" w:cs="Arial" w:eastAsia="Arial" w:hAnsi="Arial"/>
                <w:sz w:val="11"/>
                <w:szCs w:val="11"/>
                <w:color w:val="auto"/>
              </w:rPr>
              <w:t>Proceeds from line of credit</w:t>
            </w:r>
          </w:p>
        </w:tc>
        <w:tc>
          <w:tcPr>
            <w:tcW w:w="9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15.0</w:t>
            </w:r>
          </w:p>
        </w:tc>
      </w:tr>
      <w:tr>
        <w:trPr>
          <w:trHeight w:val="184"/>
        </w:trPr>
        <w:tc>
          <w:tcPr>
            <w:tcW w:w="6780" w:type="dxa"/>
            <w:vAlign w:val="bottom"/>
            <w:shd w:val="clear" w:color="auto" w:fill="CCEEFF"/>
          </w:tcPr>
          <w:p>
            <w:pPr>
              <w:spacing w:after="0"/>
              <w:rPr>
                <w:sz w:val="20"/>
                <w:szCs w:val="20"/>
                <w:color w:val="auto"/>
              </w:rPr>
            </w:pPr>
            <w:r>
              <w:rPr>
                <w:rFonts w:ascii="Arial" w:cs="Arial" w:eastAsia="Arial" w:hAnsi="Arial"/>
                <w:sz w:val="11"/>
                <w:szCs w:val="11"/>
                <w:color w:val="auto"/>
              </w:rPr>
              <w:t>Principal repayments on line of credit</w:t>
            </w:r>
          </w:p>
        </w:tc>
        <w:tc>
          <w:tcPr>
            <w:tcW w:w="9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(59.0)</w:t>
            </w:r>
          </w:p>
        </w:tc>
      </w:tr>
      <w:tr>
        <w:trPr>
          <w:trHeight w:val="177"/>
        </w:trPr>
        <w:tc>
          <w:tcPr>
            <w:tcW w:w="6780" w:type="dxa"/>
            <w:vAlign w:val="bottom"/>
          </w:tcPr>
          <w:p>
            <w:pPr>
              <w:spacing w:after="0"/>
              <w:rPr>
                <w:sz w:val="20"/>
                <w:szCs w:val="20"/>
                <w:color w:val="auto"/>
              </w:rPr>
            </w:pPr>
            <w:r>
              <w:rPr>
                <w:rFonts w:ascii="Arial" w:cs="Arial" w:eastAsia="Arial" w:hAnsi="Arial"/>
                <w:sz w:val="11"/>
                <w:szCs w:val="11"/>
                <w:color w:val="auto"/>
              </w:rPr>
              <w:t>Proceeds from long-term debt</w:t>
            </w:r>
          </w:p>
        </w:tc>
        <w:tc>
          <w:tcPr>
            <w:tcW w:w="9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155.0</w:t>
            </w:r>
          </w:p>
        </w:tc>
      </w:tr>
      <w:tr>
        <w:trPr>
          <w:trHeight w:val="184"/>
        </w:trPr>
        <w:tc>
          <w:tcPr>
            <w:tcW w:w="6780" w:type="dxa"/>
            <w:vAlign w:val="bottom"/>
            <w:shd w:val="clear" w:color="auto" w:fill="CCEEFF"/>
          </w:tcPr>
          <w:p>
            <w:pPr>
              <w:spacing w:after="0"/>
              <w:rPr>
                <w:sz w:val="20"/>
                <w:szCs w:val="20"/>
                <w:color w:val="auto"/>
              </w:rPr>
            </w:pPr>
            <w:r>
              <w:rPr>
                <w:rFonts w:ascii="Arial" w:cs="Arial" w:eastAsia="Arial" w:hAnsi="Arial"/>
                <w:sz w:val="11"/>
                <w:szCs w:val="11"/>
                <w:color w:val="auto"/>
              </w:rPr>
              <w:t>Principal repayments on long-term debt</w:t>
            </w:r>
          </w:p>
        </w:tc>
        <w:tc>
          <w:tcPr>
            <w:tcW w:w="9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77"/>
        </w:trPr>
        <w:tc>
          <w:tcPr>
            <w:tcW w:w="6780" w:type="dxa"/>
            <w:vAlign w:val="bottom"/>
          </w:tcPr>
          <w:p>
            <w:pPr>
              <w:spacing w:after="0"/>
              <w:rPr>
                <w:sz w:val="20"/>
                <w:szCs w:val="20"/>
                <w:color w:val="auto"/>
              </w:rPr>
            </w:pPr>
            <w:r>
              <w:rPr>
                <w:rFonts w:ascii="Arial" w:cs="Arial" w:eastAsia="Arial" w:hAnsi="Arial"/>
                <w:sz w:val="11"/>
                <w:szCs w:val="11"/>
                <w:color w:val="auto"/>
              </w:rPr>
              <w:t>Debt extinguishment costs</w:t>
            </w:r>
          </w:p>
        </w:tc>
        <w:tc>
          <w:tcPr>
            <w:tcW w:w="9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62"/>
        </w:trPr>
        <w:tc>
          <w:tcPr>
            <w:tcW w:w="6780" w:type="dxa"/>
            <w:vAlign w:val="bottom"/>
            <w:shd w:val="clear" w:color="auto" w:fill="CCEEFF"/>
          </w:tcPr>
          <w:p>
            <w:pPr>
              <w:spacing w:after="0"/>
              <w:rPr>
                <w:sz w:val="20"/>
                <w:szCs w:val="20"/>
                <w:color w:val="auto"/>
              </w:rPr>
            </w:pPr>
            <w:r>
              <w:rPr>
                <w:rFonts w:ascii="Arial" w:cs="Arial" w:eastAsia="Arial" w:hAnsi="Arial"/>
                <w:sz w:val="11"/>
                <w:szCs w:val="11"/>
                <w:color w:val="auto"/>
              </w:rPr>
              <w:t>Proceeds from short-term financing agreements</w:t>
            </w:r>
          </w:p>
        </w:tc>
        <w:tc>
          <w:tcPr>
            <w:tcW w:w="9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6"/>
        </w:trPr>
        <w:tc>
          <w:tcPr>
            <w:tcW w:w="67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financing payments</w:t>
            </w:r>
          </w:p>
        </w:tc>
        <w:tc>
          <w:tcPr>
            <w:tcW w:w="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w:t>
            </w:r>
          </w:p>
        </w:tc>
      </w:tr>
      <w:tr>
        <w:trPr>
          <w:trHeight w:val="153"/>
        </w:trPr>
        <w:tc>
          <w:tcPr>
            <w:tcW w:w="6780" w:type="dxa"/>
            <w:vAlign w:val="bottom"/>
            <w:shd w:val="clear" w:color="auto" w:fill="CCEEFF"/>
          </w:tcPr>
          <w:p>
            <w:pPr>
              <w:ind w:left="760"/>
              <w:spacing w:after="0"/>
              <w:rPr>
                <w:sz w:val="20"/>
                <w:szCs w:val="20"/>
                <w:color w:val="auto"/>
              </w:rPr>
            </w:pPr>
            <w:r>
              <w:rPr>
                <w:rFonts w:ascii="Arial" w:cs="Arial" w:eastAsia="Arial" w:hAnsi="Arial"/>
                <w:sz w:val="11"/>
                <w:szCs w:val="11"/>
                <w:color w:val="auto"/>
              </w:rPr>
              <w:t>Net cash (used in) provided by financing activities</w:t>
            </w:r>
          </w:p>
        </w:tc>
        <w:tc>
          <w:tcPr>
            <w:tcW w:w="9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215.2</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168.5</w:t>
            </w:r>
          </w:p>
        </w:tc>
      </w:tr>
      <w:tr>
        <w:trPr>
          <w:trHeight w:val="147"/>
        </w:trPr>
        <w:tc>
          <w:tcPr>
            <w:tcW w:w="6780" w:type="dxa"/>
            <w:vAlign w:val="bottom"/>
          </w:tcPr>
          <w:p>
            <w:pPr>
              <w:spacing w:after="0"/>
              <w:rPr>
                <w:sz w:val="20"/>
                <w:szCs w:val="20"/>
                <w:color w:val="auto"/>
              </w:rPr>
            </w:pPr>
            <w:r>
              <w:rPr>
                <w:rFonts w:ascii="Arial" w:cs="Arial" w:eastAsia="Arial" w:hAnsi="Arial"/>
                <w:sz w:val="11"/>
                <w:szCs w:val="11"/>
                <w:color w:val="auto"/>
              </w:rPr>
              <w:t>Net (decrease) increase in cash and cash equivalents and restricted cash</w:t>
            </w: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(96.0)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150.4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67.3</w:t>
            </w:r>
          </w:p>
        </w:tc>
      </w:tr>
      <w:tr>
        <w:trPr>
          <w:trHeight w:val="159"/>
        </w:trPr>
        <w:tc>
          <w:tcPr>
            <w:tcW w:w="678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and restricted cash at beginning of period</w:t>
            </w:r>
          </w:p>
        </w:tc>
        <w:tc>
          <w:tcPr>
            <w:tcW w:w="9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259.6</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109.2</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41.9</w:t>
            </w:r>
          </w:p>
        </w:tc>
      </w:tr>
      <w:tr>
        <w:trPr>
          <w:trHeight w:val="153"/>
        </w:trPr>
        <w:tc>
          <w:tcPr>
            <w:tcW w:w="6780" w:type="dxa"/>
            <w:vAlign w:val="bottom"/>
          </w:tcPr>
          <w:p>
            <w:pPr>
              <w:spacing w:after="0"/>
              <w:rPr>
                <w:sz w:val="20"/>
                <w:szCs w:val="20"/>
                <w:color w:val="auto"/>
              </w:rPr>
            </w:pPr>
            <w:r>
              <w:rPr>
                <w:rFonts w:ascii="Arial" w:cs="Arial" w:eastAsia="Arial" w:hAnsi="Arial"/>
                <w:sz w:val="11"/>
                <w:szCs w:val="11"/>
                <w:color w:val="auto"/>
              </w:rPr>
              <w:t>Cash and cash equivalents and restricted cash at end of period</w:t>
            </w:r>
          </w:p>
        </w:tc>
        <w:tc>
          <w:tcPr>
            <w:tcW w:w="900" w:type="dxa"/>
            <w:vAlign w:val="bottom"/>
            <w:tcBorders>
              <w:bottom w:val="single" w:sz="8" w:color="auto"/>
            </w:tcBorders>
          </w:tcPr>
          <w:p>
            <w:pPr>
              <w:jc w:val="right"/>
              <w:ind w:right="763"/>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163.6</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259.6</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109.2</w:t>
            </w:r>
          </w:p>
        </w:tc>
      </w:tr>
      <w:tr>
        <w:trPr>
          <w:trHeight w:val="20"/>
        </w:trPr>
        <w:tc>
          <w:tcPr>
            <w:tcW w:w="6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RENT THE RUNWAY, INC.</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19685</wp:posOffset>
            </wp:positionV>
            <wp:extent cx="708088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80885" cy="6985"/>
                    </a:xfrm>
                    <a:prstGeom prst="rect">
                      <a:avLst/>
                    </a:prstGeom>
                    <a:noFill/>
                  </pic:spPr>
                </pic:pic>
              </a:graphicData>
            </a:graphic>
          </wp:anchor>
        </w:drawing>
      </w:r>
    </w:p>
    <w:p>
      <w:pPr>
        <w:spacing w:after="0" w:line="274"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(in millions)</w:t>
      </w:r>
    </w:p>
    <w:p>
      <w:pPr>
        <w:spacing w:after="0" w:line="228" w:lineRule="exact"/>
        <w:rPr>
          <w:sz w:val="20"/>
          <w:szCs w:val="20"/>
          <w:color w:val="auto"/>
        </w:rPr>
      </w:pPr>
    </w:p>
    <w:p>
      <w:pPr>
        <w:ind w:left="8600"/>
        <w:spacing w:after="0"/>
        <w:rPr>
          <w:sz w:val="20"/>
          <w:szCs w:val="20"/>
          <w:color w:val="auto"/>
        </w:rPr>
      </w:pPr>
      <w:r>
        <w:rPr>
          <w:rFonts w:ascii="Arial" w:cs="Arial" w:eastAsia="Arial" w:hAnsi="Arial"/>
          <w:sz w:val="11"/>
          <w:szCs w:val="11"/>
          <w:b w:val="1"/>
          <w:bCs w:val="1"/>
          <w:color w:val="auto"/>
        </w:rPr>
        <w:t>Year Ended</w:t>
      </w:r>
    </w:p>
    <w:p>
      <w:pPr>
        <w:ind w:left="8600"/>
        <w:spacing w:after="0"/>
        <w:rPr>
          <w:sz w:val="20"/>
          <w:szCs w:val="20"/>
          <w:color w:val="auto"/>
        </w:rPr>
      </w:pPr>
      <w:r>
        <w:rPr>
          <w:rFonts w:ascii="Arial" w:cs="Arial" w:eastAsia="Arial" w:hAnsi="Arial"/>
          <w:sz w:val="11"/>
          <w:szCs w:val="11"/>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297815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65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66"/>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Reconciliation of Cash and Cash Equivalents and Restricted Cash to the Consolidated Balance Sheets:</w:t>
            </w: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20" w:type="dxa"/>
            <w:vAlign w:val="bottom"/>
          </w:tcPr>
          <w:p>
            <w:pPr>
              <w:ind w:left="20"/>
              <w:spacing w:after="0"/>
              <w:rPr>
                <w:sz w:val="20"/>
                <w:szCs w:val="20"/>
                <w:color w:val="auto"/>
              </w:rPr>
            </w:pPr>
            <w:r>
              <w:rPr>
                <w:rFonts w:ascii="Arial" w:cs="Arial" w:eastAsia="Arial" w:hAnsi="Arial"/>
                <w:sz w:val="11"/>
                <w:szCs w:val="11"/>
                <w:color w:val="auto"/>
              </w:rPr>
              <w:t>Cash and cash equivalents</w:t>
            </w:r>
          </w:p>
        </w:tc>
        <w:tc>
          <w:tcPr>
            <w:tcW w:w="1020" w:type="dxa"/>
            <w:vAlign w:val="bottom"/>
          </w:tcPr>
          <w:p>
            <w:pPr>
              <w:jc w:val="right"/>
              <w:ind w:right="88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154.5</w:t>
            </w:r>
          </w:p>
        </w:tc>
        <w:tc>
          <w:tcPr>
            <w:tcW w:w="100" w:type="dxa"/>
            <w:vAlign w:val="bottom"/>
          </w:tcPr>
          <w:p>
            <w:pPr>
              <w:spacing w:after="0"/>
              <w:rPr>
                <w:sz w:val="14"/>
                <w:szCs w:val="14"/>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247.6</w:t>
            </w:r>
          </w:p>
        </w:tc>
        <w:tc>
          <w:tcPr>
            <w:tcW w:w="80" w:type="dxa"/>
            <w:vAlign w:val="bottom"/>
          </w:tcPr>
          <w:p>
            <w:pPr>
              <w:spacing w:after="0"/>
              <w:rPr>
                <w:sz w:val="14"/>
                <w:szCs w:val="14"/>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95.3</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 current</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7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Restricted cash, noncurrent</w:t>
            </w:r>
          </w:p>
        </w:tc>
        <w:tc>
          <w:tcPr>
            <w:tcW w:w="10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7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cash and cash equivalents and restricted cash</w:t>
            </w:r>
          </w:p>
        </w:tc>
        <w:tc>
          <w:tcPr>
            <w:tcW w:w="102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163.6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259.6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109.2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Supplemental Cash Flow Information: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payments (receipts) for:</w:t>
            </w:r>
          </w:p>
        </w:tc>
        <w:tc>
          <w:tcPr>
            <w:tcW w:w="10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520" w:type="dxa"/>
            <w:vAlign w:val="bottom"/>
          </w:tcPr>
          <w:p>
            <w:pPr>
              <w:ind w:left="360"/>
              <w:spacing w:after="0"/>
              <w:rPr>
                <w:sz w:val="20"/>
                <w:szCs w:val="20"/>
                <w:color w:val="auto"/>
              </w:rPr>
            </w:pPr>
            <w:r>
              <w:rPr>
                <w:rFonts w:ascii="Arial" w:cs="Arial" w:eastAsia="Arial" w:hAnsi="Arial"/>
                <w:sz w:val="11"/>
                <w:szCs w:val="11"/>
                <w:color w:val="auto"/>
              </w:rPr>
              <w:t>Interest paid on loans</w:t>
            </w:r>
          </w:p>
        </w:tc>
        <w:tc>
          <w:tcPr>
            <w:tcW w:w="1020" w:type="dxa"/>
            <w:vAlign w:val="bottom"/>
          </w:tcPr>
          <w:p>
            <w:pPr>
              <w:jc w:val="right"/>
              <w:ind w:right="88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4"/>
                <w:szCs w:val="14"/>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14"/>
                <w:szCs w:val="14"/>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Interest paid on financing leases</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2"/>
        </w:trPr>
        <w:tc>
          <w:tcPr>
            <w:tcW w:w="6520" w:type="dxa"/>
            <w:vAlign w:val="bottom"/>
          </w:tcPr>
          <w:p>
            <w:pPr>
              <w:ind w:left="360"/>
              <w:spacing w:after="0"/>
              <w:rPr>
                <w:sz w:val="20"/>
                <w:szCs w:val="20"/>
                <w:color w:val="auto"/>
              </w:rPr>
            </w:pPr>
            <w:r>
              <w:rPr>
                <w:rFonts w:ascii="Arial" w:cs="Arial" w:eastAsia="Arial" w:hAnsi="Arial"/>
                <w:sz w:val="11"/>
                <w:szCs w:val="11"/>
                <w:color w:val="auto"/>
              </w:rPr>
              <w:t>Fixed operating lease payments (reimbursements), net</w:t>
            </w:r>
          </w:p>
        </w:tc>
        <w:tc>
          <w:tcPr>
            <w:tcW w:w="10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15.8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Fixed assets and intangibles received in the prior period</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77"/>
        </w:trPr>
        <w:tc>
          <w:tcPr>
            <w:tcW w:w="6520" w:type="dxa"/>
            <w:vAlign w:val="bottom"/>
          </w:tcPr>
          <w:p>
            <w:pPr>
              <w:ind w:left="360"/>
              <w:spacing w:after="0"/>
              <w:rPr>
                <w:sz w:val="20"/>
                <w:szCs w:val="20"/>
                <w:color w:val="auto"/>
              </w:rPr>
            </w:pPr>
            <w:r>
              <w:rPr>
                <w:rFonts w:ascii="Arial" w:cs="Arial" w:eastAsia="Arial" w:hAnsi="Arial"/>
                <w:sz w:val="11"/>
                <w:szCs w:val="11"/>
                <w:color w:val="auto"/>
              </w:rPr>
              <w:t>Rental product received in the prior period</w:t>
            </w:r>
          </w:p>
        </w:tc>
        <w:tc>
          <w:tcPr>
            <w:tcW w:w="10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62"/>
        </w:trPr>
        <w:tc>
          <w:tcPr>
            <w:tcW w:w="6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Non-cash financing and investing activities:</w:t>
            </w: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520" w:type="dxa"/>
            <w:vAlign w:val="bottom"/>
          </w:tcPr>
          <w:p>
            <w:pPr>
              <w:ind w:left="360"/>
              <w:spacing w:after="0"/>
              <w:rPr>
                <w:sz w:val="20"/>
                <w:szCs w:val="20"/>
                <w:color w:val="auto"/>
              </w:rPr>
            </w:pPr>
            <w:r>
              <w:rPr>
                <w:rFonts w:ascii="Arial" w:cs="Arial" w:eastAsia="Arial" w:hAnsi="Arial"/>
                <w:sz w:val="11"/>
                <w:szCs w:val="11"/>
                <w:color w:val="auto"/>
              </w:rPr>
              <w:t>Financing lease right-of-use asset amortization</w:t>
            </w:r>
          </w:p>
        </w:tc>
        <w:tc>
          <w:tcPr>
            <w:tcW w:w="1020" w:type="dxa"/>
            <w:vAlign w:val="bottom"/>
          </w:tcPr>
          <w:p>
            <w:pPr>
              <w:jc w:val="right"/>
              <w:ind w:right="88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15"/>
                <w:szCs w:val="15"/>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5"/>
                <w:szCs w:val="15"/>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84"/>
        </w:trPr>
        <w:tc>
          <w:tcPr>
            <w:tcW w:w="65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ROU assets obtained in exchange for lease liabilities</w:t>
            </w:r>
          </w:p>
        </w:tc>
        <w:tc>
          <w:tcPr>
            <w:tcW w:w="10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77"/>
        </w:trPr>
        <w:tc>
          <w:tcPr>
            <w:tcW w:w="6520" w:type="dxa"/>
            <w:vAlign w:val="bottom"/>
          </w:tcPr>
          <w:p>
            <w:pPr>
              <w:ind w:left="360"/>
              <w:spacing w:after="0"/>
              <w:rPr>
                <w:sz w:val="20"/>
                <w:szCs w:val="20"/>
                <w:color w:val="auto"/>
              </w:rPr>
            </w:pPr>
            <w:r>
              <w:rPr>
                <w:rFonts w:ascii="Arial" w:cs="Arial" w:eastAsia="Arial" w:hAnsi="Arial"/>
                <w:sz w:val="11"/>
                <w:szCs w:val="11"/>
                <w:color w:val="auto"/>
              </w:rPr>
              <w:t>Purchases of fixed assets and intangibles not yet settled</w:t>
            </w:r>
          </w:p>
        </w:tc>
        <w:tc>
          <w:tcPr>
            <w:tcW w:w="10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0.8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184"/>
        </w:trPr>
        <w:tc>
          <w:tcPr>
            <w:tcW w:w="65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Purchases of rental product not yet settled</w:t>
            </w:r>
          </w:p>
        </w:tc>
        <w:tc>
          <w:tcPr>
            <w:tcW w:w="10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72"/>
        </w:trPr>
        <w:tc>
          <w:tcPr>
            <w:tcW w:w="6520" w:type="dxa"/>
            <w:vAlign w:val="bottom"/>
          </w:tcPr>
          <w:p>
            <w:pPr>
              <w:ind w:left="140"/>
              <w:spacing w:after="0"/>
              <w:rPr>
                <w:sz w:val="20"/>
                <w:szCs w:val="20"/>
                <w:color w:val="auto"/>
              </w:rPr>
            </w:pPr>
            <w:r>
              <w:rPr>
                <w:rFonts w:ascii="Arial" w:cs="Arial" w:eastAsia="Arial" w:hAnsi="Arial"/>
                <w:sz w:val="11"/>
                <w:szCs w:val="11"/>
                <w:color w:val="auto"/>
              </w:rPr>
              <w:t>Reconciliation of loss on asset impairment:</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Accrued expense related to the loss on asset impairment</w:t>
            </w:r>
          </w:p>
        </w:tc>
        <w:tc>
          <w:tcPr>
            <w:tcW w:w="1020" w:type="dxa"/>
            <w:vAlign w:val="bottom"/>
            <w:shd w:val="clear" w:color="auto" w:fill="CCEEFF"/>
          </w:tcPr>
          <w:p>
            <w:pPr>
              <w:jc w:val="right"/>
              <w:ind w:right="88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5" w:name="page96"/>
    <w:bookmarkEnd w:id="95"/>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31" w:lineRule="exact"/>
        <w:rPr>
          <w:sz w:val="20"/>
          <w:szCs w:val="20"/>
          <w:color w:val="auto"/>
        </w:rPr>
      </w:pPr>
    </w:p>
    <w:p>
      <w:pPr>
        <w:ind w:left="380" w:hanging="375"/>
        <w:spacing w:after="0"/>
        <w:tabs>
          <w:tab w:leader="none" w:pos="380" w:val="left"/>
        </w:tabs>
        <w:numPr>
          <w:ilvl w:val="0"/>
          <w:numId w:val="59"/>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Business</w:t>
      </w:r>
    </w:p>
    <w:p>
      <w:pPr>
        <w:spacing w:after="0" w:line="93" w:lineRule="exact"/>
        <w:rPr>
          <w:rFonts w:ascii="Arial" w:cs="Arial" w:eastAsia="Arial" w:hAnsi="Arial"/>
          <w:sz w:val="14"/>
          <w:szCs w:val="14"/>
          <w:b w:val="1"/>
          <w:bCs w:val="1"/>
          <w:i w:val="1"/>
          <w:iCs w:val="1"/>
          <w:color w:val="auto"/>
        </w:rPr>
      </w:pPr>
    </w:p>
    <w:p>
      <w:pPr>
        <w:ind w:left="380"/>
        <w:spacing w:after="0"/>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Description of Business</w:t>
      </w:r>
    </w:p>
    <w:p>
      <w:pPr>
        <w:spacing w:after="0" w:line="93" w:lineRule="exact"/>
        <w:rPr>
          <w:rFonts w:ascii="Arial" w:cs="Arial" w:eastAsia="Arial" w:hAnsi="Arial"/>
          <w:sz w:val="14"/>
          <w:szCs w:val="14"/>
          <w:b w:val="1"/>
          <w:bCs w:val="1"/>
          <w:i w:val="1"/>
          <w:iCs w:val="1"/>
          <w:color w:val="auto"/>
        </w:rPr>
      </w:pPr>
    </w:p>
    <w:p>
      <w:pPr>
        <w:ind w:left="380" w:right="40"/>
        <w:spacing w:after="0" w:line="262" w:lineRule="auto"/>
        <w:rPr>
          <w:rFonts w:ascii="Arial" w:cs="Arial" w:eastAsia="Arial" w:hAnsi="Arial"/>
          <w:sz w:val="14"/>
          <w:szCs w:val="14"/>
          <w:b w:val="1"/>
          <w:bCs w:val="1"/>
          <w:i w:val="1"/>
          <w:iCs w:val="1"/>
          <w:color w:val="auto"/>
        </w:rPr>
      </w:pPr>
      <w:r>
        <w:rPr>
          <w:rFonts w:ascii="Arial" w:cs="Arial" w:eastAsia="Arial" w:hAnsi="Arial"/>
          <w:sz w:val="14"/>
          <w:szCs w:val="14"/>
          <w:color w:val="auto"/>
        </w:rPr>
        <w:t>Rent the Runway, Inc.’s (the “Company”) mission is to power women to feel their best every day. Launched in November 2009, the Company has built the world’s first and largest shared designer closet with tens of thousands of styles by hundreds of brand partners. The Company gives customers access to its “unlimited closet” through its subscription offering (“Subscription”) or the ability to rent a-la-carte through its reserve offering (“Reserve”). The Company’s corporate headquarters is located in Brooklyn, New York and the operational facilities are located in Secaucus, New Jersey, and Arlington, Texas. Its wholly-owned subsidiary, Rent the Runway Limited (the “Subsidiary”), is located in Galway, Ireland, and is focused on software development and support activities.</w:t>
      </w:r>
    </w:p>
    <w:p>
      <w:pPr>
        <w:spacing w:after="0" w:line="139" w:lineRule="exact"/>
        <w:rPr>
          <w:rFonts w:ascii="Arial" w:cs="Arial" w:eastAsia="Arial" w:hAnsi="Arial"/>
          <w:sz w:val="14"/>
          <w:szCs w:val="14"/>
          <w:b w:val="1"/>
          <w:bCs w:val="1"/>
          <w:i w:val="1"/>
          <w:iCs w:val="1"/>
          <w:color w:val="auto"/>
        </w:rPr>
      </w:pPr>
    </w:p>
    <w:p>
      <w:pPr>
        <w:ind w:left="380" w:right="80"/>
        <w:spacing w:after="0" w:line="290" w:lineRule="auto"/>
        <w:rPr>
          <w:rFonts w:ascii="Arial" w:cs="Arial" w:eastAsia="Arial" w:hAnsi="Arial"/>
          <w:sz w:val="14"/>
          <w:szCs w:val="14"/>
          <w:b w:val="1"/>
          <w:bCs w:val="1"/>
          <w:i w:val="1"/>
          <w:iCs w:val="1"/>
          <w:color w:val="auto"/>
        </w:rPr>
      </w:pPr>
      <w:r>
        <w:rPr>
          <w:rFonts w:ascii="Arial" w:cs="Arial" w:eastAsia="Arial" w:hAnsi="Arial"/>
          <w:sz w:val="14"/>
          <w:szCs w:val="14"/>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205" w:lineRule="exact"/>
        <w:rPr>
          <w:rFonts w:ascii="Arial" w:cs="Arial" w:eastAsia="Arial" w:hAnsi="Arial"/>
          <w:sz w:val="14"/>
          <w:szCs w:val="14"/>
          <w:b w:val="1"/>
          <w:bCs w:val="1"/>
          <w:i w:val="1"/>
          <w:iCs w:val="1"/>
          <w:color w:val="auto"/>
        </w:rPr>
      </w:pPr>
    </w:p>
    <w:p>
      <w:pPr>
        <w:ind w:left="380" w:right="7940" w:hanging="375"/>
        <w:spacing w:after="0" w:line="379" w:lineRule="auto"/>
        <w:tabs>
          <w:tab w:leader="none" w:pos="371"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w:t>
      </w:r>
    </w:p>
    <w:p>
      <w:pPr>
        <w:ind w:left="380" w:right="44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consolidated financial statements include the accounts of the Company and its subsidiary. All intercompany accounts and transactions have been eliminated in consolidation. The Company’s consolidated financial statements were prepared in accordance with generally accepted accounting principles in the United States (“U.S. GAAP”). Certain amounts in the financial statements have been reclassified to conform to the current presentation.</w:t>
      </w:r>
    </w:p>
    <w:p>
      <w:pPr>
        <w:spacing w:after="0" w:line="239"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Fiscal Year</w:t>
      </w:r>
    </w:p>
    <w:p>
      <w:pPr>
        <w:spacing w:after="0" w:line="93" w:lineRule="exact"/>
        <w:rPr>
          <w:rFonts w:ascii="Arial" w:cs="Arial" w:eastAsia="Arial" w:hAnsi="Arial"/>
          <w:sz w:val="14"/>
          <w:szCs w:val="14"/>
          <w:b w:val="1"/>
          <w:bCs w:val="1"/>
          <w:color w:val="auto"/>
        </w:rPr>
      </w:pPr>
    </w:p>
    <w:p>
      <w:pPr>
        <w:ind w:left="380" w:right="16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 operates on a fiscal calendar ending January 31. All references to fiscal year 2020 reflect the results of the 12-month period ending January 31, 2021. All references to fiscal year 2021 reflect the results of the 12-month period ending January 31, 2022. All references to fiscal year 2022 reflect the results of the 12-month period ending January 31, 2023. All references to fiscal year 2023 reflect the results of the 12-month period ending January 31, 2024.</w:t>
      </w:r>
    </w:p>
    <w:p>
      <w:pPr>
        <w:spacing w:after="0" w:line="218"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Segment Information</w:t>
      </w:r>
    </w:p>
    <w:p>
      <w:pPr>
        <w:spacing w:after="0" w:line="93" w:lineRule="exact"/>
        <w:rPr>
          <w:rFonts w:ascii="Arial" w:cs="Arial" w:eastAsia="Arial" w:hAnsi="Arial"/>
          <w:sz w:val="14"/>
          <w:szCs w:val="14"/>
          <w:b w:val="1"/>
          <w:bCs w:val="1"/>
          <w:color w:val="auto"/>
        </w:rPr>
      </w:pPr>
    </w:p>
    <w:p>
      <w:pPr>
        <w:ind w:left="38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224"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Initial Public Offering</w:t>
      </w:r>
    </w:p>
    <w:p>
      <w:pPr>
        <w:spacing w:after="0" w:line="93" w:lineRule="exact"/>
        <w:rPr>
          <w:rFonts w:ascii="Arial" w:cs="Arial" w:eastAsia="Arial" w:hAnsi="Arial"/>
          <w:sz w:val="14"/>
          <w:szCs w:val="14"/>
          <w:b w:val="1"/>
          <w:bCs w:val="1"/>
          <w:color w:val="auto"/>
        </w:rPr>
      </w:pPr>
    </w:p>
    <w:p>
      <w:pPr>
        <w:ind w:left="380" w:right="6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On October 27, 2021, the Company completed its initial public offering (“IPO”) and the Company’s Class A common stock began public trading on the Nasdaq Stock Market LLC under the symbol “RENT”. In connection with the IPO, the Company issued and sold 17,000,000 shares of its Class A common stock at a public offering price of $21.00 per share. The Company received proceeds of $327.3 million from the IPO which are net of underwriting discounts of $24.1 million and offering costs paid by the Company of $5.6 million. Offering costs, including legal, accounting, printing and other costs directly related to the IPO have been recorded in Additional paid-in capital against the proceeds from the IPO on the Company’s consolidated balance sheet.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6" w:name="page97"/>
    <w:bookmarkEnd w:id="96"/>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right="360"/>
        <w:spacing w:after="0" w:line="290" w:lineRule="auto"/>
        <w:rPr>
          <w:sz w:val="20"/>
          <w:szCs w:val="20"/>
          <w:color w:val="auto"/>
        </w:rPr>
      </w:pPr>
      <w:r>
        <w:rPr>
          <w:rFonts w:ascii="Arial" w:cs="Arial" w:eastAsia="Arial" w:hAnsi="Arial"/>
          <w:sz w:val="14"/>
          <w:szCs w:val="14"/>
          <w:color w:val="auto"/>
        </w:rPr>
        <w:t>At the closing of the IPO, the Company’s then outstanding redeemable preferred stock converted into 32,575,462 shares of the Company’s Class A common stock. The carrying value of the redeemable preferred stock of $409.3 million was reclassified to common stock and additional paid-in-capital.</w:t>
      </w:r>
    </w:p>
    <w:p>
      <w:pPr>
        <w:spacing w:after="0" w:line="141" w:lineRule="exact"/>
        <w:rPr>
          <w:sz w:val="20"/>
          <w:szCs w:val="20"/>
          <w:color w:val="auto"/>
        </w:rPr>
      </w:pPr>
    </w:p>
    <w:p>
      <w:pPr>
        <w:jc w:val="both"/>
        <w:ind w:left="380" w:right="40"/>
        <w:spacing w:after="0" w:line="271" w:lineRule="auto"/>
        <w:rPr>
          <w:sz w:val="20"/>
          <w:szCs w:val="20"/>
          <w:color w:val="auto"/>
        </w:rPr>
      </w:pPr>
      <w:r>
        <w:rPr>
          <w:rFonts w:ascii="Arial" w:cs="Arial" w:eastAsia="Arial" w:hAnsi="Arial"/>
          <w:sz w:val="14"/>
          <w:szCs w:val="14"/>
          <w:color w:val="auto"/>
        </w:rPr>
        <w:t>In connection with the effectiveness of the Company’s IPO registration statement on Form S-1 (the “registration statement”), the Company recognized $14.4 million in share-based compensation expense for (i) certain restricted stock units (“RSUs”) that contain both service-based and liquidity-based vesting conditions that were satisfied upon the effectiveness of the registration statement and (ii) the fully vested portion of certain RSU awards that were granted upon the effectiveness of the IPO.</w:t>
      </w:r>
    </w:p>
    <w:p>
      <w:pPr>
        <w:spacing w:after="0" w:line="155" w:lineRule="exact"/>
        <w:rPr>
          <w:sz w:val="20"/>
          <w:szCs w:val="20"/>
          <w:color w:val="auto"/>
        </w:rPr>
      </w:pPr>
    </w:p>
    <w:p>
      <w:pPr>
        <w:ind w:left="380" w:right="120"/>
        <w:spacing w:after="0" w:line="263" w:lineRule="auto"/>
        <w:rPr>
          <w:sz w:val="20"/>
          <w:szCs w:val="20"/>
          <w:color w:val="auto"/>
        </w:rPr>
      </w:pPr>
      <w:r>
        <w:rPr>
          <w:rFonts w:ascii="Arial" w:cs="Arial" w:eastAsia="Arial" w:hAnsi="Arial"/>
          <w:sz w:val="14"/>
          <w:szCs w:val="14"/>
          <w:color w:val="auto"/>
        </w:rPr>
        <w:t>In connection with the IPO, the Company adopted an amended and restated certificate of incorporation (the “amended charter”) and adopted amended and restated bylaws (the “amended bylaws”). The amended charter authorized capital stock consisting of:</w:t>
      </w:r>
    </w:p>
    <w:p>
      <w:pPr>
        <w:spacing w:after="0" w:line="1" w:lineRule="exact"/>
        <w:rPr>
          <w:sz w:val="20"/>
          <w:szCs w:val="20"/>
          <w:color w:val="auto"/>
        </w:rPr>
      </w:pPr>
    </w:p>
    <w:p>
      <w:pPr>
        <w:ind w:left="900" w:hanging="259"/>
        <w:spacing w:after="0"/>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300,000,000 shares of Class A common stock, par value $0.001 per share;</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50,000,000 shares of Class B common stock, par value $0.001 per share; and</w:t>
      </w:r>
    </w:p>
    <w:p>
      <w:pPr>
        <w:spacing w:after="0" w:line="8" w:lineRule="exact"/>
        <w:rPr>
          <w:rFonts w:ascii="Arial" w:cs="Arial" w:eastAsia="Arial" w:hAnsi="Arial"/>
          <w:sz w:val="14"/>
          <w:szCs w:val="14"/>
          <w:color w:val="auto"/>
        </w:rPr>
      </w:pPr>
    </w:p>
    <w:p>
      <w:pPr>
        <w:ind w:left="900" w:hanging="259"/>
        <w:spacing w:after="0"/>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10,000,000 shares of preferred stock, par value $0.001 per share.</w:t>
      </w:r>
    </w:p>
    <w:p>
      <w:pPr>
        <w:spacing w:after="0" w:line="186"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Holders of Class A common stock are entitled to one vote per share, and the holders of Class B common stock are entitled to twenty votes per share. Immediately after the effectiveness of the amended charter, 2,932,739 shares of Class A common stock held by the Company’s co-founders were exchanged for an equivalent number of shares of Class B common stock. In addition, the terms of certain outstanding equity awards held by the Company’s co-founders were modified to provide that such awards are exercisable or settle into shares of Class B common stock.</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Use of Estimates</w:t>
      </w:r>
    </w:p>
    <w:p>
      <w:pPr>
        <w:spacing w:after="0" w:line="94" w:lineRule="exact"/>
        <w:rPr>
          <w:sz w:val="20"/>
          <w:szCs w:val="20"/>
          <w:color w:val="auto"/>
        </w:rPr>
      </w:pPr>
    </w:p>
    <w:p>
      <w:pPr>
        <w:ind w:left="380" w:right="120"/>
        <w:spacing w:after="0" w:line="262"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(“IBR”) to determine lease liabilities, and the valuation of share-based compensation and warrants.</w:t>
      </w:r>
    </w:p>
    <w:p>
      <w:pPr>
        <w:spacing w:after="0" w:line="140" w:lineRule="exact"/>
        <w:rPr>
          <w:sz w:val="20"/>
          <w:szCs w:val="20"/>
          <w:color w:val="auto"/>
        </w:rPr>
      </w:pPr>
    </w:p>
    <w:p>
      <w:pPr>
        <w:ind w:left="380" w:right="260"/>
        <w:spacing w:after="0" w:line="271" w:lineRule="auto"/>
        <w:rPr>
          <w:sz w:val="20"/>
          <w:szCs w:val="20"/>
          <w:color w:val="auto"/>
        </w:rPr>
      </w:pPr>
      <w:r>
        <w:rPr>
          <w:rFonts w:ascii="Arial" w:cs="Arial" w:eastAsia="Arial" w:hAnsi="Arial"/>
          <w:sz w:val="14"/>
          <w:szCs w:val="14"/>
          <w:color w:val="auto"/>
        </w:rPr>
        <w:t>As of January 31, 2023,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Concentrations of Credit Risks</w:t>
      </w:r>
    </w:p>
    <w:p>
      <w:pPr>
        <w:spacing w:after="0" w:line="94" w:lineRule="exact"/>
        <w:rPr>
          <w:sz w:val="20"/>
          <w:szCs w:val="20"/>
          <w:color w:val="auto"/>
        </w:rPr>
      </w:pPr>
    </w:p>
    <w:p>
      <w:pPr>
        <w:ind w:left="380" w:right="420"/>
        <w:spacing w:after="0" w:line="290"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 single customer accounted for more than 5% of the Company’s revenue during the years ended January 31, 2023, 2022, and 2021.</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97" w:name="page98"/>
    <w:bookmarkEnd w:id="97"/>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 Measurements and Financial Instruments</w:t>
      </w:r>
    </w:p>
    <w:p>
      <w:pPr>
        <w:spacing w:after="0" w:line="94" w:lineRule="exact"/>
        <w:rPr>
          <w:sz w:val="20"/>
          <w:szCs w:val="20"/>
          <w:color w:val="auto"/>
        </w:rPr>
      </w:pPr>
    </w:p>
    <w:p>
      <w:pPr>
        <w:jc w:val="both"/>
        <w:ind w:left="380" w:right="180"/>
        <w:spacing w:after="0" w:line="271" w:lineRule="auto"/>
        <w:rPr>
          <w:sz w:val="20"/>
          <w:szCs w:val="20"/>
          <w:color w:val="auto"/>
        </w:rPr>
      </w:pPr>
      <w:r>
        <w:rPr>
          <w:rFonts w:ascii="Arial" w:cs="Arial" w:eastAsia="Arial" w:hAnsi="Arial"/>
          <w:sz w:val="14"/>
          <w:szCs w:val="14"/>
          <w:color w:val="auto"/>
        </w:rPr>
        <w:t>Fair value accounting is applied for all financial assets and liabilities and non-financial assets and liabilities that are recognized or disclosed at fair value in the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34" w:lineRule="exact"/>
        <w:rPr>
          <w:sz w:val="20"/>
          <w:szCs w:val="20"/>
          <w:color w:val="auto"/>
        </w:rPr>
      </w:pPr>
    </w:p>
    <w:p>
      <w:pPr>
        <w:ind w:left="380" w:right="60"/>
        <w:spacing w:after="0" w:line="271" w:lineRule="auto"/>
        <w:rPr>
          <w:sz w:val="20"/>
          <w:szCs w:val="20"/>
          <w:color w:val="auto"/>
        </w:rPr>
      </w:pPr>
      <w:r>
        <w:rPr>
          <w:rFonts w:ascii="Arial" w:cs="Arial" w:eastAsia="Arial" w:hAnsi="Arial"/>
          <w:sz w:val="14"/>
          <w:szCs w:val="14"/>
          <w:color w:val="auto"/>
        </w:rPr>
        <w:t>Assets and liabilities recorded at fair value in the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34"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1:</w:t>
        <w:tab/>
        <w:t>Observable inputs, such as quoted prices in active markets for identical assets and liabilities.</w:t>
      </w:r>
    </w:p>
    <w:p>
      <w:pPr>
        <w:spacing w:after="0" w:line="17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2:</w:t>
        <w:tab/>
        <w:t>Inputs other than the quoted prices in active markets that are observable either directly or indirectly.</w:t>
      </w:r>
    </w:p>
    <w:p>
      <w:pPr>
        <w:spacing w:after="0" w:line="17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3:</w:t>
        <w:tab/>
        <w:t>Unobservable inputs, in which there is little or no market data which require the Company to develop its own assumptions.</w:t>
      </w:r>
    </w:p>
    <w:p>
      <w:pPr>
        <w:spacing w:after="0" w:line="179" w:lineRule="exact"/>
        <w:rPr>
          <w:sz w:val="20"/>
          <w:szCs w:val="20"/>
          <w:color w:val="auto"/>
        </w:rPr>
      </w:pPr>
    </w:p>
    <w:p>
      <w:pPr>
        <w:ind w:left="380" w:right="80"/>
        <w:spacing w:after="0" w:line="265" w:lineRule="auto"/>
        <w:rPr>
          <w:sz w:val="20"/>
          <w:szCs w:val="20"/>
          <w:color w:val="auto"/>
        </w:rPr>
      </w:pPr>
      <w:r>
        <w:rPr>
          <w:rFonts w:ascii="Arial" w:cs="Arial" w:eastAsia="Arial" w:hAnsi="Arial"/>
          <w:sz w:val="14"/>
          <w:szCs w:val="14"/>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Cash, Cash Equivalents and Restricted Cash</w:t>
      </w:r>
    </w:p>
    <w:p>
      <w:pPr>
        <w:spacing w:after="0" w:line="200"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The Company considers all highly liquid investments with a maturity of three months or less when purchased to be cash equivalents. Cash and cash equivalents include funds in transit from banks for customer credit card transactions that settle in less than seven days. These funds totaled $3.4 million and $3.5 million as of January 31, 2023 and 2022, respectively.</w:t>
      </w:r>
    </w:p>
    <w:p>
      <w:pPr>
        <w:spacing w:after="0" w:line="155" w:lineRule="exact"/>
        <w:rPr>
          <w:sz w:val="20"/>
          <w:szCs w:val="20"/>
          <w:color w:val="auto"/>
        </w:rPr>
      </w:pPr>
    </w:p>
    <w:p>
      <w:pPr>
        <w:ind w:left="380" w:right="80"/>
        <w:spacing w:after="0" w:line="290" w:lineRule="auto"/>
        <w:rPr>
          <w:sz w:val="20"/>
          <w:szCs w:val="20"/>
          <w:color w:val="auto"/>
        </w:rPr>
      </w:pPr>
      <w:r>
        <w:rPr>
          <w:rFonts w:ascii="Arial" w:cs="Arial" w:eastAsia="Arial" w:hAnsi="Arial"/>
          <w:sz w:val="14"/>
          <w:szCs w:val="14"/>
          <w:color w:val="auto"/>
        </w:rPr>
        <w:t>As of January 31, 2023 and 2022, the Company had $9.1 million and $12.0 million, respectively, of current and noncurrent restricted cash that consisted primarily of letters of credit pledged as security deposits for the headquarters and operational facilities leases.</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Rental Product, Net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considers rental product to be a long-term productive asset and, as such, classifies it as a noncurrent asset on the consolidated balance sheets.</w:t>
      </w:r>
    </w:p>
    <w:p>
      <w:pPr>
        <w:spacing w:after="0" w:line="179" w:lineRule="exact"/>
        <w:rPr>
          <w:sz w:val="20"/>
          <w:szCs w:val="20"/>
          <w:color w:val="auto"/>
        </w:rPr>
      </w:pPr>
    </w:p>
    <w:p>
      <w:pPr>
        <w:ind w:left="380" w:right="80"/>
        <w:spacing w:after="0" w:line="276" w:lineRule="auto"/>
        <w:rPr>
          <w:sz w:val="20"/>
          <w:szCs w:val="20"/>
          <w:color w:val="auto"/>
        </w:rPr>
      </w:pPr>
      <w:r>
        <w:rPr>
          <w:rFonts w:ascii="Arial" w:cs="Arial" w:eastAsia="Arial" w:hAnsi="Arial"/>
          <w:sz w:val="14"/>
          <w:szCs w:val="14"/>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historical trends and projected liquidation proceeds for the assets. The estimated useful lives and salvage values are described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3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500" w:type="dxa"/>
            <w:vAlign w:val="bottom"/>
            <w:gridSpan w:val="2"/>
          </w:tcPr>
          <w:p>
            <w:pPr>
              <w:ind w:left="420"/>
              <w:spacing w:after="0"/>
              <w:rPr>
                <w:sz w:val="20"/>
                <w:szCs w:val="20"/>
                <w:color w:val="auto"/>
              </w:rPr>
            </w:pPr>
            <w:r>
              <w:rPr>
                <w:rFonts w:ascii="Arial" w:cs="Arial" w:eastAsia="Arial" w:hAnsi="Arial"/>
                <w:sz w:val="11"/>
                <w:szCs w:val="11"/>
                <w:b w:val="1"/>
                <w:bCs w:val="1"/>
                <w:color w:val="auto"/>
              </w:rPr>
              <w:t>Useful Life</w:t>
            </w:r>
          </w:p>
        </w:tc>
        <w:tc>
          <w:tcPr>
            <w:tcW w:w="2260" w:type="dxa"/>
            <w:vAlign w:val="bottom"/>
            <w:gridSpan w:val="2"/>
          </w:tcPr>
          <w:p>
            <w:pPr>
              <w:ind w:left="400"/>
              <w:spacing w:after="0"/>
              <w:rPr>
                <w:sz w:val="20"/>
                <w:szCs w:val="20"/>
                <w:color w:val="auto"/>
              </w:rPr>
            </w:pPr>
            <w:r>
              <w:rPr>
                <w:rFonts w:ascii="Arial" w:cs="Arial" w:eastAsia="Arial" w:hAnsi="Arial"/>
                <w:sz w:val="11"/>
                <w:szCs w:val="11"/>
                <w:b w:val="1"/>
                <w:bCs w:val="1"/>
                <w:color w:val="auto"/>
              </w:rPr>
              <w:t>Salvage Value</w:t>
            </w:r>
          </w:p>
        </w:tc>
      </w:tr>
      <w:tr>
        <w:trPr>
          <w:trHeight w:val="167"/>
        </w:trPr>
        <w:tc>
          <w:tcPr>
            <w:tcW w:w="3360" w:type="dxa"/>
            <w:vAlign w:val="bottom"/>
          </w:tcPr>
          <w:p>
            <w:pPr>
              <w:ind w:left="400"/>
              <w:spacing w:after="0"/>
              <w:rPr>
                <w:sz w:val="20"/>
                <w:szCs w:val="20"/>
                <w:color w:val="auto"/>
              </w:rPr>
            </w:pPr>
            <w:r>
              <w:rPr>
                <w:rFonts w:ascii="Arial" w:cs="Arial" w:eastAsia="Arial" w:hAnsi="Arial"/>
                <w:sz w:val="14"/>
                <w:szCs w:val="14"/>
                <w:color w:val="auto"/>
              </w:rPr>
              <w:t>Apparel</w:t>
            </w:r>
          </w:p>
        </w:tc>
        <w:tc>
          <w:tcPr>
            <w:tcW w:w="4160" w:type="dxa"/>
            <w:vAlign w:val="bottom"/>
          </w:tcPr>
          <w:p>
            <w:pPr>
              <w:spacing w:after="0"/>
              <w:rPr>
                <w:sz w:val="14"/>
                <w:szCs w:val="14"/>
                <w:color w:val="auto"/>
              </w:rPr>
            </w:pPr>
          </w:p>
        </w:tc>
        <w:tc>
          <w:tcPr>
            <w:tcW w:w="1420" w:type="dxa"/>
            <w:vAlign w:val="bottom"/>
            <w:tcBorders>
              <w:top w:val="single" w:sz="8" w:color="auto"/>
            </w:tcBorders>
          </w:tcPr>
          <w:p>
            <w:pPr>
              <w:ind w:left="940"/>
              <w:spacing w:after="0"/>
              <w:rPr>
                <w:sz w:val="20"/>
                <w:szCs w:val="20"/>
                <w:color w:val="auto"/>
              </w:rPr>
            </w:pPr>
            <w:r>
              <w:rPr>
                <w:rFonts w:ascii="Arial" w:cs="Arial" w:eastAsia="Arial" w:hAnsi="Arial"/>
                <w:sz w:val="14"/>
                <w:szCs w:val="14"/>
                <w:color w:val="auto"/>
              </w:rPr>
              <w:t>3 years</w:t>
            </w:r>
          </w:p>
        </w:tc>
        <w:tc>
          <w:tcPr>
            <w:tcW w:w="80" w:type="dxa"/>
            <w:vAlign w:val="bottom"/>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20 %</w:t>
            </w:r>
          </w:p>
        </w:tc>
        <w:tc>
          <w:tcPr>
            <w:tcW w:w="700" w:type="dxa"/>
            <w:vAlign w:val="bottom"/>
          </w:tcPr>
          <w:p>
            <w:pPr>
              <w:spacing w:after="0"/>
              <w:rPr>
                <w:sz w:val="14"/>
                <w:szCs w:val="14"/>
                <w:color w:val="auto"/>
              </w:rPr>
            </w:pPr>
          </w:p>
        </w:tc>
      </w:tr>
      <w:tr>
        <w:trPr>
          <w:trHeight w:val="186"/>
        </w:trPr>
        <w:tc>
          <w:tcPr>
            <w:tcW w:w="3360" w:type="dxa"/>
            <w:vAlign w:val="bottom"/>
          </w:tcPr>
          <w:p>
            <w:pPr>
              <w:ind w:left="400"/>
              <w:spacing w:after="0"/>
              <w:rPr>
                <w:sz w:val="20"/>
                <w:szCs w:val="20"/>
                <w:color w:val="auto"/>
              </w:rPr>
            </w:pPr>
            <w:r>
              <w:rPr>
                <w:rFonts w:ascii="Arial" w:cs="Arial" w:eastAsia="Arial" w:hAnsi="Arial"/>
                <w:sz w:val="14"/>
                <w:szCs w:val="14"/>
                <w:color w:val="auto"/>
              </w:rPr>
              <w:t>Accessories</w:t>
            </w:r>
          </w:p>
        </w:tc>
        <w:tc>
          <w:tcPr>
            <w:tcW w:w="4160" w:type="dxa"/>
            <w:vAlign w:val="bottom"/>
          </w:tcPr>
          <w:p>
            <w:pPr>
              <w:spacing w:after="0"/>
              <w:rPr>
                <w:sz w:val="16"/>
                <w:szCs w:val="16"/>
                <w:color w:val="auto"/>
              </w:rPr>
            </w:pPr>
          </w:p>
        </w:tc>
        <w:tc>
          <w:tcPr>
            <w:tcW w:w="1500" w:type="dxa"/>
            <w:vAlign w:val="bottom"/>
            <w:gridSpan w:val="2"/>
          </w:tcPr>
          <w:p>
            <w:pPr>
              <w:ind w:left="940"/>
              <w:spacing w:after="0"/>
              <w:rPr>
                <w:sz w:val="20"/>
                <w:szCs w:val="20"/>
                <w:color w:val="auto"/>
              </w:rPr>
            </w:pPr>
            <w:r>
              <w:rPr>
                <w:rFonts w:ascii="Arial" w:cs="Arial" w:eastAsia="Arial" w:hAnsi="Arial"/>
                <w:sz w:val="14"/>
                <w:szCs w:val="14"/>
                <w:color w:val="auto"/>
              </w:rPr>
              <w:t>2 years</w:t>
            </w:r>
          </w:p>
        </w:tc>
        <w:tc>
          <w:tcPr>
            <w:tcW w:w="1560" w:type="dxa"/>
            <w:vAlign w:val="bottom"/>
          </w:tcPr>
          <w:p>
            <w:pPr>
              <w:jc w:val="right"/>
              <w:spacing w:after="0"/>
              <w:rPr>
                <w:sz w:val="20"/>
                <w:szCs w:val="20"/>
                <w:color w:val="auto"/>
              </w:rPr>
            </w:pPr>
            <w:r>
              <w:rPr>
                <w:rFonts w:ascii="Arial" w:cs="Arial" w:eastAsia="Arial" w:hAnsi="Arial"/>
                <w:sz w:val="14"/>
                <w:szCs w:val="14"/>
                <w:color w:val="auto"/>
              </w:rPr>
              <w:t>30 %</w:t>
            </w:r>
          </w:p>
        </w:tc>
        <w:tc>
          <w:tcPr>
            <w:tcW w:w="700" w:type="dxa"/>
            <w:vAlign w:val="bottom"/>
          </w:tcPr>
          <w:p>
            <w:pPr>
              <w:spacing w:after="0"/>
              <w:rPr>
                <w:sz w:val="16"/>
                <w:szCs w:val="16"/>
                <w:color w:val="auto"/>
              </w:rPr>
            </w:pPr>
          </w:p>
        </w:tc>
      </w:tr>
      <w:tr>
        <w:trPr>
          <w:trHeight w:val="796"/>
        </w:trPr>
        <w:tc>
          <w:tcPr>
            <w:tcW w:w="3360" w:type="dxa"/>
            <w:vAlign w:val="bottom"/>
          </w:tcPr>
          <w:p>
            <w:pPr>
              <w:spacing w:after="0"/>
              <w:rPr>
                <w:sz w:val="24"/>
                <w:szCs w:val="24"/>
                <w:color w:val="auto"/>
              </w:rPr>
            </w:pPr>
          </w:p>
        </w:tc>
        <w:tc>
          <w:tcPr>
            <w:tcW w:w="4160" w:type="dxa"/>
            <w:vAlign w:val="bottom"/>
          </w:tcPr>
          <w:p>
            <w:pPr>
              <w:jc w:val="right"/>
              <w:ind w:right="1729"/>
              <w:spacing w:after="0"/>
              <w:rPr>
                <w:sz w:val="20"/>
                <w:szCs w:val="20"/>
                <w:color w:val="auto"/>
              </w:rPr>
            </w:pPr>
            <w:r>
              <w:rPr>
                <w:rFonts w:ascii="Arial" w:cs="Arial" w:eastAsia="Arial" w:hAnsi="Arial"/>
                <w:sz w:val="14"/>
                <w:szCs w:val="14"/>
                <w:color w:val="auto"/>
              </w:rPr>
              <w:t>95</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85"/>
        </w:trPr>
        <w:tc>
          <w:tcPr>
            <w:tcW w:w="3360" w:type="dxa"/>
            <w:vAlign w:val="bottom"/>
            <w:tcBorders>
              <w:bottom w:val="single" w:sz="8" w:color="9A9A9A"/>
            </w:tcBorders>
          </w:tcPr>
          <w:p>
            <w:pPr>
              <w:spacing w:after="0"/>
              <w:rPr>
                <w:sz w:val="7"/>
                <w:szCs w:val="7"/>
                <w:color w:val="auto"/>
              </w:rPr>
            </w:pPr>
          </w:p>
        </w:tc>
        <w:tc>
          <w:tcPr>
            <w:tcW w:w="41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8" w:name="page99"/>
    <w:bookmarkEnd w:id="98"/>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accordance with its policy, the Company reviews the estimated useful lives and salvage values of rental product on an ongoing basis.</w:t>
      </w:r>
    </w:p>
    <w:p>
      <w:pPr>
        <w:spacing w:after="0" w:line="179" w:lineRule="exact"/>
        <w:rPr>
          <w:sz w:val="20"/>
          <w:szCs w:val="20"/>
          <w:color w:val="auto"/>
        </w:rPr>
      </w:pPr>
    </w:p>
    <w:p>
      <w:pPr>
        <w:ind w:left="380" w:right="120"/>
        <w:spacing w:after="0" w:line="265" w:lineRule="auto"/>
        <w:rPr>
          <w:sz w:val="20"/>
          <w:szCs w:val="20"/>
          <w:color w:val="auto"/>
        </w:rPr>
      </w:pPr>
      <w:r>
        <w:rPr>
          <w:rFonts w:ascii="Arial" w:cs="Arial" w:eastAsia="Arial" w:hAnsi="Arial"/>
          <w:sz w:val="14"/>
          <w:szCs w:val="14"/>
          <w:color w:val="auto"/>
        </w:rPr>
        <w:t>The Company offers its customers an opportunity to purchase items prior to the end of their useful life. In such instances, the Company considers the disposal of rental product to be a sale and, as such, records the proceeds as other revenue and the net book value of the items at the time of sale as rental product depreciation in the consolidated statements of operations within rental product depreciation and revenue share. Write-offs for losses on lost, damaged, and unreturned apparel and accessories are also recorded within rental product depreciation and revenue share.</w:t>
      </w:r>
    </w:p>
    <w:p>
      <w:pPr>
        <w:spacing w:after="0" w:line="159" w:lineRule="exact"/>
        <w:rPr>
          <w:sz w:val="20"/>
          <w:szCs w:val="20"/>
          <w:color w:val="auto"/>
        </w:rPr>
      </w:pPr>
    </w:p>
    <w:p>
      <w:pPr>
        <w:ind w:left="380" w:right="20"/>
        <w:spacing w:after="0" w:line="265" w:lineRule="auto"/>
        <w:rPr>
          <w:sz w:val="20"/>
          <w:szCs w:val="20"/>
          <w:color w:val="auto"/>
        </w:rPr>
      </w:pPr>
      <w:r>
        <w:rPr>
          <w:rFonts w:ascii="Arial" w:cs="Arial" w:eastAsia="Arial" w:hAnsi="Arial"/>
          <w:sz w:val="14"/>
          <w:szCs w:val="14"/>
          <w:color w:val="auto"/>
        </w:rPr>
        <w:t>Once it is no longer considered rentable, rental product in a sellable condition is classified as held for sale and written down to salvage value. The value of rental product held for sale as of January 31, 2023 and 2022 was $3.0 million and $2.1 million, respectively. The accelerated depreciation related to rental product held for sale was $6.9 million, $3.9 million and $7.7 million for the years ended January 31, 2023, 2022, and 2021, respectively. The accelerated depreciation is presented on the consolidated statements of operations within rental product depreciation and revenue share.</w:t>
      </w:r>
    </w:p>
    <w:p>
      <w:pPr>
        <w:spacing w:after="0" w:line="159" w:lineRule="exact"/>
        <w:rPr>
          <w:sz w:val="20"/>
          <w:szCs w:val="20"/>
          <w:color w:val="auto"/>
        </w:rPr>
      </w:pPr>
    </w:p>
    <w:p>
      <w:pPr>
        <w:ind w:left="380" w:right="100"/>
        <w:spacing w:after="0" w:line="271" w:lineRule="auto"/>
        <w:rPr>
          <w:sz w:val="20"/>
          <w:szCs w:val="20"/>
          <w:color w:val="auto"/>
        </w:rPr>
      </w:pPr>
      <w:r>
        <w:rPr>
          <w:rFonts w:ascii="Arial" w:cs="Arial" w:eastAsia="Arial" w:hAnsi="Arial"/>
          <w:sz w:val="14"/>
          <w:szCs w:val="14"/>
          <w:color w:val="auto"/>
        </w:rPr>
        <w:t>When rental product is liquidated, the Company records the gain or loss calculated as proceeds, net of the remaining salvage value and costs to sell, within general and administrative expenses on the consolidated statement of operations. The gain or loss from the liquidation of rental product is included as an adjustment to reconcile net loss to net cash used by operating activities in the consolidated statements of cash flows.</w:t>
      </w:r>
    </w:p>
    <w:p>
      <w:pPr>
        <w:spacing w:after="0" w:line="155"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purchases of rental product as well as the proceeds from the sale and liquidation of rental product are classified as cash flows from investing activities on the consolidated statements of cash flows because the predominant activity of the rental product purchased is to generate rental revenue and such classification is consistent with the classification of long-term asset activity. Proceeds from the liquidation of rental product, net of costs to sell, were $8.8 million, $5.7 million and $2.4 million for the years ended January 31, 2023, 2022 and 2021, respectively. Proceeds from the sale of rental product were $17.9 million, $12.9 million and $17.9 million for the years ended January 31, 2023, 2022, and 2021, respectively.</w:t>
      </w:r>
    </w:p>
    <w:p>
      <w:pPr>
        <w:spacing w:after="0" w:line="161" w:lineRule="exact"/>
        <w:rPr>
          <w:sz w:val="20"/>
          <w:szCs w:val="20"/>
          <w:color w:val="auto"/>
        </w:rPr>
      </w:pPr>
    </w:p>
    <w:p>
      <w:pPr>
        <w:ind w:left="380" w:right="40"/>
        <w:spacing w:after="0" w:line="265" w:lineRule="auto"/>
        <w:rPr>
          <w:sz w:val="20"/>
          <w:szCs w:val="20"/>
          <w:color w:val="auto"/>
        </w:rPr>
      </w:pPr>
      <w:r>
        <w:rPr>
          <w:rFonts w:ascii="Arial" w:cs="Arial" w:eastAsia="Arial" w:hAnsi="Arial"/>
          <w:sz w:val="14"/>
          <w:szCs w:val="14"/>
          <w:color w:val="auto"/>
        </w:rPr>
        <w:t>The Company mitigates residual value risk of its rental product primarily by utilizing specific cleaning, repair and restoration methods relying on its years of process know-how to maintain the condition of the rental product over its useful life, and by employing various in-house and third-party liquidation strategies to maximize liquidation value and overall return on rental product. The Company also utilizes its own-developed technology in combination with its customer service department to recover rental items from delinquent customers.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Revenue Recognition</w:t>
      </w:r>
    </w:p>
    <w:p>
      <w:pPr>
        <w:spacing w:after="0" w:line="94" w:lineRule="exact"/>
        <w:rPr>
          <w:sz w:val="20"/>
          <w:szCs w:val="20"/>
          <w:color w:val="auto"/>
        </w:rPr>
      </w:pPr>
    </w:p>
    <w:p>
      <w:pPr>
        <w:ind w:left="380" w:right="40"/>
        <w:spacing w:after="0" w:line="260" w:lineRule="auto"/>
        <w:rPr>
          <w:sz w:val="20"/>
          <w:szCs w:val="20"/>
          <w:color w:val="auto"/>
        </w:rPr>
      </w:pPr>
      <w:r>
        <w:rPr>
          <w:rFonts w:ascii="Arial" w:cs="Arial" w:eastAsia="Arial" w:hAnsi="Arial"/>
          <w:sz w:val="14"/>
          <w:szCs w:val="14"/>
          <w:color w:val="auto"/>
        </w:rPr>
        <w:t>Subscription and a-la-carte rental fees (“Subscription and Reserve rental revenue”) are recognized in accordance with Accounting Standard Update (“ASU”) 2016-02</w:t>
      </w:r>
      <w:r>
        <w:rPr>
          <w:rFonts w:ascii="Arial" w:cs="Arial" w:eastAsia="Arial" w:hAnsi="Arial"/>
          <w:sz w:val="14"/>
          <w:szCs w:val="14"/>
          <w:i w:val="1"/>
          <w:iCs w:val="1"/>
          <w:color w:val="auto"/>
        </w:rPr>
        <w:t>, Leases,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Topic 842 </w:t>
      </w:r>
      <w:r>
        <w:rPr>
          <w:rFonts w:ascii="Arial" w:cs="Arial" w:eastAsia="Arial" w:hAnsi="Arial"/>
          <w:sz w:val="14"/>
          <w:szCs w:val="14"/>
          <w:color w:val="auto"/>
        </w:rPr>
        <w:t>(“ASC 842”). Other revenue, primarily related to the sale of rental product, is recognized under ASU 2014-09,</w:t>
      </w:r>
      <w:r>
        <w:rPr>
          <w:rFonts w:ascii="Arial" w:cs="Arial" w:eastAsia="Arial" w:hAnsi="Arial"/>
          <w:sz w:val="14"/>
          <w:szCs w:val="14"/>
          <w:i w:val="1"/>
          <w:iCs w:val="1"/>
          <w:color w:val="auto"/>
        </w:rPr>
        <w:t xml:space="preserve"> Revenue from Contracts with Customers, Topic 606 </w:t>
      </w:r>
      <w:r>
        <w:rPr>
          <w:rFonts w:ascii="Arial" w:cs="Arial" w:eastAsia="Arial" w:hAnsi="Arial"/>
          <w:sz w:val="14"/>
          <w:szCs w:val="14"/>
          <w:color w:val="auto"/>
        </w:rPr>
        <w:t>(“ASC 606”) at the date of delivery of the product to the customer. Other revenue represented 9%, 9%, and 14% of total revenue for the years ended January 31, 2023,</w:t>
      </w:r>
    </w:p>
    <w:p>
      <w:pPr>
        <w:ind w:left="380"/>
        <w:spacing w:after="0"/>
        <w:rPr>
          <w:sz w:val="20"/>
          <w:szCs w:val="20"/>
          <w:color w:val="auto"/>
        </w:rPr>
      </w:pPr>
      <w:r>
        <w:rPr>
          <w:rFonts w:ascii="Arial" w:cs="Arial" w:eastAsia="Arial" w:hAnsi="Arial"/>
          <w:sz w:val="14"/>
          <w:szCs w:val="14"/>
          <w:color w:val="auto"/>
        </w:rPr>
        <w:t>2022 and 2021, respectively.</w:t>
      </w:r>
    </w:p>
    <w:p>
      <w:pPr>
        <w:spacing w:after="0" w:line="165" w:lineRule="exact"/>
        <w:rPr>
          <w:sz w:val="20"/>
          <w:szCs w:val="20"/>
          <w:color w:val="auto"/>
        </w:rPr>
      </w:pPr>
    </w:p>
    <w:p>
      <w:pPr>
        <w:ind w:left="380" w:right="240"/>
        <w:spacing w:after="0" w:line="271" w:lineRule="auto"/>
        <w:rPr>
          <w:sz w:val="20"/>
          <w:szCs w:val="20"/>
          <w:color w:val="auto"/>
        </w:rPr>
      </w:pPr>
      <w:r>
        <w:rPr>
          <w:rFonts w:ascii="Arial" w:cs="Arial" w:eastAsia="Arial" w:hAnsi="Arial"/>
          <w:sz w:val="14"/>
          <w:szCs w:val="14"/>
          <w:color w:val="auto"/>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9" w:name="page100"/>
    <w:bookmarkEnd w:id="99"/>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Company recognizes a liability at the time a customer credit or a gift card is issued, and revenue is recognized upon redemption of the credit or gift card. The Company’s customer credit liability is presented on the consolidated balance sheets. During the year ended January 31, 2023, $1.9 million of credits included in the customer credit liability as of January 31, 2022 were redeemed. Customer credits and gift cards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credits and gift cards when the Company has any legal obligation to remit such credits to government authorities in relevant jurisdictions.</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Subscription and Reserve Rental Revenue</w:t>
      </w:r>
    </w:p>
    <w:p>
      <w:pPr>
        <w:spacing w:after="0" w:line="92" w:lineRule="exact"/>
        <w:rPr>
          <w:sz w:val="20"/>
          <w:szCs w:val="20"/>
          <w:color w:val="auto"/>
        </w:rPr>
      </w:pPr>
    </w:p>
    <w:p>
      <w:pPr>
        <w:ind w:left="380" w:right="80"/>
        <w:spacing w:after="0" w:line="271" w:lineRule="auto"/>
        <w:rPr>
          <w:sz w:val="20"/>
          <w:szCs w:val="20"/>
          <w:color w:val="auto"/>
        </w:rPr>
      </w:pPr>
      <w:r>
        <w:rPr>
          <w:rFonts w:ascii="Arial" w:cs="Arial" w:eastAsia="Arial" w:hAnsi="Arial"/>
          <w:sz w:val="14"/>
          <w:szCs w:val="14"/>
          <w:color w:val="auto"/>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spacing w:after="0" w:line="134" w:lineRule="exact"/>
        <w:rPr>
          <w:sz w:val="20"/>
          <w:szCs w:val="20"/>
          <w:color w:val="auto"/>
        </w:rPr>
      </w:pPr>
    </w:p>
    <w:p>
      <w:pPr>
        <w:ind w:left="380" w:right="80"/>
        <w:spacing w:after="0" w:line="271" w:lineRule="auto"/>
        <w:rPr>
          <w:sz w:val="20"/>
          <w:szCs w:val="20"/>
          <w:color w:val="auto"/>
        </w:rPr>
      </w:pPr>
      <w:r>
        <w:rPr>
          <w:rFonts w:ascii="Arial" w:cs="Arial" w:eastAsia="Arial" w:hAnsi="Arial"/>
          <w:sz w:val="14"/>
          <w:szCs w:val="14"/>
          <w:color w:val="auto"/>
        </w:rPr>
        <w:t>The Company recognizes fees for a-la-carte rentals ratably over the rental period, which starts with the date of delivery of rental product to the customer. A-la-carte rental orders can be placed up to four months prior to the rental start date and the customer’s payment form is charged upon order confirmation. The Company defers recognizing the fees and any related promotions for a-la-carte rentals until the date of delivery, and then recognizes those fees ratably over the four- or eight-day rental period.</w:t>
      </w:r>
    </w:p>
    <w:p>
      <w:pPr>
        <w:spacing w:after="0" w:line="134" w:lineRule="exact"/>
        <w:rPr>
          <w:sz w:val="20"/>
          <w:szCs w:val="20"/>
          <w:color w:val="auto"/>
        </w:rPr>
      </w:pPr>
    </w:p>
    <w:p>
      <w:pPr>
        <w:jc w:val="both"/>
        <w:ind w:left="380" w:right="220"/>
        <w:spacing w:after="0" w:line="290" w:lineRule="auto"/>
        <w:rPr>
          <w:sz w:val="20"/>
          <w:szCs w:val="20"/>
          <w:color w:val="auto"/>
        </w:rPr>
      </w:pPr>
      <w:r>
        <w:rPr>
          <w:rFonts w:ascii="Arial" w:cs="Arial" w:eastAsia="Arial" w:hAnsi="Arial"/>
          <w:sz w:val="14"/>
          <w:szCs w:val="14"/>
          <w:color w:val="auto"/>
        </w:rPr>
        <w:t>The Company accrues for credits and refunds issued subsequent to the balance sheet date that relate to rentals prior to the balance sheet date. These amounts were not material as of January 31, 2023 and 2022.</w:t>
      </w:r>
    </w:p>
    <w:p>
      <w:pPr>
        <w:spacing w:after="0" w:line="141" w:lineRule="exact"/>
        <w:rPr>
          <w:sz w:val="20"/>
          <w:szCs w:val="20"/>
          <w:color w:val="auto"/>
        </w:rPr>
      </w:pPr>
    </w:p>
    <w:p>
      <w:pPr>
        <w:jc w:val="both"/>
        <w:ind w:left="380" w:right="200"/>
        <w:spacing w:after="0" w:line="271" w:lineRule="auto"/>
        <w:rPr>
          <w:sz w:val="20"/>
          <w:szCs w:val="20"/>
          <w:color w:val="auto"/>
        </w:rPr>
      </w:pPr>
      <w:r>
        <w:rPr>
          <w:rFonts w:ascii="Arial" w:cs="Arial" w:eastAsia="Arial" w:hAnsi="Arial"/>
          <w:sz w:val="14"/>
          <w:szCs w:val="14"/>
          <w:color w:val="auto"/>
        </w:rPr>
        <w:t>For lessors, ASC 842 provides a practical expedient to elect not to evaluate whether certain sales taxes and other similar taxes imposed by a governmental authority on a specific lease revenue-producing transaction are the primary obligation of the lessor as owner of the underlying leased asset. This practical expedient was applied by the Company and it excludes these taxes from the measurement of lease revenue and the associated expense.</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Other Revenue</w:t>
      </w:r>
    </w:p>
    <w:p>
      <w:pPr>
        <w:spacing w:after="0" w:line="92" w:lineRule="exact"/>
        <w:rPr>
          <w:sz w:val="20"/>
          <w:szCs w:val="20"/>
          <w:color w:val="auto"/>
        </w:rPr>
      </w:pPr>
    </w:p>
    <w:p>
      <w:pPr>
        <w:ind w:left="380" w:right="140"/>
        <w:spacing w:after="0" w:line="265" w:lineRule="auto"/>
        <w:rPr>
          <w:sz w:val="20"/>
          <w:szCs w:val="20"/>
          <w:color w:val="auto"/>
        </w:rPr>
      </w:pPr>
      <w:r>
        <w:rPr>
          <w:rFonts w:ascii="Arial" w:cs="Arial" w:eastAsia="Arial" w:hAnsi="Arial"/>
          <w:sz w:val="14"/>
          <w:szCs w:val="14"/>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assets or liabilities with respect to other revenue as of January 31, 2023 and 2022.</w:t>
      </w:r>
    </w:p>
    <w:p>
      <w:pPr>
        <w:spacing w:after="0" w:line="24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From time to time, Other revenue may include revenue generated from pilots and other growth initiatives which may cause quarterly fluctuations in the Other revenue line.</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Lease - Lessee Accounting</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Refer to the Subscription and Reserve Rental Revenue section above for the Company’s accounting policy related to lessor accounting.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00" w:name="page101"/>
    <w:bookmarkEnd w:id="100"/>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The Company determines whether a contract is or contains a lease at contract inception. Right-of-use (“ROU”) assets and lease liabilities are measured and recognized at the lease commencement date based on the present value of lease payments over the expected lease term. As most of the Company’s leases do not provide an implicit rate, the Company uses its IBR as of the effective date or the commencement date of the lease, whichever is later, to determine the present value of lease payments. The Company considers its credit risk, term of the lease, total lease payments and adjusts for the impacts of collateral, as necessary, when calculating its IBR.</w:t>
      </w:r>
    </w:p>
    <w:p>
      <w:pPr>
        <w:spacing w:after="0" w:line="159" w:lineRule="exact"/>
        <w:rPr>
          <w:sz w:val="20"/>
          <w:szCs w:val="20"/>
          <w:color w:val="auto"/>
        </w:rPr>
      </w:pPr>
    </w:p>
    <w:p>
      <w:pPr>
        <w:ind w:left="380" w:right="40"/>
        <w:spacing w:after="0" w:line="265" w:lineRule="auto"/>
        <w:rPr>
          <w:sz w:val="20"/>
          <w:szCs w:val="20"/>
          <w:color w:val="auto"/>
        </w:rPr>
      </w:pPr>
      <w:r>
        <w:rPr>
          <w:rFonts w:ascii="Arial" w:cs="Arial" w:eastAsia="Arial" w:hAnsi="Arial"/>
          <w:sz w:val="14"/>
          <w:szCs w:val="14"/>
          <w:color w:val="auto"/>
        </w:rPr>
        <w:t>Lease payments are based on fixed amounts explicit in the lease agreements. Certain real estate leases include payments at variable amounts based on operating expenses of the lessor, such as common area charges, real estate taxes and insurance. Most equipment leases include variable sales tax payments based on state sales tax rates. Additionally, the Company procures a portion of its rental product from brand partners under revenue share arrangements, which are considered variable lease payments. See Note 5 - Leases – Lessee Accounting for additional details.</w:t>
      </w:r>
    </w:p>
    <w:p>
      <w:pPr>
        <w:spacing w:after="0" w:line="159" w:lineRule="exact"/>
        <w:rPr>
          <w:sz w:val="20"/>
          <w:szCs w:val="20"/>
          <w:color w:val="auto"/>
        </w:rPr>
      </w:pPr>
    </w:p>
    <w:p>
      <w:pPr>
        <w:ind w:left="380" w:right="20"/>
        <w:spacing w:after="0" w:line="290" w:lineRule="auto"/>
        <w:rPr>
          <w:sz w:val="20"/>
          <w:szCs w:val="20"/>
          <w:color w:val="auto"/>
        </w:rPr>
      </w:pPr>
      <w:r>
        <w:rPr>
          <w:rFonts w:ascii="Arial" w:cs="Arial" w:eastAsia="Arial" w:hAnsi="Arial"/>
          <w:sz w:val="14"/>
          <w:szCs w:val="14"/>
          <w:color w:val="auto"/>
        </w:rPr>
        <w:t>For lessees, the guidance provides a practical expedient, by class of underlying asset, to elect a combined single lease component presentation. This practical expedient was applied by the Company as a lessee to all asset classes.</w:t>
      </w:r>
    </w:p>
    <w:p>
      <w:pPr>
        <w:spacing w:after="0" w:line="141" w:lineRule="exact"/>
        <w:rPr>
          <w:sz w:val="20"/>
          <w:szCs w:val="20"/>
          <w:color w:val="auto"/>
        </w:rPr>
      </w:pPr>
    </w:p>
    <w:p>
      <w:pPr>
        <w:ind w:left="380" w:right="20"/>
        <w:spacing w:after="0" w:line="262" w:lineRule="auto"/>
        <w:rPr>
          <w:sz w:val="20"/>
          <w:szCs w:val="20"/>
          <w:color w:val="auto"/>
        </w:rPr>
      </w:pPr>
      <w:r>
        <w:rPr>
          <w:rFonts w:ascii="Arial" w:cs="Arial" w:eastAsia="Arial" w:hAnsi="Arial"/>
          <w:sz w:val="14"/>
          <w:szCs w:val="14"/>
          <w:color w:val="auto"/>
        </w:rPr>
        <w:t>With respect to ROU assets, operating lease ROU assets are presented as a separate line item on the Company’s consolidated balance sheets, while finance lease ROU assets are included in fixed assets on the consolidated balance sheets. With respect to lease liabilities, operating lease liabilities are presented as separate line items, while finance lease liabilities are included in other current liabilities and other long-term liabilities on the consolidated balance sheets, based on the remaining term of the underlying lease agreements. The Company does not recognize ROU assets or lease liabilities for short-term leases (i.e., those with a term of twelve months or less) and recognizes the related lease expense on a straight-line basis over the lease term, as applicable.</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Fixed and Intangible Assets, Net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Fixed and intangible assets are stated at cost less accumulated depreciation and amortization.</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 of fixed and intangible assets is calculated on a straight-line basis over the estimated useful lives of the assets.</w:t>
      </w:r>
    </w:p>
    <w:p>
      <w:pPr>
        <w:spacing w:after="0" w:line="200"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5680" w:type="dxa"/>
            <w:vAlign w:val="bottom"/>
          </w:tcPr>
          <w:p>
            <w:pPr>
              <w:spacing w:after="0"/>
              <w:rPr>
                <w:sz w:val="20"/>
                <w:szCs w:val="20"/>
                <w:color w:val="auto"/>
              </w:rPr>
            </w:pPr>
            <w:r>
              <w:rPr>
                <w:rFonts w:ascii="Arial" w:cs="Arial" w:eastAsia="Arial" w:hAnsi="Arial"/>
                <w:sz w:val="14"/>
                <w:szCs w:val="14"/>
                <w:color w:val="auto"/>
              </w:rPr>
              <w:t>The estimated useful lives of fixed and intangible assets are described below:</w:t>
            </w:r>
          </w:p>
        </w:tc>
        <w:tc>
          <w:tcPr>
            <w:tcW w:w="3580" w:type="dxa"/>
            <w:vAlign w:val="bottom"/>
          </w:tcPr>
          <w:p>
            <w:pPr>
              <w:spacing w:after="0"/>
              <w:rPr>
                <w:sz w:val="16"/>
                <w:szCs w:val="16"/>
                <w:color w:val="auto"/>
              </w:rPr>
            </w:pPr>
          </w:p>
        </w:tc>
      </w:tr>
      <w:tr>
        <w:trPr>
          <w:trHeight w:val="387"/>
        </w:trPr>
        <w:tc>
          <w:tcPr>
            <w:tcW w:w="568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Lesser of estimated useful life or lease term</w:t>
            </w:r>
          </w:p>
        </w:tc>
      </w:tr>
      <w:tr>
        <w:trPr>
          <w:trHeight w:val="180"/>
        </w:trPr>
        <w:tc>
          <w:tcPr>
            <w:tcW w:w="5680" w:type="dxa"/>
            <w:vAlign w:val="bottom"/>
          </w:tcPr>
          <w:p>
            <w:pPr>
              <w:ind w:left="20"/>
              <w:spacing w:after="0"/>
              <w:rPr>
                <w:sz w:val="20"/>
                <w:szCs w:val="20"/>
                <w:color w:val="auto"/>
              </w:rPr>
            </w:pPr>
            <w:r>
              <w:rPr>
                <w:rFonts w:ascii="Arial" w:cs="Arial" w:eastAsia="Arial" w:hAnsi="Arial"/>
                <w:sz w:val="14"/>
                <w:szCs w:val="14"/>
                <w:color w:val="auto"/>
              </w:rPr>
              <w:t>Machinery and equipment</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5 to 6 years</w:t>
            </w:r>
          </w:p>
        </w:tc>
      </w:tr>
      <w:tr>
        <w:trPr>
          <w:trHeight w:val="180"/>
        </w:trPr>
        <w:tc>
          <w:tcPr>
            <w:tcW w:w="568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5 years</w:t>
            </w:r>
          </w:p>
        </w:tc>
      </w:tr>
      <w:tr>
        <w:trPr>
          <w:trHeight w:val="180"/>
        </w:trPr>
        <w:tc>
          <w:tcPr>
            <w:tcW w:w="5680" w:type="dxa"/>
            <w:vAlign w:val="bottom"/>
          </w:tcPr>
          <w:p>
            <w:pPr>
              <w:ind w:left="20"/>
              <w:spacing w:after="0"/>
              <w:rPr>
                <w:sz w:val="20"/>
                <w:szCs w:val="20"/>
                <w:color w:val="auto"/>
              </w:rPr>
            </w:pPr>
            <w:r>
              <w:rPr>
                <w:rFonts w:ascii="Arial" w:cs="Arial" w:eastAsia="Arial" w:hAnsi="Arial"/>
                <w:sz w:val="14"/>
                <w:szCs w:val="14"/>
                <w:color w:val="auto"/>
              </w:rPr>
              <w:t>Computer hardware</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3 years</w:t>
            </w:r>
          </w:p>
        </w:tc>
      </w:tr>
      <w:tr>
        <w:trPr>
          <w:trHeight w:val="180"/>
        </w:trPr>
        <w:tc>
          <w:tcPr>
            <w:tcW w:w="5680" w:type="dxa"/>
            <w:vAlign w:val="bottom"/>
          </w:tcPr>
          <w:p>
            <w:pPr>
              <w:ind w:left="20"/>
              <w:spacing w:after="0"/>
              <w:rPr>
                <w:sz w:val="20"/>
                <w:szCs w:val="20"/>
                <w:color w:val="auto"/>
              </w:rPr>
            </w:pPr>
            <w:r>
              <w:rPr>
                <w:rFonts w:ascii="Arial" w:cs="Arial" w:eastAsia="Arial" w:hAnsi="Arial"/>
                <w:sz w:val="14"/>
                <w:szCs w:val="14"/>
                <w:color w:val="auto"/>
              </w:rPr>
              <w:t>Reusable packaging</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1.5 years</w:t>
            </w:r>
          </w:p>
        </w:tc>
      </w:tr>
      <w:tr>
        <w:trPr>
          <w:trHeight w:val="180"/>
        </w:trPr>
        <w:tc>
          <w:tcPr>
            <w:tcW w:w="5680" w:type="dxa"/>
            <w:vAlign w:val="bottom"/>
          </w:tcPr>
          <w:p>
            <w:pPr>
              <w:ind w:left="20"/>
              <w:spacing w:after="0"/>
              <w:rPr>
                <w:sz w:val="20"/>
                <w:szCs w:val="20"/>
                <w:color w:val="auto"/>
              </w:rPr>
            </w:pPr>
            <w:r>
              <w:rPr>
                <w:rFonts w:ascii="Arial" w:cs="Arial" w:eastAsia="Arial" w:hAnsi="Arial"/>
                <w:sz w:val="14"/>
                <w:szCs w:val="14"/>
                <w:color w:val="auto"/>
              </w:rPr>
              <w:t>Capitalized third-party software</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3 years</w:t>
            </w:r>
          </w:p>
        </w:tc>
      </w:tr>
      <w:tr>
        <w:trPr>
          <w:trHeight w:val="186"/>
        </w:trPr>
        <w:tc>
          <w:tcPr>
            <w:tcW w:w="5680" w:type="dxa"/>
            <w:vAlign w:val="bottom"/>
          </w:tcPr>
          <w:p>
            <w:pPr>
              <w:ind w:left="20"/>
              <w:spacing w:after="0"/>
              <w:rPr>
                <w:sz w:val="20"/>
                <w:szCs w:val="20"/>
                <w:color w:val="auto"/>
              </w:rPr>
            </w:pPr>
            <w:r>
              <w:rPr>
                <w:rFonts w:ascii="Arial" w:cs="Arial" w:eastAsia="Arial" w:hAnsi="Arial"/>
                <w:sz w:val="14"/>
                <w:szCs w:val="14"/>
                <w:color w:val="auto"/>
              </w:rPr>
              <w:t>Capitalized internally developed software</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2 years</w:t>
            </w:r>
          </w:p>
        </w:tc>
      </w:tr>
    </w:tbl>
    <w:p>
      <w:pPr>
        <w:spacing w:after="0" w:line="249" w:lineRule="exact"/>
        <w:rPr>
          <w:sz w:val="20"/>
          <w:szCs w:val="20"/>
          <w:color w:val="auto"/>
        </w:rPr>
      </w:pPr>
    </w:p>
    <w:p>
      <w:pPr>
        <w:ind w:left="380" w:right="180"/>
        <w:spacing w:after="0" w:line="290" w:lineRule="auto"/>
        <w:rPr>
          <w:sz w:val="20"/>
          <w:szCs w:val="20"/>
          <w:color w:val="auto"/>
        </w:rPr>
      </w:pPr>
      <w:r>
        <w:rPr>
          <w:rFonts w:ascii="Arial" w:cs="Arial" w:eastAsia="Arial" w:hAnsi="Arial"/>
          <w:sz w:val="14"/>
          <w:szCs w:val="14"/>
          <w:color w:val="auto"/>
        </w:rPr>
        <w:t>The Company capitalizes third-party and internally developed software costs in connection with its proprietary systems and its enterprise resource planning system that are incurred during the application development stage. Costs related to preliminary project activities and post implementation operating activities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1" w:name="page102"/>
    <w:bookmarkEnd w:id="101"/>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Prepaid Expenses and Other Current Assets</w:t>
      </w:r>
    </w:p>
    <w:p>
      <w:pPr>
        <w:spacing w:after="0" w:line="94" w:lineRule="exact"/>
        <w:rPr>
          <w:sz w:val="20"/>
          <w:szCs w:val="20"/>
          <w:color w:val="auto"/>
        </w:rPr>
      </w:pPr>
    </w:p>
    <w:p>
      <w:pPr>
        <w:ind w:left="380" w:right="280"/>
        <w:spacing w:after="0" w:line="290" w:lineRule="auto"/>
        <w:rPr>
          <w:sz w:val="20"/>
          <w:szCs w:val="20"/>
          <w:color w:val="auto"/>
        </w:rPr>
      </w:pPr>
      <w:r>
        <w:rPr>
          <w:rFonts w:ascii="Arial" w:cs="Arial" w:eastAsia="Arial" w:hAnsi="Arial"/>
          <w:sz w:val="14"/>
          <w:szCs w:val="14"/>
          <w:color w:val="auto"/>
        </w:rPr>
        <w:t>Prepaid expenses and other current assets consist primarily of accounts receivable, net, interest receivable, prepaid insurance, prepaid technology expenses and prepaid taxes.</w:t>
      </w:r>
    </w:p>
    <w:p>
      <w:pPr>
        <w:spacing w:after="0" w:line="35" w:lineRule="exact"/>
        <w:rPr>
          <w:sz w:val="20"/>
          <w:szCs w:val="20"/>
          <w:color w:val="auto"/>
        </w:rPr>
      </w:pPr>
    </w:p>
    <w:p>
      <w:pPr>
        <w:ind w:left="380" w:right="20"/>
        <w:spacing w:after="0" w:line="262" w:lineRule="auto"/>
        <w:rPr>
          <w:sz w:val="20"/>
          <w:szCs w:val="20"/>
          <w:color w:val="auto"/>
        </w:rPr>
      </w:pPr>
      <w:r>
        <w:rPr>
          <w:rFonts w:ascii="Arial" w:cs="Arial" w:eastAsia="Arial" w:hAnsi="Arial"/>
          <w:sz w:val="14"/>
          <w:szCs w:val="14"/>
          <w:color w:val="auto"/>
        </w:rPr>
        <w:t>Accounts receivable, net consists primarily of amounts due from third party liquidation and Exclusive Design wholesale partners that do not bear interest. The Company records an allowance for doubtful accounts taking into consideration historical losses adjusted for current market conditions, the financial condition of the customer, the amount of receivables in dispute, and the current receivables aging and payment patterns. Accounts receivable, net was $4.0 million and $1.1 million as of January 31, 2023 and 2022, respectively. The allowance for doubtful accounts was immaterial as of January 31, 2023 and 2022. As of January 31, 2023, one third party partner represented the majority of the Company’s accounts receivable balance.</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Other Assets</w:t>
      </w:r>
    </w:p>
    <w:p>
      <w:pPr>
        <w:spacing w:after="0" w:line="200" w:lineRule="exact"/>
        <w:rPr>
          <w:sz w:val="20"/>
          <w:szCs w:val="20"/>
          <w:color w:val="auto"/>
        </w:rPr>
      </w:pPr>
    </w:p>
    <w:p>
      <w:pPr>
        <w:ind w:left="380" w:right="120"/>
        <w:spacing w:after="0" w:line="290" w:lineRule="auto"/>
        <w:rPr>
          <w:sz w:val="20"/>
          <w:szCs w:val="20"/>
          <w:color w:val="auto"/>
        </w:rPr>
      </w:pPr>
      <w:r>
        <w:rPr>
          <w:rFonts w:ascii="Arial" w:cs="Arial" w:eastAsia="Arial" w:hAnsi="Arial"/>
          <w:sz w:val="14"/>
          <w:szCs w:val="14"/>
          <w:color w:val="auto"/>
        </w:rPr>
        <w:t>Other assets consist primarily of capitalized implementation costs incurred in cloud computing arrangements and deposits for periods that exceed one year from the balance sheet date.</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Expenses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Fulfillment</w:t>
      </w:r>
    </w:p>
    <w:p>
      <w:pPr>
        <w:spacing w:after="0" w:line="92" w:lineRule="exact"/>
        <w:rPr>
          <w:sz w:val="20"/>
          <w:szCs w:val="20"/>
          <w:color w:val="auto"/>
        </w:rPr>
      </w:pPr>
    </w:p>
    <w:p>
      <w:pPr>
        <w:ind w:left="380" w:right="600"/>
        <w:spacing w:after="0" w:line="290" w:lineRule="auto"/>
        <w:rPr>
          <w:sz w:val="20"/>
          <w:szCs w:val="20"/>
          <w:color w:val="auto"/>
        </w:rPr>
      </w:pPr>
      <w:r>
        <w:rPr>
          <w:rFonts w:ascii="Arial" w:cs="Arial" w:eastAsia="Arial" w:hAnsi="Arial"/>
          <w:sz w:val="14"/>
          <w:szCs w:val="14"/>
          <w:color w:val="auto"/>
        </w:rPr>
        <w:t>Fulfillment expenses consist of fulfillment costs to receive, process and fulfill customer orders, including fulfillment labor payroll and related costs, third-party shipping expenses, cost of packaging materials, cleaning expenses, and other fulfillment related costs.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Technology</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Technology expenses consist of technology payroll and related costs, professional services, and third-party software and license fees.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Marketing</w:t>
      </w:r>
    </w:p>
    <w:p>
      <w:pPr>
        <w:spacing w:after="0" w:line="92" w:lineRule="exact"/>
        <w:rPr>
          <w:sz w:val="20"/>
          <w:szCs w:val="20"/>
          <w:color w:val="auto"/>
        </w:rPr>
      </w:pPr>
    </w:p>
    <w:p>
      <w:pPr>
        <w:ind w:left="380"/>
        <w:spacing w:after="0" w:line="268" w:lineRule="auto"/>
        <w:rPr>
          <w:sz w:val="20"/>
          <w:szCs w:val="20"/>
          <w:color w:val="auto"/>
        </w:rPr>
      </w:pPr>
      <w:r>
        <w:rPr>
          <w:rFonts w:ascii="Arial" w:cs="Arial" w:eastAsia="Arial" w:hAnsi="Arial"/>
          <w:sz w:val="14"/>
          <w:szCs w:val="14"/>
          <w:color w:val="auto"/>
        </w:rPr>
        <w:t>Marketing expenses include online and mobile marketing, search engine optimization and email costs, marketing payroll and related expenses, agency fees, printed collateral, consumer research, and other related costs. Advertising costs amounted to $30.7 million, $20.6 million, and $4.2 million for the years ended January 31, 2023, 2022, and 2021, respectively. Costs associated with advertising campaigns are expensed when the advertising first appears in the media, and other advertising costs are expensed as incurred.</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General and Administrative</w:t>
      </w:r>
    </w:p>
    <w:p>
      <w:pPr>
        <w:spacing w:after="0" w:line="92" w:lineRule="exact"/>
        <w:rPr>
          <w:sz w:val="20"/>
          <w:szCs w:val="20"/>
          <w:color w:val="auto"/>
        </w:rPr>
      </w:pPr>
    </w:p>
    <w:p>
      <w:pPr>
        <w:ind w:left="380" w:right="540"/>
        <w:spacing w:after="0" w:line="290" w:lineRule="auto"/>
        <w:rPr>
          <w:sz w:val="20"/>
          <w:szCs w:val="20"/>
          <w:color w:val="auto"/>
        </w:rPr>
      </w:pPr>
      <w:r>
        <w:rPr>
          <w:rFonts w:ascii="Arial" w:cs="Arial" w:eastAsia="Arial" w:hAnsi="Arial"/>
          <w:sz w:val="14"/>
          <w:szCs w:val="14"/>
          <w:color w:val="auto"/>
        </w:rPr>
        <w:t>General and administrative expenses are comprised of all other employee payroll and related expenses, including customer service costs, occupancy costs (including warehouse-related), professional services, credit card fees, general warehouse and corporate expenses, and other administrative costs.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Rental Product Depreciation and Revenue Share</w:t>
      </w:r>
    </w:p>
    <w:p>
      <w:pPr>
        <w:spacing w:after="0" w:line="92" w:lineRule="exact"/>
        <w:rPr>
          <w:sz w:val="20"/>
          <w:szCs w:val="20"/>
          <w:color w:val="auto"/>
        </w:rPr>
      </w:pPr>
    </w:p>
    <w:p>
      <w:pPr>
        <w:ind w:left="380" w:right="220"/>
        <w:spacing w:after="0" w:line="290" w:lineRule="auto"/>
        <w:rPr>
          <w:sz w:val="20"/>
          <w:szCs w:val="20"/>
          <w:color w:val="auto"/>
        </w:rPr>
      </w:pPr>
      <w:r>
        <w:rPr>
          <w:rFonts w:ascii="Arial" w:cs="Arial" w:eastAsia="Arial" w:hAnsi="Arial"/>
          <w:sz w:val="14"/>
          <w:szCs w:val="14"/>
          <w:color w:val="auto"/>
        </w:rPr>
        <w:t>Rental product depreciation and revenue share expenses are comprised of depreciation and write-offs of rental product, and payments under revenue share arrangements with brand partners.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Other Depreciation and Amortization</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depreciation and amortization expenses are comprised of depreciation and amortization amounts for fixed assets, intangible assets, and financing right-of-use assets.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2" w:name="page103"/>
    <w:bookmarkEnd w:id="102"/>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classification of expenses varies across industries. Accordingly, the Company’s categories of expenses may not be comparable to those of other companies.</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Share-Based Compensation</w:t>
      </w:r>
    </w:p>
    <w:p>
      <w:pPr>
        <w:spacing w:after="0" w:line="94"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The Company recognizes all employee share-based compensation as an expense in the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post-IPO is based on the closing price of the common stock on the date of grant as reported on the Nasdaq Stock Market. Upon grant of awards, the Company also estimates an amount of forfeitures that will occur prior to vesting.</w:t>
      </w:r>
    </w:p>
    <w:p>
      <w:pPr>
        <w:spacing w:after="0" w:line="142" w:lineRule="exact"/>
        <w:rPr>
          <w:sz w:val="20"/>
          <w:szCs w:val="20"/>
          <w:color w:val="auto"/>
        </w:rPr>
      </w:pPr>
    </w:p>
    <w:p>
      <w:pPr>
        <w:ind w:left="380" w:right="140"/>
        <w:spacing w:after="0" w:line="259" w:lineRule="auto"/>
        <w:rPr>
          <w:sz w:val="20"/>
          <w:szCs w:val="20"/>
          <w:color w:val="auto"/>
        </w:rPr>
      </w:pPr>
      <w:r>
        <w:rPr>
          <w:rFonts w:ascii="Arial" w:cs="Arial" w:eastAsia="Arial" w:hAnsi="Arial"/>
          <w:sz w:val="14"/>
          <w:szCs w:val="14"/>
          <w:color w:val="auto"/>
        </w:rPr>
        <w:t>The Company has granted two types of RSUs. Prior to the effectiveness of the Company’s IPO,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 liquidity-based vesting condition was satisfied upon the effectiveness of the Company’s IPO. Share-based compensation related to any remaining time-based service for these RSUs after the liquidity-based event is recorded over the remaining requisite service period. Post IPO, the Company has granted RSUs which vest upon satisfaction of a single time-based service condition. The Company records share-based compensation expense for these RSUs on a straight-line basis over the requisite service period. See Note 14 - Share-based Compensation Plans for a description of the accounting for share-based awards.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Income Taxes</w:t>
      </w:r>
    </w:p>
    <w:p>
      <w:pPr>
        <w:spacing w:after="0" w:line="94" w:lineRule="exact"/>
        <w:rPr>
          <w:sz w:val="20"/>
          <w:szCs w:val="20"/>
          <w:color w:val="auto"/>
        </w:rPr>
      </w:pPr>
    </w:p>
    <w:p>
      <w:pPr>
        <w:ind w:left="380" w:right="240"/>
        <w:spacing w:after="0" w:line="290" w:lineRule="auto"/>
        <w:rPr>
          <w:sz w:val="20"/>
          <w:szCs w:val="20"/>
          <w:color w:val="auto"/>
        </w:rPr>
      </w:pPr>
      <w:r>
        <w:rPr>
          <w:rFonts w:ascii="Arial" w:cs="Arial" w:eastAsia="Arial" w:hAnsi="Arial"/>
          <w:sz w:val="14"/>
          <w:szCs w:val="14"/>
          <w:color w:val="auto"/>
        </w:rPr>
        <w:t>The Tax Cuts and Jobs Act (the “Tax Act”) was enacted on December 22, 2017 and introduced significant changes to U.S. income tax law. The Company implemented the effects of the Tax Act and its impact was not material to the consolidated financial statements.</w:t>
      </w:r>
    </w:p>
    <w:p>
      <w:pPr>
        <w:spacing w:after="0" w:line="141" w:lineRule="exact"/>
        <w:rPr>
          <w:sz w:val="20"/>
          <w:szCs w:val="20"/>
          <w:color w:val="auto"/>
        </w:rPr>
      </w:pPr>
    </w:p>
    <w:p>
      <w:pPr>
        <w:ind w:left="380" w:right="80"/>
        <w:spacing w:after="0" w:line="260" w:lineRule="auto"/>
        <w:rPr>
          <w:sz w:val="20"/>
          <w:szCs w:val="20"/>
          <w:color w:val="auto"/>
        </w:rPr>
      </w:pPr>
      <w:r>
        <w:rPr>
          <w:rFonts w:ascii="Arial" w:cs="Arial" w:eastAsia="Arial" w:hAnsi="Arial"/>
          <w:sz w:val="14"/>
          <w:szCs w:val="14"/>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a valuation allowance for any tax benefits for which future realization is uncertain. The effect on deferred tax assets and liabilities of a change in tax rates is recognized in income in the period that includes the enactment date. The Company recognizes interest and penalties related to unrecognized tax benefits in income tax expense.</w:t>
      </w:r>
    </w:p>
    <w:p>
      <w:pPr>
        <w:spacing w:after="0" w:line="163" w:lineRule="exact"/>
        <w:rPr>
          <w:sz w:val="20"/>
          <w:szCs w:val="20"/>
          <w:color w:val="auto"/>
        </w:rPr>
      </w:pPr>
    </w:p>
    <w:p>
      <w:pPr>
        <w:ind w:left="380" w:right="60"/>
        <w:spacing w:after="0" w:line="290" w:lineRule="auto"/>
        <w:rPr>
          <w:sz w:val="20"/>
          <w:szCs w:val="20"/>
          <w:color w:val="auto"/>
        </w:rPr>
      </w:pPr>
      <w:r>
        <w:rPr>
          <w:rFonts w:ascii="Arial" w:cs="Arial" w:eastAsia="Arial" w:hAnsi="Arial"/>
          <w:sz w:val="14"/>
          <w:szCs w:val="14"/>
          <w:color w:val="auto"/>
        </w:rPr>
        <w:t>The Company recognizes the effect of income tax positions only if those positions are more likely than not to be sustained. Recognized income tax positions are measured at the amount that is greater than 50% likely of being realized. Changes in recognition or measurement are reflected in the period in which the change in judgment occurs.</w:t>
      </w:r>
    </w:p>
    <w:p>
      <w:pPr>
        <w:spacing w:after="0" w:line="141" w:lineRule="exact"/>
        <w:rPr>
          <w:sz w:val="20"/>
          <w:szCs w:val="20"/>
          <w:color w:val="auto"/>
        </w:rPr>
      </w:pPr>
    </w:p>
    <w:p>
      <w:pPr>
        <w:ind w:left="380" w:right="100"/>
        <w:spacing w:after="0" w:line="265" w:lineRule="auto"/>
        <w:rPr>
          <w:sz w:val="20"/>
          <w:szCs w:val="20"/>
          <w:color w:val="auto"/>
        </w:rPr>
      </w:pPr>
      <w:r>
        <w:rPr>
          <w:rFonts w:ascii="Arial" w:cs="Arial" w:eastAsia="Arial" w:hAnsi="Arial"/>
          <w:sz w:val="14"/>
          <w:szCs w:val="14"/>
          <w:color w:val="auto"/>
        </w:rPr>
        <w:t>The Financial Accounting Standards Board (“FASB”) Staff Q&amp;A Topic No. 5, Accounting for Global Intangible Low-Taxed Income (“GILTI”), states that an entity can make an accounting policy election to either recognize deferred taxes for temporary differences that are expected to reverse as GILTI in future years or provide for the tax expense related to GILTI resulting from those items in the year the tax is incurred. The Company has elected to recognize the resulting tax on GILTI as a period expense in the period the tax is incurred.</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3" w:name="page104"/>
    <w:bookmarkEnd w:id="103"/>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Long-Lived Asset Impairment</w:t>
      </w:r>
    </w:p>
    <w:p>
      <w:pPr>
        <w:spacing w:after="0" w:line="94"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spacing w:after="0" w:line="235" w:lineRule="exact"/>
        <w:rPr>
          <w:sz w:val="20"/>
          <w:szCs w:val="20"/>
          <w:color w:val="auto"/>
        </w:rPr>
      </w:pPr>
    </w:p>
    <w:p>
      <w:pPr>
        <w:ind w:left="380" w:right="100"/>
        <w:spacing w:after="0" w:line="249" w:lineRule="auto"/>
        <w:rPr>
          <w:sz w:val="20"/>
          <w:szCs w:val="20"/>
          <w:color w:val="auto"/>
        </w:rPr>
      </w:pPr>
      <w:r>
        <w:rPr>
          <w:rFonts w:ascii="Arial" w:cs="Arial" w:eastAsia="Arial" w:hAnsi="Arial"/>
          <w:sz w:val="14"/>
          <w:szCs w:val="14"/>
          <w:color w:val="auto"/>
        </w:rPr>
        <w:t>The Company recorded asset impairment charges of $5.3 million, of which $4.9 million related to the write-off of fixed assets and $0.4 million related to accrued expenses, during the year ended January 31, 2023, related to discontinuing two warehouse operations projects in the third and fourth quarters of fiscal year 2022 in connection with the September 2022 restructuring plan as described in Note 4, Restructuring and Related Charges. No impairment losses were recognized during the years ended January 31, 2022 and 2021 except for the write-off of apparel and accessories in the normal course of business (see Rental Product disclosure).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Net Loss per Share Attributable to Common Stockholders</w:t>
      </w:r>
    </w:p>
    <w:p>
      <w:pPr>
        <w:spacing w:after="0" w:line="94" w:lineRule="exact"/>
        <w:rPr>
          <w:sz w:val="20"/>
          <w:szCs w:val="20"/>
          <w:color w:val="auto"/>
        </w:rPr>
      </w:pPr>
    </w:p>
    <w:p>
      <w:pPr>
        <w:ind w:left="380" w:right="120"/>
        <w:spacing w:after="0" w:line="271" w:lineRule="auto"/>
        <w:rPr>
          <w:sz w:val="20"/>
          <w:szCs w:val="20"/>
          <w:color w:val="auto"/>
        </w:rPr>
      </w:pPr>
      <w:r>
        <w:rPr>
          <w:rFonts w:ascii="Arial" w:cs="Arial" w:eastAsia="Arial" w:hAnsi="Arial"/>
          <w:sz w:val="14"/>
          <w:szCs w:val="14"/>
          <w:color w:val="auto"/>
        </w:rPr>
        <w:t>The Company computes net loss per share attributable to common stockholders under the two-class method required for multiple classes of common stock and participating securities. Basic net loss per share attributable to common stockholders is calculated by dividing the net loss attributable to common stockholders by the weighted-average number of shares of common stock outstanding during the period.</w:t>
      </w:r>
    </w:p>
    <w:p>
      <w:pPr>
        <w:spacing w:after="0" w:line="155" w:lineRule="exact"/>
        <w:rPr>
          <w:sz w:val="20"/>
          <w:szCs w:val="20"/>
          <w:color w:val="auto"/>
        </w:rPr>
      </w:pPr>
    </w:p>
    <w:p>
      <w:pPr>
        <w:jc w:val="both"/>
        <w:ind w:left="380" w:right="60"/>
        <w:spacing w:after="0" w:line="271" w:lineRule="auto"/>
        <w:rPr>
          <w:sz w:val="20"/>
          <w:szCs w:val="20"/>
          <w:color w:val="auto"/>
        </w:rPr>
      </w:pPr>
      <w:r>
        <w:rPr>
          <w:rFonts w:ascii="Arial" w:cs="Arial" w:eastAsia="Arial" w:hAnsi="Arial"/>
          <w:sz w:val="14"/>
          <w:szCs w:val="14"/>
          <w:color w:val="auto"/>
        </w:rPr>
        <w:t>Diluted net loss per share attributable to common stockholders is computed by giving effect to all potentially dilutive securities outstanding for the period. For purposes of this calculation, redeemable preferred stock, stock options to purchase common stock, warrants to purchase common and redeemable preferred stock, and RSUs are considered potentially dilutive securities but have been excluded from the calculation of diluted net loss per share attributable to common stockholders as their effect is anti-dilutive.</w:t>
      </w:r>
    </w:p>
    <w:p>
      <w:pPr>
        <w:spacing w:after="0" w:line="155" w:lineRule="exact"/>
        <w:rPr>
          <w:sz w:val="20"/>
          <w:szCs w:val="20"/>
          <w:color w:val="auto"/>
        </w:rPr>
      </w:pPr>
    </w:p>
    <w:p>
      <w:pPr>
        <w:jc w:val="both"/>
        <w:ind w:left="380" w:right="180"/>
        <w:spacing w:after="0" w:line="271" w:lineRule="auto"/>
        <w:rPr>
          <w:sz w:val="20"/>
          <w:szCs w:val="20"/>
          <w:color w:val="auto"/>
        </w:rPr>
      </w:pPr>
      <w:r>
        <w:rPr>
          <w:rFonts w:ascii="Arial" w:cs="Arial" w:eastAsia="Arial" w:hAnsi="Arial"/>
          <w:sz w:val="14"/>
          <w:szCs w:val="14"/>
          <w:color w:val="auto"/>
        </w:rPr>
        <w:t>The shares of common stock associated with the equity-classified common stock warrants with an exercise price of $0.01 were considered outstanding for the purposes of computing basic and diluted net loss per share attributable to common stockholders because the shares could be issued for little or no consideration, were fully vested, and were exercisable after the original issuance date.</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Commitments and Contingencies</w:t>
      </w:r>
    </w:p>
    <w:p>
      <w:pPr>
        <w:spacing w:after="0" w:line="94" w:lineRule="exact"/>
        <w:rPr>
          <w:sz w:val="20"/>
          <w:szCs w:val="20"/>
          <w:color w:val="auto"/>
        </w:rPr>
      </w:pPr>
    </w:p>
    <w:p>
      <w:pPr>
        <w:ind w:left="380" w:right="380"/>
        <w:spacing w:after="0" w:line="290" w:lineRule="auto"/>
        <w:rPr>
          <w:sz w:val="20"/>
          <w:szCs w:val="20"/>
          <w:color w:val="auto"/>
        </w:rPr>
      </w:pPr>
      <w:r>
        <w:rPr>
          <w:rFonts w:ascii="Arial" w:cs="Arial" w:eastAsia="Arial" w:hAnsi="Arial"/>
          <w:sz w:val="14"/>
          <w:szCs w:val="14"/>
          <w:color w:val="auto"/>
        </w:rPr>
        <w:t>Liabilities for loss contingencies arising from claims, assessments, litigation, and other sources are recorded when it is probable that a liability has been incurred and the amount can be reasonably estimated. Legal costs incurred in connection with loss contingencies are expensed as incurred.</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Insurance Proceeds</w:t>
      </w:r>
    </w:p>
    <w:p>
      <w:pPr>
        <w:spacing w:after="0" w:line="94" w:lineRule="exact"/>
        <w:rPr>
          <w:sz w:val="20"/>
          <w:szCs w:val="20"/>
          <w:color w:val="auto"/>
        </w:rPr>
      </w:pPr>
    </w:p>
    <w:p>
      <w:pPr>
        <w:ind w:left="380" w:right="60"/>
        <w:spacing w:after="0" w:line="290" w:lineRule="auto"/>
        <w:rPr>
          <w:sz w:val="20"/>
          <w:szCs w:val="20"/>
          <w:color w:val="auto"/>
        </w:rPr>
      </w:pPr>
      <w:r>
        <w:rPr>
          <w:rFonts w:ascii="Arial" w:cs="Arial" w:eastAsia="Arial" w:hAnsi="Arial"/>
          <w:sz w:val="14"/>
          <w:szCs w:val="14"/>
          <w:color w:val="auto"/>
        </w:rPr>
        <w:t>During the year ended January 31, 2022, the Company recorded insurance recoveries of $4.0 million related to a network issue during the year ended January 31, 2020. The amount is recorded in other income / (expense),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4" w:name="page105"/>
    <w:bookmarkEnd w:id="104"/>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Foreign Currency</w:t>
      </w:r>
    </w:p>
    <w:p>
      <w:pPr>
        <w:spacing w:after="0" w:line="94" w:lineRule="exact"/>
        <w:rPr>
          <w:sz w:val="20"/>
          <w:szCs w:val="20"/>
          <w:color w:val="auto"/>
        </w:rPr>
      </w:pPr>
    </w:p>
    <w:p>
      <w:pPr>
        <w:ind w:left="380" w:right="60"/>
        <w:spacing w:after="0" w:line="271" w:lineRule="auto"/>
        <w:rPr>
          <w:sz w:val="20"/>
          <w:szCs w:val="20"/>
          <w:color w:val="auto"/>
        </w:rPr>
      </w:pPr>
      <w:r>
        <w:rPr>
          <w:rFonts w:ascii="Arial" w:cs="Arial" w:eastAsia="Arial" w:hAnsi="Arial"/>
          <w:sz w:val="14"/>
          <w:szCs w:val="14"/>
          <w:color w:val="auto"/>
        </w:rPr>
        <w:t>The functional currency of the Subsidiary is U.S. dollar, which is the functional currency of the Company. The local currency of the Subsidiary is Euro. Monetary assets and liabilities of the Subsidiary are remeasured at the rate of exchange in effect on the balance sheet date; income and expenses are remeasured at the average exchange rates throughout the year. The related remeasurement adjustments are included in general and administrative expenses in the consolidated statements of operations.</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Recently Issued and Adopted Accounting Pronouncements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Recently Adopted Accounting Pronouncements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Income Taxes</w:t>
      </w:r>
    </w:p>
    <w:p>
      <w:pPr>
        <w:spacing w:after="0" w:line="92"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 xml:space="preserve">In December 2019, the FASB issued ASU 2019-12, </w:t>
      </w:r>
      <w:r>
        <w:rPr>
          <w:rFonts w:ascii="Arial" w:cs="Arial" w:eastAsia="Arial" w:hAnsi="Arial"/>
          <w:sz w:val="14"/>
          <w:szCs w:val="14"/>
          <w:i w:val="1"/>
          <w:iCs w:val="1"/>
          <w:color w:val="auto"/>
        </w:rPr>
        <w:t>Income Taxes (Topic 740): Simplifying the Accounting for Income Taxes</w:t>
      </w:r>
      <w:r>
        <w:rPr>
          <w:rFonts w:ascii="Arial" w:cs="Arial" w:eastAsia="Arial" w:hAnsi="Arial"/>
          <w:sz w:val="14"/>
          <w:szCs w:val="14"/>
          <w:color w:val="auto"/>
        </w:rPr>
        <w:t>. The new guidance simplifies the accounting for income taxes by removing certain exceptions to the general principles in Topic 740 and also improves the consistency in application of other areas by clarifying and amending existing guidance. This standard is effective for annual reporting periods beginning after December 15, 2021, and interim periods within those years, and early adoption is permitted. Certain amendments of this standard may be adopted on a retrospective basis, modified retrospective basis or prospective basis. The Company adopted this standard on February 1, 2022 on a prospective basis, and the adoption of this standard did not have a material impact on the consolidated financial statements.</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Recently Issued Accounting Pronouncements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Debt - Debt with Conversion and Other Options and Derivatives and Hedging</w:t>
      </w:r>
    </w:p>
    <w:p>
      <w:pPr>
        <w:spacing w:after="0" w:line="92" w:lineRule="exact"/>
        <w:rPr>
          <w:sz w:val="20"/>
          <w:szCs w:val="20"/>
          <w:color w:val="auto"/>
        </w:rPr>
      </w:pPr>
    </w:p>
    <w:p>
      <w:pPr>
        <w:ind w:left="380" w:right="20"/>
        <w:spacing w:after="0" w:line="262" w:lineRule="auto"/>
        <w:rPr>
          <w:sz w:val="20"/>
          <w:szCs w:val="20"/>
          <w:color w:val="auto"/>
        </w:rPr>
      </w:pPr>
      <w:r>
        <w:rPr>
          <w:rFonts w:ascii="Arial" w:cs="Arial" w:eastAsia="Arial" w:hAnsi="Arial"/>
          <w:sz w:val="14"/>
          <w:szCs w:val="14"/>
          <w:color w:val="auto"/>
        </w:rPr>
        <w:t xml:space="preserve">In August 2020, the FASB issued ASU 2020-06, </w:t>
      </w:r>
      <w:r>
        <w:rPr>
          <w:rFonts w:ascii="Arial" w:cs="Arial" w:eastAsia="Arial" w:hAnsi="Arial"/>
          <w:sz w:val="14"/>
          <w:szCs w:val="14"/>
          <w:i w:val="1"/>
          <w:iCs w:val="1"/>
          <w:color w:val="auto"/>
        </w:rPr>
        <w:t>Debt—Debt with Conversion and Other Options (Subtopic 470-20) and Derivatives and Hedging—Contracts in Entity’s Own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Equity (Subtopic 815-40): Accounting for Convertible Instruments and Contracts in an Entity’s Own Equity. </w:t>
      </w:r>
      <w:r>
        <w:rPr>
          <w:rFonts w:ascii="Arial" w:cs="Arial" w:eastAsia="Arial" w:hAnsi="Arial"/>
          <w:sz w:val="14"/>
          <w:szCs w:val="14"/>
          <w:color w:val="auto"/>
        </w:rPr>
        <w:t>The new guidance reduces complexity and improves comparability</w:t>
      </w:r>
      <w:r>
        <w:rPr>
          <w:rFonts w:ascii="Arial" w:cs="Arial" w:eastAsia="Arial" w:hAnsi="Arial"/>
          <w:sz w:val="14"/>
          <w:szCs w:val="14"/>
          <w:i w:val="1"/>
          <w:iCs w:val="1"/>
          <w:color w:val="auto"/>
        </w:rPr>
        <w:t xml:space="preserve"> </w:t>
      </w:r>
      <w:r>
        <w:rPr>
          <w:rFonts w:ascii="Arial" w:cs="Arial" w:eastAsia="Arial" w:hAnsi="Arial"/>
          <w:sz w:val="14"/>
          <w:szCs w:val="14"/>
          <w:color w:val="auto"/>
        </w:rPr>
        <w:t>of financial reporting associated with accounting for convertible instruments and contracts in an entity’s own equity. This standard is effective for annual reporting periods beginning after December 15, 2023, and interim periods within those years, and early adoption is permitted. The adoption of this standard is not expected to have a material impact on the consolidated financial statements.</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Financial Instruments – Credit Losses</w:t>
      </w:r>
    </w:p>
    <w:p>
      <w:pPr>
        <w:spacing w:after="0" w:line="92" w:lineRule="exact"/>
        <w:rPr>
          <w:sz w:val="20"/>
          <w:szCs w:val="20"/>
          <w:color w:val="auto"/>
        </w:rPr>
      </w:pPr>
    </w:p>
    <w:p>
      <w:pPr>
        <w:ind w:left="380" w:right="40"/>
        <w:spacing w:after="0" w:line="260"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Financial Instruments – Credit Losses (Topic 326): Measurement of Credit Losses on Financial Instruments</w:t>
      </w:r>
      <w:r>
        <w:rPr>
          <w:rFonts w:ascii="Arial" w:cs="Arial" w:eastAsia="Arial" w:hAnsi="Arial"/>
          <w:sz w:val="14"/>
          <w:szCs w:val="14"/>
          <w:color w:val="auto"/>
        </w:rPr>
        <w:t>, which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adoption of this standard is not expected to have a material impact on the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05" w:name="page106"/>
    <w:bookmarkEnd w:id="105"/>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375"/>
        <w:spacing w:after="0"/>
        <w:tabs>
          <w:tab w:leader="none" w:pos="38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Liquidity</w:t>
      </w:r>
    </w:p>
    <w:p>
      <w:pPr>
        <w:spacing w:after="0" w:line="93" w:lineRule="exact"/>
        <w:rPr>
          <w:rFonts w:ascii="Arial" w:cs="Arial" w:eastAsia="Arial" w:hAnsi="Arial"/>
          <w:sz w:val="14"/>
          <w:szCs w:val="14"/>
          <w:b w:val="1"/>
          <w:bCs w:val="1"/>
          <w:color w:val="auto"/>
        </w:rPr>
      </w:pPr>
    </w:p>
    <w:p>
      <w:pPr>
        <w:ind w:left="380" w:right="22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 has incurred a net loss from operations since inception and has historically relied upon debt and equity financing to fund its operations. The Company experienced revenue and subscriber growth in fiscal year 2022. However, we believe that macroeconomic factors, including sensitivity to increased pricing impacted active subscriber levels in fiscal year 2022.</w:t>
      </w:r>
    </w:p>
    <w:p>
      <w:pPr>
        <w:spacing w:after="0" w:line="133" w:lineRule="exact"/>
        <w:rPr>
          <w:rFonts w:ascii="Arial" w:cs="Arial" w:eastAsia="Arial" w:hAnsi="Arial"/>
          <w:sz w:val="14"/>
          <w:szCs w:val="14"/>
          <w:b w:val="1"/>
          <w:bCs w:val="1"/>
          <w:color w:val="auto"/>
        </w:rPr>
      </w:pPr>
    </w:p>
    <w:p>
      <w:pPr>
        <w:ind w:left="38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In September 2022, the Company announced a restructuring plan that is now expected to generate annual operating expense savings of approximately $25 million (relative to the second quarter of fiscal year 2022 run rate) in fiscal year 2023. Actual savings may differ from these estimates.</w:t>
      </w:r>
    </w:p>
    <w:p>
      <w:pPr>
        <w:spacing w:after="0" w:line="120" w:lineRule="exact"/>
        <w:rPr>
          <w:rFonts w:ascii="Arial" w:cs="Arial" w:eastAsia="Arial" w:hAnsi="Arial"/>
          <w:sz w:val="14"/>
          <w:szCs w:val="14"/>
          <w:b w:val="1"/>
          <w:bCs w:val="1"/>
          <w:color w:val="auto"/>
        </w:rPr>
      </w:pPr>
    </w:p>
    <w:p>
      <w:pPr>
        <w:ind w:left="380" w:right="14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While the Company experienced revenue growth in fiscal years 2021 and 2022, to the extent that the Company is further impacted by macroeconomic trends, the Company has established plans to preserve existing cash liquidity, which includes additional reductions to labor, operating expenses, and/or capital expenditures.</w:t>
      </w:r>
    </w:p>
    <w:p>
      <w:pPr>
        <w:spacing w:after="0" w:line="120" w:lineRule="exact"/>
        <w:rPr>
          <w:rFonts w:ascii="Arial" w:cs="Arial" w:eastAsia="Arial" w:hAnsi="Arial"/>
          <w:sz w:val="14"/>
          <w:szCs w:val="14"/>
          <w:b w:val="1"/>
          <w:bCs w:val="1"/>
          <w:color w:val="auto"/>
        </w:rPr>
      </w:pPr>
    </w:p>
    <w:p>
      <w:pPr>
        <w:ind w:left="380" w:right="22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As of January 31, 2023, the Company held cash and cash equivalents of $154.5 million. The Company believes that it will have sufficient liquidity from cash on-hand and future operations to sustain its business operations, to satisfy its debt service obligations and to comply with its debt covenants for at least the next twelve months from the date these financial statements are issued. Refer to Note 8 - Long-Term Debt for details of the amendment to refinance the Temasek debt facility in January 2023.</w:t>
      </w:r>
    </w:p>
    <w:p>
      <w:pPr>
        <w:spacing w:after="0" w:line="218" w:lineRule="exact"/>
        <w:rPr>
          <w:rFonts w:ascii="Arial" w:cs="Arial" w:eastAsia="Arial" w:hAnsi="Arial"/>
          <w:sz w:val="14"/>
          <w:szCs w:val="14"/>
          <w:b w:val="1"/>
          <w:bCs w:val="1"/>
          <w:color w:val="auto"/>
        </w:rPr>
      </w:pPr>
    </w:p>
    <w:p>
      <w:pPr>
        <w:ind w:left="380" w:hanging="375"/>
        <w:spacing w:after="0"/>
        <w:tabs>
          <w:tab w:leader="none" w:pos="38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Restructuring and Related Charges</w:t>
      </w:r>
    </w:p>
    <w:p>
      <w:pPr>
        <w:spacing w:after="0" w:line="93" w:lineRule="exact"/>
        <w:rPr>
          <w:rFonts w:ascii="Arial" w:cs="Arial" w:eastAsia="Arial" w:hAnsi="Arial"/>
          <w:sz w:val="14"/>
          <w:szCs w:val="14"/>
          <w:b w:val="1"/>
          <w:bCs w:val="1"/>
          <w:color w:val="auto"/>
        </w:rPr>
      </w:pPr>
    </w:p>
    <w:p>
      <w:pPr>
        <w:ind w:left="380" w:right="26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On September 12, 2022, the Company announced a restructuring plan to reduce costs, streamline its organizational structure and drive operational efficiencies. The plan primarily included total workforce reductions of approximately 24% of corporate employees (primarily a reduction in force, with some open role closures/reduced backfills), reorganizing certain functions and reallocating resources to continue to focus on customer experience and growth initiatives.</w:t>
      </w:r>
    </w:p>
    <w:p>
      <w:pPr>
        <w:spacing w:after="0" w:line="48" w:lineRule="exact"/>
        <w:rPr>
          <w:rFonts w:ascii="Arial" w:cs="Arial" w:eastAsia="Arial" w:hAnsi="Arial"/>
          <w:sz w:val="14"/>
          <w:szCs w:val="14"/>
          <w:b w:val="1"/>
          <w:bCs w:val="1"/>
          <w:color w:val="auto"/>
        </w:rPr>
      </w:pPr>
    </w:p>
    <w:p>
      <w:pPr>
        <w:ind w:left="380" w:right="8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Restructuring charges of $2.4 million for severance and related costs were recognized during the year ended January 31, 2023 and are reflected in Restructuring charges on the Company’s Consolidated Statements of Operations. Accrued restructuring charges as of January 31, 2023 were immaterial.</w:t>
      </w:r>
    </w:p>
    <w:p>
      <w:pPr>
        <w:spacing w:after="0" w:line="141" w:lineRule="exact"/>
        <w:rPr>
          <w:rFonts w:ascii="Arial" w:cs="Arial" w:eastAsia="Arial" w:hAnsi="Arial"/>
          <w:sz w:val="14"/>
          <w:szCs w:val="14"/>
          <w:b w:val="1"/>
          <w:bCs w:val="1"/>
          <w:color w:val="auto"/>
        </w:rPr>
      </w:pPr>
    </w:p>
    <w:p>
      <w:pPr>
        <w:ind w:left="380" w:right="40"/>
        <w:spacing w:after="0" w:line="268" w:lineRule="auto"/>
        <w:rPr>
          <w:rFonts w:ascii="Arial" w:cs="Arial" w:eastAsia="Arial" w:hAnsi="Arial"/>
          <w:sz w:val="14"/>
          <w:szCs w:val="14"/>
          <w:b w:val="1"/>
          <w:bCs w:val="1"/>
          <w:color w:val="auto"/>
        </w:rPr>
      </w:pPr>
      <w:r>
        <w:rPr>
          <w:rFonts w:ascii="Arial" w:cs="Arial" w:eastAsia="Arial" w:hAnsi="Arial"/>
          <w:sz w:val="14"/>
          <w:szCs w:val="14"/>
          <w:color w:val="auto"/>
        </w:rPr>
        <w:t>The Company recorded asset impairment charges of $5.3 million, of which $4.9 million related to the write-off of fixed assets and $0.4 million related to accrued expenses, during the year ended January 31, 2023, related to discontinuing two warehouse operations projects during the third and fourth quarters of fiscal year 2022 in connection with the September 2022 restructuring plan. The charge is reflected in Loss on asset impairment related to restructuring on the Company’s Consolidated Statements of Operations.</w:t>
      </w:r>
    </w:p>
    <w:p>
      <w:pPr>
        <w:spacing w:after="0" w:line="394" w:lineRule="exact"/>
        <w:rPr>
          <w:rFonts w:ascii="Arial" w:cs="Arial" w:eastAsia="Arial" w:hAnsi="Arial"/>
          <w:sz w:val="14"/>
          <w:szCs w:val="14"/>
          <w:b w:val="1"/>
          <w:bCs w:val="1"/>
          <w:color w:val="auto"/>
        </w:rPr>
      </w:pPr>
    </w:p>
    <w:p>
      <w:pPr>
        <w:ind w:left="380" w:hanging="375"/>
        <w:spacing w:after="0"/>
        <w:tabs>
          <w:tab w:leader="none" w:pos="38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Leases - Lessee Accounting</w:t>
      </w:r>
    </w:p>
    <w:p>
      <w:pPr>
        <w:spacing w:after="0" w:line="93" w:lineRule="exact"/>
        <w:rPr>
          <w:rFonts w:ascii="Arial" w:cs="Arial" w:eastAsia="Arial" w:hAnsi="Arial"/>
          <w:sz w:val="14"/>
          <w:szCs w:val="14"/>
          <w:b w:val="1"/>
          <w:bCs w:val="1"/>
          <w:color w:val="auto"/>
        </w:rPr>
      </w:pPr>
    </w:p>
    <w:p>
      <w:pPr>
        <w:ind w:left="380" w:right="6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As a lessee, the Company has operating real estate leases for its operational facilities, retail locations and corporate headquarters. The Company has operating and finance leases for its computers and equipment. Additionally, the Company procures a portion of its rental product from brand partners under revenue share arrangements, which are considered operating leases. All revenue share payments are recognized as variable lease costs and recorded in rental product depreciation and revenue share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6" w:name="page107"/>
    <w:bookmarkEnd w:id="106"/>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Company’s real estate and equipment lease terms generally range from less than one year to 14 years and certain agreements include renewal options. To the extent that the Company is reasonably certain to exercise a lease renewal option, the assumption is included in the calculation of ROU assets and lease liabilities. During the year ended January 31, 2021, the Company signed an amendment to extend the lease term of its operational facilities in Secaucus, New Jersey, which resulted in an adjustment of $5.1 million to the related ROU assets and lease liabilities, as a result of lease modification accounting. No renewal options were included in the ROU assets and lease liabilities on the consolidated balance sheets as of January 31, 2023 and 2022.</w:t>
      </w:r>
    </w:p>
    <w:p>
      <w:pPr>
        <w:spacing w:after="0" w:line="161" w:lineRule="exact"/>
        <w:rPr>
          <w:sz w:val="20"/>
          <w:szCs w:val="20"/>
          <w:color w:val="auto"/>
        </w:rPr>
      </w:pPr>
    </w:p>
    <w:p>
      <w:pPr>
        <w:ind w:left="380" w:right="40"/>
        <w:spacing w:after="0" w:line="265" w:lineRule="auto"/>
        <w:rPr>
          <w:sz w:val="20"/>
          <w:szCs w:val="20"/>
          <w:color w:val="auto"/>
        </w:rPr>
      </w:pPr>
      <w:r>
        <w:rPr>
          <w:rFonts w:ascii="Arial" w:cs="Arial" w:eastAsia="Arial" w:hAnsi="Arial"/>
          <w:sz w:val="14"/>
          <w:szCs w:val="14"/>
          <w:color w:val="auto"/>
        </w:rPr>
        <w:t>During the year ended January 31, 2021, the Company decided it would no longer fully utilize the space within three of its real estate leases and obtained subleases for those leased facilities. The subleases do not relieve the Company of its primary lease obligations. The sublessor agreements are considered operating leases, maintaining the historical classification of the underlying lease. The Company does not recognize any underlying assets for the subleases as a lessor of operating lease. The net amount received from the subleases is recorded within general and administrative expenses.</w:t>
      </w:r>
    </w:p>
    <w:p>
      <w:pPr>
        <w:spacing w:after="0" w:line="159"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During the year ended January 31, 2023, the Company amended the operating lease for its corporate headquarters in Brooklyn, NY, the terms of which terminated one floor of the leased space. The partial lease termination of the corporate headquarters leased space resulted in a reduction of $10.6 million in the Company’s future minimum fixed lease obligations as of the lease modification date. The Company treated the partial lease termination amendment as a lease modification as of the effective date which resulted in an adjustment of $3.7 million and $1.4 million to the related lease liabilities and right-of-use assets, respectively. The Company recorded a gain on the partial termination of $1.8 million and a loss on surrender of the related fixed assets, primarily leasehold improvements, of $1.9 million, both of which are recorded on the consolidated statements of operations within general and administrative expenses.</w:t>
      </w:r>
    </w:p>
    <w:p>
      <w:pPr>
        <w:spacing w:after="0" w:line="163" w:lineRule="exact"/>
        <w:rPr>
          <w:sz w:val="20"/>
          <w:szCs w:val="20"/>
          <w:color w:val="auto"/>
        </w:rPr>
      </w:pPr>
    </w:p>
    <w:p>
      <w:pPr>
        <w:jc w:val="both"/>
        <w:ind w:left="380" w:right="180"/>
        <w:spacing w:after="0" w:line="271" w:lineRule="auto"/>
        <w:rPr>
          <w:sz w:val="20"/>
          <w:szCs w:val="20"/>
          <w:color w:val="auto"/>
        </w:rPr>
      </w:pPr>
      <w:r>
        <w:rPr>
          <w:rFonts w:ascii="Arial" w:cs="Arial" w:eastAsia="Arial" w:hAnsi="Arial"/>
          <w:sz w:val="14"/>
          <w:szCs w:val="14"/>
          <w:color w:val="auto"/>
        </w:rPr>
        <w:t>As of January 31, 2023 and 2022, the weighted-average remaining lease term for operating leases was 8.38 years and 8.93 years, respectively, and the weighted-average discount rate was 16.26% and 16.82%, respectively. As of January 31, 2023 and 2022, the weighted-average remaining lease term for financing leases was 2.18 years and 2.25 years, respectively, and weighted-average discount rate was 16.41% and 11.77%, respectively.</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the components of lease costs incurred by the Company during the years ended January 31, 2023, 2022 and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January 31,</w:t>
            </w: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660" w:type="dxa"/>
            <w:vAlign w:val="bottom"/>
            <w:gridSpan w:val="2"/>
          </w:tcPr>
          <w:p>
            <w:pPr>
              <w:jc w:val="right"/>
              <w:ind w:right="69"/>
              <w:spacing w:after="0"/>
              <w:rPr>
                <w:sz w:val="20"/>
                <w:szCs w:val="20"/>
                <w:color w:val="auto"/>
              </w:rPr>
            </w:pPr>
            <w:r>
              <w:rPr>
                <w:rFonts w:ascii="Arial" w:cs="Arial" w:eastAsia="Arial" w:hAnsi="Arial"/>
                <w:sz w:val="11"/>
                <w:szCs w:val="11"/>
                <w:b w:val="1"/>
                <w:bCs w:val="1"/>
                <w:color w:val="auto"/>
              </w:rPr>
              <w:t>2023</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512"/>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ind w:right="511"/>
              <w:spacing w:after="0"/>
              <w:rPr>
                <w:sz w:val="20"/>
                <w:szCs w:val="20"/>
                <w:color w:val="auto"/>
              </w:rPr>
            </w:pPr>
            <w:r>
              <w:rPr>
                <w:rFonts w:ascii="Arial" w:cs="Arial" w:eastAsia="Arial" w:hAnsi="Arial"/>
                <w:sz w:val="11"/>
                <w:szCs w:val="11"/>
                <w:b w:val="1"/>
                <w:bCs w:val="1"/>
                <w:color w:val="auto"/>
              </w:rPr>
              <w:t>2021</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costs</w:t>
            </w:r>
          </w:p>
        </w:tc>
        <w:tc>
          <w:tcPr>
            <w:tcW w:w="26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4"/>
                <w:szCs w:val="14"/>
                <w:color w:val="auto"/>
              </w:rPr>
              <w:t>Short-term lease costs</w:t>
            </w:r>
          </w:p>
        </w:tc>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33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fixed lease costs</w:t>
            </w:r>
          </w:p>
        </w:tc>
        <w:tc>
          <w:tcPr>
            <w:tcW w:w="26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Variable lease costs</w:t>
            </w:r>
          </w:p>
        </w:tc>
        <w:tc>
          <w:tcPr>
            <w:tcW w:w="26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lease costs</w:t>
            </w:r>
          </w:p>
        </w:tc>
        <w:tc>
          <w:tcPr>
            <w:tcW w:w="268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Sublease income</w:t>
            </w:r>
          </w:p>
        </w:tc>
        <w:tc>
          <w:tcPr>
            <w:tcW w:w="26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6"/>
                <w:szCs w:val="16"/>
                <w:color w:val="auto"/>
              </w:rPr>
            </w:pPr>
          </w:p>
        </w:tc>
        <w:tc>
          <w:tcPr>
            <w:tcW w:w="3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lease costs, net</w:t>
            </w:r>
          </w:p>
        </w:tc>
        <w:tc>
          <w:tcPr>
            <w:tcW w:w="26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596"/>
              <w:spacing w:after="0"/>
              <w:rPr>
                <w:sz w:val="20"/>
                <w:szCs w:val="20"/>
                <w:color w:val="auto"/>
              </w:rPr>
            </w:pPr>
            <w:r>
              <w:rPr>
                <w:rFonts w:ascii="Arial" w:cs="Arial" w:eastAsia="Arial" w:hAnsi="Arial"/>
                <w:sz w:val="14"/>
                <w:szCs w:val="14"/>
                <w:color w:val="auto"/>
              </w:rPr>
              <w:t>104</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6"/>
        </w:trPr>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8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7" w:name="page108"/>
    <w:bookmarkEnd w:id="107"/>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The following table summarizes the Company’s minimum fixed lease obligations under existing agreements as a lessee, excluding variable payments and short-term lease payments, as of January 31, 2023:</w:t>
      </w:r>
    </w:p>
    <w:p>
      <w:pPr>
        <w:spacing w:after="0" w:line="182"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Operating</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Financing</w:t>
            </w:r>
          </w:p>
        </w:tc>
      </w:tr>
      <w:tr>
        <w:trPr>
          <w:trHeight w:val="161"/>
        </w:trPr>
        <w:tc>
          <w:tcPr>
            <w:tcW w:w="7380" w:type="dxa"/>
            <w:vAlign w:val="bottom"/>
            <w:shd w:val="clear" w:color="auto" w:fill="CCEEFF"/>
          </w:tcPr>
          <w:p>
            <w:pPr>
              <w:jc w:val="right"/>
              <w:ind w:right="6569"/>
              <w:spacing w:after="0"/>
              <w:rPr>
                <w:sz w:val="20"/>
                <w:szCs w:val="20"/>
                <w:color w:val="auto"/>
              </w:rPr>
            </w:pPr>
            <w:r>
              <w:rPr>
                <w:rFonts w:ascii="Arial" w:cs="Arial" w:eastAsia="Arial" w:hAnsi="Arial"/>
                <w:sz w:val="14"/>
                <w:szCs w:val="14"/>
                <w:color w:val="auto"/>
              </w:rPr>
              <w:t>Fiscal year:</w:t>
            </w:r>
          </w:p>
        </w:tc>
        <w:tc>
          <w:tcPr>
            <w:tcW w:w="1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7380" w:type="dxa"/>
            <w:vAlign w:val="bottom"/>
          </w:tcPr>
          <w:p>
            <w:pPr>
              <w:jc w:val="right"/>
              <w:ind w:right="6809"/>
              <w:spacing w:after="0"/>
              <w:rPr>
                <w:sz w:val="20"/>
                <w:szCs w:val="20"/>
                <w:color w:val="auto"/>
              </w:rPr>
            </w:pPr>
            <w:r>
              <w:rPr>
                <w:rFonts w:ascii="Arial" w:cs="Arial" w:eastAsia="Arial" w:hAnsi="Arial"/>
                <w:sz w:val="14"/>
                <w:szCs w:val="14"/>
                <w:color w:val="auto"/>
              </w:rPr>
              <w:t>2023</w:t>
            </w:r>
          </w:p>
        </w:tc>
        <w:tc>
          <w:tcPr>
            <w:tcW w:w="1020" w:type="dxa"/>
            <w:vAlign w:val="bottom"/>
          </w:tcPr>
          <w:p>
            <w:pPr>
              <w:jc w:val="right"/>
              <w:ind w:right="854"/>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12"/>
        </w:trPr>
        <w:tc>
          <w:tcPr>
            <w:tcW w:w="7380" w:type="dxa"/>
            <w:vAlign w:val="bottom"/>
            <w:shd w:val="clear" w:color="auto" w:fill="CCEEFF"/>
          </w:tcPr>
          <w:p>
            <w:pPr>
              <w:jc w:val="right"/>
              <w:ind w:right="6809"/>
              <w:spacing w:after="0"/>
              <w:rPr>
                <w:sz w:val="20"/>
                <w:szCs w:val="20"/>
                <w:color w:val="auto"/>
              </w:rPr>
            </w:pPr>
            <w:r>
              <w:rPr>
                <w:rFonts w:ascii="Arial" w:cs="Arial" w:eastAsia="Arial" w:hAnsi="Arial"/>
                <w:sz w:val="14"/>
                <w:szCs w:val="14"/>
                <w:color w:val="auto"/>
              </w:rPr>
              <w:t>2024</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12"/>
        </w:trPr>
        <w:tc>
          <w:tcPr>
            <w:tcW w:w="7380" w:type="dxa"/>
            <w:vAlign w:val="bottom"/>
          </w:tcPr>
          <w:p>
            <w:pPr>
              <w:jc w:val="right"/>
              <w:ind w:right="6809"/>
              <w:spacing w:after="0"/>
              <w:rPr>
                <w:sz w:val="20"/>
                <w:szCs w:val="20"/>
                <w:color w:val="auto"/>
              </w:rPr>
            </w:pPr>
            <w:r>
              <w:rPr>
                <w:rFonts w:ascii="Arial" w:cs="Arial" w:eastAsia="Arial" w:hAnsi="Arial"/>
                <w:sz w:val="14"/>
                <w:szCs w:val="14"/>
                <w:color w:val="auto"/>
              </w:rPr>
              <w:t>2025</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7380" w:type="dxa"/>
            <w:vAlign w:val="bottom"/>
            <w:shd w:val="clear" w:color="auto" w:fill="CCEEFF"/>
          </w:tcPr>
          <w:p>
            <w:pPr>
              <w:jc w:val="right"/>
              <w:ind w:right="6809"/>
              <w:spacing w:after="0"/>
              <w:rPr>
                <w:sz w:val="20"/>
                <w:szCs w:val="20"/>
                <w:color w:val="auto"/>
              </w:rPr>
            </w:pPr>
            <w:r>
              <w:rPr>
                <w:rFonts w:ascii="Arial" w:cs="Arial" w:eastAsia="Arial" w:hAnsi="Arial"/>
                <w:sz w:val="14"/>
                <w:szCs w:val="14"/>
                <w:color w:val="auto"/>
              </w:rPr>
              <w:t>2026</w:t>
            </w: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7380" w:type="dxa"/>
            <w:vAlign w:val="bottom"/>
          </w:tcPr>
          <w:p>
            <w:pPr>
              <w:jc w:val="right"/>
              <w:ind w:right="6809"/>
              <w:spacing w:after="0"/>
              <w:rPr>
                <w:sz w:val="20"/>
                <w:szCs w:val="20"/>
                <w:color w:val="auto"/>
              </w:rPr>
            </w:pPr>
            <w:r>
              <w:rPr>
                <w:rFonts w:ascii="Arial" w:cs="Arial" w:eastAsia="Arial" w:hAnsi="Arial"/>
                <w:sz w:val="14"/>
                <w:szCs w:val="14"/>
                <w:color w:val="auto"/>
              </w:rPr>
              <w:t>2027</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Thereafter</w:t>
            </w:r>
          </w:p>
        </w:tc>
        <w:tc>
          <w:tcPr>
            <w:tcW w:w="10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380" w:type="dxa"/>
            <w:vAlign w:val="bottom"/>
          </w:tcPr>
          <w:p>
            <w:pPr>
              <w:jc w:val="right"/>
              <w:ind w:right="5129"/>
              <w:spacing w:after="0"/>
              <w:rPr>
                <w:sz w:val="20"/>
                <w:szCs w:val="20"/>
                <w:color w:val="auto"/>
              </w:rPr>
            </w:pPr>
            <w:r>
              <w:rPr>
                <w:rFonts w:ascii="Arial" w:cs="Arial" w:eastAsia="Arial" w:hAnsi="Arial"/>
                <w:sz w:val="14"/>
                <w:szCs w:val="14"/>
                <w:color w:val="auto"/>
              </w:rPr>
              <w:t>Total minimum lease payments</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79.3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0"/>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Imputed interest</w:t>
            </w:r>
          </w:p>
        </w:tc>
        <w:tc>
          <w:tcPr>
            <w:tcW w:w="10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71"/>
        </w:trPr>
        <w:tc>
          <w:tcPr>
            <w:tcW w:w="7380" w:type="dxa"/>
            <w:vAlign w:val="bottom"/>
          </w:tcPr>
          <w:p>
            <w:pPr>
              <w:jc w:val="right"/>
              <w:ind w:right="4589"/>
              <w:spacing w:after="0"/>
              <w:rPr>
                <w:sz w:val="20"/>
                <w:szCs w:val="20"/>
                <w:color w:val="auto"/>
              </w:rPr>
            </w:pPr>
            <w:r>
              <w:rPr>
                <w:rFonts w:ascii="Arial" w:cs="Arial" w:eastAsia="Arial" w:hAnsi="Arial"/>
                <w:sz w:val="14"/>
                <w:szCs w:val="14"/>
                <w:color w:val="auto"/>
              </w:rPr>
              <w:t>Lease liabilities as of January 31, 2023</w:t>
            </w:r>
          </w:p>
        </w:tc>
        <w:tc>
          <w:tcPr>
            <w:tcW w:w="102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0"/>
        </w:trPr>
        <w:tc>
          <w:tcPr>
            <w:tcW w:w="7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left="380" w:hanging="375"/>
        <w:spacing w:after="0"/>
        <w:tabs>
          <w:tab w:leader="none" w:pos="38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Rental Product, Net</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Rental product, net consisted of the following:</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Arial" w:cs="Arial" w:eastAsia="Arial" w:hAnsi="Arial"/>
                <w:sz w:val="11"/>
                <w:szCs w:val="11"/>
                <w:b w:val="1"/>
                <w:bCs w:val="1"/>
                <w:color w:val="auto"/>
              </w:rPr>
              <w:t>January 31,</w:t>
            </w:r>
          </w:p>
        </w:tc>
        <w:tc>
          <w:tcPr>
            <w:tcW w:w="260" w:type="dxa"/>
            <w:vAlign w:val="bottom"/>
          </w:tcPr>
          <w:p>
            <w:pPr>
              <w:spacing w:after="0"/>
              <w:rPr>
                <w:sz w:val="13"/>
                <w:szCs w:val="13"/>
                <w:color w:val="auto"/>
              </w:rPr>
            </w:pPr>
          </w:p>
        </w:tc>
        <w:tc>
          <w:tcPr>
            <w:tcW w:w="1180" w:type="dxa"/>
            <w:vAlign w:val="bottom"/>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2022</w:t>
            </w:r>
          </w:p>
        </w:tc>
      </w:tr>
      <w:tr>
        <w:trPr>
          <w:trHeight w:val="150"/>
        </w:trPr>
        <w:tc>
          <w:tcPr>
            <w:tcW w:w="7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Apparel</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w:t>
            </w:r>
          </w:p>
        </w:tc>
      </w:tr>
      <w:tr>
        <w:trPr>
          <w:trHeight w:val="21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Accessories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r>
      <w:tr>
        <w:trPr>
          <w:trHeight w:val="171"/>
        </w:trPr>
        <w:tc>
          <w:tcPr>
            <w:tcW w:w="7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w:t>
            </w:r>
          </w:p>
        </w:tc>
      </w:tr>
      <w:tr>
        <w:trPr>
          <w:trHeight w:val="21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w:t>
            </w:r>
          </w:p>
        </w:tc>
      </w:tr>
      <w:tr>
        <w:trPr>
          <w:trHeight w:val="196"/>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Rental product, net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left="380" w:right="340"/>
        <w:spacing w:after="0" w:line="290" w:lineRule="auto"/>
        <w:rPr>
          <w:sz w:val="20"/>
          <w:szCs w:val="20"/>
          <w:color w:val="auto"/>
        </w:rPr>
      </w:pPr>
      <w:r>
        <w:rPr>
          <w:rFonts w:ascii="Arial" w:cs="Arial" w:eastAsia="Arial" w:hAnsi="Arial"/>
          <w:sz w:val="14"/>
          <w:szCs w:val="14"/>
          <w:color w:val="auto"/>
        </w:rPr>
        <w:t>Depreciation and write-offs related to rental product, including write-offs of rental products sold, was $52.9 million, $50.3 million, and $69.9 million for the years ended January 31, 2023, 2022, and 2021, respectively.</w:t>
      </w:r>
    </w:p>
    <w:p>
      <w:pPr>
        <w:spacing w:after="0" w:line="200" w:lineRule="exact"/>
        <w:rPr>
          <w:sz w:val="20"/>
          <w:szCs w:val="20"/>
          <w:color w:val="auto"/>
        </w:rPr>
      </w:pPr>
    </w:p>
    <w:p>
      <w:pPr>
        <w:spacing w:after="0" w:line="21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23" w:right="539" w:bottom="1440" w:gutter="0" w:footer="0" w:header="0"/>
        </w:sectPr>
      </w:pPr>
    </w:p>
    <w:bookmarkStart w:id="108" w:name="page109"/>
    <w:bookmarkEnd w:id="108"/>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375"/>
        <w:spacing w:after="0"/>
        <w:tabs>
          <w:tab w:leader="none" w:pos="380"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Fixed and Intangible Assets, Net</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Fixed and intangible assets, net consisted of the following:</w:t>
      </w:r>
    </w:p>
    <w:p>
      <w:pPr>
        <w:spacing w:after="0" w:line="4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80"/>
              <w:spacing w:after="0"/>
              <w:rPr>
                <w:sz w:val="20"/>
                <w:szCs w:val="20"/>
                <w:color w:val="auto"/>
              </w:rPr>
            </w:pPr>
            <w:r>
              <w:rPr>
                <w:rFonts w:ascii="Arial" w:cs="Arial" w:eastAsia="Arial" w:hAnsi="Arial"/>
                <w:sz w:val="11"/>
                <w:szCs w:val="11"/>
                <w:b w:val="1"/>
                <w:bCs w:val="1"/>
                <w:color w:val="auto"/>
              </w:rPr>
              <w:t>January 31,</w:t>
            </w:r>
          </w:p>
        </w:tc>
        <w:tc>
          <w:tcPr>
            <w:tcW w:w="260" w:type="dxa"/>
            <w:vAlign w:val="bottom"/>
          </w:tcPr>
          <w:p>
            <w:pPr>
              <w:spacing w:after="0"/>
              <w:rPr>
                <w:sz w:val="13"/>
                <w:szCs w:val="13"/>
                <w:color w:val="auto"/>
              </w:rPr>
            </w:pPr>
          </w:p>
        </w:tc>
        <w:tc>
          <w:tcPr>
            <w:tcW w:w="1220" w:type="dxa"/>
            <w:vAlign w:val="bottom"/>
          </w:tcPr>
          <w:p>
            <w:pPr>
              <w:jc w:val="right"/>
              <w:ind w:right="371"/>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0"/>
        </w:trPr>
        <w:tc>
          <w:tcPr>
            <w:tcW w:w="76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9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53.8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212"/>
        </w:trPr>
        <w:tc>
          <w:tcPr>
            <w:tcW w:w="7620" w:type="dxa"/>
            <w:vAlign w:val="bottom"/>
          </w:tcPr>
          <w:p>
            <w:pPr>
              <w:ind w:left="20"/>
              <w:spacing w:after="0"/>
              <w:rPr>
                <w:sz w:val="20"/>
                <w:szCs w:val="20"/>
                <w:color w:val="auto"/>
              </w:rPr>
            </w:pPr>
            <w:r>
              <w:rPr>
                <w:rFonts w:ascii="Arial" w:cs="Arial" w:eastAsia="Arial" w:hAnsi="Arial"/>
                <w:sz w:val="14"/>
                <w:szCs w:val="14"/>
                <w:color w:val="auto"/>
              </w:rPr>
              <w:t>Machinery and equipment</w:t>
            </w:r>
          </w:p>
        </w:tc>
        <w:tc>
          <w:tcPr>
            <w:tcW w:w="26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45.9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Reusable packaging</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12"/>
        </w:trPr>
        <w:tc>
          <w:tcPr>
            <w:tcW w:w="7620" w:type="dxa"/>
            <w:vAlign w:val="bottom"/>
          </w:tcPr>
          <w:p>
            <w:pPr>
              <w:ind w:left="20"/>
              <w:spacing w:after="0"/>
              <w:rPr>
                <w:sz w:val="20"/>
                <w:szCs w:val="20"/>
                <w:color w:val="auto"/>
              </w:rPr>
            </w:pPr>
            <w:r>
              <w:rPr>
                <w:rFonts w:ascii="Arial" w:cs="Arial" w:eastAsia="Arial" w:hAnsi="Arial"/>
                <w:sz w:val="14"/>
                <w:szCs w:val="14"/>
                <w:color w:val="auto"/>
              </w:rPr>
              <w:t>Computer hardware</w:t>
            </w:r>
          </w:p>
        </w:tc>
        <w:tc>
          <w:tcPr>
            <w:tcW w:w="26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0"/>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lease ROU assets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1"/>
        </w:trPr>
        <w:tc>
          <w:tcPr>
            <w:tcW w:w="7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113.8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212"/>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196"/>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Fixed assets, net</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44.7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Software assets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620" w:type="dxa"/>
            <w:vAlign w:val="bottom"/>
            <w:vMerge w:val="continue"/>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24"/>
                <w:szCs w:val="2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71"/>
        </w:trPr>
        <w:tc>
          <w:tcPr>
            <w:tcW w:w="7620" w:type="dxa"/>
            <w:vAlign w:val="bottom"/>
          </w:tcPr>
          <w:p>
            <w:pPr>
              <w:ind w:left="280"/>
              <w:spacing w:after="0"/>
              <w:rPr>
                <w:sz w:val="20"/>
                <w:szCs w:val="20"/>
                <w:color w:val="auto"/>
              </w:rPr>
            </w:pPr>
            <w:r>
              <w:rPr>
                <w:rFonts w:ascii="Arial" w:cs="Arial" w:eastAsia="Arial" w:hAnsi="Arial"/>
                <w:sz w:val="14"/>
                <w:szCs w:val="14"/>
                <w:color w:val="auto"/>
              </w:rPr>
              <w:t>Intangible assets, net</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80" w:right="260"/>
        <w:spacing w:after="0" w:line="271" w:lineRule="auto"/>
        <w:rPr>
          <w:sz w:val="20"/>
          <w:szCs w:val="20"/>
          <w:color w:val="auto"/>
        </w:rPr>
      </w:pPr>
      <w:r>
        <w:rPr>
          <w:rFonts w:ascii="Arial" w:cs="Arial" w:eastAsia="Arial" w:hAnsi="Arial"/>
          <w:sz w:val="14"/>
          <w:szCs w:val="14"/>
          <w:color w:val="auto"/>
        </w:rPr>
        <w:t>Depreciation related to fixed assets was $12.7 million, $14.8 million, and $18.4 million for the years ended January 31, 2023, 2022, and 2021, respectively. Amortization of intangible assets was $3.7 million, $4.7 million, and $5.7 million for the years ended January 31, 2023, 2022, and 2021, respectively. See Note 5 — Leases – Lessee Accounting for further details related to the finance lease ROU assets included in fixed assets on the consolidated balance sheets.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January 31, 2023, expected amortization of intangible assets (excluding software projects not yet deployed)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0" w:type="dxa"/>
            <w:vAlign w:val="bottom"/>
          </w:tcPr>
          <w:p>
            <w:pPr>
              <w:spacing w:after="0"/>
              <w:rPr>
                <w:sz w:val="15"/>
                <w:szCs w:val="15"/>
                <w:color w:val="auto"/>
              </w:rPr>
            </w:pPr>
          </w:p>
        </w:tc>
        <w:tc>
          <w:tcPr>
            <w:tcW w:w="3460" w:type="dxa"/>
            <w:vAlign w:val="bottom"/>
            <w:shd w:val="clear" w:color="auto" w:fill="CCEEFF"/>
          </w:tcPr>
          <w:p>
            <w:pPr>
              <w:jc w:val="right"/>
              <w:ind w:right="2649"/>
              <w:spacing w:after="0"/>
              <w:rPr>
                <w:sz w:val="20"/>
                <w:szCs w:val="20"/>
                <w:color w:val="auto"/>
              </w:rPr>
            </w:pPr>
            <w:r>
              <w:rPr>
                <w:rFonts w:ascii="Arial" w:cs="Arial" w:eastAsia="Arial" w:hAnsi="Arial"/>
                <w:sz w:val="14"/>
                <w:szCs w:val="14"/>
                <w:color w:val="auto"/>
              </w:rPr>
              <w:t>Fiscal year:</w:t>
            </w:r>
          </w:p>
        </w:tc>
        <w:tc>
          <w:tcPr>
            <w:tcW w:w="5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460" w:type="dxa"/>
            <w:vAlign w:val="bottom"/>
          </w:tcPr>
          <w:p>
            <w:pPr>
              <w:jc w:val="right"/>
              <w:ind w:right="2889"/>
              <w:spacing w:after="0"/>
              <w:rPr>
                <w:sz w:val="20"/>
                <w:szCs w:val="20"/>
                <w:color w:val="auto"/>
              </w:rPr>
            </w:pPr>
            <w:r>
              <w:rPr>
                <w:rFonts w:ascii="Arial" w:cs="Arial" w:eastAsia="Arial" w:hAnsi="Arial"/>
                <w:sz w:val="14"/>
                <w:szCs w:val="14"/>
                <w:color w:val="auto"/>
              </w:rPr>
              <w:t>2023</w:t>
            </w:r>
          </w:p>
        </w:tc>
        <w:tc>
          <w:tcPr>
            <w:tcW w:w="6340" w:type="dxa"/>
            <w:vAlign w:val="bottom"/>
            <w:gridSpan w:val="2"/>
          </w:tcPr>
          <w:p>
            <w:pPr>
              <w:jc w:val="right"/>
              <w:ind w:right="50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460" w:type="dxa"/>
            <w:vAlign w:val="bottom"/>
            <w:shd w:val="clear" w:color="auto" w:fill="CCEEFF"/>
          </w:tcPr>
          <w:p>
            <w:pPr>
              <w:jc w:val="right"/>
              <w:ind w:right="2889"/>
              <w:spacing w:after="0"/>
              <w:rPr>
                <w:sz w:val="20"/>
                <w:szCs w:val="20"/>
                <w:color w:val="auto"/>
              </w:rPr>
            </w:pPr>
            <w:r>
              <w:rPr>
                <w:rFonts w:ascii="Arial" w:cs="Arial" w:eastAsia="Arial" w:hAnsi="Arial"/>
                <w:sz w:val="14"/>
                <w:szCs w:val="14"/>
                <w:color w:val="auto"/>
              </w:rPr>
              <w:t>2024</w:t>
            </w:r>
          </w:p>
        </w:tc>
        <w:tc>
          <w:tcPr>
            <w:tcW w:w="5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gridSpan w:val="2"/>
          </w:tcPr>
          <w:p>
            <w:pPr>
              <w:jc w:val="right"/>
              <w:ind w:right="2889"/>
              <w:spacing w:after="0"/>
              <w:rPr>
                <w:sz w:val="20"/>
                <w:szCs w:val="20"/>
                <w:color w:val="auto"/>
              </w:rPr>
            </w:pPr>
            <w:r>
              <w:rPr>
                <w:rFonts w:ascii="Arial" w:cs="Arial" w:eastAsia="Arial" w:hAnsi="Arial"/>
                <w:sz w:val="14"/>
                <w:szCs w:val="14"/>
                <w:color w:val="auto"/>
              </w:rPr>
              <w:t>2025</w:t>
            </w:r>
          </w:p>
        </w:tc>
        <w:tc>
          <w:tcPr>
            <w:tcW w:w="5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460" w:type="dxa"/>
            <w:vAlign w:val="bottom"/>
            <w:shd w:val="clear" w:color="auto" w:fill="CCEEFF"/>
          </w:tcPr>
          <w:p>
            <w:pPr>
              <w:jc w:val="right"/>
              <w:ind w:right="2589"/>
              <w:spacing w:after="0"/>
              <w:rPr>
                <w:sz w:val="20"/>
                <w:szCs w:val="20"/>
                <w:color w:val="auto"/>
              </w:rPr>
            </w:pPr>
            <w:r>
              <w:rPr>
                <w:rFonts w:ascii="Arial" w:cs="Arial" w:eastAsia="Arial" w:hAnsi="Arial"/>
                <w:sz w:val="14"/>
                <w:szCs w:val="14"/>
                <w:color w:val="auto"/>
              </w:rPr>
              <w:t>Thereafter</w:t>
            </w:r>
          </w:p>
        </w:tc>
        <w:tc>
          <w:tcPr>
            <w:tcW w:w="56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3460" w:type="dxa"/>
            <w:vAlign w:val="bottom"/>
          </w:tcPr>
          <w:p>
            <w:pPr>
              <w:jc w:val="right"/>
              <w:ind w:right="1609"/>
              <w:spacing w:after="0"/>
              <w:rPr>
                <w:sz w:val="20"/>
                <w:szCs w:val="20"/>
                <w:color w:val="auto"/>
              </w:rPr>
            </w:pPr>
            <w:r>
              <w:rPr>
                <w:rFonts w:ascii="Arial" w:cs="Arial" w:eastAsia="Arial" w:hAnsi="Arial"/>
                <w:sz w:val="14"/>
                <w:szCs w:val="14"/>
                <w:color w:val="auto"/>
              </w:rPr>
              <w:t>Total future amortization</w:t>
            </w:r>
          </w:p>
        </w:tc>
        <w:tc>
          <w:tcPr>
            <w:tcW w:w="5680" w:type="dxa"/>
            <w:vAlign w:val="bottom"/>
          </w:tcPr>
          <w:p>
            <w:pPr>
              <w:spacing w:after="0"/>
              <w:rPr>
                <w:sz w:val="14"/>
                <w:szCs w:val="14"/>
                <w:color w:val="auto"/>
              </w:rPr>
            </w:pPr>
          </w:p>
        </w:tc>
        <w:tc>
          <w:tcPr>
            <w:tcW w:w="6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680" w:type="dxa"/>
            <w:vAlign w:val="bottom"/>
            <w:vMerge w:val="restart"/>
          </w:tcPr>
          <w:p>
            <w:pPr>
              <w:jc w:val="right"/>
              <w:ind w:right="3689"/>
              <w:spacing w:after="0"/>
              <w:rPr>
                <w:sz w:val="20"/>
                <w:szCs w:val="20"/>
                <w:color w:val="auto"/>
              </w:rPr>
            </w:pPr>
            <w:r>
              <w:rPr>
                <w:rFonts w:ascii="Arial" w:cs="Arial" w:eastAsia="Arial" w:hAnsi="Arial"/>
                <w:sz w:val="14"/>
                <w:szCs w:val="14"/>
                <w:color w:val="auto"/>
              </w:rPr>
              <w:t>106</w:t>
            </w: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80" w:type="dxa"/>
            <w:vAlign w:val="bottom"/>
            <w:tcBorders>
              <w:bottom w:val="single" w:sz="8" w:color="9A9A9A"/>
            </w:tcBorders>
          </w:tcPr>
          <w:p>
            <w:pPr>
              <w:spacing w:after="0"/>
              <w:rPr>
                <w:sz w:val="7"/>
                <w:szCs w:val="7"/>
                <w:color w:val="auto"/>
              </w:rPr>
            </w:pPr>
          </w:p>
        </w:tc>
        <w:tc>
          <w:tcPr>
            <w:tcW w:w="3460" w:type="dxa"/>
            <w:vAlign w:val="bottom"/>
            <w:tcBorders>
              <w:bottom w:val="single" w:sz="8" w:color="9A9A9A"/>
            </w:tcBorders>
          </w:tcPr>
          <w:p>
            <w:pPr>
              <w:spacing w:after="0"/>
              <w:rPr>
                <w:sz w:val="7"/>
                <w:szCs w:val="7"/>
                <w:color w:val="auto"/>
              </w:rPr>
            </w:pPr>
          </w:p>
        </w:tc>
        <w:tc>
          <w:tcPr>
            <w:tcW w:w="5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9" w:name="page110"/>
    <w:bookmarkEnd w:id="109"/>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right="9780" w:hanging="375"/>
        <w:spacing w:after="0" w:line="379" w:lineRule="auto"/>
        <w:tabs>
          <w:tab w:leader="none" w:pos="371"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color w:val="auto"/>
        </w:rPr>
        <w:t>Long-Term Debt Summary</w:t>
      </w: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summarizes the Company’s line of credit and long-term debt outstanding as of January 31, 2023 and 2022:</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Arial" w:cs="Arial" w:eastAsia="Arial" w:hAnsi="Arial"/>
                <w:sz w:val="11"/>
                <w:szCs w:val="11"/>
                <w:b w:val="1"/>
                <w:bCs w:val="1"/>
                <w:color w:val="auto"/>
              </w:rPr>
              <w:t>January 31,</w:t>
            </w:r>
          </w:p>
        </w:tc>
        <w:tc>
          <w:tcPr>
            <w:tcW w:w="260" w:type="dxa"/>
            <w:vAlign w:val="bottom"/>
          </w:tcPr>
          <w:p>
            <w:pPr>
              <w:spacing w:after="0"/>
              <w:rPr>
                <w:sz w:val="13"/>
                <w:szCs w:val="13"/>
                <w:color w:val="auto"/>
              </w:rPr>
            </w:pPr>
          </w:p>
        </w:tc>
        <w:tc>
          <w:tcPr>
            <w:tcW w:w="1180" w:type="dxa"/>
            <w:vAlign w:val="bottom"/>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2022</w:t>
            </w:r>
          </w:p>
        </w:tc>
      </w:tr>
      <w:tr>
        <w:trPr>
          <w:trHeight w:val="193"/>
        </w:trPr>
        <w:tc>
          <w:tcPr>
            <w:tcW w:w="7380" w:type="dxa"/>
            <w:vAlign w:val="bottom"/>
          </w:tcPr>
          <w:p>
            <w:pPr>
              <w:ind w:left="20"/>
              <w:spacing w:after="0"/>
              <w:rPr>
                <w:sz w:val="20"/>
                <w:szCs w:val="20"/>
                <w:color w:val="auto"/>
              </w:rPr>
            </w:pPr>
            <w:r>
              <w:rPr>
                <w:rFonts w:ascii="Arial" w:cs="Arial" w:eastAsia="Arial" w:hAnsi="Arial"/>
                <w:sz w:val="14"/>
                <w:szCs w:val="14"/>
                <w:color w:val="auto"/>
              </w:rPr>
              <w:t>Temasek Facility principal outstanding</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271.6</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271.6</w:t>
            </w:r>
          </w:p>
        </w:tc>
      </w:tr>
      <w:tr>
        <w:trPr>
          <w:trHeight w:val="212"/>
        </w:trPr>
        <w:tc>
          <w:tcPr>
            <w:tcW w:w="7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 payment-in-kind interest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12"/>
        </w:trPr>
        <w:tc>
          <w:tcPr>
            <w:tcW w:w="73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Less: unamortized debt discount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r>
      <w:tr>
        <w:trPr>
          <w:trHeight w:val="192"/>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Temasek Facility, net</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260.8</w:t>
            </w:r>
          </w:p>
        </w:tc>
      </w:tr>
      <w:tr>
        <w:trPr>
          <w:trHeight w:val="212"/>
        </w:trPr>
        <w:tc>
          <w:tcPr>
            <w:tcW w:w="7380" w:type="dxa"/>
            <w:vAlign w:val="bottom"/>
          </w:tcPr>
          <w:p>
            <w:pPr>
              <w:ind w:left="280"/>
              <w:spacing w:after="0"/>
              <w:rPr>
                <w:sz w:val="20"/>
                <w:szCs w:val="20"/>
                <w:color w:val="auto"/>
              </w:rPr>
            </w:pPr>
            <w:r>
              <w:rPr>
                <w:rFonts w:ascii="Arial" w:cs="Arial" w:eastAsia="Arial" w:hAnsi="Arial"/>
                <w:sz w:val="14"/>
                <w:szCs w:val="14"/>
                <w:color w:val="auto"/>
              </w:rPr>
              <w:t>Less: current portion of long-term debt</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noncurrent line of credit and long-term debt</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260.8</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Bank of America Line of Credit</w:t>
      </w:r>
    </w:p>
    <w:p>
      <w:pPr>
        <w:spacing w:after="0" w:line="94" w:lineRule="exact"/>
        <w:rPr>
          <w:sz w:val="20"/>
          <w:szCs w:val="20"/>
          <w:color w:val="auto"/>
        </w:rPr>
      </w:pPr>
    </w:p>
    <w:p>
      <w:pPr>
        <w:ind w:left="380" w:right="300"/>
        <w:spacing w:after="0" w:line="290" w:lineRule="auto"/>
        <w:rPr>
          <w:sz w:val="20"/>
          <w:szCs w:val="20"/>
          <w:color w:val="auto"/>
        </w:rPr>
      </w:pPr>
      <w:r>
        <w:rPr>
          <w:rFonts w:ascii="Arial" w:cs="Arial" w:eastAsia="Arial" w:hAnsi="Arial"/>
          <w:sz w:val="14"/>
          <w:szCs w:val="14"/>
          <w:color w:val="auto"/>
        </w:rPr>
        <w:t>In April 2019, the Company entered into a Credit Agreement with Bank of America and an asset-backed revolving credit facility (the “Line of Credit”) was put in place with Bank of America as agent and a lender, and Barclays Bank PLC and Goldman Sachs Bank USA as additional lenders.</w:t>
      </w:r>
    </w:p>
    <w:p>
      <w:pPr>
        <w:spacing w:after="0" w:line="141"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In October 2020, the Company entered into a new secured term loan senior credit agreement with Ares Corporate Opportunities Fund V, L.P. (the “Ares Facility” described below) and repaid all outstanding principal on the Line of Credit, and terminated the credit commitments. During the year ended January 31, 2021, the Company recognized a $0.6 million loss on debt extinguishment related to this transaction. There were no outstanding balances as of January 31, 2023 and 2022.</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Temasek Facility</w:t>
      </w:r>
    </w:p>
    <w:p>
      <w:pPr>
        <w:spacing w:after="0" w:line="94" w:lineRule="exact"/>
        <w:rPr>
          <w:sz w:val="20"/>
          <w:szCs w:val="20"/>
          <w:color w:val="auto"/>
        </w:rPr>
      </w:pPr>
    </w:p>
    <w:p>
      <w:pPr>
        <w:ind w:left="380" w:right="200"/>
        <w:spacing w:after="0" w:line="271" w:lineRule="auto"/>
        <w:rPr>
          <w:sz w:val="20"/>
          <w:szCs w:val="20"/>
          <w:color w:val="auto"/>
        </w:rPr>
      </w:pPr>
      <w:r>
        <w:rPr>
          <w:rFonts w:ascii="Arial" w:cs="Arial" w:eastAsia="Arial" w:hAnsi="Arial"/>
          <w:sz w:val="14"/>
          <w:szCs w:val="14"/>
          <w:color w:val="auto"/>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spacing w:after="0" w:line="134" w:lineRule="exact"/>
        <w:rPr>
          <w:sz w:val="20"/>
          <w:szCs w:val="20"/>
          <w:color w:val="auto"/>
        </w:rPr>
      </w:pPr>
    </w:p>
    <w:p>
      <w:pPr>
        <w:ind w:left="380" w:right="360"/>
        <w:spacing w:after="0" w:line="271" w:lineRule="auto"/>
        <w:rPr>
          <w:sz w:val="20"/>
          <w:szCs w:val="20"/>
          <w:color w:val="auto"/>
        </w:rPr>
      </w:pPr>
      <w:r>
        <w:rPr>
          <w:rFonts w:ascii="Arial" w:cs="Arial" w:eastAsia="Arial" w:hAnsi="Arial"/>
          <w:sz w:val="14"/>
          <w:szCs w:val="14"/>
          <w:color w:val="auto"/>
        </w:rPr>
        <w:t>In November 2019, the Company drew an additional $50.0 million of the Initial Temasek Commitments and amended the Temasek Facility to include an additional $30.0 million of committed availability (the “Subsequent Temasek Commitments”). In March 2020, the Company drew the remaining $50.0 million of the Initial Temasek Commitments and the $30.0 million of the Subsequent Temasek Commitments.</w:t>
      </w:r>
    </w:p>
    <w:p>
      <w:pPr>
        <w:spacing w:after="0" w:line="155" w:lineRule="exact"/>
        <w:rPr>
          <w:sz w:val="20"/>
          <w:szCs w:val="20"/>
          <w:color w:val="auto"/>
        </w:rPr>
      </w:pPr>
    </w:p>
    <w:p>
      <w:pPr>
        <w:ind w:left="380" w:right="40"/>
        <w:spacing w:after="0" w:line="271" w:lineRule="auto"/>
        <w:rPr>
          <w:sz w:val="20"/>
          <w:szCs w:val="20"/>
          <w:color w:val="auto"/>
        </w:rPr>
      </w:pPr>
      <w:r>
        <w:rPr>
          <w:rFonts w:ascii="Arial" w:cs="Arial" w:eastAsia="Arial" w:hAnsi="Arial"/>
          <w:sz w:val="14"/>
          <w:szCs w:val="14"/>
          <w:color w:val="auto"/>
        </w:rPr>
        <w:t>Prior to the termination of the Ares Facility (defined below), the Temasek Facility was both lien-subordinated and payment-subordinated to the Ares Facility (described below) pursuant to a Subordination Agreement entered into in October 2020 that functions as both a secured lender intercreditor agreement and a subordination agreement (for payment subordination); the Ares Facility was senior debt, and the Temasek facility was subordinated debt with respect to the Ares Facility.</w:t>
      </w:r>
    </w:p>
    <w:p>
      <w:pPr>
        <w:spacing w:after="0" w:line="134" w:lineRule="exact"/>
        <w:rPr>
          <w:sz w:val="20"/>
          <w:szCs w:val="20"/>
          <w:color w:val="auto"/>
        </w:rPr>
      </w:pPr>
    </w:p>
    <w:p>
      <w:pPr>
        <w:jc w:val="both"/>
        <w:ind w:left="380" w:right="20"/>
        <w:spacing w:after="0" w:line="271" w:lineRule="auto"/>
        <w:rPr>
          <w:sz w:val="20"/>
          <w:szCs w:val="20"/>
          <w:color w:val="auto"/>
        </w:rPr>
      </w:pPr>
      <w:r>
        <w:rPr>
          <w:rFonts w:ascii="Arial" w:cs="Arial" w:eastAsia="Arial" w:hAnsi="Arial"/>
          <w:sz w:val="14"/>
          <w:szCs w:val="14"/>
          <w:color w:val="auto"/>
        </w:rPr>
        <w:t>The Initial Temasek Commitments had an interest rate of 15% per annum that accrued as noncash interest. The Subsequent Temasek Commitments had a cash interest rate of 13% per annum, payable quarterly. The Temasek Facility required mandatory prepayment upon certain defined triggering events as well as optional prepayments, but such mandatory prepayments were not required to be made while the Ares Facility was outstanding.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10" w:name="page111"/>
    <w:bookmarkEnd w:id="110"/>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right="20"/>
        <w:spacing w:after="0" w:line="259" w:lineRule="auto"/>
        <w:rPr>
          <w:sz w:val="20"/>
          <w:szCs w:val="20"/>
          <w:color w:val="auto"/>
        </w:rPr>
      </w:pPr>
      <w:r>
        <w:rPr>
          <w:rFonts w:ascii="Arial" w:cs="Arial" w:eastAsia="Arial" w:hAnsi="Arial"/>
          <w:sz w:val="14"/>
          <w:szCs w:val="14"/>
          <w:color w:val="auto"/>
        </w:rPr>
        <w:t>In October 2021, the Company used proceeds from the IPO to pay down the Subsequent Temasek Commitments of $30.0 million outstanding principal and interest in full. Concurrently, the Company entered into an amendment to the Temasek Facility (the “2021 Temasek Facility Amendment”). The Temasek Facility as amended by the 2021 Temasek Facility Amendment is referred to as the “2021 Amended Temasek Facility”. This transaction was accounted for as a debt modification. The terms of the 2021 Temasek Facility Amendment provide for, among other things, (i) an extension of the maturity to October 2024, (ii) an outstanding principal under the 2021 Amended Temasek Facility of $271.6 million (with no additional debt proceeds having been funded and after giving effect to the repayment described below), and (iii) an amended interest rate of 12% with up to 5% payable in kind. On the effective date of the 2021 Temasek Facility Amendment, the Company paid down an additional $30.0 million of the outstanding principal of the 2021 Amended Temasek Facility, for a total of $60.0 million principal paydown on the Temasek Facility and 2021 Amended Temasek Facility.</w:t>
      </w:r>
    </w:p>
    <w:p>
      <w:pPr>
        <w:spacing w:after="0" w:line="142" w:lineRule="exact"/>
        <w:rPr>
          <w:sz w:val="20"/>
          <w:szCs w:val="20"/>
          <w:color w:val="auto"/>
        </w:rPr>
      </w:pPr>
    </w:p>
    <w:p>
      <w:pPr>
        <w:ind w:left="380" w:right="120"/>
        <w:spacing w:after="0" w:line="290" w:lineRule="auto"/>
        <w:rPr>
          <w:sz w:val="20"/>
          <w:szCs w:val="20"/>
          <w:color w:val="auto"/>
        </w:rPr>
      </w:pPr>
      <w:r>
        <w:rPr>
          <w:rFonts w:ascii="Arial" w:cs="Arial" w:eastAsia="Arial" w:hAnsi="Arial"/>
          <w:sz w:val="14"/>
          <w:szCs w:val="14"/>
          <w:color w:val="auto"/>
        </w:rPr>
        <w:t>The effective interest rate for the Temasek Facility for the period from the date of issuance through the date of the 2021 Temasek Facility Amendment was 15.95%. The debt discount associated with the Initial Temasek Commitments was fully accreted when the Company entered into the 2021 Temasek Facility Amendment.</w:t>
      </w:r>
    </w:p>
    <w:p>
      <w:pPr>
        <w:spacing w:after="0" w:line="131" w:lineRule="exact"/>
        <w:rPr>
          <w:sz w:val="20"/>
          <w:szCs w:val="20"/>
          <w:color w:val="auto"/>
        </w:rPr>
      </w:pPr>
    </w:p>
    <w:p>
      <w:pPr>
        <w:ind w:left="380" w:right="20"/>
        <w:spacing w:after="0" w:line="249" w:lineRule="auto"/>
        <w:rPr>
          <w:sz w:val="20"/>
          <w:szCs w:val="20"/>
          <w:color w:val="auto"/>
        </w:rPr>
      </w:pPr>
      <w:r>
        <w:rPr>
          <w:rFonts w:ascii="Arial" w:cs="Arial" w:eastAsia="Arial" w:hAnsi="Arial"/>
          <w:sz w:val="14"/>
          <w:szCs w:val="14"/>
          <w:color w:val="auto"/>
        </w:rPr>
        <w:t>In October 2021, in connection with the 2021 Amended Temasek Facility, the Company recorded a debt discount of $15.3 million, of which $ 0.2 million related to lender fees, $5.3 million related to the allocation of proceeds to warrants issued in relation to the 2021 Amended Temasek Facility, $1.0 million related to the extension of the term of warrants issued in relation to the Temasek Facility, and $8.8 million related to fees incurred to amend the 2021 Amended Temasek Facility. These amounts are being accreted to the principal amount of the 2021 Amended Temasek Facility through the recognition of noncash interest expense.</w:t>
      </w:r>
    </w:p>
    <w:p>
      <w:pPr>
        <w:spacing w:after="0" w:line="159" w:lineRule="exact"/>
        <w:rPr>
          <w:sz w:val="20"/>
          <w:szCs w:val="20"/>
          <w:color w:val="auto"/>
        </w:rPr>
      </w:pPr>
    </w:p>
    <w:p>
      <w:pPr>
        <w:ind w:left="380" w:right="200"/>
        <w:spacing w:after="0" w:line="247" w:lineRule="auto"/>
        <w:rPr>
          <w:sz w:val="20"/>
          <w:szCs w:val="20"/>
          <w:color w:val="auto"/>
        </w:rPr>
      </w:pPr>
      <w:r>
        <w:rPr>
          <w:rFonts w:ascii="Arial" w:cs="Arial" w:eastAsia="Arial" w:hAnsi="Arial"/>
          <w:sz w:val="14"/>
          <w:szCs w:val="14"/>
          <w:color w:val="auto"/>
        </w:rPr>
        <w:t>In January 2023, the Company entered into an amendment to the 2021 Amended Temasek Facility (“2022 Temasek Facility Amendment”). The 2021 Amended Temasek Facility as further amended by the 2022 Temasek Facility Amendment is referred to as the “2022 Amended Temasek Facility”. This transaction was accounted for as a debt</w:t>
      </w:r>
    </w:p>
    <w:p>
      <w:pPr>
        <w:spacing w:after="0" w:line="1" w:lineRule="exact"/>
        <w:rPr>
          <w:sz w:val="20"/>
          <w:szCs w:val="20"/>
          <w:color w:val="auto"/>
        </w:rPr>
      </w:pPr>
    </w:p>
    <w:p>
      <w:pPr>
        <w:ind w:left="380" w:right="160"/>
        <w:spacing w:after="0" w:line="229" w:lineRule="auto"/>
        <w:rPr>
          <w:sz w:val="20"/>
          <w:szCs w:val="20"/>
          <w:color w:val="auto"/>
        </w:rPr>
      </w:pPr>
      <w:r>
        <w:rPr>
          <w:rFonts w:ascii="Arial" w:cs="Arial" w:eastAsia="Arial" w:hAnsi="Arial"/>
          <w:sz w:val="14"/>
          <w:szCs w:val="14"/>
          <w:color w:val="auto"/>
        </w:rPr>
        <w:t>modification. The terms of the amendment provide for, (i) an extension of the maturity to October 2026, (ii) a reduction of the cash portion of the interest rate to 2% per year through July 2024, increasing to 5% thereafter for the duration of the 2022 Amended Temasek Facility, and (iii) a 1% increase in the total interest rate in February 2024 from</w:t>
      </w:r>
    </w:p>
    <w:p>
      <w:pPr>
        <w:ind w:left="380"/>
        <w:spacing w:after="0" w:line="242" w:lineRule="auto"/>
        <w:rPr>
          <w:sz w:val="20"/>
          <w:szCs w:val="20"/>
          <w:color w:val="auto"/>
        </w:rPr>
      </w:pPr>
      <w:r>
        <w:rPr>
          <w:rFonts w:ascii="Arial" w:cs="Arial" w:eastAsia="Arial" w:hAnsi="Arial"/>
          <w:sz w:val="14"/>
          <w:szCs w:val="14"/>
          <w:color w:val="auto"/>
        </w:rPr>
        <w:t>12% to 13% and annual rate increases of 1% thereafter for the duration of the 2022 Amended Temasek Facility. In connection with the 2022 Temasek Facility Amendment, the Company granted a warrant to purchase up to 2 million shares of the Company’s Class A common stock at an exercise price of $5.00 per share. The warrant will expire on January 31, 2030. The effective interest rate for the 2021 Amended Temasek Facility for the period from the date of issuance through the date of the 2022 Amended Temasek Facility was 14.29%. The effective interest rate for the 2022 Amended Temasek Facility as of January 31, 2023 was 15.15%.</w:t>
      </w:r>
    </w:p>
    <w:p>
      <w:pPr>
        <w:spacing w:after="0" w:line="175" w:lineRule="exact"/>
        <w:rPr>
          <w:sz w:val="20"/>
          <w:szCs w:val="20"/>
          <w:color w:val="auto"/>
        </w:rPr>
      </w:pPr>
    </w:p>
    <w:p>
      <w:pPr>
        <w:ind w:left="380" w:right="360"/>
        <w:spacing w:after="0" w:line="290" w:lineRule="auto"/>
        <w:rPr>
          <w:sz w:val="20"/>
          <w:szCs w:val="20"/>
          <w:color w:val="auto"/>
        </w:rPr>
      </w:pPr>
      <w:r>
        <w:rPr>
          <w:rFonts w:ascii="Arial" w:cs="Arial" w:eastAsia="Arial" w:hAnsi="Arial"/>
          <w:sz w:val="14"/>
          <w:szCs w:val="14"/>
          <w:color w:val="auto"/>
        </w:rPr>
        <w:t>In January 2023, in connection with the 2022 Amended Temasek Facility, the Company recorded a debt discount of $6.9 million related to the allocation of proceeds to warrants issued. These amounts are being accreted to the principal amount of the 2022 Amended Temasek Facility through the recognition of noncash interest expense.</w:t>
      </w:r>
    </w:p>
    <w:p>
      <w:pPr>
        <w:spacing w:after="0" w:line="141" w:lineRule="exact"/>
        <w:rPr>
          <w:sz w:val="20"/>
          <w:szCs w:val="20"/>
          <w:color w:val="auto"/>
        </w:rPr>
      </w:pPr>
    </w:p>
    <w:p>
      <w:pPr>
        <w:ind w:left="380" w:right="120"/>
        <w:spacing w:after="0" w:line="262" w:lineRule="auto"/>
        <w:rPr>
          <w:sz w:val="20"/>
          <w:szCs w:val="20"/>
          <w:color w:val="auto"/>
        </w:rPr>
      </w:pPr>
      <w:r>
        <w:rPr>
          <w:rFonts w:ascii="Arial" w:cs="Arial" w:eastAsia="Arial" w:hAnsi="Arial"/>
          <w:sz w:val="14"/>
          <w:szCs w:val="14"/>
          <w:color w:val="auto"/>
        </w:rPr>
        <w:t>The 2022 Amended Temasek Facility did not change the covenants under the 2021 Amended Temasek Facility, which require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Additionally, the 2022 Amended Temasek Facility includes a minimum liquidity maintenance covenant of $50.0 million. The 2022 Amended Temasek Facility also contains various events of default, the occurrence of which could result in the acceleration of obligations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1" w:name="page112"/>
    <w:bookmarkEnd w:id="111"/>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90" w:lineRule="exact"/>
        <w:rPr>
          <w:sz w:val="20"/>
          <w:szCs w:val="20"/>
          <w:color w:val="auto"/>
        </w:rPr>
      </w:pPr>
    </w:p>
    <w:p>
      <w:pPr>
        <w:ind w:left="380" w:right="60"/>
        <w:spacing w:after="0" w:line="271" w:lineRule="auto"/>
        <w:rPr>
          <w:sz w:val="20"/>
          <w:szCs w:val="20"/>
          <w:color w:val="auto"/>
        </w:rPr>
      </w:pPr>
      <w:r>
        <w:rPr>
          <w:rFonts w:ascii="Arial" w:cs="Arial" w:eastAsia="Arial" w:hAnsi="Arial"/>
          <w:sz w:val="14"/>
          <w:szCs w:val="14"/>
          <w:color w:val="auto"/>
        </w:rPr>
        <w:t>The Company determined that all of the embedded features of the Temasek Facility, 2021 Amended Temasek Facility, and 2022 Amended Temasek Facility were clearly and closely related to the debt host and did not require bifurcation as a derivative liability, or the fair value of the feature was immaterial to the Company’s consolidated financial statements.</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Ares Facility</w:t>
      </w:r>
    </w:p>
    <w:p>
      <w:pPr>
        <w:spacing w:after="0" w:line="94" w:lineRule="exact"/>
        <w:rPr>
          <w:sz w:val="20"/>
          <w:szCs w:val="20"/>
          <w:color w:val="auto"/>
        </w:rPr>
      </w:pPr>
    </w:p>
    <w:p>
      <w:pPr>
        <w:ind w:left="380" w:right="20"/>
        <w:spacing w:after="0" w:line="262" w:lineRule="auto"/>
        <w:rPr>
          <w:sz w:val="20"/>
          <w:szCs w:val="20"/>
          <w:color w:val="auto"/>
        </w:rPr>
      </w:pPr>
      <w:r>
        <w:rPr>
          <w:rFonts w:ascii="Arial" w:cs="Arial" w:eastAsia="Arial" w:hAnsi="Arial"/>
          <w:sz w:val="14"/>
          <w:szCs w:val="14"/>
          <w:color w:val="auto"/>
        </w:rPr>
        <w:t>In October 2020, the Company entered into a senior secured term loan (the “Ares Facility”) with Alter Domus (US) LLC as administrative agent for Ares Corporate Opportunities Fund V, L.P. (“Ares”). The Company received gross proceeds equal to $75.0 million (the “Ares Original Principal”). In conjunction with the incurrence of the Ares Facility, the Company received proceeds from Ares of $25.0 million for the issuance of 1,695,955 shares of Series G redeemable preferred stock. The total transaction resulted in the receipt of $100.0 million in exchange for the Ares Facility, Series G redeemable preferred stock and issuance of common stock warrants (the “Ares Financing Transaction”).</w:t>
      </w:r>
    </w:p>
    <w:p>
      <w:pPr>
        <w:spacing w:after="0" w:line="140" w:lineRule="exact"/>
        <w:rPr>
          <w:sz w:val="20"/>
          <w:szCs w:val="20"/>
          <w:color w:val="auto"/>
        </w:rPr>
      </w:pPr>
    </w:p>
    <w:p>
      <w:pPr>
        <w:ind w:left="380" w:right="60"/>
        <w:spacing w:after="0" w:line="271" w:lineRule="auto"/>
        <w:rPr>
          <w:sz w:val="20"/>
          <w:szCs w:val="20"/>
          <w:color w:val="auto"/>
        </w:rPr>
      </w:pPr>
      <w:r>
        <w:rPr>
          <w:rFonts w:ascii="Arial" w:cs="Arial" w:eastAsia="Arial" w:hAnsi="Arial"/>
          <w:sz w:val="14"/>
          <w:szCs w:val="14"/>
          <w:color w:val="auto"/>
        </w:rPr>
        <w:t>The Ares Facility had an interest rate of 8% per annum accrued as noncash interest. The Ares Facility required quarterly principal payments of 0.25% of the original principal amount. The remaining principal balance would have become due in 2023. The Ares Facility required an exit payment of $1.5 million which was to be paid once the Ares Facility matured or the Ares Original Principal was paid in full.</w:t>
      </w:r>
    </w:p>
    <w:p>
      <w:pPr>
        <w:spacing w:after="0" w:line="134"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The Ares Facility was secured by a first priority lien over substantially all assets of the Company. The Ares Facility required the Company to comply with substantially the same specified nonfinancial covenants as the Temasek Facility, including but not limited to, restrictions on the incurrence of debt, making of investments, the payment of dividends, sale of assets, mergers and acquisitions, modifications of certain agreements and its fiscal year, and granting of liens. The Ares Facility also required the Company to meet specified financial covenants that were measured based on predefined consolidated EBITDA thresholds. The Ares Facility required mandatory prepayment upon defined triggering events and permitted optional prepayments, and certain of the mandatory prepayment triggering items were subject to a prepayment premium. The Ares Facility contained various events of default, the occurrence of which could result in the acceleration of obligations under the Ares Facility.</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effective interest rate for the period from the date of issuance through the date of repayment was 13.35%.</w:t>
      </w:r>
    </w:p>
    <w:p>
      <w:pPr>
        <w:spacing w:after="0" w:line="179" w:lineRule="exact"/>
        <w:rPr>
          <w:sz w:val="20"/>
          <w:szCs w:val="20"/>
          <w:color w:val="auto"/>
        </w:rPr>
      </w:pPr>
    </w:p>
    <w:p>
      <w:pPr>
        <w:ind w:left="380" w:right="280"/>
        <w:spacing w:after="0" w:line="290" w:lineRule="auto"/>
        <w:rPr>
          <w:sz w:val="20"/>
          <w:szCs w:val="20"/>
          <w:color w:val="auto"/>
        </w:rPr>
      </w:pPr>
      <w:r>
        <w:rPr>
          <w:rFonts w:ascii="Arial" w:cs="Arial" w:eastAsia="Arial" w:hAnsi="Arial"/>
          <w:sz w:val="14"/>
          <w:szCs w:val="14"/>
          <w:color w:val="auto"/>
        </w:rPr>
        <w:t>The Company determined that all of the embedded features of the Ares Facility were either clearly and closely related to the debt host and did not require bifurcation as a derivative liability, or the fair value of the feature was immaterial to the Company’s consolidated financial statements.</w:t>
      </w:r>
    </w:p>
    <w:p>
      <w:pPr>
        <w:spacing w:after="0" w:line="141" w:lineRule="exact"/>
        <w:rPr>
          <w:sz w:val="20"/>
          <w:szCs w:val="20"/>
          <w:color w:val="auto"/>
        </w:rPr>
      </w:pPr>
    </w:p>
    <w:p>
      <w:pPr>
        <w:ind w:left="380" w:right="340"/>
        <w:spacing w:after="0" w:line="290" w:lineRule="auto"/>
        <w:rPr>
          <w:sz w:val="20"/>
          <w:szCs w:val="20"/>
          <w:color w:val="auto"/>
        </w:rPr>
      </w:pPr>
      <w:r>
        <w:rPr>
          <w:rFonts w:ascii="Arial" w:cs="Arial" w:eastAsia="Arial" w:hAnsi="Arial"/>
          <w:sz w:val="14"/>
          <w:szCs w:val="14"/>
          <w:color w:val="auto"/>
        </w:rPr>
        <w:t>In October 2021, the Company paid down the Ares Facility outstanding principal and accrued interest in full and terminated the Ares Facility. The Company recognized a $12.2 million loss on debt extinguishment related to this transaction. There were no outstanding balances as of January 31, 2023 and 2022.</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Covenants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was in compliance with all applicable financial and nonfinancial covenants as of January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12" w:name="page113"/>
    <w:bookmarkEnd w:id="112"/>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375"/>
        <w:spacing w:after="0"/>
        <w:tabs>
          <w:tab w:leader="none" w:pos="38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99"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Company’s net loss before income tax benefit / (expense) from income taxes includes the following components:</w:t>
      </w:r>
    </w:p>
    <w:p>
      <w:pPr>
        <w:spacing w:after="0" w:line="232"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8"/>
              </w:rPr>
              <w:t>Year Ended January 31,</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4"/>
                <w:szCs w:val="14"/>
                <w:color w:val="auto"/>
              </w:rPr>
            </w:pPr>
          </w:p>
        </w:tc>
        <w:tc>
          <w:tcPr>
            <w:tcW w:w="1440" w:type="dxa"/>
            <w:vAlign w:val="bottom"/>
            <w:gridSpan w:val="4"/>
          </w:tcPr>
          <w:p>
            <w:pPr>
              <w:ind w:left="64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4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gridSpan w:val="2"/>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(139.5)</w:t>
            </w:r>
          </w:p>
        </w:tc>
        <w:tc>
          <w:tcPr>
            <w:tcW w:w="1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(212.6)</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w:t>
            </w:r>
          </w:p>
        </w:tc>
        <w:tc>
          <w:tcPr>
            <w:tcW w:w="48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loss before income tax benefit / (expense)</w:t>
            </w:r>
          </w:p>
        </w:tc>
        <w:tc>
          <w:tcPr>
            <w:tcW w:w="4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gridSpan w:val="2"/>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(138.9)</w:t>
            </w: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Total income taxes allocated to operations are as follows:</w:t>
            </w:r>
          </w:p>
        </w:tc>
        <w:tc>
          <w:tcPr>
            <w:tcW w:w="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7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Year Ended January 31,</w:t>
            </w: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7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provision:</w:t>
            </w:r>
          </w:p>
        </w:tc>
        <w:tc>
          <w:tcPr>
            <w:tcW w:w="4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00" w:type="dxa"/>
            <w:vAlign w:val="bottom"/>
          </w:tcPr>
          <w:p>
            <w:pPr>
              <w:ind w:left="200"/>
              <w:spacing w:after="0"/>
              <w:rPr>
                <w:sz w:val="20"/>
                <w:szCs w:val="20"/>
                <w:color w:val="auto"/>
              </w:rPr>
            </w:pPr>
            <w:r>
              <w:rPr>
                <w:rFonts w:ascii="Arial" w:cs="Arial" w:eastAsia="Arial" w:hAnsi="Arial"/>
                <w:sz w:val="14"/>
                <w:szCs w:val="14"/>
                <w:color w:val="auto"/>
              </w:rPr>
              <w:t>Federal</w:t>
            </w: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9"/>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State and local</w:t>
            </w:r>
          </w:p>
        </w:tc>
        <w:tc>
          <w:tcPr>
            <w:tcW w:w="4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4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0"/>
        </w:trPr>
        <w:tc>
          <w:tcPr>
            <w:tcW w:w="3700" w:type="dxa"/>
            <w:vAlign w:val="bottom"/>
          </w:tcPr>
          <w:p>
            <w:pPr>
              <w:ind w:left="200"/>
              <w:spacing w:after="0"/>
              <w:rPr>
                <w:sz w:val="20"/>
                <w:szCs w:val="20"/>
                <w:color w:val="auto"/>
              </w:rPr>
            </w:pPr>
            <w:r>
              <w:rPr>
                <w:rFonts w:ascii="Arial" w:cs="Arial" w:eastAsia="Arial" w:hAnsi="Arial"/>
                <w:sz w:val="14"/>
                <w:szCs w:val="14"/>
                <w:color w:val="auto"/>
              </w:rPr>
              <w:t>Foreign</w:t>
            </w:r>
          </w:p>
        </w:tc>
        <w:tc>
          <w:tcPr>
            <w:tcW w:w="480" w:type="dxa"/>
            <w:vAlign w:val="bottom"/>
          </w:tcPr>
          <w:p>
            <w:pPr>
              <w:spacing w:after="0"/>
              <w:rPr>
                <w:sz w:val="15"/>
                <w:szCs w:val="15"/>
                <w:color w:val="auto"/>
              </w:rPr>
            </w:pPr>
          </w:p>
        </w:tc>
        <w:tc>
          <w:tcPr>
            <w:tcW w:w="1600" w:type="dxa"/>
            <w:vAlign w:val="bottom"/>
            <w:gridSpan w:val="2"/>
          </w:tcPr>
          <w:p>
            <w:pPr>
              <w:ind w:left="14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106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1"/>
        </w:trPr>
        <w:tc>
          <w:tcPr>
            <w:tcW w:w="37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current provision</w:t>
            </w: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156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w w:val="85"/>
              </w:rPr>
              <w:t>—</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gridSpan w:val="2"/>
            <w:shd w:val="clear" w:color="auto" w:fill="CCEEFF"/>
          </w:tcPr>
          <w:p>
            <w:pPr>
              <w:ind w:left="106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0"/>
        </w:trPr>
        <w:tc>
          <w:tcPr>
            <w:tcW w:w="3700" w:type="dxa"/>
            <w:vAlign w:val="bottom"/>
          </w:tcPr>
          <w:p>
            <w:pPr>
              <w:ind w:left="20"/>
              <w:spacing w:after="0"/>
              <w:rPr>
                <w:sz w:val="20"/>
                <w:szCs w:val="20"/>
                <w:color w:val="auto"/>
              </w:rPr>
            </w:pPr>
            <w:r>
              <w:rPr>
                <w:rFonts w:ascii="Arial" w:cs="Arial" w:eastAsia="Arial" w:hAnsi="Arial"/>
                <w:sz w:val="14"/>
                <w:szCs w:val="14"/>
                <w:color w:val="auto"/>
              </w:rPr>
              <w:t>Deferred provision:</w:t>
            </w: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Federal</w:t>
            </w:r>
          </w:p>
        </w:tc>
        <w:tc>
          <w:tcPr>
            <w:tcW w:w="4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14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0"/>
        </w:trPr>
        <w:tc>
          <w:tcPr>
            <w:tcW w:w="3700" w:type="dxa"/>
            <w:vAlign w:val="bottom"/>
          </w:tcPr>
          <w:p>
            <w:pPr>
              <w:ind w:left="200"/>
              <w:spacing w:after="0"/>
              <w:rPr>
                <w:sz w:val="20"/>
                <w:szCs w:val="20"/>
                <w:color w:val="auto"/>
              </w:rPr>
            </w:pPr>
            <w:r>
              <w:rPr>
                <w:rFonts w:ascii="Arial" w:cs="Arial" w:eastAsia="Arial" w:hAnsi="Arial"/>
                <w:sz w:val="14"/>
                <w:szCs w:val="14"/>
                <w:color w:val="auto"/>
              </w:rPr>
              <w:t>State and local</w:t>
            </w:r>
          </w:p>
        </w:tc>
        <w:tc>
          <w:tcPr>
            <w:tcW w:w="480" w:type="dxa"/>
            <w:vAlign w:val="bottom"/>
          </w:tcPr>
          <w:p>
            <w:pPr>
              <w:spacing w:after="0"/>
              <w:rPr>
                <w:sz w:val="15"/>
                <w:szCs w:val="15"/>
                <w:color w:val="auto"/>
              </w:rPr>
            </w:pPr>
          </w:p>
        </w:tc>
        <w:tc>
          <w:tcPr>
            <w:tcW w:w="1600" w:type="dxa"/>
            <w:vAlign w:val="bottom"/>
            <w:gridSpan w:val="2"/>
          </w:tcPr>
          <w:p>
            <w:pPr>
              <w:ind w:left="14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106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w:t>
            </w:r>
          </w:p>
        </w:tc>
        <w:tc>
          <w:tcPr>
            <w:tcW w:w="4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deferred provision</w:t>
            </w: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income tax benefit / (expense)</w:t>
            </w: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380"/>
          </w:cols>
          <w:pgMar w:left="300" w:top="123" w:right="1219" w:bottom="1440" w:gutter="0" w:footer="0" w:header="0"/>
        </w:sectPr>
      </w:pPr>
    </w:p>
    <w:bookmarkStart w:id="113" w:name="page114"/>
    <w:bookmarkEnd w:id="113"/>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significant components of the Company’s net deferred tax assets (liabilities) are as follows:</w:t>
      </w:r>
    </w:p>
    <w:p>
      <w:pPr>
        <w:spacing w:after="0" w:line="232"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1240" w:type="dxa"/>
            <w:vAlign w:val="bottom"/>
            <w:tcBorders>
              <w:bottom w:val="single" w:sz="8" w:color="auto"/>
            </w:tcBorders>
          </w:tcPr>
          <w:p>
            <w:pPr>
              <w:spacing w:after="0"/>
              <w:rPr>
                <w:sz w:val="16"/>
                <w:szCs w:val="16"/>
                <w:color w:val="auto"/>
              </w:rPr>
            </w:pPr>
          </w:p>
        </w:tc>
      </w:tr>
      <w:tr>
        <w:trPr>
          <w:trHeight w:val="171"/>
        </w:trPr>
        <w:tc>
          <w:tcPr>
            <w:tcW w:w="55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b w:val="1"/>
                <w:bCs w:val="1"/>
                <w:color w:val="auto"/>
              </w:rPr>
              <w:t>2022</w:t>
            </w:r>
          </w:p>
        </w:tc>
      </w:tr>
      <w:tr>
        <w:trPr>
          <w:trHeight w:val="192"/>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4"/>
                <w:szCs w:val="14"/>
                <w:color w:val="auto"/>
              </w:rPr>
              <w:t>Federal and state net operating loss carryforwards</w:t>
            </w:r>
          </w:p>
        </w:tc>
        <w:tc>
          <w:tcPr>
            <w:tcW w:w="1240" w:type="dxa"/>
            <w:vAlign w:val="bottom"/>
          </w:tcPr>
          <w:p>
            <w:pPr>
              <w:jc w:val="right"/>
              <w:ind w:right="106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18"/>
                <w:szCs w:val="18"/>
                <w:color w:val="auto"/>
              </w:rPr>
            </w:pPr>
          </w:p>
        </w:tc>
        <w:tc>
          <w:tcPr>
            <w:tcW w:w="800" w:type="dxa"/>
            <w:vAlign w:val="bottom"/>
          </w:tcPr>
          <w:p>
            <w:pPr>
              <w:jc w:val="right"/>
              <w:ind w:right="64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149.7</w:t>
            </w:r>
          </w:p>
        </w:tc>
      </w:tr>
      <w:tr>
        <w:trPr>
          <w:trHeight w:val="212"/>
        </w:trPr>
        <w:tc>
          <w:tcPr>
            <w:tcW w:w="5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Customer credit liabilities</w:t>
            </w:r>
          </w:p>
        </w:tc>
        <w:tc>
          <w:tcPr>
            <w:tcW w:w="1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0"/>
        </w:trPr>
        <w:tc>
          <w:tcPr>
            <w:tcW w:w="5580" w:type="dxa"/>
            <w:vAlign w:val="bottom"/>
          </w:tcPr>
          <w:p>
            <w:pPr>
              <w:ind w:left="200"/>
              <w:spacing w:after="0"/>
              <w:rPr>
                <w:sz w:val="20"/>
                <w:szCs w:val="20"/>
                <w:color w:val="auto"/>
              </w:rPr>
            </w:pPr>
            <w:r>
              <w:rPr>
                <w:rFonts w:ascii="Arial" w:cs="Arial" w:eastAsia="Arial" w:hAnsi="Arial"/>
                <w:sz w:val="14"/>
                <w:szCs w:val="14"/>
                <w:color w:val="auto"/>
              </w:rPr>
              <w:t>Interest limitation</w:t>
            </w:r>
          </w:p>
        </w:tc>
        <w:tc>
          <w:tcPr>
            <w:tcW w:w="1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40.5</w:t>
            </w:r>
          </w:p>
        </w:tc>
      </w:tr>
      <w:tr>
        <w:trPr>
          <w:trHeight w:val="180"/>
        </w:trPr>
        <w:tc>
          <w:tcPr>
            <w:tcW w:w="5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Capitalized R&amp;D expenses</w:t>
            </w:r>
          </w:p>
        </w:tc>
        <w:tc>
          <w:tcPr>
            <w:tcW w:w="1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580" w:type="dxa"/>
            <w:vAlign w:val="bottom"/>
          </w:tcPr>
          <w:p>
            <w:pPr>
              <w:ind w:left="200"/>
              <w:spacing w:after="0"/>
              <w:rPr>
                <w:sz w:val="20"/>
                <w:szCs w:val="20"/>
                <w:color w:val="auto"/>
              </w:rPr>
            </w:pPr>
            <w:r>
              <w:rPr>
                <w:rFonts w:ascii="Arial" w:cs="Arial" w:eastAsia="Arial" w:hAnsi="Arial"/>
                <w:sz w:val="14"/>
                <w:szCs w:val="14"/>
                <w:color w:val="auto"/>
              </w:rPr>
              <w:t>Tax credits</w:t>
            </w:r>
          </w:p>
        </w:tc>
        <w:tc>
          <w:tcPr>
            <w:tcW w:w="1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80"/>
        </w:trPr>
        <w:tc>
          <w:tcPr>
            <w:tcW w:w="5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w:t>
            </w:r>
          </w:p>
        </w:tc>
        <w:tc>
          <w:tcPr>
            <w:tcW w:w="1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0"/>
        </w:trPr>
        <w:tc>
          <w:tcPr>
            <w:tcW w:w="5580" w:type="dxa"/>
            <w:vAlign w:val="bottom"/>
          </w:tcPr>
          <w:p>
            <w:pPr>
              <w:ind w:left="200"/>
              <w:spacing w:after="0"/>
              <w:rPr>
                <w:sz w:val="20"/>
                <w:szCs w:val="20"/>
                <w:color w:val="auto"/>
              </w:rPr>
            </w:pPr>
            <w:r>
              <w:rPr>
                <w:rFonts w:ascii="Arial" w:cs="Arial" w:eastAsia="Arial" w:hAnsi="Arial"/>
                <w:sz w:val="14"/>
                <w:szCs w:val="14"/>
                <w:color w:val="auto"/>
              </w:rPr>
              <w:t>Operating lease liabilities</w:t>
            </w:r>
          </w:p>
        </w:tc>
        <w:tc>
          <w:tcPr>
            <w:tcW w:w="1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180"/>
        </w:trPr>
        <w:tc>
          <w:tcPr>
            <w:tcW w:w="5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1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71"/>
        </w:trPr>
        <w:tc>
          <w:tcPr>
            <w:tcW w:w="5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deferred tax assets</w:t>
            </w:r>
          </w:p>
        </w:tc>
        <w:tc>
          <w:tcPr>
            <w:tcW w:w="1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240.7</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214.4</w:t>
            </w:r>
          </w:p>
        </w:tc>
      </w:tr>
      <w:tr>
        <w:trPr>
          <w:trHeight w:val="192"/>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0"/>
        </w:trPr>
        <w:tc>
          <w:tcPr>
            <w:tcW w:w="5580" w:type="dxa"/>
            <w:vAlign w:val="bottom"/>
          </w:tcPr>
          <w:p>
            <w:pPr>
              <w:ind w:left="200"/>
              <w:spacing w:after="0"/>
              <w:rPr>
                <w:sz w:val="20"/>
                <w:szCs w:val="20"/>
                <w:color w:val="auto"/>
              </w:rPr>
            </w:pPr>
            <w:r>
              <w:rPr>
                <w:rFonts w:ascii="Arial" w:cs="Arial" w:eastAsia="Arial" w:hAnsi="Arial"/>
                <w:sz w:val="14"/>
                <w:szCs w:val="14"/>
                <w:color w:val="auto"/>
              </w:rPr>
              <w:t>Fixed assets</w:t>
            </w:r>
          </w:p>
        </w:tc>
        <w:tc>
          <w:tcPr>
            <w:tcW w:w="1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80"/>
        </w:trPr>
        <w:tc>
          <w:tcPr>
            <w:tcW w:w="5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lease right-of-use assets</w:t>
            </w:r>
          </w:p>
        </w:tc>
        <w:tc>
          <w:tcPr>
            <w:tcW w:w="1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71"/>
        </w:trPr>
        <w:tc>
          <w:tcPr>
            <w:tcW w:w="5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deferred tax liabilities</w:t>
            </w:r>
          </w:p>
        </w:tc>
        <w:tc>
          <w:tcPr>
            <w:tcW w:w="1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r>
      <w:tr>
        <w:trPr>
          <w:trHeight w:val="192"/>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assets before valuation allowance</w:t>
            </w:r>
          </w:p>
        </w:tc>
        <w:tc>
          <w:tcPr>
            <w:tcW w:w="1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r>
      <w:tr>
        <w:trPr>
          <w:trHeight w:val="18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valuation allowance</w:t>
            </w:r>
          </w:p>
        </w:tc>
        <w:tc>
          <w:tcPr>
            <w:tcW w:w="1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r>
      <w:tr>
        <w:trPr>
          <w:trHeight w:val="196"/>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deferred tax assets</w:t>
            </w:r>
          </w:p>
        </w:tc>
        <w:tc>
          <w:tcPr>
            <w:tcW w:w="1240" w:type="dxa"/>
            <w:vAlign w:val="bottom"/>
            <w:tcBorders>
              <w:bottom w:val="single" w:sz="8" w:color="auto"/>
            </w:tcBorders>
            <w:shd w:val="clear" w:color="auto" w:fill="CCEEFF"/>
          </w:tcPr>
          <w:p>
            <w:pPr>
              <w:jc w:val="right"/>
              <w:ind w:right="10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80" w:right="220"/>
        <w:spacing w:after="0" w:line="271" w:lineRule="auto"/>
        <w:rPr>
          <w:sz w:val="20"/>
          <w:szCs w:val="20"/>
          <w:color w:val="auto"/>
        </w:rPr>
      </w:pPr>
      <w:r>
        <w:rPr>
          <w:rFonts w:ascii="Arial" w:cs="Arial" w:eastAsia="Arial" w:hAnsi="Arial"/>
          <w:sz w:val="14"/>
          <w:szCs w:val="14"/>
          <w:color w:val="auto"/>
        </w:rPr>
        <w:t>Provisions enacted in the Tax Reform Act in December 2017 related to the capitalization of research and experimental expenditures became effective on January 1, 2022. These provisions require us to capitalize research and experimental expenditures and amortize them for tax purposes over five or fifteen years, depending on where the research is conducted. The capitalized expenses do not significantly impact our effective tax rate.</w:t>
      </w:r>
    </w:p>
    <w:p>
      <w:pPr>
        <w:spacing w:after="0" w:line="155" w:lineRule="exact"/>
        <w:rPr>
          <w:sz w:val="20"/>
          <w:szCs w:val="20"/>
          <w:color w:val="auto"/>
        </w:rPr>
      </w:pPr>
    </w:p>
    <w:p>
      <w:pPr>
        <w:ind w:left="380" w:right="140"/>
        <w:spacing w:after="0" w:line="271" w:lineRule="auto"/>
        <w:rPr>
          <w:sz w:val="20"/>
          <w:szCs w:val="20"/>
          <w:color w:val="auto"/>
        </w:rPr>
      </w:pPr>
      <w:r>
        <w:rPr>
          <w:rFonts w:ascii="Arial" w:cs="Arial" w:eastAsia="Arial" w:hAnsi="Arial"/>
          <w:sz w:val="14"/>
          <w:szCs w:val="14"/>
          <w:color w:val="auto"/>
        </w:rPr>
        <w:t>As of January 31, 2023 and 2022, the Company maintained a valuation allowance against all of its U.S. deferred tax assets since, in the judgment of management, the realization of these assets was not considered more likely than not. The net change in the total valuation allowance for the years ended January 31, 2023 and 2022 was an increase of $31.4 million and $42.0 million, respectively. The Company’s deferred tax assets are included in other assets on the consolidated balance sheets.</w:t>
      </w:r>
    </w:p>
    <w:p>
      <w:pPr>
        <w:spacing w:after="0" w:line="155"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As of January 31, 2023, the Company had federal net operating loss tax carryforwards of approximately $596.0 million. Approximately $152.0 million of the net operating loss carryforwards will expire at various times through 2038, while $444.0 million will not expire.</w:t>
      </w:r>
    </w:p>
    <w:p>
      <w:pPr>
        <w:spacing w:after="0" w:line="141" w:lineRule="exact"/>
        <w:rPr>
          <w:sz w:val="20"/>
          <w:szCs w:val="20"/>
          <w:color w:val="auto"/>
        </w:rPr>
      </w:pPr>
    </w:p>
    <w:p>
      <w:pPr>
        <w:ind w:left="380" w:right="40"/>
        <w:spacing w:after="0" w:line="262" w:lineRule="auto"/>
        <w:rPr>
          <w:sz w:val="20"/>
          <w:szCs w:val="20"/>
          <w:color w:val="auto"/>
        </w:rPr>
      </w:pPr>
      <w:r>
        <w:rPr>
          <w:rFonts w:ascii="Arial" w:cs="Arial" w:eastAsia="Arial" w:hAnsi="Arial"/>
          <w:sz w:val="14"/>
          <w:szCs w:val="14"/>
          <w:color w:val="auto"/>
        </w:rPr>
        <w:t>In general, under Section 382 of the Internal Revenue Code of 1986, as amended (the “Code”), a corporation that undergoes an “ownership change” is subject to limitations on its ability to utilize its net operating losses (“NOLs”) to offset future taxable income. The Company has determined that as of March 2021, it had undergone one ownership change on February 16, 2010, and its NOLs arising before that date are subject to Section 382 limitations. These limitations will not materially limit the use of such NOLs to offset the Company’s future taxable income. Any ownership change occurring after March 2021 may result in the imposition of additional limitations on the Company’s ability to utilize NOLs existing at the time of the ownership change.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14" w:name="page115"/>
    <w:bookmarkEnd w:id="114"/>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right="280"/>
        <w:spacing w:after="0" w:line="290" w:lineRule="auto"/>
        <w:rPr>
          <w:sz w:val="20"/>
          <w:szCs w:val="20"/>
          <w:color w:val="auto"/>
        </w:rPr>
      </w:pPr>
      <w:r>
        <w:rPr>
          <w:rFonts w:ascii="Arial" w:cs="Arial" w:eastAsia="Arial" w:hAnsi="Arial"/>
          <w:sz w:val="14"/>
          <w:szCs w:val="14"/>
          <w:color w:val="auto"/>
        </w:rPr>
        <w:t>The benefit for income taxes differs from the amount computed by applying the statutory U.S. Federal income tax rate to pretax loss because of the effect of the following items:</w:t>
      </w:r>
    </w:p>
    <w:p>
      <w:pPr>
        <w:spacing w:after="0" w:line="173"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Year Ended January 31,</w:t>
      </w:r>
    </w:p>
    <w:p>
      <w:pPr>
        <w:spacing w:after="0" w:line="23"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380" w:type="dxa"/>
            <w:vAlign w:val="bottom"/>
            <w:tcBorders>
              <w:bottom w:val="single" w:sz="8" w:color="CCEEFF"/>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900" w:type="dxa"/>
            <w:vAlign w:val="bottom"/>
            <w:tcBorders>
              <w:top w:val="single" w:sz="8" w:color="auto"/>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1920" w:type="dxa"/>
            <w:vAlign w:val="bottom"/>
            <w:tcBorders>
              <w:top w:val="single" w:sz="8" w:color="auto"/>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auto"/>
              </w:rPr>
              <w:t>2021</w:t>
            </w:r>
          </w:p>
        </w:tc>
      </w:tr>
      <w:tr>
        <w:trPr>
          <w:trHeight w:val="17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 “expected” tax benefit</w:t>
            </w:r>
          </w:p>
        </w:tc>
        <w:tc>
          <w:tcPr>
            <w:tcW w:w="1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21.00 %</w:t>
            </w: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21.00 %</w:t>
            </w:r>
          </w:p>
        </w:tc>
        <w:tc>
          <w:tcPr>
            <w:tcW w:w="8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21.00 %</w:t>
            </w:r>
          </w:p>
        </w:tc>
      </w:tr>
      <w:tr>
        <w:trPr>
          <w:trHeight w:val="18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benefit</w:t>
            </w:r>
          </w:p>
        </w:tc>
        <w:tc>
          <w:tcPr>
            <w:tcW w:w="70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18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Valuation of warrants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Nondeductible transaction costs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900" w:type="dxa"/>
            <w:vAlign w:val="bottom"/>
          </w:tcPr>
          <w:p>
            <w:pPr>
              <w:jc w:val="right"/>
              <w:spacing w:after="0"/>
              <w:rPr>
                <w:sz w:val="20"/>
                <w:szCs w:val="20"/>
                <w:color w:val="auto"/>
              </w:rPr>
            </w:pPr>
            <w:r>
              <w:rPr>
                <w:rFonts w:ascii="Arial" w:cs="Arial" w:eastAsia="Arial" w:hAnsi="Arial"/>
                <w:sz w:val="14"/>
                <w:szCs w:val="14"/>
                <w:color w:val="auto"/>
              </w:rPr>
              <w:t>(0.44)%</w:t>
            </w:r>
          </w:p>
        </w:tc>
        <w:tc>
          <w:tcPr>
            <w:tcW w:w="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Nondeductible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700" w:type="dxa"/>
            <w:vAlign w:val="bottom"/>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(0.35)%</w:t>
            </w:r>
          </w:p>
        </w:tc>
        <w:tc>
          <w:tcPr>
            <w:tcW w:w="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(0.38)%</w:t>
            </w:r>
          </w:p>
        </w:tc>
      </w:tr>
      <w:tr>
        <w:trPr>
          <w:trHeight w:val="18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year change in valuation allowance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(19.34)%</w:t>
            </w: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w:t>
            </w:r>
          </w:p>
        </w:tc>
      </w:tr>
      <w:tr>
        <w:trPr>
          <w:trHeight w:val="18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0.48 %</w:t>
            </w:r>
          </w:p>
        </w:tc>
        <w:tc>
          <w:tcPr>
            <w:tcW w:w="8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0.94 %</w:t>
            </w:r>
          </w:p>
        </w:tc>
      </w:tr>
      <w:tr>
        <w:trPr>
          <w:trHeight w:val="191"/>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0.22 %</w:t>
            </w: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0.14 %</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380" w:right="60"/>
        <w:spacing w:after="0" w:line="271" w:lineRule="auto"/>
        <w:rPr>
          <w:sz w:val="20"/>
          <w:szCs w:val="20"/>
          <w:color w:val="auto"/>
        </w:rPr>
      </w:pPr>
      <w:r>
        <w:rPr>
          <w:rFonts w:ascii="Arial" w:cs="Arial" w:eastAsia="Arial" w:hAnsi="Arial"/>
          <w:sz w:val="14"/>
          <w:szCs w:val="14"/>
          <w:color w:val="auto"/>
        </w:rPr>
        <w:t>The Company has not recognized deferred tax liabilities for outside basis differences (including undistributed earnings) relating to the Company’s foreign subsidiary because such amounts have been indefinitely reinvested. The Company has determined that it is impracticable to estimate the unrecorded deferred tax liability associated with the foreign subsidiary for which the Company is asserting indefinite reinvestment.</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the unrecognized tax benefit activity for the periods indicated:</w:t>
      </w:r>
    </w:p>
    <w:p>
      <w:pPr>
        <w:spacing w:after="0" w:line="232"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71"/>
        </w:trPr>
        <w:tc>
          <w:tcPr>
            <w:tcW w:w="45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2021</w:t>
            </w:r>
          </w:p>
        </w:tc>
      </w:tr>
      <w:tr>
        <w:trPr>
          <w:trHeight w:val="17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the beginning of the period</w:t>
            </w:r>
          </w:p>
        </w:tc>
        <w:tc>
          <w:tcPr>
            <w:tcW w:w="1340" w:type="dxa"/>
            <w:vAlign w:val="bottom"/>
            <w:shd w:val="clear" w:color="auto" w:fill="CCEEFF"/>
          </w:tcPr>
          <w:p>
            <w:pPr>
              <w:jc w:val="right"/>
              <w:ind w:right="116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580" w:type="dxa"/>
            <w:vAlign w:val="bottom"/>
          </w:tcPr>
          <w:p>
            <w:pPr>
              <w:ind w:left="20"/>
              <w:spacing w:after="0"/>
              <w:rPr>
                <w:sz w:val="20"/>
                <w:szCs w:val="20"/>
                <w:color w:val="auto"/>
              </w:rPr>
            </w:pPr>
            <w:r>
              <w:rPr>
                <w:rFonts w:ascii="Arial" w:cs="Arial" w:eastAsia="Arial" w:hAnsi="Arial"/>
                <w:sz w:val="14"/>
                <w:szCs w:val="14"/>
                <w:color w:val="auto"/>
              </w:rPr>
              <w:t>Additions based on tax positions related to the current year</w:t>
            </w:r>
          </w:p>
        </w:tc>
        <w:tc>
          <w:tcPr>
            <w:tcW w:w="13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 for tax positions of prior years</w:t>
            </w:r>
          </w:p>
        </w:tc>
        <w:tc>
          <w:tcPr>
            <w:tcW w:w="13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80"/>
        </w:trPr>
        <w:tc>
          <w:tcPr>
            <w:tcW w:w="4580" w:type="dxa"/>
            <w:vAlign w:val="bottom"/>
          </w:tcPr>
          <w:p>
            <w:pPr>
              <w:ind w:left="20"/>
              <w:spacing w:after="0"/>
              <w:rPr>
                <w:sz w:val="20"/>
                <w:szCs w:val="20"/>
                <w:color w:val="auto"/>
              </w:rPr>
            </w:pPr>
            <w:r>
              <w:rPr>
                <w:rFonts w:ascii="Arial" w:cs="Arial" w:eastAsia="Arial" w:hAnsi="Arial"/>
                <w:sz w:val="14"/>
                <w:szCs w:val="14"/>
                <w:color w:val="auto"/>
              </w:rPr>
              <w:t>Reductions for tax positions of prior years</w:t>
            </w:r>
          </w:p>
        </w:tc>
        <w:tc>
          <w:tcPr>
            <w:tcW w:w="13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Lapse of statute of limitations</w:t>
            </w:r>
          </w:p>
        </w:tc>
        <w:tc>
          <w:tcPr>
            <w:tcW w:w="13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58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13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the end of the period</w:t>
            </w:r>
          </w:p>
        </w:tc>
        <w:tc>
          <w:tcPr>
            <w:tcW w:w="1340" w:type="dxa"/>
            <w:vAlign w:val="bottom"/>
            <w:tcBorders>
              <w:top w:val="single" w:sz="8" w:color="auto"/>
              <w:bottom w:val="single" w:sz="8" w:color="auto"/>
            </w:tcBorders>
            <w:shd w:val="clear" w:color="auto" w:fill="CCEEFF"/>
          </w:tcPr>
          <w:p>
            <w:pPr>
              <w:jc w:val="right"/>
              <w:ind w:right="1169"/>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amount of unrecognized tax benefits included on the consolidated balance sheets as of January 31, 2023 and 2022 are $0.9 million and $0.7 million, respectively.</w:t>
      </w:r>
    </w:p>
    <w:p>
      <w:pPr>
        <w:spacing w:after="0" w:line="200"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15" w:name="page116"/>
    <w:bookmarkEnd w:id="115"/>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right="360"/>
        <w:spacing w:after="0" w:line="271" w:lineRule="auto"/>
        <w:rPr>
          <w:sz w:val="20"/>
          <w:szCs w:val="20"/>
          <w:color w:val="auto"/>
        </w:rPr>
      </w:pPr>
      <w:r>
        <w:rPr>
          <w:rFonts w:ascii="Arial" w:cs="Arial" w:eastAsia="Arial" w:hAnsi="Arial"/>
          <w:sz w:val="14"/>
          <w:szCs w:val="14"/>
          <w:color w:val="auto"/>
        </w:rPr>
        <w:t>The Company is subject to United States federal and state taxation, as well as subject to taxation in Ireland. The Company may be subject to examination by the Internal Revenue Service (“IRS”) and as of January 31, 2023, tax year 2019 and years filed thereafter remain open to examination. These examinations may result in proposed adjustments to the Company’s income tax liability or tax attributes with respect to years under examination as well as subsequent periods.</w:t>
      </w:r>
    </w:p>
    <w:p>
      <w:pPr>
        <w:spacing w:after="0" w:line="155"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The provision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and deductions, and the allocation of income among the jurisdictions in which the Company operates. A significant period of time may elapse between the filing of an income tax return and the ultimate resolution of an issue raised by a revenue authority with respect to that return. Any adjustments as a result of any examination may result in additional taxes or penalties against the Company. If the ultimate result of these audits differs from original or adjusted estimates, they could have a material impact on the Company’s tax provision.</w:t>
      </w:r>
    </w:p>
    <w:p>
      <w:pPr>
        <w:spacing w:after="0" w:line="163" w:lineRule="exact"/>
        <w:rPr>
          <w:sz w:val="20"/>
          <w:szCs w:val="20"/>
          <w:color w:val="auto"/>
        </w:rPr>
      </w:pPr>
    </w:p>
    <w:p>
      <w:pPr>
        <w:ind w:left="380" w:right="80"/>
        <w:spacing w:after="0" w:line="262" w:lineRule="auto"/>
        <w:rPr>
          <w:sz w:val="20"/>
          <w:szCs w:val="20"/>
          <w:color w:val="auto"/>
        </w:rPr>
      </w:pPr>
      <w:r>
        <w:rPr>
          <w:rFonts w:ascii="Arial" w:cs="Arial" w:eastAsia="Arial" w:hAnsi="Arial"/>
          <w:sz w:val="14"/>
          <w:szCs w:val="14"/>
          <w:color w:val="auto"/>
        </w:rPr>
        <w:t>On March 27, 2020, the Coronavirus Aid, Relief, and Economic Security Act (“CARES Act”) was enacted and signed into law. Among other things, the CARES Act has modified the Internal Revenue Code of 1986, as amended, including, but not limited to: (1) modifications to the business interest deduction limitation for tax years 2021 and 2020; (2) a technical correction of the recovery period of qualified improvement property from 39 to 15 years; and (3) a repeal of the 80% taxable income limitation on the deduction of NOLs for tax years beginning before January 1, 2021 as well as a five-year carryback period allowed for NOLs generated in tax years beginning after December 31, 2017 and before January 1, 2021.</w:t>
      </w:r>
    </w:p>
    <w:p>
      <w:pPr>
        <w:spacing w:after="0" w:line="161" w:lineRule="exact"/>
        <w:rPr>
          <w:sz w:val="20"/>
          <w:szCs w:val="20"/>
          <w:color w:val="auto"/>
        </w:rPr>
      </w:pPr>
    </w:p>
    <w:p>
      <w:pPr>
        <w:ind w:left="380" w:right="200"/>
        <w:spacing w:after="0" w:line="290" w:lineRule="auto"/>
        <w:rPr>
          <w:sz w:val="20"/>
          <w:szCs w:val="20"/>
          <w:color w:val="auto"/>
        </w:rPr>
      </w:pPr>
      <w:r>
        <w:rPr>
          <w:rFonts w:ascii="Arial" w:cs="Arial" w:eastAsia="Arial" w:hAnsi="Arial"/>
          <w:sz w:val="14"/>
          <w:szCs w:val="14"/>
          <w:color w:val="auto"/>
        </w:rPr>
        <w:t>Under ASC 740, the effects of new legislation must be recognized in the period of enactment. Therefore, the effects of the CARES Act was accounted for in the year ended January 31, 2021. The Company evaluated the provisions of the CARES Act and determined that there is no material impact for the year ended January 31, 2021.</w:t>
      </w:r>
    </w:p>
    <w:p>
      <w:pPr>
        <w:spacing w:after="0" w:line="141" w:lineRule="exact"/>
        <w:rPr>
          <w:sz w:val="20"/>
          <w:szCs w:val="20"/>
          <w:color w:val="auto"/>
        </w:rPr>
      </w:pPr>
    </w:p>
    <w:p>
      <w:pPr>
        <w:ind w:left="380" w:right="360"/>
        <w:spacing w:after="0" w:line="271" w:lineRule="auto"/>
        <w:rPr>
          <w:sz w:val="20"/>
          <w:szCs w:val="20"/>
          <w:color w:val="auto"/>
        </w:rPr>
      </w:pPr>
      <w:r>
        <w:rPr>
          <w:rFonts w:ascii="Arial" w:cs="Arial" w:eastAsia="Arial" w:hAnsi="Arial"/>
          <w:sz w:val="14"/>
          <w:szCs w:val="14"/>
          <w:color w:val="auto"/>
        </w:rPr>
        <w:t>On August 16, 2022, Congress passed the Inflation Reduction Act of 2022. The key tax provisions applicable to the Company are a 15% corporate minimum tax on book income and a 1% excise tax on stock repurchases effective January 1, 2023. We do not expect these tax law changes to have a material impact on the Companies consolidated financial position; however, we will continue to evaluate their impact as further information becomes available.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6" w:name="page117"/>
    <w:bookmarkEnd w:id="116"/>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375"/>
        <w:spacing w:after="0"/>
        <w:tabs>
          <w:tab w:leader="none" w:pos="38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Accrued Expenses and Other Current Liabilities</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Accrued expenses and other current liabilities consisted of the following:</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28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January 31,</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2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1"/>
                <w:szCs w:val="11"/>
                <w:b w:val="1"/>
                <w:bCs w:val="1"/>
                <w:color w:val="auto"/>
              </w:rPr>
              <w:t>2023</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2022</w:t>
            </w: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operating and general expenses</w:t>
            </w:r>
          </w:p>
        </w:tc>
        <w:tc>
          <w:tcPr>
            <w:tcW w:w="1060" w:type="dxa"/>
            <w:vAlign w:val="bottom"/>
            <w:shd w:val="clear" w:color="auto" w:fill="CCEEFF"/>
          </w:tcPr>
          <w:p>
            <w:pPr>
              <w:jc w:val="right"/>
              <w:ind w:right="896"/>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202"/>
        </w:trPr>
        <w:tc>
          <w:tcPr>
            <w:tcW w:w="7280" w:type="dxa"/>
            <w:vAlign w:val="bottom"/>
          </w:tcPr>
          <w:p>
            <w:pPr>
              <w:ind w:left="20"/>
              <w:spacing w:after="0"/>
              <w:rPr>
                <w:sz w:val="20"/>
                <w:szCs w:val="20"/>
                <w:color w:val="auto"/>
              </w:rPr>
            </w:pPr>
            <w:r>
              <w:rPr>
                <w:rFonts w:ascii="Arial" w:cs="Arial" w:eastAsia="Arial" w:hAnsi="Arial"/>
                <w:sz w:val="14"/>
                <w:szCs w:val="14"/>
                <w:color w:val="auto"/>
              </w:rPr>
              <w:t>Revenue share payable</w:t>
            </w: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22"/>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interest</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02"/>
        </w:trPr>
        <w:tc>
          <w:tcPr>
            <w:tcW w:w="7280" w:type="dxa"/>
            <w:vAlign w:val="bottom"/>
          </w:tcPr>
          <w:p>
            <w:pPr>
              <w:ind w:left="20"/>
              <w:spacing w:after="0"/>
              <w:rPr>
                <w:sz w:val="20"/>
                <w:szCs w:val="20"/>
                <w:color w:val="auto"/>
              </w:rPr>
            </w:pPr>
            <w:r>
              <w:rPr>
                <w:rFonts w:ascii="Arial" w:cs="Arial" w:eastAsia="Arial" w:hAnsi="Arial"/>
                <w:sz w:val="14"/>
                <w:szCs w:val="14"/>
                <w:color w:val="auto"/>
              </w:rPr>
              <w:t>Accrued payroll related expenses</w:t>
            </w: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22"/>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financing</w:t>
            </w:r>
          </w:p>
        </w:tc>
        <w:tc>
          <w:tcPr>
            <w:tcW w:w="106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02"/>
        </w:trPr>
        <w:tc>
          <w:tcPr>
            <w:tcW w:w="7280" w:type="dxa"/>
            <w:vAlign w:val="bottom"/>
          </w:tcPr>
          <w:p>
            <w:pPr>
              <w:ind w:left="20"/>
              <w:spacing w:after="0"/>
              <w:rPr>
                <w:sz w:val="20"/>
                <w:szCs w:val="20"/>
                <w:color w:val="auto"/>
              </w:rPr>
            </w:pPr>
            <w:r>
              <w:rPr>
                <w:rFonts w:ascii="Arial" w:cs="Arial" w:eastAsia="Arial" w:hAnsi="Arial"/>
                <w:sz w:val="14"/>
                <w:szCs w:val="14"/>
                <w:color w:val="auto"/>
              </w:rPr>
              <w:t>Sales and other taxes</w:t>
            </w: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22"/>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Gift card liability</w:t>
            </w:r>
          </w:p>
        </w:tc>
        <w:tc>
          <w:tcPr>
            <w:tcW w:w="10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93"/>
        </w:trPr>
        <w:tc>
          <w:tcPr>
            <w:tcW w:w="7280" w:type="dxa"/>
            <w:vAlign w:val="bottom"/>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106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r>
      <w:tr>
        <w:trPr>
          <w:trHeight w:val="21"/>
        </w:trPr>
        <w:tc>
          <w:tcPr>
            <w:tcW w:w="7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80" w:hanging="375"/>
        <w:spacing w:after="0"/>
        <w:tabs>
          <w:tab w:leader="none" w:pos="380"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93" w:lineRule="exact"/>
        <w:rPr>
          <w:rFonts w:ascii="Arial" w:cs="Arial" w:eastAsia="Arial" w:hAnsi="Arial"/>
          <w:sz w:val="14"/>
          <w:szCs w:val="14"/>
          <w:b w:val="1"/>
          <w:bCs w:val="1"/>
          <w:color w:val="auto"/>
        </w:rPr>
      </w:pPr>
    </w:p>
    <w:p>
      <w:pPr>
        <w:ind w:left="380" w:right="60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41" w:lineRule="exact"/>
        <w:rPr>
          <w:rFonts w:ascii="Arial" w:cs="Arial" w:eastAsia="Arial" w:hAnsi="Arial"/>
          <w:sz w:val="14"/>
          <w:szCs w:val="14"/>
          <w:b w:val="1"/>
          <w:bCs w:val="1"/>
          <w:color w:val="auto"/>
        </w:rPr>
      </w:pPr>
    </w:p>
    <w:p>
      <w:pPr>
        <w:ind w:left="380" w:right="26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As of January 31, 2023 and 2022,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spacing w:after="0" w:line="141" w:lineRule="exact"/>
        <w:rPr>
          <w:rFonts w:ascii="Arial" w:cs="Arial" w:eastAsia="Arial" w:hAnsi="Arial"/>
          <w:sz w:val="14"/>
          <w:szCs w:val="14"/>
          <w:b w:val="1"/>
          <w:bCs w:val="1"/>
          <w:color w:val="auto"/>
        </w:rPr>
      </w:pPr>
    </w:p>
    <w:p>
      <w:pPr>
        <w:ind w:left="38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Company’s long-term debt is reported at carrying value on the consolidated balance sheet. Refer to Note 8 - Long-Term Debt. The Company estimates the fair value of its long-term debt based on recently reported market transactions for similar financial instruments by companies with similar credit ratings and, as such, are classified as Level 2 within the fair value hierarchy. As of January 31, 2023, the estimated fair value of the Company’s long-term debt approximates its carrying value.</w:t>
      </w:r>
    </w:p>
    <w:p>
      <w:pPr>
        <w:spacing w:after="0" w:line="154" w:lineRule="exact"/>
        <w:rPr>
          <w:rFonts w:ascii="Arial" w:cs="Arial" w:eastAsia="Arial" w:hAnsi="Arial"/>
          <w:sz w:val="14"/>
          <w:szCs w:val="14"/>
          <w:b w:val="1"/>
          <w:bCs w:val="1"/>
          <w:color w:val="auto"/>
        </w:rPr>
      </w:pPr>
    </w:p>
    <w:p>
      <w:pPr>
        <w:ind w:left="380" w:right="2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Company’s warrant liabilities were reported at fair value on the Company’s consolidated balance sheet. The warrant liabilities were valued using a Black-Scholes option pricing model. The assumptions used in preparing the model include estimates such as volatility, contractual terms, dividend yield, expiration dates and risk-free interest rates. Prior to the Company’s IPO, this valuation model used unobservable market share price input on a recurring basis, and therefore was considered a Level 3 liability.</w:t>
      </w:r>
    </w:p>
    <w:p>
      <w:pPr>
        <w:spacing w:after="0" w:line="13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presents a roll forward of the fair value of the Level 3 liabilities for the year ended January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40" w:type="dxa"/>
            <w:vAlign w:val="bottom"/>
            <w:gridSpan w:val="2"/>
          </w:tcPr>
          <w:p>
            <w:pPr>
              <w:ind w:left="200"/>
              <w:spacing w:after="0"/>
              <w:rPr>
                <w:sz w:val="20"/>
                <w:szCs w:val="20"/>
                <w:color w:val="auto"/>
              </w:rPr>
            </w:pPr>
            <w:r>
              <w:rPr>
                <w:rFonts w:ascii="Arial" w:cs="Arial" w:eastAsia="Arial" w:hAnsi="Arial"/>
                <w:sz w:val="11"/>
                <w:szCs w:val="11"/>
                <w:b w:val="1"/>
                <w:bCs w:val="1"/>
                <w:color w:val="auto"/>
              </w:rPr>
              <w:t>Warrant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ind w:left="200"/>
              <w:spacing w:after="0"/>
              <w:rPr>
                <w:sz w:val="20"/>
                <w:szCs w:val="20"/>
                <w:color w:val="auto"/>
              </w:rPr>
            </w:pPr>
            <w:r>
              <w:rPr>
                <w:rFonts w:ascii="Arial" w:cs="Arial" w:eastAsia="Arial" w:hAnsi="Arial"/>
                <w:sz w:val="11"/>
                <w:szCs w:val="11"/>
                <w:b w:val="1"/>
                <w:bCs w:val="1"/>
                <w:color w:val="auto"/>
              </w:rPr>
              <w:t>Liability</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31, 2021</w:t>
            </w:r>
          </w:p>
        </w:tc>
        <w:tc>
          <w:tcPr>
            <w:tcW w:w="5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4140" w:type="dxa"/>
            <w:vAlign w:val="bottom"/>
          </w:tcPr>
          <w:p>
            <w:pPr>
              <w:ind w:left="360"/>
              <w:spacing w:after="0"/>
              <w:rPr>
                <w:sz w:val="20"/>
                <w:szCs w:val="20"/>
                <w:color w:val="auto"/>
              </w:rPr>
            </w:pPr>
            <w:r>
              <w:rPr>
                <w:rFonts w:ascii="Arial" w:cs="Arial" w:eastAsia="Arial" w:hAnsi="Arial"/>
                <w:sz w:val="14"/>
                <w:szCs w:val="14"/>
                <w:color w:val="auto"/>
              </w:rPr>
              <w:t>Issuance of common stock warrants</w:t>
            </w:r>
          </w:p>
        </w:tc>
        <w:tc>
          <w:tcPr>
            <w:tcW w:w="4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0.5</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estimated fair value</w:t>
            </w:r>
          </w:p>
        </w:tc>
        <w:tc>
          <w:tcPr>
            <w:tcW w:w="4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4140" w:type="dxa"/>
            <w:vAlign w:val="bottom"/>
          </w:tcPr>
          <w:p>
            <w:pPr>
              <w:ind w:left="360"/>
              <w:spacing w:after="0"/>
              <w:rPr>
                <w:sz w:val="20"/>
                <w:szCs w:val="20"/>
                <w:color w:val="auto"/>
              </w:rPr>
            </w:pPr>
            <w:r>
              <w:rPr>
                <w:rFonts w:ascii="Arial" w:cs="Arial" w:eastAsia="Arial" w:hAnsi="Arial"/>
                <w:sz w:val="14"/>
                <w:szCs w:val="14"/>
                <w:color w:val="auto"/>
              </w:rPr>
              <w:t>Exercise of warrants</w:t>
            </w:r>
          </w:p>
        </w:tc>
        <w:tc>
          <w:tcPr>
            <w:tcW w:w="4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(35.5)</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Reclassification to equity-classified warrants</w:t>
            </w:r>
          </w:p>
        </w:tc>
        <w:tc>
          <w:tcPr>
            <w:tcW w:w="47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Balance as of January 31, 2022</w:t>
            </w:r>
          </w:p>
        </w:tc>
        <w:tc>
          <w:tcPr>
            <w:tcW w:w="5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720" w:type="dxa"/>
            <w:vAlign w:val="bottom"/>
            <w:vMerge w:val="restart"/>
          </w:tcPr>
          <w:p>
            <w:pPr>
              <w:jc w:val="right"/>
              <w:ind w:right="3409"/>
              <w:spacing w:after="0"/>
              <w:rPr>
                <w:sz w:val="20"/>
                <w:szCs w:val="20"/>
                <w:color w:val="auto"/>
              </w:rPr>
            </w:pPr>
            <w:r>
              <w:rPr>
                <w:rFonts w:ascii="Arial" w:cs="Arial" w:eastAsia="Arial" w:hAnsi="Arial"/>
                <w:sz w:val="14"/>
                <w:szCs w:val="14"/>
                <w:color w:val="auto"/>
              </w:rPr>
              <w:t>114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2"/>
        </w:trPr>
        <w:tc>
          <w:tcPr>
            <w:tcW w:w="3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8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47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7" w:name="page118"/>
    <w:bookmarkEnd w:id="117"/>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The Company issued a warrant for 40,828 shares of common stock with a fair value at issuance of $0.5 million, included in the gain / (loss) on warrant liability revaluation, net on the consolidated statement of operations for the year ended January 31, 2022.</w:t>
      </w:r>
    </w:p>
    <w:p>
      <w:pPr>
        <w:spacing w:after="0" w:line="141" w:lineRule="exact"/>
        <w:rPr>
          <w:sz w:val="20"/>
          <w:szCs w:val="20"/>
          <w:color w:val="auto"/>
        </w:rPr>
      </w:pPr>
    </w:p>
    <w:p>
      <w:pPr>
        <w:ind w:left="380" w:right="20"/>
        <w:spacing w:after="0" w:line="290" w:lineRule="auto"/>
        <w:rPr>
          <w:sz w:val="20"/>
          <w:szCs w:val="20"/>
          <w:color w:val="auto"/>
        </w:rPr>
      </w:pPr>
      <w:r>
        <w:rPr>
          <w:rFonts w:ascii="Arial" w:cs="Arial" w:eastAsia="Arial" w:hAnsi="Arial"/>
          <w:sz w:val="14"/>
          <w:szCs w:val="14"/>
          <w:color w:val="auto"/>
        </w:rPr>
        <w:t>The warrants for 1,651,701 and 40,828 shares of common stock, respectively, were automatically exercised and converted to an aggregate of 1,691,723 shares of Class A common stock through cashless exercise upon completion of the Company’s IPO. These warrants were adjusted to a fair value of $35.5 million immediately prior to exercise.</w:t>
      </w:r>
    </w:p>
    <w:p>
      <w:pPr>
        <w:spacing w:after="0" w:line="110" w:lineRule="exact"/>
        <w:rPr>
          <w:sz w:val="20"/>
          <w:szCs w:val="20"/>
          <w:color w:val="auto"/>
        </w:rPr>
      </w:pPr>
    </w:p>
    <w:p>
      <w:pPr>
        <w:ind w:left="380" w:right="140"/>
        <w:spacing w:after="0" w:line="239" w:lineRule="auto"/>
        <w:rPr>
          <w:sz w:val="20"/>
          <w:szCs w:val="20"/>
          <w:color w:val="auto"/>
        </w:rPr>
      </w:pPr>
      <w:r>
        <w:rPr>
          <w:rFonts w:ascii="Arial" w:cs="Arial" w:eastAsia="Arial" w:hAnsi="Arial"/>
          <w:sz w:val="14"/>
          <w:szCs w:val="14"/>
          <w:color w:val="auto"/>
        </w:rPr>
        <w:t>The warrants for an aggregate of 88,037 shares of Series D redeemable preferred stock were converted to warrants for shares of Class A common stock as of the effective date of the IPO. These warrants were reclassified to stockholders’ equity as of the effective date of the IPO, as the redemption provision from the shares underlying these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warrants was eliminated. These warrants were adjusted to fair value of $1.2 million immediately prior to reclassification.</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There were no outstanding liability-classified warrants as of January 31, 2023 and 2022.</w:t>
      </w:r>
    </w:p>
    <w:p>
      <w:pPr>
        <w:spacing w:after="0" w:line="263" w:lineRule="exact"/>
        <w:rPr>
          <w:sz w:val="20"/>
          <w:szCs w:val="20"/>
          <w:color w:val="auto"/>
        </w:rPr>
      </w:pPr>
    </w:p>
    <w:p>
      <w:pPr>
        <w:ind w:left="380" w:hanging="375"/>
        <w:spacing w:after="0"/>
        <w:tabs>
          <w:tab w:leader="none" w:pos="380"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auto"/>
        </w:rPr>
        <w:t>Redeemable Preferred Stock</w:t>
      </w:r>
    </w:p>
    <w:p>
      <w:pPr>
        <w:spacing w:after="0" w:line="178" w:lineRule="exact"/>
        <w:rPr>
          <w:rFonts w:ascii="Arial" w:cs="Arial" w:eastAsia="Arial" w:hAnsi="Arial"/>
          <w:sz w:val="14"/>
          <w:szCs w:val="14"/>
          <w:b w:val="1"/>
          <w:bCs w:val="1"/>
          <w:color w:val="auto"/>
        </w:rPr>
      </w:pPr>
    </w:p>
    <w:p>
      <w:pPr>
        <w:ind w:left="38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During the year ended January 31, 2021, the Company sold 4,145,650 shares of Series G redeemable preferred stock in exchange for $57.6 million. During the year ended January 31, 2022, the Company sold an additional 1,437,541 shares of Series G redeemable preferred stock in exchange for $21.2 million. Upon consummation of the IPO, the Company accreted the carrying value of $409.3 million of the redeemable preferred stock to the liquidation value of $414.9 million and the Company’s 32,575,462 outstanding shares of redeemable preferred stock were converted into 32,575,462 shares of the Company’s Class A common stock. The accretion to liquidation value did not have a net impact on the Company’s additional paid-in capital. There was no outstanding redeemable preferred stock as of January 31, 2023 and 2022.</w:t>
      </w:r>
    </w:p>
    <w:p>
      <w:pPr>
        <w:spacing w:after="0" w:line="14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Redemption</w:t>
      </w:r>
    </w:p>
    <w:p>
      <w:pPr>
        <w:spacing w:after="0" w:line="91" w:lineRule="exact"/>
        <w:rPr>
          <w:rFonts w:ascii="Arial" w:cs="Arial" w:eastAsia="Arial" w:hAnsi="Arial"/>
          <w:sz w:val="14"/>
          <w:szCs w:val="14"/>
          <w:b w:val="1"/>
          <w:bCs w:val="1"/>
          <w:color w:val="auto"/>
        </w:rPr>
      </w:pPr>
    </w:p>
    <w:p>
      <w:pPr>
        <w:ind w:left="380" w:right="2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redeemable preferred stock was redeemable upon a liquidation event, such as voluntary or involuntary liquidation, dissolution, or winding up of the Company, which is outside of the Company’s control. Accordingly, these shares were considered contingently redeemable and were classified outside of stockholders’ deficit as mezzanine equity on the consolidated balance sheets. The Company accreted the carrying values of the redeemable preferred stock to their liquidation values upon the Company’s IPO.</w:t>
      </w:r>
    </w:p>
    <w:p>
      <w:pPr>
        <w:spacing w:after="0" w:line="218" w:lineRule="exact"/>
        <w:rPr>
          <w:rFonts w:ascii="Arial" w:cs="Arial" w:eastAsia="Arial" w:hAnsi="Arial"/>
          <w:sz w:val="14"/>
          <w:szCs w:val="14"/>
          <w:b w:val="1"/>
          <w:bCs w:val="1"/>
          <w:color w:val="auto"/>
        </w:rPr>
      </w:pPr>
    </w:p>
    <w:p>
      <w:pPr>
        <w:ind w:left="380" w:right="9440" w:hanging="375"/>
        <w:spacing w:after="0" w:line="379" w:lineRule="auto"/>
        <w:tabs>
          <w:tab w:leader="none" w:pos="375"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Stockholders’ Equity </w:t>
      </w:r>
      <w:r>
        <w:rPr>
          <w:rFonts w:ascii="Arial" w:cs="Arial" w:eastAsia="Arial" w:hAnsi="Arial"/>
          <w:sz w:val="14"/>
          <w:szCs w:val="14"/>
          <w:b w:val="1"/>
          <w:bCs w:val="1"/>
          <w:i w:val="1"/>
          <w:iCs w:val="1"/>
          <w:color w:val="auto"/>
        </w:rPr>
        <w:t>Common Stock</w:t>
      </w:r>
    </w:p>
    <w:p>
      <w:pPr>
        <w:ind w:left="380" w:right="10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w:t>
      </w:r>
    </w:p>
    <w:p>
      <w:pPr>
        <w:spacing w:after="0" w:line="24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Preferred Stock</w:t>
      </w:r>
    </w:p>
    <w:p>
      <w:pPr>
        <w:spacing w:after="0" w:line="91" w:lineRule="exact"/>
        <w:rPr>
          <w:rFonts w:ascii="Arial" w:cs="Arial" w:eastAsia="Arial" w:hAnsi="Arial"/>
          <w:sz w:val="14"/>
          <w:szCs w:val="14"/>
          <w:b w:val="1"/>
          <w:bCs w:val="1"/>
          <w:color w:val="auto"/>
        </w:rPr>
      </w:pPr>
    </w:p>
    <w:p>
      <w:pPr>
        <w:ind w:left="380" w:right="10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Upon the IPO, the Company authorized 10,000,000 shares of preferred stock, with a par value of $0.001 per share. No shares were issued or outstanding as of January 31,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18" w:name="page119"/>
    <w:bookmarkEnd w:id="118"/>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Warrants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January 31, 2023 and 2022, the Company had the following outstanding warrants: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28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1"/>
                <w:szCs w:val="11"/>
                <w:b w:val="1"/>
                <w:bCs w:val="1"/>
                <w:color w:val="auto"/>
              </w:rPr>
              <w:t>January 31, 2023</w:t>
            </w: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49"/>
        </w:trPr>
        <w:tc>
          <w:tcPr>
            <w:tcW w:w="2860" w:type="dxa"/>
            <w:vAlign w:val="bottom"/>
          </w:tcPr>
          <w:p>
            <w:pPr>
              <w:spacing w:after="0"/>
              <w:rPr>
                <w:sz w:val="12"/>
                <w:szCs w:val="12"/>
                <w:color w:val="auto"/>
              </w:rPr>
            </w:pPr>
          </w:p>
        </w:tc>
        <w:tc>
          <w:tcPr>
            <w:tcW w:w="920" w:type="dxa"/>
            <w:vAlign w:val="bottom"/>
          </w:tcPr>
          <w:p>
            <w:pPr>
              <w:jc w:val="center"/>
              <w:ind w:left="423"/>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ind w:right="351"/>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2"/>
                <w:szCs w:val="12"/>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rPr>
              <w:t>Class of</w:t>
            </w:r>
          </w:p>
        </w:tc>
        <w:tc>
          <w:tcPr>
            <w:tcW w:w="12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Exercise</w:t>
            </w:r>
          </w:p>
        </w:tc>
        <w:tc>
          <w:tcPr>
            <w:tcW w:w="260" w:type="dxa"/>
            <w:vAlign w:val="bottom"/>
          </w:tcPr>
          <w:p>
            <w:pPr>
              <w:spacing w:after="0"/>
              <w:rPr>
                <w:sz w:val="12"/>
                <w:szCs w:val="12"/>
                <w:color w:val="auto"/>
              </w:rPr>
            </w:pPr>
          </w:p>
        </w:tc>
        <w:tc>
          <w:tcPr>
            <w:tcW w:w="1180" w:type="dxa"/>
            <w:vAlign w:val="bottom"/>
          </w:tcPr>
          <w:p>
            <w:pPr>
              <w:jc w:val="right"/>
              <w:ind w:right="371"/>
              <w:spacing w:after="0"/>
              <w:rPr>
                <w:sz w:val="20"/>
                <w:szCs w:val="20"/>
                <w:color w:val="auto"/>
              </w:rPr>
            </w:pPr>
            <w:r>
              <w:rPr>
                <w:rFonts w:ascii="Arial" w:cs="Arial" w:eastAsia="Arial" w:hAnsi="Arial"/>
                <w:sz w:val="11"/>
                <w:szCs w:val="11"/>
                <w:b w:val="1"/>
                <w:bCs w:val="1"/>
                <w:color w:val="auto"/>
              </w:rPr>
              <w:t>Fair Value</w:t>
            </w:r>
          </w:p>
        </w:tc>
      </w:tr>
      <w:tr>
        <w:trPr>
          <w:trHeight w:val="165"/>
        </w:trPr>
        <w:tc>
          <w:tcPr>
            <w:tcW w:w="2860" w:type="dxa"/>
            <w:vAlign w:val="bottom"/>
          </w:tcPr>
          <w:p>
            <w:pPr>
              <w:ind w:left="840"/>
              <w:spacing w:after="0"/>
              <w:rPr>
                <w:sz w:val="20"/>
                <w:szCs w:val="20"/>
                <w:color w:val="auto"/>
              </w:rPr>
            </w:pPr>
            <w:r>
              <w:rPr>
                <w:rFonts w:ascii="Arial" w:cs="Arial" w:eastAsia="Arial" w:hAnsi="Arial"/>
                <w:sz w:val="11"/>
                <w:szCs w:val="11"/>
                <w:b w:val="1"/>
                <w:bCs w:val="1"/>
                <w:color w:val="auto"/>
              </w:rPr>
              <w:t>Outstanding Warrants</w:t>
            </w:r>
          </w:p>
        </w:tc>
        <w:tc>
          <w:tcPr>
            <w:tcW w:w="920" w:type="dxa"/>
            <w:vAlign w:val="bottom"/>
          </w:tcPr>
          <w:p>
            <w:pPr>
              <w:jc w:val="center"/>
              <w:ind w:left="423"/>
              <w:spacing w:after="0"/>
              <w:rPr>
                <w:sz w:val="20"/>
                <w:szCs w:val="20"/>
                <w:color w:val="auto"/>
              </w:rPr>
            </w:pPr>
            <w:r>
              <w:rPr>
                <w:rFonts w:ascii="Arial" w:cs="Arial" w:eastAsia="Arial" w:hAnsi="Arial"/>
                <w:sz w:val="11"/>
                <w:szCs w:val="11"/>
                <w:b w:val="1"/>
                <w:bCs w:val="1"/>
                <w:color w:val="auto"/>
              </w:rPr>
              <w:t>Issued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ind w:right="451"/>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4"/>
                <w:szCs w:val="14"/>
                <w:color w:val="auto"/>
              </w:rPr>
            </w:pPr>
          </w:p>
        </w:tc>
        <w:tc>
          <w:tcPr>
            <w:tcW w:w="180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rPr>
              <w:t>Shares</w:t>
            </w:r>
          </w:p>
        </w:tc>
        <w:tc>
          <w:tcPr>
            <w:tcW w:w="12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Price</w:t>
            </w:r>
          </w:p>
        </w:tc>
        <w:tc>
          <w:tcPr>
            <w:tcW w:w="260" w:type="dxa"/>
            <w:vAlign w:val="bottom"/>
          </w:tcPr>
          <w:p>
            <w:pPr>
              <w:spacing w:after="0"/>
              <w:rPr>
                <w:sz w:val="14"/>
                <w:szCs w:val="14"/>
                <w:color w:val="auto"/>
              </w:rPr>
            </w:pPr>
          </w:p>
        </w:tc>
        <w:tc>
          <w:tcPr>
            <w:tcW w:w="1180" w:type="dxa"/>
            <w:vAlign w:val="bottom"/>
          </w:tcPr>
          <w:p>
            <w:pPr>
              <w:jc w:val="right"/>
              <w:ind w:right="331"/>
              <w:spacing w:after="0"/>
              <w:rPr>
                <w:sz w:val="20"/>
                <w:szCs w:val="20"/>
                <w:color w:val="auto"/>
              </w:rPr>
            </w:pPr>
            <w:r>
              <w:rPr>
                <w:rFonts w:ascii="Arial" w:cs="Arial" w:eastAsia="Arial" w:hAnsi="Arial"/>
                <w:sz w:val="11"/>
                <w:szCs w:val="11"/>
                <w:b w:val="1"/>
                <w:bCs w:val="1"/>
                <w:color w:val="auto"/>
              </w:rPr>
              <w:t>at Issuance</w:t>
            </w:r>
          </w:p>
        </w:tc>
      </w:tr>
      <w:tr>
        <w:trPr>
          <w:trHeight w:val="19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classified:</w:t>
            </w:r>
          </w:p>
        </w:tc>
        <w:tc>
          <w:tcPr>
            <w:tcW w:w="9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Nov-16</w:t>
            </w:r>
          </w:p>
        </w:tc>
        <w:tc>
          <w:tcPr>
            <w:tcW w:w="1420" w:type="dxa"/>
            <w:vAlign w:val="bottom"/>
          </w:tcPr>
          <w:p>
            <w:pPr>
              <w:jc w:val="right"/>
              <w:spacing w:after="0"/>
              <w:rPr>
                <w:sz w:val="20"/>
                <w:szCs w:val="20"/>
                <w:color w:val="auto"/>
              </w:rPr>
            </w:pPr>
            <w:r>
              <w:rPr>
                <w:rFonts w:ascii="Arial" w:cs="Arial" w:eastAsia="Arial" w:hAnsi="Arial"/>
                <w:sz w:val="14"/>
                <w:szCs w:val="14"/>
                <w:color w:val="auto"/>
              </w:rPr>
              <w:t>82,891</w:t>
            </w:r>
          </w:p>
        </w:tc>
        <w:tc>
          <w:tcPr>
            <w:tcW w:w="100" w:type="dxa"/>
            <w:vAlign w:val="bottom"/>
          </w:tcPr>
          <w:p>
            <w:pPr>
              <w:spacing w:after="0"/>
              <w:rPr>
                <w:sz w:val="17"/>
                <w:szCs w:val="17"/>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  $</w:t>
            </w:r>
          </w:p>
        </w:tc>
        <w:tc>
          <w:tcPr>
            <w:tcW w:w="114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Jun-17</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18,236</w:t>
            </w:r>
          </w:p>
        </w:tc>
        <w:tc>
          <w:tcPr>
            <w:tcW w:w="1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Sep-17</w:t>
            </w:r>
          </w:p>
        </w:tc>
        <w:tc>
          <w:tcPr>
            <w:tcW w:w="1420" w:type="dxa"/>
            <w:vAlign w:val="bottom"/>
          </w:tcPr>
          <w:p>
            <w:pPr>
              <w:jc w:val="right"/>
              <w:spacing w:after="0"/>
              <w:rPr>
                <w:sz w:val="20"/>
                <w:szCs w:val="20"/>
                <w:color w:val="auto"/>
              </w:rPr>
            </w:pPr>
            <w:r>
              <w:rPr>
                <w:rFonts w:ascii="Arial" w:cs="Arial" w:eastAsia="Arial" w:hAnsi="Arial"/>
                <w:sz w:val="14"/>
                <w:szCs w:val="14"/>
                <w:color w:val="auto"/>
              </w:rPr>
              <w:t>14,920</w:t>
            </w:r>
          </w:p>
        </w:tc>
        <w:tc>
          <w:tcPr>
            <w:tcW w:w="100" w:type="dxa"/>
            <w:vAlign w:val="bottom"/>
          </w:tcPr>
          <w:p>
            <w:pPr>
              <w:spacing w:after="0"/>
              <w:rPr>
                <w:sz w:val="17"/>
                <w:szCs w:val="17"/>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Jan-18</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16,578</w:t>
            </w:r>
          </w:p>
        </w:tc>
        <w:tc>
          <w:tcPr>
            <w:tcW w:w="1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Apr-18</w:t>
            </w:r>
          </w:p>
        </w:tc>
        <w:tc>
          <w:tcPr>
            <w:tcW w:w="1420" w:type="dxa"/>
            <w:vAlign w:val="bottom"/>
          </w:tcPr>
          <w:p>
            <w:pPr>
              <w:jc w:val="right"/>
              <w:spacing w:after="0"/>
              <w:rPr>
                <w:sz w:val="20"/>
                <w:szCs w:val="20"/>
                <w:color w:val="auto"/>
              </w:rPr>
            </w:pPr>
            <w:r>
              <w:rPr>
                <w:rFonts w:ascii="Arial" w:cs="Arial" w:eastAsia="Arial" w:hAnsi="Arial"/>
                <w:sz w:val="14"/>
                <w:szCs w:val="14"/>
                <w:color w:val="auto"/>
              </w:rPr>
              <w:t>16,578</w:t>
            </w:r>
          </w:p>
        </w:tc>
        <w:tc>
          <w:tcPr>
            <w:tcW w:w="100" w:type="dxa"/>
            <w:vAlign w:val="bottom"/>
          </w:tcPr>
          <w:p>
            <w:pPr>
              <w:spacing w:after="0"/>
              <w:rPr>
                <w:sz w:val="17"/>
                <w:szCs w:val="17"/>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Nov-15</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35,215</w:t>
            </w:r>
          </w:p>
        </w:tc>
        <w:tc>
          <w:tcPr>
            <w:tcW w:w="1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Jun-16</w:t>
            </w:r>
          </w:p>
        </w:tc>
        <w:tc>
          <w:tcPr>
            <w:tcW w:w="1420" w:type="dxa"/>
            <w:vAlign w:val="bottom"/>
          </w:tcPr>
          <w:p>
            <w:pPr>
              <w:jc w:val="right"/>
              <w:spacing w:after="0"/>
              <w:rPr>
                <w:sz w:val="20"/>
                <w:szCs w:val="20"/>
                <w:color w:val="auto"/>
              </w:rPr>
            </w:pPr>
            <w:r>
              <w:rPr>
                <w:rFonts w:ascii="Arial" w:cs="Arial" w:eastAsia="Arial" w:hAnsi="Arial"/>
                <w:sz w:val="14"/>
                <w:szCs w:val="14"/>
                <w:color w:val="auto"/>
              </w:rPr>
              <w:t>28,172</w:t>
            </w:r>
          </w:p>
        </w:tc>
        <w:tc>
          <w:tcPr>
            <w:tcW w:w="100" w:type="dxa"/>
            <w:vAlign w:val="bottom"/>
          </w:tcPr>
          <w:p>
            <w:pPr>
              <w:spacing w:after="0"/>
              <w:rPr>
                <w:sz w:val="17"/>
                <w:szCs w:val="17"/>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Sep-16</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24,650</w:t>
            </w:r>
          </w:p>
        </w:tc>
        <w:tc>
          <w:tcPr>
            <w:tcW w:w="1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Double Helix (Temasek)</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Oct-21</w:t>
            </w:r>
          </w:p>
        </w:tc>
        <w:tc>
          <w:tcPr>
            <w:tcW w:w="1420" w:type="dxa"/>
            <w:vAlign w:val="bottom"/>
          </w:tcPr>
          <w:p>
            <w:pPr>
              <w:jc w:val="right"/>
              <w:spacing w:after="0"/>
              <w:rPr>
                <w:sz w:val="20"/>
                <w:szCs w:val="20"/>
                <w:color w:val="auto"/>
              </w:rPr>
            </w:pPr>
            <w:r>
              <w:rPr>
                <w:rFonts w:ascii="Arial" w:cs="Arial" w:eastAsia="Arial" w:hAnsi="Arial"/>
                <w:sz w:val="14"/>
                <w:szCs w:val="14"/>
                <w:color w:val="auto"/>
              </w:rPr>
              <w:t>394,343</w:t>
            </w:r>
          </w:p>
        </w:tc>
        <w:tc>
          <w:tcPr>
            <w:tcW w:w="100" w:type="dxa"/>
            <w:vAlign w:val="bottom"/>
          </w:tcPr>
          <w:p>
            <w:pPr>
              <w:spacing w:after="0"/>
              <w:rPr>
                <w:sz w:val="17"/>
                <w:szCs w:val="17"/>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Pr>
          <w:p>
            <w:pPr>
              <w:jc w:val="right"/>
              <w:spacing w:after="0"/>
              <w:rPr>
                <w:sz w:val="20"/>
                <w:szCs w:val="20"/>
                <w:color w:val="auto"/>
              </w:rPr>
            </w:pPr>
            <w:r>
              <w:rPr>
                <w:rFonts w:ascii="Arial" w:cs="Arial" w:eastAsia="Arial" w:hAnsi="Arial"/>
                <w:sz w:val="14"/>
                <w:szCs w:val="14"/>
                <w:color w:val="auto"/>
              </w:rPr>
              <w:t>21.00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Double Helix (Temasek)</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203"/>
        </w:trPr>
        <w:tc>
          <w:tcPr>
            <w:tcW w:w="2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2,631,583</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1"/>
        </w:trPr>
        <w:tc>
          <w:tcPr>
            <w:tcW w:w="2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right="60"/>
        <w:spacing w:after="0" w:line="290" w:lineRule="auto"/>
        <w:rPr>
          <w:sz w:val="20"/>
          <w:szCs w:val="20"/>
          <w:color w:val="auto"/>
        </w:rPr>
      </w:pPr>
      <w:r>
        <w:rPr>
          <w:rFonts w:ascii="Arial" w:cs="Arial" w:eastAsia="Arial" w:hAnsi="Arial"/>
          <w:sz w:val="14"/>
          <w:szCs w:val="14"/>
          <w:color w:val="auto"/>
        </w:rPr>
        <w:t>The warrant for 730,000 shares of common stock issued to Double Helix (Temasek) in July 2018 with an exercise price of $27.40 per share expired unexercised during the year ended January 31, 2023.</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See Note 8 - Long-Term Debt for details of the warrants issued to Temasek in January 2023.</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28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1"/>
                <w:szCs w:val="11"/>
                <w:b w:val="1"/>
                <w:bCs w:val="1"/>
                <w:color w:val="auto"/>
              </w:rPr>
              <w:t>January 31, 2022</w:t>
            </w: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38"/>
        </w:trPr>
        <w:tc>
          <w:tcPr>
            <w:tcW w:w="2860" w:type="dxa"/>
            <w:vAlign w:val="bottom"/>
          </w:tcPr>
          <w:p>
            <w:pPr>
              <w:spacing w:after="0"/>
              <w:rPr>
                <w:sz w:val="12"/>
                <w:szCs w:val="12"/>
                <w:color w:val="auto"/>
              </w:rPr>
            </w:pPr>
          </w:p>
        </w:tc>
        <w:tc>
          <w:tcPr>
            <w:tcW w:w="920" w:type="dxa"/>
            <w:vAlign w:val="bottom"/>
          </w:tcPr>
          <w:p>
            <w:pPr>
              <w:jc w:val="center"/>
              <w:ind w:left="423"/>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ind w:right="351"/>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2"/>
                <w:szCs w:val="12"/>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rPr>
              <w:t>Class of</w:t>
            </w:r>
          </w:p>
        </w:tc>
        <w:tc>
          <w:tcPr>
            <w:tcW w:w="12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Exercise</w:t>
            </w:r>
          </w:p>
        </w:tc>
        <w:tc>
          <w:tcPr>
            <w:tcW w:w="260" w:type="dxa"/>
            <w:vAlign w:val="bottom"/>
          </w:tcPr>
          <w:p>
            <w:pPr>
              <w:spacing w:after="0"/>
              <w:rPr>
                <w:sz w:val="12"/>
                <w:szCs w:val="12"/>
                <w:color w:val="auto"/>
              </w:rPr>
            </w:pPr>
          </w:p>
        </w:tc>
        <w:tc>
          <w:tcPr>
            <w:tcW w:w="1180" w:type="dxa"/>
            <w:vAlign w:val="bottom"/>
          </w:tcPr>
          <w:p>
            <w:pPr>
              <w:jc w:val="right"/>
              <w:ind w:right="371"/>
              <w:spacing w:after="0"/>
              <w:rPr>
                <w:sz w:val="20"/>
                <w:szCs w:val="20"/>
                <w:color w:val="auto"/>
              </w:rPr>
            </w:pPr>
            <w:r>
              <w:rPr>
                <w:rFonts w:ascii="Arial" w:cs="Arial" w:eastAsia="Arial" w:hAnsi="Arial"/>
                <w:sz w:val="11"/>
                <w:szCs w:val="11"/>
                <w:b w:val="1"/>
                <w:bCs w:val="1"/>
                <w:color w:val="auto"/>
              </w:rPr>
              <w:t>Fair Value</w:t>
            </w:r>
          </w:p>
        </w:tc>
      </w:tr>
      <w:tr>
        <w:trPr>
          <w:trHeight w:val="170"/>
        </w:trPr>
        <w:tc>
          <w:tcPr>
            <w:tcW w:w="2860" w:type="dxa"/>
            <w:vAlign w:val="bottom"/>
          </w:tcPr>
          <w:p>
            <w:pPr>
              <w:ind w:left="840"/>
              <w:spacing w:after="0"/>
              <w:rPr>
                <w:sz w:val="20"/>
                <w:szCs w:val="20"/>
                <w:color w:val="auto"/>
              </w:rPr>
            </w:pPr>
            <w:r>
              <w:rPr>
                <w:rFonts w:ascii="Arial" w:cs="Arial" w:eastAsia="Arial" w:hAnsi="Arial"/>
                <w:sz w:val="11"/>
                <w:szCs w:val="11"/>
                <w:b w:val="1"/>
                <w:bCs w:val="1"/>
                <w:color w:val="auto"/>
              </w:rPr>
              <w:t>Outstanding Warrants</w:t>
            </w:r>
          </w:p>
        </w:tc>
        <w:tc>
          <w:tcPr>
            <w:tcW w:w="920" w:type="dxa"/>
            <w:vAlign w:val="bottom"/>
          </w:tcPr>
          <w:p>
            <w:pPr>
              <w:jc w:val="center"/>
              <w:ind w:left="423"/>
              <w:spacing w:after="0"/>
              <w:rPr>
                <w:sz w:val="20"/>
                <w:szCs w:val="20"/>
                <w:color w:val="auto"/>
              </w:rPr>
            </w:pPr>
            <w:r>
              <w:rPr>
                <w:rFonts w:ascii="Arial" w:cs="Arial" w:eastAsia="Arial" w:hAnsi="Arial"/>
                <w:sz w:val="11"/>
                <w:szCs w:val="11"/>
                <w:b w:val="1"/>
                <w:bCs w:val="1"/>
                <w:color w:val="auto"/>
              </w:rPr>
              <w:t>Issued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ind w:right="451"/>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4"/>
                <w:szCs w:val="14"/>
                <w:color w:val="auto"/>
              </w:rPr>
            </w:pPr>
          </w:p>
        </w:tc>
        <w:tc>
          <w:tcPr>
            <w:tcW w:w="180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rPr>
              <w:t>Shares</w:t>
            </w:r>
          </w:p>
        </w:tc>
        <w:tc>
          <w:tcPr>
            <w:tcW w:w="12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Price</w:t>
            </w:r>
          </w:p>
        </w:tc>
        <w:tc>
          <w:tcPr>
            <w:tcW w:w="260" w:type="dxa"/>
            <w:vAlign w:val="bottom"/>
          </w:tcPr>
          <w:p>
            <w:pPr>
              <w:spacing w:after="0"/>
              <w:rPr>
                <w:sz w:val="14"/>
                <w:szCs w:val="14"/>
                <w:color w:val="auto"/>
              </w:rPr>
            </w:pPr>
          </w:p>
        </w:tc>
        <w:tc>
          <w:tcPr>
            <w:tcW w:w="1180" w:type="dxa"/>
            <w:vAlign w:val="bottom"/>
          </w:tcPr>
          <w:p>
            <w:pPr>
              <w:jc w:val="right"/>
              <w:ind w:right="331"/>
              <w:spacing w:after="0"/>
              <w:rPr>
                <w:sz w:val="20"/>
                <w:szCs w:val="20"/>
                <w:color w:val="auto"/>
              </w:rPr>
            </w:pPr>
            <w:r>
              <w:rPr>
                <w:rFonts w:ascii="Arial" w:cs="Arial" w:eastAsia="Arial" w:hAnsi="Arial"/>
                <w:sz w:val="11"/>
                <w:szCs w:val="11"/>
                <w:b w:val="1"/>
                <w:bCs w:val="1"/>
                <w:color w:val="auto"/>
              </w:rPr>
              <w:t>at Issuance</w:t>
            </w:r>
          </w:p>
        </w:tc>
      </w:tr>
      <w:tr>
        <w:trPr>
          <w:trHeight w:val="198"/>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classified:</w:t>
            </w:r>
          </w:p>
        </w:tc>
        <w:tc>
          <w:tcPr>
            <w:tcW w:w="9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Nov-16</w:t>
            </w:r>
          </w:p>
        </w:tc>
        <w:tc>
          <w:tcPr>
            <w:tcW w:w="1420" w:type="dxa"/>
            <w:vAlign w:val="bottom"/>
          </w:tcPr>
          <w:p>
            <w:pPr>
              <w:jc w:val="right"/>
              <w:spacing w:after="0"/>
              <w:rPr>
                <w:sz w:val="20"/>
                <w:szCs w:val="20"/>
                <w:color w:val="auto"/>
              </w:rPr>
            </w:pPr>
            <w:r>
              <w:rPr>
                <w:rFonts w:ascii="Arial" w:cs="Arial" w:eastAsia="Arial" w:hAnsi="Arial"/>
                <w:sz w:val="14"/>
                <w:szCs w:val="14"/>
                <w:color w:val="auto"/>
              </w:rPr>
              <w:t>82,891</w:t>
            </w:r>
          </w:p>
        </w:tc>
        <w:tc>
          <w:tcPr>
            <w:tcW w:w="100" w:type="dxa"/>
            <w:vAlign w:val="bottom"/>
          </w:tcPr>
          <w:p>
            <w:pPr>
              <w:spacing w:after="0"/>
              <w:rPr>
                <w:sz w:val="17"/>
                <w:szCs w:val="17"/>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  $</w:t>
            </w:r>
          </w:p>
        </w:tc>
        <w:tc>
          <w:tcPr>
            <w:tcW w:w="114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Jun-17</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18,236</w:t>
            </w:r>
          </w:p>
        </w:tc>
        <w:tc>
          <w:tcPr>
            <w:tcW w:w="1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Sep-17</w:t>
            </w:r>
          </w:p>
        </w:tc>
        <w:tc>
          <w:tcPr>
            <w:tcW w:w="1420" w:type="dxa"/>
            <w:vAlign w:val="bottom"/>
          </w:tcPr>
          <w:p>
            <w:pPr>
              <w:jc w:val="right"/>
              <w:spacing w:after="0"/>
              <w:rPr>
                <w:sz w:val="20"/>
                <w:szCs w:val="20"/>
                <w:color w:val="auto"/>
              </w:rPr>
            </w:pPr>
            <w:r>
              <w:rPr>
                <w:rFonts w:ascii="Arial" w:cs="Arial" w:eastAsia="Arial" w:hAnsi="Arial"/>
                <w:sz w:val="14"/>
                <w:szCs w:val="14"/>
                <w:color w:val="auto"/>
              </w:rPr>
              <w:t>14,920</w:t>
            </w:r>
          </w:p>
        </w:tc>
        <w:tc>
          <w:tcPr>
            <w:tcW w:w="100" w:type="dxa"/>
            <w:vAlign w:val="bottom"/>
          </w:tcPr>
          <w:p>
            <w:pPr>
              <w:spacing w:after="0"/>
              <w:rPr>
                <w:sz w:val="17"/>
                <w:szCs w:val="17"/>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Jan-18</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16,578</w:t>
            </w:r>
          </w:p>
        </w:tc>
        <w:tc>
          <w:tcPr>
            <w:tcW w:w="1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Apr-18</w:t>
            </w:r>
          </w:p>
        </w:tc>
        <w:tc>
          <w:tcPr>
            <w:tcW w:w="1420" w:type="dxa"/>
            <w:vAlign w:val="bottom"/>
          </w:tcPr>
          <w:p>
            <w:pPr>
              <w:jc w:val="right"/>
              <w:spacing w:after="0"/>
              <w:rPr>
                <w:sz w:val="20"/>
                <w:szCs w:val="20"/>
                <w:color w:val="auto"/>
              </w:rPr>
            </w:pPr>
            <w:r>
              <w:rPr>
                <w:rFonts w:ascii="Arial" w:cs="Arial" w:eastAsia="Arial" w:hAnsi="Arial"/>
                <w:sz w:val="14"/>
                <w:szCs w:val="14"/>
                <w:color w:val="auto"/>
              </w:rPr>
              <w:t>16,578</w:t>
            </w:r>
          </w:p>
        </w:tc>
        <w:tc>
          <w:tcPr>
            <w:tcW w:w="100" w:type="dxa"/>
            <w:vAlign w:val="bottom"/>
          </w:tcPr>
          <w:p>
            <w:pPr>
              <w:spacing w:after="0"/>
              <w:rPr>
                <w:sz w:val="17"/>
                <w:szCs w:val="17"/>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Nov-15</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35,215</w:t>
            </w:r>
          </w:p>
        </w:tc>
        <w:tc>
          <w:tcPr>
            <w:tcW w:w="1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Jun-16</w:t>
            </w:r>
          </w:p>
        </w:tc>
        <w:tc>
          <w:tcPr>
            <w:tcW w:w="1420" w:type="dxa"/>
            <w:vAlign w:val="bottom"/>
          </w:tcPr>
          <w:p>
            <w:pPr>
              <w:jc w:val="right"/>
              <w:spacing w:after="0"/>
              <w:rPr>
                <w:sz w:val="20"/>
                <w:szCs w:val="20"/>
                <w:color w:val="auto"/>
              </w:rPr>
            </w:pPr>
            <w:r>
              <w:rPr>
                <w:rFonts w:ascii="Arial" w:cs="Arial" w:eastAsia="Arial" w:hAnsi="Arial"/>
                <w:sz w:val="14"/>
                <w:szCs w:val="14"/>
                <w:color w:val="auto"/>
              </w:rPr>
              <w:t>28,172</w:t>
            </w:r>
          </w:p>
        </w:tc>
        <w:tc>
          <w:tcPr>
            <w:tcW w:w="100" w:type="dxa"/>
            <w:vAlign w:val="bottom"/>
          </w:tcPr>
          <w:p>
            <w:pPr>
              <w:spacing w:after="0"/>
              <w:rPr>
                <w:sz w:val="17"/>
                <w:szCs w:val="17"/>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2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Sep-16</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24,650</w:t>
            </w:r>
          </w:p>
        </w:tc>
        <w:tc>
          <w:tcPr>
            <w:tcW w:w="1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Double Helix (Temasek)</w:t>
            </w:r>
          </w:p>
        </w:tc>
        <w:tc>
          <w:tcPr>
            <w:tcW w:w="9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Jul-18</w:t>
            </w:r>
          </w:p>
        </w:tc>
        <w:tc>
          <w:tcPr>
            <w:tcW w:w="1420" w:type="dxa"/>
            <w:vAlign w:val="bottom"/>
          </w:tcPr>
          <w:p>
            <w:pPr>
              <w:jc w:val="right"/>
              <w:spacing w:after="0"/>
              <w:rPr>
                <w:sz w:val="20"/>
                <w:szCs w:val="20"/>
                <w:color w:val="auto"/>
              </w:rPr>
            </w:pPr>
            <w:r>
              <w:rPr>
                <w:rFonts w:ascii="Arial" w:cs="Arial" w:eastAsia="Arial" w:hAnsi="Arial"/>
                <w:sz w:val="14"/>
                <w:szCs w:val="14"/>
                <w:color w:val="auto"/>
              </w:rPr>
              <w:t>730,000</w:t>
            </w:r>
          </w:p>
        </w:tc>
        <w:tc>
          <w:tcPr>
            <w:tcW w:w="100" w:type="dxa"/>
            <w:vAlign w:val="bottom"/>
          </w:tcPr>
          <w:p>
            <w:pPr>
              <w:spacing w:after="0"/>
              <w:rPr>
                <w:sz w:val="17"/>
                <w:szCs w:val="17"/>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tcPr>
          <w:p>
            <w:pPr>
              <w:jc w:val="right"/>
              <w:spacing w:after="0"/>
              <w:rPr>
                <w:sz w:val="20"/>
                <w:szCs w:val="20"/>
                <w:color w:val="auto"/>
              </w:rPr>
            </w:pPr>
            <w:r>
              <w:rPr>
                <w:rFonts w:ascii="Arial" w:cs="Arial" w:eastAsia="Arial" w:hAnsi="Arial"/>
                <w:sz w:val="14"/>
                <w:szCs w:val="14"/>
                <w:color w:val="auto"/>
              </w:rPr>
              <w:t>27.40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Double Helix (Temasek)</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Oct-21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394,343</w:t>
            </w: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03"/>
        </w:trPr>
        <w:tc>
          <w:tcPr>
            <w:tcW w:w="2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1,361,583</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r>
      <w:tr>
        <w:trPr>
          <w:trHeight w:val="21"/>
        </w:trPr>
        <w:tc>
          <w:tcPr>
            <w:tcW w:w="2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There were no outstanding liability-classified warrants as of January 31, 2023 and 2022.</w:t>
      </w:r>
    </w:p>
    <w:p>
      <w:pPr>
        <w:spacing w:after="0" w:line="200" w:lineRule="exact"/>
        <w:rPr>
          <w:sz w:val="20"/>
          <w:szCs w:val="20"/>
          <w:color w:val="auto"/>
        </w:rPr>
      </w:pPr>
    </w:p>
    <w:p>
      <w:pPr>
        <w:jc w:val="both"/>
        <w:ind w:left="380"/>
        <w:spacing w:after="0" w:line="271" w:lineRule="auto"/>
        <w:rPr>
          <w:sz w:val="20"/>
          <w:szCs w:val="20"/>
          <w:color w:val="auto"/>
        </w:rPr>
      </w:pPr>
      <w:r>
        <w:rPr>
          <w:rFonts w:ascii="Arial" w:cs="Arial" w:eastAsia="Arial" w:hAnsi="Arial"/>
          <w:sz w:val="14"/>
          <w:szCs w:val="14"/>
          <w:color w:val="auto"/>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U.S. Treasury yield curves.</w:t>
      </w: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23" w:right="499" w:bottom="1440" w:gutter="0" w:footer="0" w:header="0"/>
        </w:sectPr>
      </w:pPr>
    </w:p>
    <w:bookmarkStart w:id="119" w:name="page120"/>
    <w:bookmarkEnd w:id="119"/>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90"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Company issued preferred and common stock warrants in conjunction with the issuance of long-term debt. The preferred stock warrants were accounted for as liabilities primarily because the shares underlying the warrants contained contingent redemption features outside the control of the Company. The liability classified warrants were subject to remeasurement at each balance sheet date. With each such re-measurement, the liability classified warrants were adjusted to current fair value recognized as a gain or loss in the consolidated statements of operations. The Company reassessed the classification of the warrants at each balance sheet date. If the classification changed as a result of events during the period, the warrants were reclassified as of the date of the event that caused the reclassification.</w:t>
      </w:r>
    </w:p>
    <w:p>
      <w:pPr>
        <w:spacing w:after="0" w:line="140" w:lineRule="exact"/>
        <w:rPr>
          <w:sz w:val="20"/>
          <w:szCs w:val="20"/>
          <w:color w:val="auto"/>
        </w:rPr>
      </w:pPr>
    </w:p>
    <w:p>
      <w:pPr>
        <w:ind w:left="380" w:right="140"/>
        <w:spacing w:after="0" w:line="290" w:lineRule="auto"/>
        <w:rPr>
          <w:sz w:val="20"/>
          <w:szCs w:val="20"/>
          <w:color w:val="auto"/>
        </w:rPr>
      </w:pPr>
      <w:r>
        <w:rPr>
          <w:rFonts w:ascii="Arial" w:cs="Arial" w:eastAsia="Arial" w:hAnsi="Arial"/>
          <w:sz w:val="14"/>
          <w:szCs w:val="14"/>
          <w:color w:val="auto"/>
        </w:rPr>
        <w:t>As of January 31, 2023 and 2022, all outstanding warrants were equity-classified and recorded as additional paid-in capital. Equity-classified contracts are not subsequently remeasured unless reclassification is required from equity to liability classification.</w:t>
      </w:r>
    </w:p>
    <w:p>
      <w:pPr>
        <w:spacing w:after="0" w:line="205" w:lineRule="exact"/>
        <w:rPr>
          <w:sz w:val="20"/>
          <w:szCs w:val="20"/>
          <w:color w:val="auto"/>
        </w:rPr>
      </w:pPr>
    </w:p>
    <w:p>
      <w:pPr>
        <w:ind w:left="380" w:hanging="375"/>
        <w:spacing w:after="0"/>
        <w:tabs>
          <w:tab w:leader="none" w:pos="380" w:val="left"/>
        </w:tabs>
        <w:numPr>
          <w:ilvl w:val="0"/>
          <w:numId w:val="69"/>
        </w:numPr>
        <w:rPr>
          <w:rFonts w:ascii="Arial" w:cs="Arial" w:eastAsia="Arial" w:hAnsi="Arial"/>
          <w:sz w:val="14"/>
          <w:szCs w:val="14"/>
          <w:b w:val="1"/>
          <w:bCs w:val="1"/>
          <w:color w:val="auto"/>
        </w:rPr>
      </w:pPr>
      <w:r>
        <w:rPr>
          <w:rFonts w:ascii="Arial" w:cs="Arial" w:eastAsia="Arial" w:hAnsi="Arial"/>
          <w:sz w:val="14"/>
          <w:szCs w:val="14"/>
          <w:b w:val="1"/>
          <w:bCs w:val="1"/>
          <w:color w:val="auto"/>
        </w:rPr>
        <w:t>Share-based Compensation Plans</w:t>
      </w:r>
    </w:p>
    <w:p>
      <w:pPr>
        <w:spacing w:after="0" w:line="20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i w:val="1"/>
          <w:iCs w:val="1"/>
          <w:u w:val="single" w:color="auto"/>
          <w:color w:val="auto"/>
        </w:rPr>
        <w:t>2009 Stock Incentive Plan and 2019 Stock Incentive Plan</w:t>
      </w:r>
    </w:p>
    <w:p>
      <w:pPr>
        <w:spacing w:after="0" w:line="197" w:lineRule="exact"/>
        <w:rPr>
          <w:rFonts w:ascii="Arial" w:cs="Arial" w:eastAsia="Arial" w:hAnsi="Arial"/>
          <w:sz w:val="14"/>
          <w:szCs w:val="14"/>
          <w:b w:val="1"/>
          <w:bCs w:val="1"/>
          <w:color w:val="auto"/>
        </w:rPr>
      </w:pPr>
    </w:p>
    <w:p>
      <w:pPr>
        <w:ind w:left="380" w:right="20"/>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RSU awards have both service-based and liquidity-based vesting conditions. The liquidity-based vesting condition was satisfied in connection with the effectiveness of the Company’s IPO. The service-based requirement of RSUs was typically satisfied over four years.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w:t>
      </w:r>
    </w:p>
    <w:p>
      <w:pPr>
        <w:spacing w:after="0" w:line="165"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i w:val="1"/>
          <w:iCs w:val="1"/>
          <w:u w:val="single" w:color="auto"/>
          <w:color w:val="auto"/>
        </w:rPr>
        <w:t>Amended and Restated 2021 Incentive Award Plan</w:t>
      </w:r>
    </w:p>
    <w:p>
      <w:pPr>
        <w:spacing w:after="0" w:line="197" w:lineRule="exact"/>
        <w:rPr>
          <w:rFonts w:ascii="Arial" w:cs="Arial" w:eastAsia="Arial" w:hAnsi="Arial"/>
          <w:sz w:val="14"/>
          <w:szCs w:val="14"/>
          <w:b w:val="1"/>
          <w:bCs w:val="1"/>
          <w:color w:val="auto"/>
        </w:rPr>
      </w:pPr>
    </w:p>
    <w:p>
      <w:pPr>
        <w:ind w:left="380" w:right="8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The Company's Amended and Restated 2021 Incentive Award Plan (the "2021 Plan") was adopted by its board of directors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year ended January 31, 2023 have a shorter vesting period of one to two years. As of January 31, 2023, there were 7,224,952 shares of Class A common stock available for issuance under the 2021 Plan. There will not be any further equity grants of Class B common stock.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0" w:name="page121"/>
    <w:bookmarkEnd w:id="120"/>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grant date fair value of each option award is estimated on the date of grant using the Black-Scholes option pricing model. The option pricing model considers several variables and assumptions in estimating the fair value of share-based awards. Because the Company’s shares are only recently publicly traded and there is a lack of historical company-specific data available,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 weighted-average assumptions for grants made during the periods presented, were as follows:</w:t>
      </w:r>
    </w:p>
    <w:p>
      <w:pPr>
        <w:spacing w:after="0" w:line="191"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40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5"/>
          </w:tcPr>
          <w:p>
            <w:pPr>
              <w:ind w:left="1180"/>
              <w:spacing w:after="0"/>
              <w:rPr>
                <w:sz w:val="20"/>
                <w:szCs w:val="20"/>
                <w:color w:val="auto"/>
              </w:rPr>
            </w:pPr>
            <w:r>
              <w:rPr>
                <w:rFonts w:ascii="Arial" w:cs="Arial" w:eastAsia="Arial" w:hAnsi="Arial"/>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6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gridSpan w:val="2"/>
          </w:tcPr>
          <w:p>
            <w:pPr>
              <w:jc w:val="right"/>
              <w:ind w:right="496"/>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2021</w:t>
            </w:r>
          </w:p>
        </w:tc>
        <w:tc>
          <w:tcPr>
            <w:tcW w:w="86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assumptions:</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360"/>
              <w:spacing w:after="0"/>
              <w:rPr>
                <w:sz w:val="20"/>
                <w:szCs w:val="20"/>
                <w:color w:val="auto"/>
              </w:rPr>
            </w:pPr>
            <w:r>
              <w:rPr>
                <w:rFonts w:ascii="Arial" w:cs="Arial" w:eastAsia="Arial" w:hAnsi="Arial"/>
                <w:sz w:val="14"/>
                <w:szCs w:val="14"/>
                <w:color w:val="auto"/>
              </w:rPr>
              <w:t>Expected dividend yield</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gridSpan w:val="4"/>
          </w:tcPr>
          <w:p>
            <w:pPr>
              <w:jc w:val="right"/>
              <w:ind w:right="723"/>
              <w:spacing w:after="0"/>
              <w:rPr>
                <w:sz w:val="20"/>
                <w:szCs w:val="20"/>
                <w:color w:val="auto"/>
              </w:rPr>
            </w:pPr>
            <w:r>
              <w:rPr>
                <w:rFonts w:ascii="Arial" w:cs="Arial" w:eastAsia="Arial" w:hAnsi="Arial"/>
                <w:sz w:val="14"/>
                <w:szCs w:val="14"/>
                <w:color w:val="auto"/>
              </w:rPr>
              <w:t>— %</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jc w:val="right"/>
              <w:ind w:right="66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Expected volatility</w:t>
            </w: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68.26 %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63.91 %</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360"/>
              <w:spacing w:after="0"/>
              <w:rPr>
                <w:sz w:val="20"/>
                <w:szCs w:val="20"/>
                <w:color w:val="auto"/>
              </w:rPr>
            </w:pPr>
            <w:r>
              <w:rPr>
                <w:rFonts w:ascii="Arial" w:cs="Arial" w:eastAsia="Arial" w:hAnsi="Arial"/>
                <w:sz w:val="14"/>
                <w:szCs w:val="14"/>
                <w:color w:val="auto"/>
              </w:rPr>
              <w:t>Expected term (in years)</w:t>
            </w:r>
          </w:p>
        </w:tc>
        <w:tc>
          <w:tcPr>
            <w:tcW w:w="2040" w:type="dxa"/>
            <w:vAlign w:val="bottom"/>
            <w:gridSpan w:val="4"/>
          </w:tcPr>
          <w:p>
            <w:pPr>
              <w:jc w:val="right"/>
              <w:ind w:right="100"/>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6"/>
              <w:spacing w:after="0"/>
              <w:rPr>
                <w:sz w:val="20"/>
                <w:szCs w:val="20"/>
                <w:color w:val="auto"/>
              </w:rPr>
            </w:pPr>
            <w:r>
              <w:rPr>
                <w:rFonts w:ascii="Arial" w:cs="Arial" w:eastAsia="Arial" w:hAnsi="Arial"/>
                <w:sz w:val="14"/>
                <w:szCs w:val="14"/>
                <w:color w:val="auto"/>
              </w:rPr>
              <w:t>4.89</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Risk-free interest rate</w:t>
            </w: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1.02 %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0.34 %</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4060" w:type="dxa"/>
            <w:vAlign w:val="bottom"/>
          </w:tcPr>
          <w:p>
            <w:pPr>
              <w:spacing w:after="0"/>
              <w:rPr>
                <w:sz w:val="20"/>
                <w:szCs w:val="20"/>
                <w:color w:val="auto"/>
              </w:rPr>
            </w:pPr>
            <w:r>
              <w:rPr>
                <w:rFonts w:ascii="Arial" w:cs="Arial" w:eastAsia="Arial" w:hAnsi="Arial"/>
                <w:sz w:val="14"/>
                <w:szCs w:val="14"/>
                <w:b w:val="1"/>
                <w:bCs w:val="1"/>
                <w:i w:val="1"/>
                <w:iCs w:val="1"/>
                <w:color w:val="auto"/>
              </w:rPr>
              <w:t>Stock Options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60" w:type="dxa"/>
            <w:vAlign w:val="bottom"/>
          </w:tcPr>
          <w:p>
            <w:pPr>
              <w:spacing w:after="0"/>
              <w:rPr>
                <w:sz w:val="20"/>
                <w:szCs w:val="20"/>
                <w:color w:val="auto"/>
              </w:rPr>
            </w:pPr>
            <w:r>
              <w:rPr>
                <w:rFonts w:ascii="Arial" w:cs="Arial" w:eastAsia="Arial" w:hAnsi="Arial"/>
                <w:sz w:val="14"/>
                <w:szCs w:val="14"/>
                <w:color w:val="auto"/>
              </w:rPr>
              <w:t>Stock option activity during the period indicated is as follows: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2"/>
        </w:trPr>
        <w:tc>
          <w:tcPr>
            <w:tcW w:w="4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Weighted</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Average</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left="3"/>
              <w:spacing w:after="0"/>
              <w:rPr>
                <w:sz w:val="20"/>
                <w:szCs w:val="20"/>
                <w:color w:val="auto"/>
              </w:rPr>
            </w:pPr>
            <w:r>
              <w:rPr>
                <w:rFonts w:ascii="Arial" w:cs="Arial" w:eastAsia="Arial" w:hAnsi="Arial"/>
                <w:sz w:val="11"/>
                <w:szCs w:val="11"/>
                <w:b w:val="1"/>
                <w:bCs w:val="1"/>
                <w:color w:val="auto"/>
              </w:rPr>
              <w:t>Weighted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Remaining</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left="3"/>
              <w:spacing w:after="0"/>
              <w:rPr>
                <w:sz w:val="20"/>
                <w:szCs w:val="20"/>
                <w:color w:val="auto"/>
              </w:rPr>
            </w:pPr>
            <w:r>
              <w:rPr>
                <w:rFonts w:ascii="Arial" w:cs="Arial" w:eastAsia="Arial" w:hAnsi="Arial"/>
                <w:sz w:val="11"/>
                <w:szCs w:val="11"/>
                <w:b w:val="1"/>
                <w:bCs w:val="1"/>
                <w:color w:val="auto"/>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Contract</w:t>
            </w:r>
          </w:p>
        </w:tc>
        <w:tc>
          <w:tcPr>
            <w:tcW w:w="280" w:type="dxa"/>
            <w:vAlign w:val="bottom"/>
          </w:tcPr>
          <w:p>
            <w:pPr>
              <w:spacing w:after="0"/>
              <w:rPr>
                <w:sz w:val="11"/>
                <w:szCs w:val="11"/>
                <w:color w:val="auto"/>
              </w:rPr>
            </w:pPr>
          </w:p>
        </w:tc>
        <w:tc>
          <w:tcPr>
            <w:tcW w:w="1160" w:type="dxa"/>
            <w:vAlign w:val="bottom"/>
          </w:tcPr>
          <w:p>
            <w:pPr>
              <w:jc w:val="center"/>
              <w:ind w:right="216"/>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jc w:val="right"/>
              <w:ind w:right="356"/>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left="3"/>
              <w:spacing w:after="0"/>
              <w:rPr>
                <w:sz w:val="20"/>
                <w:szCs w:val="20"/>
                <w:color w:val="auto"/>
              </w:rPr>
            </w:pPr>
            <w:r>
              <w:rPr>
                <w:rFonts w:ascii="Arial" w:cs="Arial" w:eastAsia="Arial" w:hAnsi="Arial"/>
                <w:sz w:val="11"/>
                <w:szCs w:val="11"/>
                <w:b w:val="1"/>
                <w:bCs w:val="1"/>
                <w:color w:val="auto"/>
              </w:rPr>
              <w:t>Exercise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6"/>
              </w:rPr>
              <w:t>Term</w:t>
            </w:r>
          </w:p>
        </w:tc>
        <w:tc>
          <w:tcPr>
            <w:tcW w:w="280" w:type="dxa"/>
            <w:vAlign w:val="bottom"/>
          </w:tcPr>
          <w:p>
            <w:pPr>
              <w:spacing w:after="0"/>
              <w:rPr>
                <w:sz w:val="11"/>
                <w:szCs w:val="11"/>
                <w:color w:val="auto"/>
              </w:rPr>
            </w:pPr>
          </w:p>
        </w:tc>
        <w:tc>
          <w:tcPr>
            <w:tcW w:w="1160" w:type="dxa"/>
            <w:vAlign w:val="bottom"/>
          </w:tcPr>
          <w:p>
            <w:pPr>
              <w:jc w:val="center"/>
              <w:ind w:right="216"/>
              <w:spacing w:after="0"/>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70"/>
        </w:trPr>
        <w:tc>
          <w:tcPr>
            <w:tcW w:w="40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56"/>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w w:val="96"/>
              </w:rPr>
              <w:t>Price</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(in years)</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as of January 31, 2022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9,470,170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2"/>
        </w:trPr>
        <w:tc>
          <w:tcPr>
            <w:tcW w:w="4060" w:type="dxa"/>
            <w:vAlign w:val="bottom"/>
          </w:tcPr>
          <w:p>
            <w:pPr>
              <w:ind w:left="360"/>
              <w:spacing w:after="0"/>
              <w:rPr>
                <w:sz w:val="20"/>
                <w:szCs w:val="20"/>
                <w:color w:val="auto"/>
              </w:rPr>
            </w:pPr>
            <w:r>
              <w:rPr>
                <w:rFonts w:ascii="Arial" w:cs="Arial" w:eastAsia="Arial" w:hAnsi="Arial"/>
                <w:sz w:val="14"/>
                <w:szCs w:val="14"/>
                <w:color w:val="auto"/>
              </w:rPr>
              <w:t>Granted</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2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(1,396,423)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January 31, 2023</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8,060,647</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20"/>
              <w:spacing w:after="0"/>
              <w:rPr>
                <w:sz w:val="20"/>
                <w:szCs w:val="20"/>
                <w:color w:val="auto"/>
              </w:rPr>
            </w:pPr>
            <w:r>
              <w:rPr>
                <w:rFonts w:ascii="Arial" w:cs="Arial" w:eastAsia="Arial" w:hAnsi="Arial"/>
                <w:sz w:val="14"/>
                <w:szCs w:val="14"/>
                <w:color w:val="auto"/>
              </w:rPr>
              <w:t>Exercisable as of January 31, 2023</w:t>
            </w: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line="20" w:lineRule="exact"/>
              <w:rPr>
                <w:sz w:val="1"/>
                <w:szCs w:val="1"/>
                <w:color w:val="auto"/>
              </w:rPr>
            </w:pPr>
          </w:p>
        </w:tc>
        <w:tc>
          <w:tcPr>
            <w:tcW w:w="14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5.76</w:t>
            </w:r>
          </w:p>
        </w:tc>
        <w:tc>
          <w:tcPr>
            <w:tcW w:w="80" w:type="dxa"/>
            <w:vAlign w:val="bottom"/>
          </w:tcPr>
          <w:p>
            <w:pPr>
              <w:spacing w:after="0" w:line="20" w:lineRule="exact"/>
              <w:rPr>
                <w:sz w:val="1"/>
                <w:szCs w:val="1"/>
                <w:color w:val="auto"/>
              </w:rPr>
            </w:pPr>
          </w:p>
        </w:tc>
        <w:tc>
          <w:tcPr>
            <w:tcW w:w="28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line="20" w:lineRule="exact"/>
              <w:rPr>
                <w:sz w:val="1"/>
                <w:szCs w:val="1"/>
                <w:color w:val="auto"/>
              </w:rPr>
            </w:pPr>
          </w:p>
        </w:tc>
      </w:tr>
      <w:tr>
        <w:trPr>
          <w:trHeight w:val="155"/>
        </w:trPr>
        <w:tc>
          <w:tcPr>
            <w:tcW w:w="4060" w:type="dxa"/>
            <w:vAlign w:val="bottom"/>
            <w:vMerge w:val="continue"/>
          </w:tcPr>
          <w:p>
            <w:pPr>
              <w:spacing w:after="0"/>
              <w:rPr>
                <w:sz w:val="13"/>
                <w:szCs w:val="13"/>
                <w:color w:val="auto"/>
              </w:rPr>
            </w:pPr>
          </w:p>
        </w:tc>
        <w:tc>
          <w:tcPr>
            <w:tcW w:w="1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5,831,046</w:t>
            </w:r>
          </w:p>
        </w:tc>
        <w:tc>
          <w:tcPr>
            <w:tcW w:w="3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80" w:right="220"/>
        <w:spacing w:after="0" w:line="290" w:lineRule="auto"/>
        <w:rPr>
          <w:sz w:val="20"/>
          <w:szCs w:val="20"/>
          <w:color w:val="auto"/>
        </w:rPr>
      </w:pPr>
      <w:r>
        <w:rPr>
          <w:rFonts w:ascii="Arial" w:cs="Arial" w:eastAsia="Arial" w:hAnsi="Arial"/>
          <w:sz w:val="14"/>
          <w:szCs w:val="14"/>
          <w:color w:val="auto"/>
        </w:rPr>
        <w:t>There were no stock options granted during the year ended January 31, 2023. The total intrinsic value of stock options exercised for the year ended January 31, 2023 was nominal.</w:t>
      </w:r>
    </w:p>
    <w:p>
      <w:pPr>
        <w:spacing w:after="0" w:line="120"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As of January 31, 2023, there was $8.4 million of unrecognized compensation cost related to stock options granted that is expected to be recognized over a weighted average period of 2.2 years.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currently uses authorized and unissued shares to satisfy the exercise of stock option awards.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1" w:name="page122"/>
    <w:bookmarkEnd w:id="121"/>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right="40"/>
        <w:spacing w:after="0" w:line="259" w:lineRule="auto"/>
        <w:rPr>
          <w:sz w:val="20"/>
          <w:szCs w:val="20"/>
          <w:color w:val="auto"/>
        </w:rPr>
      </w:pPr>
      <w:r>
        <w:rPr>
          <w:rFonts w:ascii="Arial" w:cs="Arial" w:eastAsia="Arial" w:hAnsi="Arial"/>
          <w:sz w:val="14"/>
          <w:szCs w:val="14"/>
          <w:color w:val="auto"/>
        </w:rPr>
        <w:t>On October 26, 2020, the Company’s Board approved a one-time stock option repricing, which repriced certain outstanding stock options held by then current employees and directors with an option exercise price of $12.43 and above. There were 2,565,149 outstanding eligible stock options that were amended to reduce such exercise price to $7.01 per share, the current fair market value of the Company’s common stock on the date of the approval of the repricing. Except for the modified exercise price, all other terms and conditions of each of the eligible stock options remained in full force and effect. The repricing was recorded as a stock option modification whereby the incremental fair value of each option was determined using the Black-Scholes option pricing model at the date of the modification, and $1.2 million was recognized related to vested options as incremental compensation expense during the year ended January 31, 2021. The Company is recognizing the remaining $1.1 million of incremental compensation costs on a straight-line basis over the remaining requisite service period.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RSUs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RSUs activity during the period indicated is as follows: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7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6"/>
              <w:spacing w:after="0"/>
              <w:rPr>
                <w:sz w:val="20"/>
                <w:szCs w:val="20"/>
                <w:color w:val="auto"/>
              </w:rPr>
            </w:pPr>
            <w:r>
              <w:rPr>
                <w:rFonts w:ascii="Arial" w:cs="Arial" w:eastAsia="Arial" w:hAnsi="Arial"/>
                <w:sz w:val="11"/>
                <w:szCs w:val="11"/>
                <w:b w:val="1"/>
                <w:bCs w:val="1"/>
                <w:color w:val="auto"/>
              </w:rPr>
              <w:t>Weighted</w:t>
            </w:r>
          </w:p>
        </w:tc>
      </w:tr>
      <w:tr>
        <w:trPr>
          <w:trHeight w:val="138"/>
        </w:trPr>
        <w:tc>
          <w:tcPr>
            <w:tcW w:w="7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96"/>
              <w:spacing w:after="0"/>
              <w:rPr>
                <w:sz w:val="20"/>
                <w:szCs w:val="20"/>
                <w:color w:val="auto"/>
              </w:rPr>
            </w:pPr>
            <w:r>
              <w:rPr>
                <w:rFonts w:ascii="Arial" w:cs="Arial" w:eastAsia="Arial" w:hAnsi="Arial"/>
                <w:sz w:val="11"/>
                <w:szCs w:val="11"/>
                <w:b w:val="1"/>
                <w:bCs w:val="1"/>
                <w:color w:val="auto"/>
              </w:rPr>
              <w:t>Average</w:t>
            </w:r>
          </w:p>
        </w:tc>
      </w:tr>
      <w:tr>
        <w:trPr>
          <w:trHeight w:val="127"/>
        </w:trPr>
        <w:tc>
          <w:tcPr>
            <w:tcW w:w="7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6"/>
              <w:spacing w:after="0"/>
              <w:rPr>
                <w:sz w:val="20"/>
                <w:szCs w:val="20"/>
                <w:color w:val="auto"/>
              </w:rPr>
            </w:pPr>
            <w:r>
              <w:rPr>
                <w:rFonts w:ascii="Arial" w:cs="Arial" w:eastAsia="Arial" w:hAnsi="Arial"/>
                <w:sz w:val="11"/>
                <w:szCs w:val="11"/>
                <w:b w:val="1"/>
                <w:bCs w:val="1"/>
                <w:color w:val="auto"/>
              </w:rPr>
              <w:t>Grant-Date</w:t>
            </w:r>
          </w:p>
        </w:tc>
      </w:tr>
      <w:tr>
        <w:trPr>
          <w:trHeight w:val="138"/>
        </w:trPr>
        <w:tc>
          <w:tcPr>
            <w:tcW w:w="740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6"/>
              <w:spacing w:after="0"/>
              <w:rPr>
                <w:sz w:val="20"/>
                <w:szCs w:val="20"/>
                <w:color w:val="auto"/>
              </w:rPr>
            </w:pPr>
            <w:r>
              <w:rPr>
                <w:rFonts w:ascii="Arial" w:cs="Arial" w:eastAsia="Arial" w:hAnsi="Arial"/>
                <w:sz w:val="11"/>
                <w:szCs w:val="11"/>
                <w:b w:val="1"/>
                <w:bCs w:val="1"/>
                <w:color w:val="auto"/>
              </w:rPr>
              <w:t>Fair Value</w:t>
            </w:r>
          </w:p>
        </w:tc>
      </w:tr>
      <w:tr>
        <w:trPr>
          <w:trHeight w:val="160"/>
        </w:trPr>
        <w:tc>
          <w:tcPr>
            <w:tcW w:w="74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per Share</w:t>
            </w:r>
          </w:p>
        </w:tc>
      </w:tr>
      <w:tr>
        <w:trPr>
          <w:trHeight w:val="208"/>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January 31, 2022</w:t>
            </w:r>
          </w:p>
        </w:tc>
        <w:tc>
          <w:tcPr>
            <w:tcW w:w="1420" w:type="dxa"/>
            <w:vAlign w:val="bottom"/>
            <w:shd w:val="clear" w:color="auto" w:fill="CCEEFF"/>
          </w:tcPr>
          <w:p>
            <w:pPr>
              <w:jc w:val="center"/>
              <w:ind w:left="613"/>
              <w:spacing w:after="0"/>
              <w:rPr>
                <w:sz w:val="20"/>
                <w:szCs w:val="20"/>
                <w:color w:val="auto"/>
              </w:rPr>
            </w:pPr>
            <w:r>
              <w:rPr>
                <w:rFonts w:ascii="Arial" w:cs="Arial" w:eastAsia="Arial" w:hAnsi="Arial"/>
                <w:sz w:val="14"/>
                <w:szCs w:val="14"/>
                <w:color w:val="auto"/>
                <w:w w:val="99"/>
              </w:rPr>
              <w:t>2,428,574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r>
      <w:tr>
        <w:trPr>
          <w:trHeight w:val="202"/>
        </w:trPr>
        <w:tc>
          <w:tcPr>
            <w:tcW w:w="74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20" w:type="dxa"/>
            <w:vAlign w:val="bottom"/>
          </w:tcPr>
          <w:p>
            <w:pPr>
              <w:jc w:val="center"/>
              <w:ind w:left="613"/>
              <w:spacing w:after="0"/>
              <w:rPr>
                <w:sz w:val="20"/>
                <w:szCs w:val="20"/>
                <w:color w:val="auto"/>
              </w:rPr>
            </w:pPr>
            <w:r>
              <w:rPr>
                <w:rFonts w:ascii="Arial" w:cs="Arial" w:eastAsia="Arial" w:hAnsi="Arial"/>
                <w:sz w:val="14"/>
                <w:szCs w:val="14"/>
                <w:color w:val="auto"/>
                <w:w w:val="99"/>
              </w:rPr>
              <w:t>6,693,775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4.83</w:t>
            </w:r>
          </w:p>
        </w:tc>
      </w:tr>
      <w:tr>
        <w:trPr>
          <w:trHeight w:val="222"/>
        </w:trPr>
        <w:tc>
          <w:tcPr>
            <w:tcW w:w="7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Vested/Released</w:t>
            </w:r>
          </w:p>
        </w:tc>
        <w:tc>
          <w:tcPr>
            <w:tcW w:w="1420" w:type="dxa"/>
            <w:vAlign w:val="bottom"/>
            <w:shd w:val="clear" w:color="auto" w:fill="CCEEFF"/>
          </w:tcPr>
          <w:p>
            <w:pPr>
              <w:jc w:val="center"/>
              <w:ind w:left="593"/>
              <w:spacing w:after="0"/>
              <w:rPr>
                <w:sz w:val="20"/>
                <w:szCs w:val="20"/>
                <w:color w:val="auto"/>
              </w:rPr>
            </w:pPr>
            <w:r>
              <w:rPr>
                <w:rFonts w:ascii="Arial" w:cs="Arial" w:eastAsia="Arial" w:hAnsi="Arial"/>
                <w:sz w:val="14"/>
                <w:szCs w:val="14"/>
                <w:color w:val="auto"/>
              </w:rPr>
              <w:t>(1,972,890)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r>
      <w:tr>
        <w:trPr>
          <w:trHeight w:val="20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1420" w:type="dxa"/>
            <w:vAlign w:val="bottom"/>
            <w:tcBorders>
              <w:bottom w:val="single" w:sz="8" w:color="auto"/>
            </w:tcBorders>
          </w:tcPr>
          <w:p>
            <w:pPr>
              <w:jc w:val="center"/>
              <w:ind w:left="593"/>
              <w:spacing w:after="0"/>
              <w:rPr>
                <w:sz w:val="20"/>
                <w:szCs w:val="20"/>
                <w:color w:val="auto"/>
              </w:rPr>
            </w:pPr>
            <w:r>
              <w:rPr>
                <w:rFonts w:ascii="Arial" w:cs="Arial" w:eastAsia="Arial" w:hAnsi="Arial"/>
                <w:sz w:val="14"/>
                <w:szCs w:val="14"/>
                <w:color w:val="auto"/>
              </w:rPr>
              <w:t>(1,173,338)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6.40</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January 31, 2023</w:t>
            </w:r>
          </w:p>
        </w:tc>
        <w:tc>
          <w:tcPr>
            <w:tcW w:w="1420" w:type="dxa"/>
            <w:vAlign w:val="bottom"/>
            <w:tcBorders>
              <w:bottom w:val="single" w:sz="8" w:color="auto"/>
            </w:tcBorders>
            <w:shd w:val="clear" w:color="auto" w:fill="CCEEFF"/>
          </w:tcPr>
          <w:p>
            <w:pPr>
              <w:jc w:val="center"/>
              <w:ind w:left="613"/>
              <w:spacing w:after="0"/>
              <w:rPr>
                <w:sz w:val="20"/>
                <w:szCs w:val="20"/>
                <w:color w:val="auto"/>
              </w:rPr>
            </w:pPr>
            <w:r>
              <w:rPr>
                <w:rFonts w:ascii="Arial" w:cs="Arial" w:eastAsia="Arial" w:hAnsi="Arial"/>
                <w:sz w:val="14"/>
                <w:szCs w:val="14"/>
                <w:color w:val="auto"/>
                <w:w w:val="99"/>
              </w:rPr>
              <w:t>5,976,121</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380" w:right="400"/>
        <w:spacing w:after="0" w:line="290" w:lineRule="auto"/>
        <w:rPr>
          <w:sz w:val="20"/>
          <w:szCs w:val="20"/>
          <w:color w:val="auto"/>
        </w:rPr>
      </w:pPr>
      <w:r>
        <w:rPr>
          <w:rFonts w:ascii="Arial" w:cs="Arial" w:eastAsia="Arial" w:hAnsi="Arial"/>
          <w:sz w:val="14"/>
          <w:szCs w:val="14"/>
          <w:color w:val="auto"/>
        </w:rPr>
        <w:t>As of January 31, 2023, there was $14.7 million of unrecognized compensation cost related to RSUs granted that is expected to be recognized over a weighted average period of 1.5 years.</w:t>
      </w:r>
    </w:p>
    <w:p>
      <w:pPr>
        <w:spacing w:after="0" w:line="141" w:lineRule="exact"/>
        <w:rPr>
          <w:sz w:val="20"/>
          <w:szCs w:val="20"/>
          <w:color w:val="auto"/>
        </w:rPr>
      </w:pPr>
    </w:p>
    <w:p>
      <w:pPr>
        <w:jc w:val="both"/>
        <w:ind w:left="380" w:right="160"/>
        <w:spacing w:after="0" w:line="271" w:lineRule="auto"/>
        <w:rPr>
          <w:sz w:val="20"/>
          <w:szCs w:val="20"/>
          <w:color w:val="auto"/>
        </w:rPr>
      </w:pPr>
      <w:r>
        <w:rPr>
          <w:rFonts w:ascii="Arial" w:cs="Arial" w:eastAsia="Arial" w:hAnsi="Arial"/>
          <w:sz w:val="14"/>
          <w:szCs w:val="14"/>
          <w:color w:val="auto"/>
        </w:rPr>
        <w:t>During the year ended January 31, 2022, the Company recognized $14.4 million of compensation cost upon effectiveness of the Company’s IPO, related to (i) certain RSUs that contain both service-based and liquidity-based vesting conditions satisfied upon the effectiveness of the registration statement and (ii) the fully vested portion of certain RSU awards that were granted upon the effectiveness of the IPO.</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Share-Based Compensation Summary</w:t>
      </w:r>
    </w:p>
    <w:p>
      <w:pPr>
        <w:spacing w:after="0" w:line="92" w:lineRule="exact"/>
        <w:rPr>
          <w:sz w:val="20"/>
          <w:szCs w:val="20"/>
          <w:color w:val="auto"/>
        </w:rPr>
      </w:pPr>
    </w:p>
    <w:p>
      <w:pPr>
        <w:ind w:left="380" w:right="440"/>
        <w:spacing w:after="0" w:line="290" w:lineRule="auto"/>
        <w:rPr>
          <w:sz w:val="20"/>
          <w:szCs w:val="20"/>
          <w:color w:val="auto"/>
        </w:rPr>
      </w:pPr>
      <w:r>
        <w:rPr>
          <w:rFonts w:ascii="Arial" w:cs="Arial" w:eastAsia="Arial" w:hAnsi="Arial"/>
          <w:sz w:val="14"/>
          <w:szCs w:val="14"/>
          <w:color w:val="auto"/>
        </w:rPr>
        <w:t>The classification of share-based compensation for the years ended January 31, 2023, 2022 and 2021, respectively, presented within each line item of the consolidated statements of operations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80" w:type="dxa"/>
            <w:vAlign w:val="bottom"/>
          </w:tcPr>
          <w:p>
            <w:pPr>
              <w:spacing w:after="0"/>
              <w:rPr>
                <w:sz w:val="13"/>
                <w:szCs w:val="13"/>
                <w:color w:val="auto"/>
              </w:rPr>
            </w:pPr>
          </w:p>
        </w:tc>
        <w:tc>
          <w:tcPr>
            <w:tcW w:w="3780" w:type="dxa"/>
            <w:vAlign w:val="bottom"/>
            <w:tcBorders>
              <w:bottom w:val="single" w:sz="8" w:color="CCEEFF"/>
            </w:tcBorders>
          </w:tcPr>
          <w:p>
            <w:pPr>
              <w:spacing w:after="0"/>
              <w:rPr>
                <w:sz w:val="13"/>
                <w:szCs w:val="13"/>
                <w:color w:val="auto"/>
              </w:rPr>
            </w:pPr>
          </w:p>
        </w:tc>
        <w:tc>
          <w:tcPr>
            <w:tcW w:w="22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Year Ended January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1"/>
                <w:szCs w:val="11"/>
                <w:b w:val="1"/>
                <w:bCs w:val="1"/>
                <w:color w:val="auto"/>
              </w:rPr>
              <w:t>2022</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1"/>
                <w:szCs w:val="11"/>
                <w:b w:val="1"/>
                <w:bCs w:val="1"/>
                <w:color w:val="auto"/>
              </w:rPr>
              <w:t>2021</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80" w:type="dxa"/>
            <w:vAlign w:val="bottom"/>
          </w:tcPr>
          <w:p>
            <w:pPr>
              <w:spacing w:after="0"/>
              <w:rPr>
                <w:sz w:val="16"/>
                <w:szCs w:val="16"/>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3160" w:type="dxa"/>
            <w:vAlign w:val="bottom"/>
            <w:gridSpan w:val="2"/>
          </w:tcPr>
          <w:p>
            <w:pPr>
              <w:jc w:val="right"/>
              <w:ind w:right="803"/>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6"/>
                <w:szCs w:val="16"/>
                <w:color w:val="auto"/>
              </w:rPr>
            </w:pPr>
          </w:p>
        </w:tc>
        <w:tc>
          <w:tcPr>
            <w:tcW w:w="340" w:type="dxa"/>
            <w:vAlign w:val="bottom"/>
          </w:tcPr>
          <w:p>
            <w:pPr>
              <w:jc w:val="right"/>
              <w:ind w:right="174"/>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2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2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share-based compensation</w:t>
            </w:r>
          </w:p>
        </w:tc>
        <w:tc>
          <w:tcPr>
            <w:tcW w:w="3160" w:type="dxa"/>
            <w:vAlign w:val="bottom"/>
            <w:gridSpan w:val="2"/>
            <w:shd w:val="clear" w:color="auto" w:fill="CCEEFF"/>
          </w:tcPr>
          <w:p>
            <w:pPr>
              <w:jc w:val="right"/>
              <w:ind w:right="803"/>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CCEEFF"/>
            </w:tcBorders>
            <w:vMerge w:val="restart"/>
          </w:tcPr>
          <w:p>
            <w:pPr>
              <w:jc w:val="right"/>
              <w:ind w:right="529"/>
              <w:spacing w:after="0"/>
              <w:rPr>
                <w:sz w:val="20"/>
                <w:szCs w:val="20"/>
                <w:color w:val="auto"/>
              </w:rPr>
            </w:pPr>
            <w:r>
              <w:rPr>
                <w:rFonts w:ascii="Arial" w:cs="Arial" w:eastAsia="Arial" w:hAnsi="Arial"/>
                <w:sz w:val="14"/>
                <w:szCs w:val="14"/>
                <w:color w:val="auto"/>
              </w:rPr>
              <w:t>119</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3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80" w:type="dxa"/>
            <w:vAlign w:val="bottom"/>
            <w:tcBorders>
              <w:bottom w:val="single" w:sz="8" w:color="9A9A9A"/>
            </w:tcBorders>
          </w:tcPr>
          <w:p>
            <w:pPr>
              <w:spacing w:after="0"/>
              <w:rPr>
                <w:sz w:val="7"/>
                <w:szCs w:val="7"/>
                <w:color w:val="auto"/>
              </w:rPr>
            </w:pPr>
          </w:p>
        </w:tc>
        <w:tc>
          <w:tcPr>
            <w:tcW w:w="378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2" w:name="page123"/>
    <w:bookmarkEnd w:id="122"/>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375"/>
        <w:spacing w:after="0"/>
        <w:tabs>
          <w:tab w:leader="none" w:pos="380" w:val="left"/>
        </w:tabs>
        <w:numPr>
          <w:ilvl w:val="0"/>
          <w:numId w:val="70"/>
        </w:numPr>
        <w:rPr>
          <w:rFonts w:ascii="Arial" w:cs="Arial" w:eastAsia="Arial" w:hAnsi="Arial"/>
          <w:sz w:val="14"/>
          <w:szCs w:val="14"/>
          <w:b w:val="1"/>
          <w:bCs w:val="1"/>
          <w:color w:val="auto"/>
        </w:rPr>
      </w:pPr>
      <w:r>
        <w:rPr>
          <w:rFonts w:ascii="Arial" w:cs="Arial" w:eastAsia="Arial" w:hAnsi="Arial"/>
          <w:sz w:val="14"/>
          <w:szCs w:val="14"/>
          <w:b w:val="1"/>
          <w:bCs w:val="1"/>
          <w:color w:val="auto"/>
        </w:rPr>
        <w:t>Net Loss per Share Attributable to Common Stockholders</w:t>
      </w:r>
    </w:p>
    <w:p>
      <w:pPr>
        <w:spacing w:after="0" w:line="93" w:lineRule="exact"/>
        <w:rPr>
          <w:rFonts w:ascii="Arial" w:cs="Arial" w:eastAsia="Arial" w:hAnsi="Arial"/>
          <w:sz w:val="14"/>
          <w:szCs w:val="14"/>
          <w:b w:val="1"/>
          <w:bCs w:val="1"/>
          <w:color w:val="auto"/>
        </w:rPr>
      </w:pPr>
    </w:p>
    <w:p>
      <w:pPr>
        <w:ind w:left="380" w:right="4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spacing w:after="0" w:line="13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sets forth the computation of basic and diluted net loss per share attributable to common stockholders: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6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Year Ended January 31,</w:t>
            </w: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76"/>
        </w:trPr>
        <w:tc>
          <w:tcPr>
            <w:tcW w:w="63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2021</w:t>
            </w:r>
          </w:p>
        </w:tc>
      </w:tr>
      <w:tr>
        <w:trPr>
          <w:trHeight w:val="19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6340" w:type="dxa"/>
            <w:vAlign w:val="bottom"/>
          </w:tcPr>
          <w:p>
            <w:pPr>
              <w:ind w:left="360"/>
              <w:spacing w:after="0"/>
              <w:rPr>
                <w:sz w:val="20"/>
                <w:szCs w:val="20"/>
                <w:color w:val="auto"/>
              </w:rPr>
            </w:pPr>
            <w:r>
              <w:rPr>
                <w:rFonts w:ascii="Arial" w:cs="Arial" w:eastAsia="Arial" w:hAnsi="Arial"/>
                <w:sz w:val="14"/>
                <w:szCs w:val="14"/>
                <w:color w:val="auto"/>
              </w:rPr>
              <w:t>Net loss attributable to common stockholders</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(211.8)</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(171.1)</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3"/>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6"/>
        </w:trPr>
        <w:tc>
          <w:tcPr>
            <w:tcW w:w="6340" w:type="dxa"/>
            <w:vAlign w:val="bottom"/>
          </w:tcPr>
          <w:p>
            <w:pPr>
              <w:ind w:left="360"/>
              <w:spacing w:after="0"/>
              <w:rPr>
                <w:sz w:val="20"/>
                <w:szCs w:val="20"/>
                <w:color w:val="auto"/>
              </w:rPr>
            </w:pPr>
            <w:r>
              <w:rPr>
                <w:rFonts w:ascii="Arial" w:cs="Arial" w:eastAsia="Arial" w:hAnsi="Arial"/>
                <w:sz w:val="14"/>
                <w:szCs w:val="14"/>
                <w:color w:val="auto"/>
              </w:rPr>
              <w:t>Weighted-average shares used in computing net loss per share attributable to common</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6"/>
        </w:trPr>
        <w:tc>
          <w:tcPr>
            <w:tcW w:w="634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stockholders, basic and 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64,254,930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24,874,061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11,138,851</w:t>
            </w:r>
          </w:p>
        </w:tc>
      </w:tr>
      <w:tr>
        <w:trPr>
          <w:trHeight w:val="23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right="380"/>
        <w:spacing w:after="0" w:line="290" w:lineRule="auto"/>
        <w:rPr>
          <w:sz w:val="20"/>
          <w:szCs w:val="20"/>
          <w:color w:val="auto"/>
        </w:rPr>
      </w:pPr>
      <w:r>
        <w:rPr>
          <w:rFonts w:ascii="Arial" w:cs="Arial" w:eastAsia="Arial" w:hAnsi="Arial"/>
          <w:sz w:val="14"/>
          <w:szCs w:val="14"/>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171"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630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Year Ended January 31,</w:t>
            </w:r>
          </w:p>
        </w:tc>
        <w:tc>
          <w:tcPr>
            <w:tcW w:w="1440" w:type="dxa"/>
            <w:vAlign w:val="bottom"/>
            <w:tcBorders>
              <w:bottom w:val="single" w:sz="8" w:color="auto"/>
            </w:tcBorders>
          </w:tcPr>
          <w:p>
            <w:pPr>
              <w:spacing w:after="0"/>
              <w:rPr>
                <w:sz w:val="13"/>
                <w:szCs w:val="13"/>
                <w:color w:val="auto"/>
              </w:rPr>
            </w:pPr>
          </w:p>
        </w:tc>
      </w:tr>
      <w:tr>
        <w:trPr>
          <w:trHeight w:val="171"/>
        </w:trPr>
        <w:tc>
          <w:tcPr>
            <w:tcW w:w="6300" w:type="dxa"/>
            <w:vAlign w:val="bottom"/>
          </w:tcPr>
          <w:p>
            <w:pPr>
              <w:spacing w:after="0"/>
              <w:rPr>
                <w:sz w:val="14"/>
                <w:szCs w:val="14"/>
                <w:color w:val="auto"/>
              </w:rPr>
            </w:pPr>
          </w:p>
        </w:tc>
        <w:tc>
          <w:tcPr>
            <w:tcW w:w="144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4"/>
                <w:szCs w:val="14"/>
                <w:color w:val="auto"/>
              </w:rPr>
            </w:pPr>
          </w:p>
        </w:tc>
        <w:tc>
          <w:tcPr>
            <w:tcW w:w="144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2021</w:t>
            </w:r>
          </w:p>
        </w:tc>
      </w:tr>
      <w:tr>
        <w:trPr>
          <w:trHeight w:val="155"/>
        </w:trPr>
        <w:tc>
          <w:tcPr>
            <w:tcW w:w="6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preferred stock</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31,137,921</w:t>
            </w:r>
          </w:p>
        </w:tc>
      </w:tr>
      <w:tr>
        <w:trPr>
          <w:trHeight w:val="202"/>
        </w:trPr>
        <w:tc>
          <w:tcPr>
            <w:tcW w:w="630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1440" w:type="dxa"/>
            <w:vAlign w:val="bottom"/>
          </w:tcPr>
          <w:p>
            <w:pPr>
              <w:jc w:val="right"/>
              <w:spacing w:after="0"/>
              <w:rPr>
                <w:sz w:val="20"/>
                <w:szCs w:val="20"/>
                <w:color w:val="auto"/>
              </w:rPr>
            </w:pPr>
            <w:r>
              <w:rPr>
                <w:rFonts w:ascii="Arial" w:cs="Arial" w:eastAsia="Arial" w:hAnsi="Arial"/>
                <w:sz w:val="14"/>
                <w:szCs w:val="14"/>
                <w:color w:val="auto"/>
              </w:rPr>
              <w:t>8,060,647</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9,470,170</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6,060,107</w:t>
            </w: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2,631,583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1,361,583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2,530,904</w:t>
            </w:r>
          </w:p>
        </w:tc>
      </w:tr>
      <w:tr>
        <w:trPr>
          <w:trHeight w:val="202"/>
        </w:trPr>
        <w:tc>
          <w:tcPr>
            <w:tcW w:w="6300" w:type="dxa"/>
            <w:vAlign w:val="bottom"/>
          </w:tcPr>
          <w:p>
            <w:pPr>
              <w:ind w:left="20"/>
              <w:spacing w:after="0"/>
              <w:rPr>
                <w:sz w:val="20"/>
                <w:szCs w:val="20"/>
                <w:color w:val="auto"/>
              </w:rPr>
            </w:pPr>
            <w:r>
              <w:rPr>
                <w:rFonts w:ascii="Arial" w:cs="Arial" w:eastAsia="Arial" w:hAnsi="Arial"/>
                <w:sz w:val="14"/>
                <w:szCs w:val="14"/>
                <w:color w:val="auto"/>
              </w:rPr>
              <w:t>Preferred stock warrants</w:t>
            </w: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164,664</w:t>
            </w: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RSUs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5,976,121</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2,428,574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300" w:type="dxa"/>
            <w:vAlign w:val="bottom"/>
          </w:tcPr>
          <w:p>
            <w:pPr>
              <w:ind w:left="360"/>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16,668,351</w:t>
            </w:r>
          </w:p>
        </w:tc>
        <w:tc>
          <w:tcPr>
            <w:tcW w:w="8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13,260,327</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39,893,596</w:t>
            </w:r>
          </w:p>
        </w:tc>
      </w:tr>
      <w:tr>
        <w:trPr>
          <w:trHeight w:val="20"/>
        </w:trPr>
        <w:tc>
          <w:tcPr>
            <w:tcW w:w="6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380" w:right="140"/>
        <w:spacing w:after="0" w:line="290" w:lineRule="auto"/>
        <w:rPr>
          <w:sz w:val="20"/>
          <w:szCs w:val="20"/>
          <w:color w:val="auto"/>
        </w:rPr>
      </w:pPr>
      <w:r>
        <w:rPr>
          <w:rFonts w:ascii="Arial" w:cs="Arial" w:eastAsia="Arial" w:hAnsi="Arial"/>
          <w:sz w:val="14"/>
          <w:szCs w:val="14"/>
          <w:color w:val="auto"/>
        </w:rPr>
        <w:t>As of January 31, 2021, RSUs to be settled in 1,509,601 shares of common stock were excluded from the table above because they were subject to liquidity-based vesting conditions that were not satisfied.</w:t>
      </w:r>
    </w:p>
    <w:p>
      <w:pPr>
        <w:spacing w:after="0" w:line="205" w:lineRule="exact"/>
        <w:rPr>
          <w:sz w:val="20"/>
          <w:szCs w:val="20"/>
          <w:color w:val="auto"/>
        </w:rPr>
      </w:pPr>
    </w:p>
    <w:p>
      <w:pPr>
        <w:ind w:left="380" w:hanging="375"/>
        <w:spacing w:after="0"/>
        <w:tabs>
          <w:tab w:leader="none" w:pos="380"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93" w:lineRule="exact"/>
        <w:rPr>
          <w:rFonts w:ascii="Arial" w:cs="Arial" w:eastAsia="Arial" w:hAnsi="Arial"/>
          <w:sz w:val="14"/>
          <w:szCs w:val="14"/>
          <w:b w:val="1"/>
          <w:bCs w:val="1"/>
          <w:color w:val="auto"/>
        </w:rPr>
      </w:pPr>
    </w:p>
    <w:p>
      <w:pPr>
        <w:ind w:left="380" w:right="28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 had restricted cash balances for cash collateralized standby letters of credit as of January 31, 2023 and 2022 of $9.1 million and $12.0 million, primarily to satisfy security deposit requirements on its leases.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23" w:name="page124"/>
    <w:bookmarkEnd w:id="123"/>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92" w:lineRule="exact"/>
        <w:rPr>
          <w:sz w:val="20"/>
          <w:szCs w:val="20"/>
          <w:color w:val="auto"/>
        </w:rPr>
      </w:pPr>
    </w:p>
    <w:p>
      <w:pPr>
        <w:ind w:left="380" w:right="180"/>
        <w:spacing w:after="0" w:line="265" w:lineRule="auto"/>
        <w:rPr>
          <w:sz w:val="20"/>
          <w:szCs w:val="20"/>
          <w:color w:val="auto"/>
        </w:rPr>
      </w:pPr>
      <w:r>
        <w:rPr>
          <w:rFonts w:ascii="Arial" w:cs="Arial" w:eastAsia="Arial" w:hAnsi="Arial"/>
          <w:sz w:val="14"/>
          <w:szCs w:val="14"/>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w:t>
      </w:r>
    </w:p>
    <w:p>
      <w:pPr>
        <w:spacing w:after="0" w:line="159"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 xml:space="preserve">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complaint alleges that the defendants violated Sections 11 and 15 of the Securities Act of 1933, as amended, by making allegedly materially misleading statements, and by omitting material facts necessary to make the statements made therein not misleading concerning, </w:t>
      </w:r>
      <w:r>
        <w:rPr>
          <w:rFonts w:ascii="Arial" w:cs="Arial" w:eastAsia="Arial" w:hAnsi="Arial"/>
          <w:sz w:val="14"/>
          <w:szCs w:val="14"/>
          <w:i w:val="1"/>
          <w:iCs w:val="1"/>
          <w:color w:val="auto"/>
        </w:rPr>
        <w:t>inter alia,</w:t>
      </w:r>
      <w:r>
        <w:rPr>
          <w:rFonts w:ascii="Arial" w:cs="Arial" w:eastAsia="Arial" w:hAnsi="Arial"/>
          <w:sz w:val="14"/>
          <w:szCs w:val="14"/>
          <w:color w:val="auto"/>
        </w:rPr>
        <w:t xml:space="preserve"> the Company’s growth at the time of the IPO. The lawsuit seeks, among other things, compensatory damages, an award of attorneys’ fees and costs and such other relief as deemed just and proper by the court. The Company intends to vigorously defend against these claims. The Company believes it has meritorious defenses to the claims of the plaintiff and members of the class and any liability for the alleged claims is not currently probable and the potential loss or range of loss is not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January 31, 2023 because of the material weaknesses in our internal control over financial reporting described below.</w:t>
      </w:r>
    </w:p>
    <w:p>
      <w:pPr>
        <w:spacing w:after="0" w:line="55"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Notwithstanding the below identified material weaknesses, management believes the consolidated financial statements as included in Part II, Item 8 of this Annual Report on Form 10-K present fairly, in all material respects, the Company's financial condition, results of operations and cash flows as of and for the periods presented in accordance with generally accepted accounting principles in the United States.</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00"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as such term is defined in Rules 13a-15(f) and 15d-15(f) under the Exchange Act. Our management, under the supervision and with the participation of our principal executive officer and principal financial officer, conducted an assessment of the effectiveness of our internal control over financial reporting as of January 31, 2023, based on the framework and criteria established in Internal Control - Integrated Framework (2013) issued by the Committee of Sponsoring Organizations of the Treadway Commission. Based on this assessment, management concluded that, as of January 31, 2023, our internal control over financial reporting was not effective due to the existence of material weaknesses described below.</w:t>
      </w:r>
    </w:p>
    <w:p>
      <w:pPr>
        <w:spacing w:after="0" w:line="161"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In connection with the audit of our financial statements as of and for the year ended January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49"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49"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016" w:right="379" w:bottom="1440" w:gutter="0" w:footer="0" w:header="0"/>
        </w:sectPr>
      </w:pPr>
    </w:p>
    <w:bookmarkStart w:id="125" w:name="page126"/>
    <w:bookmarkEnd w:id="125"/>
    <w:p>
      <w:pPr>
        <w:jc w:val="both"/>
        <w:ind w:right="100"/>
        <w:spacing w:after="0" w:line="271" w:lineRule="auto"/>
        <w:rPr>
          <w:sz w:val="20"/>
          <w:szCs w:val="20"/>
          <w:color w:val="auto"/>
        </w:rPr>
      </w:pPr>
      <w:r>
        <w:rPr>
          <w:rFonts w:ascii="Arial" w:cs="Arial" w:eastAsia="Arial" w:hAnsi="Arial"/>
          <w:sz w:val="14"/>
          <w:szCs w:val="14"/>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55"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These material weaknesses did not result in a misstatement to our annual or interim consolidated financial statements. However, each of these material weaknesses could result in a misstatement of substantially all account balances or disclosures that would result in a material misstatement to our annual or interim consolidated financial statements that would not be prevented or detected.</w:t>
      </w:r>
    </w:p>
    <w:p>
      <w:pPr>
        <w:spacing w:after="0" w:line="155" w:lineRule="exact"/>
        <w:rPr>
          <w:sz w:val="20"/>
          <w:szCs w:val="20"/>
          <w:color w:val="auto"/>
        </w:rPr>
      </w:pPr>
    </w:p>
    <w:p>
      <w:pPr>
        <w:ind w:right="280"/>
        <w:spacing w:after="0" w:line="274" w:lineRule="auto"/>
        <w:rPr>
          <w:sz w:val="20"/>
          <w:szCs w:val="20"/>
          <w:color w:val="auto"/>
        </w:rPr>
      </w:pPr>
      <w:r>
        <w:rPr>
          <w:rFonts w:ascii="Arial" w:cs="Arial" w:eastAsia="Arial" w:hAnsi="Arial"/>
          <w:sz w:val="14"/>
          <w:szCs w:val="14"/>
          <w:color w:val="auto"/>
        </w:rPr>
        <w:t>This Annual Report on Form 10 -K does not include an attestation report of the Company’s independent registered public accounting firm regarding internal control over financial reporting pursuant to the JOBS Act because the Company is an “emerging growth company” as defined in Rule 12b-2 under the Exchange Act.</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Remediation Efforts to Address Material Weaknesses</w:t>
      </w:r>
    </w:p>
    <w:p>
      <w:pPr>
        <w:spacing w:after="0" w:line="94" w:lineRule="exact"/>
        <w:rPr>
          <w:sz w:val="20"/>
          <w:szCs w:val="20"/>
          <w:color w:val="auto"/>
        </w:rPr>
      </w:pPr>
    </w:p>
    <w:p>
      <w:pPr>
        <w:jc w:val="both"/>
        <w:ind w:right="160"/>
        <w:spacing w:after="0" w:line="271" w:lineRule="auto"/>
        <w:rPr>
          <w:sz w:val="20"/>
          <w:szCs w:val="20"/>
          <w:color w:val="auto"/>
        </w:rPr>
      </w:pPr>
      <w:r>
        <w:rPr>
          <w:rFonts w:ascii="Arial" w:cs="Arial" w:eastAsia="Arial" w:hAnsi="Arial"/>
          <w:sz w:val="14"/>
          <w:szCs w:val="14"/>
          <w:color w:val="auto"/>
        </w:rPr>
        <w:t>We continue to implement measures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4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have performed extensive work with personnel responsible for the design and operating effectiveness of internal control over financial reporting in our efforts to ensure that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55"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75" w:lineRule="exact"/>
        <w:rPr>
          <w:sz w:val="20"/>
          <w:szCs w:val="20"/>
          <w:color w:val="auto"/>
        </w:rPr>
      </w:pPr>
    </w:p>
    <w:p>
      <w:pPr>
        <w:ind w:right="240"/>
        <w:spacing w:after="0" w:line="274" w:lineRule="auto"/>
        <w:rPr>
          <w:sz w:val="20"/>
          <w:szCs w:val="20"/>
          <w:color w:val="auto"/>
        </w:rPr>
      </w:pPr>
      <w:r>
        <w:rPr>
          <w:rFonts w:ascii="Arial" w:cs="Arial" w:eastAsia="Arial" w:hAnsi="Arial"/>
          <w:sz w:val="14"/>
          <w:szCs w:val="14"/>
          <w:color w:val="auto"/>
        </w:rPr>
        <w:t>There have been no changes in the Company’s internal control over financial reporting that occurred during the quarter ended January 31, 2023, that have materially affected, or are reasonably likely to materially affect, the Company’s internal control over financial reporting.</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On April 7, 2023, the Company’s Board of Directors elected Emil Michael to serve as a Class III director, effective May 1, 2023 (the “Effective Date”). Mr. Michael was also appointed to serve as a member of the Company’s Nominating and ESG Committee, effective on the Effective Date. Mr. Michael will receive an annual cash retainer of $40,000 and an award of 29,516 restricted stock units (“RSUs”) to be granted immediately following the Company’s 2023 annual meeting of stockholders. The RSU award will vest as of the earlier of (i) the first anniversary of the date of grant or (ii) immediately before the next annual meeting of stockholders following the date of RSU grant, subject to Mr. Michael’s continued service through such vesting date. The Company expects to enter into the Company’s standard form of indemnification agreement with Mr. Michael.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016" w:right="1440" w:bottom="1440" w:gutter="0" w:footer="0" w:header="0"/>
        </w:sectPr>
      </w:pPr>
    </w:p>
    <w:bookmarkStart w:id="127" w:name="page128"/>
    <w:bookmarkEnd w:id="127"/>
    <w:p>
      <w:pPr>
        <w:jc w:val="center"/>
        <w:ind w:right="-259"/>
        <w:spacing w:after="0"/>
        <w:rPr>
          <w:sz w:val="20"/>
          <w:szCs w:val="20"/>
          <w:color w:val="auto"/>
        </w:rPr>
      </w:pPr>
      <w:r>
        <w:rPr>
          <w:rFonts w:ascii="Arial" w:cs="Arial" w:eastAsia="Arial" w:hAnsi="Arial"/>
          <w:sz w:val="14"/>
          <w:szCs w:val="14"/>
          <w:b w:val="1"/>
          <w:bCs w:val="1"/>
          <w:color w:val="auto"/>
        </w:rPr>
        <w:t>Part III</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information required by this item is incorporated by reference from our Proxy Statement for the 2023 Annual Meeting of Stockholders (“Proxy Statement”) to be filed with the SEC within 120 days of the year ended January 31, 2023.</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from our Proxy Statement.</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from our Proxy Statement.</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from our Proxy Statement.</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from our Proxy Statement.</w:t>
      </w:r>
    </w:p>
    <w:p>
      <w:pPr>
        <w:spacing w:after="0" w:line="263"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Part IV</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761" w:right="57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documents are filed as part of this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1.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consolidated financial statements are listed in the “Financial Statements and Supplementary Data” under Part II, Item 8, of this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2. Financial Statement Schedules</w:t>
      </w:r>
    </w:p>
    <w:p>
      <w:pPr>
        <w:spacing w:after="0" w:line="200" w:lineRule="exact"/>
        <w:rPr>
          <w:sz w:val="20"/>
          <w:szCs w:val="20"/>
          <w:color w:val="auto"/>
        </w:rPr>
      </w:pPr>
    </w:p>
    <w:p>
      <w:pPr>
        <w:ind w:right="680"/>
        <w:spacing w:after="0" w:line="290" w:lineRule="auto"/>
        <w:rPr>
          <w:sz w:val="20"/>
          <w:szCs w:val="20"/>
          <w:color w:val="auto"/>
        </w:rPr>
      </w:pPr>
      <w:r>
        <w:rPr>
          <w:rFonts w:ascii="Arial" w:cs="Arial" w:eastAsia="Arial" w:hAnsi="Arial"/>
          <w:sz w:val="14"/>
          <w:szCs w:val="14"/>
          <w:color w:val="auto"/>
        </w:rPr>
        <w:t>All financial statement schedules have been omitted because they are not required or are not applicable, or the required information is shown in our consolidated financial statements or the notes thereto.</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3.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ind w:left="420"/>
              <w:spacing w:after="0"/>
              <w:rPr>
                <w:sz w:val="20"/>
                <w:szCs w:val="20"/>
                <w:color w:val="auto"/>
              </w:rPr>
            </w:pPr>
            <w:r>
              <w:rPr>
                <w:rFonts w:ascii="Arial" w:cs="Arial" w:eastAsia="Arial" w:hAnsi="Arial"/>
                <w:sz w:val="11"/>
                <w:szCs w:val="11"/>
                <w:b w:val="1"/>
                <w:bCs w:val="1"/>
                <w:color w:val="auto"/>
              </w:rPr>
              <w:t>Incorporated by Reference</w:t>
            </w:r>
          </w:p>
        </w:tc>
        <w:tc>
          <w:tcPr>
            <w:tcW w:w="9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1"/>
                <w:szCs w:val="11"/>
                <w:color w:val="auto"/>
              </w:rPr>
            </w:pPr>
          </w:p>
        </w:tc>
        <w:tc>
          <w:tcPr>
            <w:tcW w:w="5420" w:type="dxa"/>
            <w:vAlign w:val="bottom"/>
            <w:gridSpan w:val="15"/>
            <w:vMerge w:val="restart"/>
          </w:tcPr>
          <w:p>
            <w:pPr>
              <w:spacing w:after="0"/>
              <w:rPr>
                <w:sz w:val="20"/>
                <w:szCs w:val="20"/>
                <w:color w:val="auto"/>
              </w:rPr>
            </w:pPr>
            <w:r>
              <w:rPr>
                <w:rFonts w:ascii="Arial" w:cs="Arial" w:eastAsia="Arial" w:hAnsi="Arial"/>
                <w:sz w:val="11"/>
                <w:szCs w:val="11"/>
                <w:b w:val="1"/>
                <w:bCs w:val="1"/>
                <w:color w:val="auto"/>
              </w:rPr>
              <w:t>Description of Exhibit</w:t>
            </w:r>
          </w:p>
        </w:tc>
        <w:tc>
          <w:tcPr>
            <w:tcW w:w="60" w:type="dxa"/>
            <w:vAlign w:val="bottom"/>
            <w:vMerge w:val="restart"/>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Form</w:t>
            </w:r>
          </w:p>
        </w:tc>
        <w:tc>
          <w:tcPr>
            <w:tcW w:w="60" w:type="dxa"/>
            <w:vAlign w:val="bottom"/>
            <w:vMerge w:val="restart"/>
          </w:tcPr>
          <w:p>
            <w:pPr>
              <w:spacing w:after="0"/>
              <w:rPr>
                <w:sz w:val="11"/>
                <w:szCs w:val="11"/>
                <w:color w:val="auto"/>
              </w:rPr>
            </w:pPr>
          </w:p>
        </w:tc>
        <w:tc>
          <w:tcPr>
            <w:tcW w:w="11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File No.</w:t>
            </w:r>
          </w:p>
        </w:tc>
        <w:tc>
          <w:tcPr>
            <w:tcW w:w="60" w:type="dxa"/>
            <w:vAlign w:val="bottom"/>
            <w:vMerge w:val="restart"/>
          </w:tcPr>
          <w:p>
            <w:pPr>
              <w:spacing w:after="0"/>
              <w:rPr>
                <w:sz w:val="11"/>
                <w:szCs w:val="11"/>
                <w:color w:val="auto"/>
              </w:rPr>
            </w:pPr>
          </w:p>
        </w:tc>
        <w:tc>
          <w:tcPr>
            <w:tcW w:w="720" w:type="dxa"/>
            <w:vAlign w:val="bottom"/>
            <w:vMerge w:val="restart"/>
          </w:tcPr>
          <w:p>
            <w:pPr>
              <w:jc w:val="right"/>
              <w:ind w:right="250"/>
              <w:spacing w:after="0"/>
              <w:rPr>
                <w:sz w:val="20"/>
                <w:szCs w:val="20"/>
                <w:color w:val="auto"/>
              </w:rPr>
            </w:pPr>
            <w:r>
              <w:rPr>
                <w:rFonts w:ascii="Arial" w:cs="Arial" w:eastAsia="Arial" w:hAnsi="Arial"/>
                <w:sz w:val="11"/>
                <w:szCs w:val="11"/>
                <w:b w:val="1"/>
                <w:bCs w:val="1"/>
                <w:color w:val="auto"/>
              </w:rPr>
              <w:t>Exhibit</w:t>
            </w:r>
          </w:p>
        </w:tc>
        <w:tc>
          <w:tcPr>
            <w:tcW w:w="60" w:type="dxa"/>
            <w:vAlign w:val="bottom"/>
            <w:vMerge w:val="restart"/>
          </w:tcPr>
          <w:p>
            <w:pPr>
              <w:spacing w:after="0"/>
              <w:rPr>
                <w:sz w:val="11"/>
                <w:szCs w:val="11"/>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1"/>
                <w:szCs w:val="11"/>
                <w:b w:val="1"/>
                <w:bCs w:val="1"/>
                <w:color w:val="auto"/>
              </w:rPr>
              <w:t>Filing date</w:t>
            </w:r>
          </w:p>
        </w:tc>
        <w:tc>
          <w:tcPr>
            <w:tcW w:w="60" w:type="dxa"/>
            <w:vAlign w:val="bottom"/>
          </w:tcPr>
          <w:p>
            <w:pPr>
              <w:spacing w:after="0"/>
              <w:rPr>
                <w:sz w:val="11"/>
                <w:szCs w:val="11"/>
                <w:color w:val="auto"/>
              </w:rPr>
            </w:pPr>
          </w:p>
        </w:tc>
        <w:tc>
          <w:tcPr>
            <w:tcW w:w="1180" w:type="dxa"/>
            <w:vAlign w:val="bottom"/>
          </w:tcPr>
          <w:p>
            <w:pPr>
              <w:spacing w:after="0"/>
              <w:rPr>
                <w:sz w:val="20"/>
                <w:szCs w:val="20"/>
                <w:color w:val="auto"/>
              </w:rPr>
            </w:pPr>
            <w:r>
              <w:rPr>
                <w:rFonts w:ascii="Arial" w:cs="Arial" w:eastAsia="Arial" w:hAnsi="Arial"/>
                <w:sz w:val="11"/>
                <w:szCs w:val="11"/>
                <w:b w:val="1"/>
                <w:bCs w:val="1"/>
                <w:color w:val="auto"/>
              </w:rPr>
              <w:t>Filed / Furnished</w:t>
            </w: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20" w:type="dxa"/>
            <w:vAlign w:val="bottom"/>
            <w:tcBorders>
              <w:bottom w:val="single" w:sz="8" w:color="auto"/>
            </w:tcBorders>
            <w:gridSpan w:val="15"/>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Herewith</w:t>
            </w:r>
          </w:p>
        </w:tc>
        <w:tc>
          <w:tcPr>
            <w:tcW w:w="0" w:type="dxa"/>
            <w:vAlign w:val="bottom"/>
          </w:tcPr>
          <w:p>
            <w:pPr>
              <w:spacing w:after="0"/>
              <w:rPr>
                <w:sz w:val="1"/>
                <w:szCs w:val="1"/>
                <w:color w:val="auto"/>
              </w:rPr>
            </w:pPr>
          </w:p>
        </w:tc>
      </w:tr>
      <w:tr>
        <w:trPr>
          <w:trHeight w:val="213"/>
        </w:trPr>
        <w:tc>
          <w:tcPr>
            <w:tcW w:w="780" w:type="dxa"/>
            <w:vAlign w:val="bottom"/>
          </w:tcPr>
          <w:p>
            <w:pPr>
              <w:ind w:left="20"/>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40" w:type="dxa"/>
            <w:vAlign w:val="bottom"/>
            <w:tcBorders>
              <w:bottom w:val="single" w:sz="8" w:color="0000FF"/>
            </w:tcBorders>
            <w:gridSpan w:val="7"/>
          </w:tcPr>
          <w:p>
            <w:pPr>
              <w:spacing w:after="0"/>
              <w:rPr>
                <w:rFonts w:ascii="Arial" w:cs="Arial" w:eastAsia="Arial" w:hAnsi="Arial"/>
                <w:sz w:val="14"/>
                <w:szCs w:val="14"/>
                <w:color w:val="0000FF"/>
              </w:rPr>
            </w:pPr>
            <w:hyperlink r:id="rId198">
              <w:r>
                <w:rPr>
                  <w:rFonts w:ascii="Arial" w:cs="Arial" w:eastAsia="Arial" w:hAnsi="Arial"/>
                  <w:sz w:val="14"/>
                  <w:szCs w:val="14"/>
                  <w:color w:val="0000FF"/>
                </w:rPr>
                <w:t>Amended &amp; Restated Certificate of Incorporation</w:t>
              </w:r>
            </w:hyperlink>
          </w:p>
        </w:tc>
        <w:tc>
          <w:tcPr>
            <w:tcW w:w="2440" w:type="dxa"/>
            <w:vAlign w:val="bottom"/>
            <w:gridSpan w:val="9"/>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8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16"/>
          </w:tcPr>
          <w:p>
            <w:pPr>
              <w:spacing w:after="0"/>
              <w:rPr>
                <w:rFonts w:ascii="Arial" w:cs="Arial" w:eastAsia="Arial" w:hAnsi="Arial"/>
                <w:sz w:val="14"/>
                <w:szCs w:val="14"/>
                <w:color w:val="0000FF"/>
              </w:rPr>
            </w:pPr>
            <w:hyperlink r:id="rId199">
              <w:r>
                <w:rPr>
                  <w:rFonts w:ascii="Arial" w:cs="Arial" w:eastAsia="Arial" w:hAnsi="Arial"/>
                  <w:sz w:val="14"/>
                  <w:szCs w:val="14"/>
                  <w:color w:val="0000FF"/>
                </w:rPr>
                <w:t>Amended &amp; Restated Bylaws</w:t>
              </w:r>
            </w:hyperlink>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8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16"/>
          </w:tcPr>
          <w:p>
            <w:pPr>
              <w:spacing w:after="0"/>
              <w:rPr>
                <w:rFonts w:ascii="Arial" w:cs="Arial" w:eastAsia="Arial" w:hAnsi="Arial"/>
                <w:sz w:val="14"/>
                <w:szCs w:val="14"/>
                <w:color w:val="0000FF"/>
              </w:rPr>
            </w:pPr>
            <w:hyperlink r:id="rId200">
              <w:r>
                <w:rPr>
                  <w:rFonts w:ascii="Arial" w:cs="Arial" w:eastAsia="Arial" w:hAnsi="Arial"/>
                  <w:sz w:val="14"/>
                  <w:szCs w:val="14"/>
                  <w:color w:val="0000FF"/>
                </w:rPr>
                <w:t>Specimen Class A common stock certificate</w:t>
              </w:r>
            </w:hyperlink>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10/04/2021</w:t>
            </w: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gridSpan w:val="16"/>
          </w:tcPr>
          <w:p>
            <w:pPr>
              <w:spacing w:after="0"/>
              <w:rPr>
                <w:rFonts w:ascii="Arial" w:cs="Arial" w:eastAsia="Arial" w:hAnsi="Arial"/>
                <w:sz w:val="14"/>
                <w:szCs w:val="14"/>
                <w:color w:val="0000FF"/>
              </w:rPr>
            </w:pPr>
            <w:hyperlink r:id="rId201">
              <w:r>
                <w:rPr>
                  <w:rFonts w:ascii="Arial" w:cs="Arial" w:eastAsia="Arial" w:hAnsi="Arial"/>
                  <w:sz w:val="14"/>
                  <w:szCs w:val="14"/>
                  <w:color w:val="0000FF"/>
                </w:rPr>
                <w:t>Eighth Amended and Restated Investors’ Rights Agreement (the “IRA”) by and among</w:t>
              </w:r>
            </w:hyperlink>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10/04/2021</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40" w:type="dxa"/>
            <w:vAlign w:val="bottom"/>
            <w:tcBorders>
              <w:top w:val="single" w:sz="8" w:color="0000FF"/>
              <w:bottom w:val="single" w:sz="8" w:color="0000FF"/>
            </w:tcBorders>
            <w:gridSpan w:val="12"/>
          </w:tcPr>
          <w:p>
            <w:pPr>
              <w:spacing w:after="0" w:line="139" w:lineRule="exact"/>
              <w:rPr>
                <w:rFonts w:ascii="Arial" w:cs="Arial" w:eastAsia="Arial" w:hAnsi="Arial"/>
                <w:sz w:val="14"/>
                <w:szCs w:val="14"/>
                <w:color w:val="0000FF"/>
              </w:rPr>
            </w:pPr>
            <w:hyperlink r:id="rId201">
              <w:r>
                <w:rPr>
                  <w:rFonts w:ascii="Arial" w:cs="Arial" w:eastAsia="Arial" w:hAnsi="Arial"/>
                  <w:sz w:val="14"/>
                  <w:szCs w:val="14"/>
                  <w:color w:val="0000FF"/>
                </w:rPr>
                <w:t>the Company and certain of its stockholders, dated April 30, 2020, as amended by</w:t>
              </w:r>
            </w:hyperlink>
          </w:p>
        </w:tc>
        <w:tc>
          <w:tcPr>
            <w:tcW w:w="240" w:type="dxa"/>
            <w:vAlign w:val="bottom"/>
            <w:tcBorders>
              <w:top w:val="single" w:sz="8" w:color="0000FF"/>
            </w:tcBorders>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80" w:type="dxa"/>
            <w:vAlign w:val="bottom"/>
            <w:gridSpan w:val="16"/>
          </w:tcPr>
          <w:p>
            <w:pPr>
              <w:spacing w:after="0" w:line="139" w:lineRule="exact"/>
              <w:rPr>
                <w:rFonts w:ascii="Arial" w:cs="Arial" w:eastAsia="Arial" w:hAnsi="Arial"/>
                <w:sz w:val="14"/>
                <w:szCs w:val="14"/>
                <w:color w:val="0000FF"/>
              </w:rPr>
            </w:pPr>
            <w:hyperlink r:id="rId201">
              <w:r>
                <w:rPr>
                  <w:rFonts w:ascii="Arial" w:cs="Arial" w:eastAsia="Arial" w:hAnsi="Arial"/>
                  <w:sz w:val="14"/>
                  <w:szCs w:val="14"/>
                  <w:color w:val="0000FF"/>
                </w:rPr>
                <w:t>that amendment No. 1 to the IRA, dated October 26, 2020 and that amendment No. 2</w:t>
              </w:r>
            </w:hyperlink>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rPr>
            </w:pPr>
            <w:hyperlink r:id="rId201">
              <w:r>
                <w:rPr>
                  <w:rFonts w:ascii="Arial" w:cs="Arial" w:eastAsia="Arial" w:hAnsi="Arial"/>
                  <w:sz w:val="14"/>
                  <w:szCs w:val="14"/>
                  <w:color w:val="0000FF"/>
                </w:rPr>
                <w:t>to the IRA, dated April 30, 2021</w:t>
              </w:r>
            </w:hyperlink>
          </w:p>
        </w:tc>
        <w:tc>
          <w:tcPr>
            <w:tcW w:w="3360" w:type="dxa"/>
            <w:vAlign w:val="bottom"/>
            <w:tcBorders>
              <w:top w:val="single" w:sz="8" w:color="0000FF"/>
            </w:tcBorders>
            <w:gridSpan w:val="9"/>
          </w:tcPr>
          <w:p>
            <w:pPr>
              <w:spacing w:after="0"/>
              <w:rPr>
                <w:sz w:val="12"/>
                <w:szCs w:val="12"/>
                <w:color w:val="auto"/>
              </w:rPr>
            </w:pPr>
          </w:p>
        </w:tc>
        <w:tc>
          <w:tcPr>
            <w:tcW w:w="14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4.3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Borders>
              <w:bottom w:val="single" w:sz="8" w:color="0000FF"/>
            </w:tcBorders>
            <w:gridSpan w:val="2"/>
          </w:tcPr>
          <w:p>
            <w:pPr>
              <w:spacing w:after="0"/>
              <w:rPr>
                <w:rFonts w:ascii="Arial" w:cs="Arial" w:eastAsia="Arial" w:hAnsi="Arial"/>
                <w:sz w:val="14"/>
                <w:szCs w:val="14"/>
                <w:color w:val="0000FF"/>
              </w:rPr>
            </w:pPr>
            <w:hyperlink r:id="rId202">
              <w:r>
                <w:rPr>
                  <w:rFonts w:ascii="Arial" w:cs="Arial" w:eastAsia="Arial" w:hAnsi="Arial"/>
                  <w:sz w:val="14"/>
                  <w:szCs w:val="14"/>
                  <w:color w:val="0000FF"/>
                </w:rPr>
                <w:t>Description of Capital Stock</w:t>
              </w:r>
            </w:hyperlink>
          </w:p>
        </w:tc>
        <w:tc>
          <w:tcPr>
            <w:tcW w:w="3740" w:type="dxa"/>
            <w:vAlign w:val="bottom"/>
            <w:gridSpan w:val="14"/>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10-K</w:t>
            </w:r>
          </w:p>
        </w:tc>
        <w:tc>
          <w:tcPr>
            <w:tcW w:w="118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04/14/2022</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bottom w:val="single" w:sz="8" w:color="0000FF"/>
            </w:tcBorders>
          </w:tcPr>
          <w:p>
            <w:pPr>
              <w:spacing w:after="0"/>
              <w:rPr>
                <w:rFonts w:ascii="Arial" w:cs="Arial" w:eastAsia="Arial" w:hAnsi="Arial"/>
                <w:sz w:val="14"/>
                <w:szCs w:val="14"/>
                <w:color w:val="0000FF"/>
              </w:rPr>
            </w:pPr>
            <w:hyperlink r:id="rId203">
              <w:r>
                <w:rPr>
                  <w:rFonts w:ascii="Arial" w:cs="Arial" w:eastAsia="Arial" w:hAnsi="Arial"/>
                  <w:sz w:val="14"/>
                  <w:szCs w:val="14"/>
                  <w:color w:val="0000FF"/>
                </w:rPr>
                <w:t>2009 Stock Incentive Plan</w:t>
              </w:r>
            </w:hyperlink>
          </w:p>
        </w:tc>
        <w:tc>
          <w:tcPr>
            <w:tcW w:w="3840" w:type="dxa"/>
            <w:vAlign w:val="bottom"/>
            <w:gridSpan w:val="15"/>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10.2+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Borders>
              <w:bottom w:val="single" w:sz="8" w:color="0000FF"/>
            </w:tcBorders>
            <w:gridSpan w:val="10"/>
          </w:tcPr>
          <w:p>
            <w:pPr>
              <w:spacing w:after="0"/>
              <w:rPr>
                <w:rFonts w:ascii="Arial" w:cs="Arial" w:eastAsia="Arial" w:hAnsi="Arial"/>
                <w:sz w:val="14"/>
                <w:szCs w:val="14"/>
                <w:color w:val="0000FF"/>
              </w:rPr>
            </w:pPr>
            <w:hyperlink r:id="rId204">
              <w:r>
                <w:rPr>
                  <w:rFonts w:ascii="Arial" w:cs="Arial" w:eastAsia="Arial" w:hAnsi="Arial"/>
                  <w:sz w:val="14"/>
                  <w:szCs w:val="14"/>
                  <w:color w:val="0000FF"/>
                </w:rPr>
                <w:t>Form of Incentive Stock Option Agreement (2009 Plan)</w:t>
              </w:r>
            </w:hyperlink>
          </w:p>
        </w:tc>
        <w:tc>
          <w:tcPr>
            <w:tcW w:w="2040" w:type="dxa"/>
            <w:vAlign w:val="bottom"/>
            <w:gridSpan w:val="6"/>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10.3+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80" w:type="dxa"/>
            <w:vAlign w:val="bottom"/>
            <w:tcBorders>
              <w:bottom w:val="single" w:sz="8" w:color="0000FF"/>
            </w:tcBorders>
            <w:gridSpan w:val="11"/>
          </w:tcPr>
          <w:p>
            <w:pPr>
              <w:spacing w:after="0"/>
              <w:rPr>
                <w:rFonts w:ascii="Arial" w:cs="Arial" w:eastAsia="Arial" w:hAnsi="Arial"/>
                <w:sz w:val="14"/>
                <w:szCs w:val="14"/>
                <w:color w:val="0000FF"/>
              </w:rPr>
            </w:pPr>
            <w:hyperlink r:id="rId205">
              <w:r>
                <w:rPr>
                  <w:rFonts w:ascii="Arial" w:cs="Arial" w:eastAsia="Arial" w:hAnsi="Arial"/>
                  <w:sz w:val="14"/>
                  <w:szCs w:val="14"/>
                  <w:color w:val="0000FF"/>
                </w:rPr>
                <w:t>Form of Nonstatutory Stock Option Agreement (2009 Plan)</w:t>
              </w:r>
            </w:hyperlink>
          </w:p>
        </w:tc>
        <w:tc>
          <w:tcPr>
            <w:tcW w:w="1800" w:type="dxa"/>
            <w:vAlign w:val="bottom"/>
            <w:gridSpan w:val="5"/>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10.4+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bottom w:val="single" w:sz="8" w:color="0000FF"/>
            </w:tcBorders>
          </w:tcPr>
          <w:p>
            <w:pPr>
              <w:spacing w:after="0"/>
              <w:rPr>
                <w:rFonts w:ascii="Arial" w:cs="Arial" w:eastAsia="Arial" w:hAnsi="Arial"/>
                <w:sz w:val="14"/>
                <w:szCs w:val="14"/>
                <w:color w:val="0000FF"/>
              </w:rPr>
            </w:pPr>
            <w:hyperlink r:id="rId206">
              <w:r>
                <w:rPr>
                  <w:rFonts w:ascii="Arial" w:cs="Arial" w:eastAsia="Arial" w:hAnsi="Arial"/>
                  <w:sz w:val="14"/>
                  <w:szCs w:val="14"/>
                  <w:color w:val="0000FF"/>
                </w:rPr>
                <w:t>2019 Stock Incentive Plan</w:t>
              </w:r>
            </w:hyperlink>
          </w:p>
        </w:tc>
        <w:tc>
          <w:tcPr>
            <w:tcW w:w="3840" w:type="dxa"/>
            <w:vAlign w:val="bottom"/>
            <w:gridSpan w:val="15"/>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10.5+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Borders>
              <w:bottom w:val="single" w:sz="8" w:color="0000FF"/>
            </w:tcBorders>
            <w:gridSpan w:val="10"/>
          </w:tcPr>
          <w:p>
            <w:pPr>
              <w:spacing w:after="0"/>
              <w:rPr>
                <w:rFonts w:ascii="Arial" w:cs="Arial" w:eastAsia="Arial" w:hAnsi="Arial"/>
                <w:sz w:val="14"/>
                <w:szCs w:val="14"/>
                <w:color w:val="0000FF"/>
              </w:rPr>
            </w:pPr>
            <w:hyperlink r:id="rId207">
              <w:r>
                <w:rPr>
                  <w:rFonts w:ascii="Arial" w:cs="Arial" w:eastAsia="Arial" w:hAnsi="Arial"/>
                  <w:sz w:val="14"/>
                  <w:szCs w:val="14"/>
                  <w:color w:val="0000FF"/>
                </w:rPr>
                <w:t>Form of Incentive Stock Option Agreement (2019 Plan)</w:t>
              </w:r>
            </w:hyperlink>
          </w:p>
        </w:tc>
        <w:tc>
          <w:tcPr>
            <w:tcW w:w="2040" w:type="dxa"/>
            <w:vAlign w:val="bottom"/>
            <w:gridSpan w:val="6"/>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10.6+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80" w:type="dxa"/>
            <w:vAlign w:val="bottom"/>
            <w:tcBorders>
              <w:bottom w:val="single" w:sz="8" w:color="0000FF"/>
            </w:tcBorders>
            <w:gridSpan w:val="11"/>
          </w:tcPr>
          <w:p>
            <w:pPr>
              <w:spacing w:after="0"/>
              <w:rPr>
                <w:rFonts w:ascii="Arial" w:cs="Arial" w:eastAsia="Arial" w:hAnsi="Arial"/>
                <w:sz w:val="14"/>
                <w:szCs w:val="14"/>
                <w:color w:val="0000FF"/>
              </w:rPr>
            </w:pPr>
            <w:hyperlink r:id="rId208">
              <w:r>
                <w:rPr>
                  <w:rFonts w:ascii="Arial" w:cs="Arial" w:eastAsia="Arial" w:hAnsi="Arial"/>
                  <w:sz w:val="14"/>
                  <w:szCs w:val="14"/>
                  <w:color w:val="0000FF"/>
                </w:rPr>
                <w:t>Form of Nonstatutory Stock Option Agreement (2019 Plan)</w:t>
              </w:r>
            </w:hyperlink>
          </w:p>
        </w:tc>
        <w:tc>
          <w:tcPr>
            <w:tcW w:w="1800" w:type="dxa"/>
            <w:vAlign w:val="bottom"/>
            <w:gridSpan w:val="5"/>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gridSpan w:val="16"/>
          </w:tcPr>
          <w:p>
            <w:pPr>
              <w:spacing w:after="0"/>
              <w:rPr>
                <w:rFonts w:ascii="Arial" w:cs="Arial" w:eastAsia="Arial" w:hAnsi="Arial"/>
                <w:sz w:val="14"/>
                <w:szCs w:val="14"/>
                <w:color w:val="0000FF"/>
              </w:rPr>
            </w:pPr>
            <w:hyperlink r:id="rId209">
              <w:r>
                <w:rPr>
                  <w:rFonts w:ascii="Arial" w:cs="Arial" w:eastAsia="Arial" w:hAnsi="Arial"/>
                  <w:sz w:val="14"/>
                  <w:szCs w:val="14"/>
                  <w:color w:val="0000FF"/>
                </w:rPr>
                <w:t>Form of Restricted Stock Unit Agreement (2019 Plan)</w:t>
              </w:r>
            </w:hyperlink>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10.8+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top w:val="single" w:sz="8" w:color="0000FF"/>
            </w:tcBorders>
            <w:gridSpan w:val="9"/>
          </w:tcPr>
          <w:p>
            <w:pPr>
              <w:spacing w:after="0"/>
              <w:rPr>
                <w:rFonts w:ascii="Arial" w:cs="Arial" w:eastAsia="Arial" w:hAnsi="Arial"/>
                <w:sz w:val="14"/>
                <w:szCs w:val="14"/>
                <w:color w:val="0000FF"/>
              </w:rPr>
            </w:pPr>
            <w:hyperlink r:id="rId210">
              <w:r>
                <w:rPr>
                  <w:rFonts w:ascii="Arial" w:cs="Arial" w:eastAsia="Arial" w:hAnsi="Arial"/>
                  <w:sz w:val="14"/>
                  <w:szCs w:val="14"/>
                  <w:color w:val="0000FF"/>
                </w:rPr>
                <w:t>Amended and Restated 2021 Incentive Award Plan</w:t>
              </w:r>
            </w:hyperlink>
          </w:p>
        </w:tc>
        <w:tc>
          <w:tcPr>
            <w:tcW w:w="2140" w:type="dxa"/>
            <w:vAlign w:val="bottom"/>
            <w:gridSpan w:val="7"/>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10.9+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40" w:type="dxa"/>
            <w:vAlign w:val="bottom"/>
            <w:tcBorders>
              <w:top w:val="single" w:sz="8" w:color="0000FF"/>
              <w:bottom w:val="single" w:sz="8" w:color="0000FF"/>
            </w:tcBorders>
            <w:gridSpan w:val="6"/>
          </w:tcPr>
          <w:p>
            <w:pPr>
              <w:spacing w:after="0"/>
              <w:rPr>
                <w:rFonts w:ascii="Arial" w:cs="Arial" w:eastAsia="Arial" w:hAnsi="Arial"/>
                <w:sz w:val="14"/>
                <w:szCs w:val="14"/>
                <w:color w:val="0000FF"/>
              </w:rPr>
            </w:pPr>
            <w:hyperlink r:id="rId211">
              <w:r>
                <w:rPr>
                  <w:rFonts w:ascii="Arial" w:cs="Arial" w:eastAsia="Arial" w:hAnsi="Arial"/>
                  <w:sz w:val="14"/>
                  <w:szCs w:val="14"/>
                  <w:color w:val="0000FF"/>
                </w:rPr>
                <w:t>Form of Stock Option Agreement (2021 Plan)</w:t>
              </w:r>
            </w:hyperlink>
          </w:p>
        </w:tc>
        <w:tc>
          <w:tcPr>
            <w:tcW w:w="360" w:type="dxa"/>
            <w:vAlign w:val="bottom"/>
            <w:tcBorders>
              <w:top w:val="single" w:sz="8" w:color="0000FF"/>
            </w:tcBorders>
            <w:gridSpan w:val="2"/>
          </w:tcPr>
          <w:p>
            <w:pPr>
              <w:spacing w:after="0"/>
              <w:rPr>
                <w:sz w:val="19"/>
                <w:szCs w:val="19"/>
                <w:color w:val="auto"/>
              </w:rPr>
            </w:pPr>
          </w:p>
        </w:tc>
        <w:tc>
          <w:tcPr>
            <w:tcW w:w="2280" w:type="dxa"/>
            <w:vAlign w:val="bottom"/>
            <w:gridSpan w:val="8"/>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10.10</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10.10+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16"/>
          </w:tcPr>
          <w:p>
            <w:pPr>
              <w:spacing w:after="0"/>
              <w:rPr>
                <w:rFonts w:ascii="Arial" w:cs="Arial" w:eastAsia="Arial" w:hAnsi="Arial"/>
                <w:sz w:val="14"/>
                <w:szCs w:val="14"/>
                <w:color w:val="0000FF"/>
              </w:rPr>
            </w:pPr>
            <w:hyperlink r:id="rId212">
              <w:r>
                <w:rPr>
                  <w:rFonts w:ascii="Arial" w:cs="Arial" w:eastAsia="Arial" w:hAnsi="Arial"/>
                  <w:sz w:val="14"/>
                  <w:szCs w:val="14"/>
                  <w:color w:val="0000FF"/>
                </w:rPr>
                <w:t>Form of Restricted Stock Unit Agreement (2021 Plan)</w:t>
              </w:r>
            </w:hyperlink>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10.11</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8"/>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Borders>
              <w:top w:val="single" w:sz="8" w:color="0000FF"/>
            </w:tcBorders>
            <w:gridSpan w:val="9"/>
          </w:tcPr>
          <w:p>
            <w:pPr>
              <w:spacing w:after="0"/>
              <w:rPr>
                <w:sz w:val="24"/>
                <w:szCs w:val="24"/>
                <w:color w:val="auto"/>
              </w:rPr>
            </w:pPr>
          </w:p>
        </w:tc>
        <w:tc>
          <w:tcPr>
            <w:tcW w:w="1800" w:type="dxa"/>
            <w:vAlign w:val="bottom"/>
            <w:gridSpan w:val="3"/>
          </w:tcPr>
          <w:p>
            <w:pPr>
              <w:jc w:val="right"/>
              <w:ind w:right="240"/>
              <w:spacing w:after="0"/>
              <w:rPr>
                <w:sz w:val="20"/>
                <w:szCs w:val="20"/>
                <w:color w:val="auto"/>
              </w:rPr>
            </w:pPr>
            <w:r>
              <w:rPr>
                <w:rFonts w:ascii="Arial" w:cs="Arial" w:eastAsia="Arial" w:hAnsi="Arial"/>
                <w:sz w:val="14"/>
                <w:szCs w:val="14"/>
                <w:color w:val="auto"/>
              </w:rPr>
              <w:t>126</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7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61"/>
        </w:trPr>
        <w:tc>
          <w:tcPr>
            <w:tcW w:w="860" w:type="dxa"/>
            <w:vAlign w:val="bottom"/>
          </w:tcPr>
          <w:p>
            <w:pPr>
              <w:ind w:left="20"/>
              <w:spacing w:after="0"/>
              <w:rPr>
                <w:sz w:val="20"/>
                <w:szCs w:val="20"/>
                <w:color w:val="auto"/>
              </w:rPr>
            </w:pPr>
            <w:r>
              <w:rPr>
                <w:rFonts w:ascii="Arial" w:cs="Arial" w:eastAsia="Arial" w:hAnsi="Arial"/>
                <w:sz w:val="14"/>
                <w:szCs w:val="14"/>
                <w:color w:val="auto"/>
              </w:rPr>
              <w:t>10.11+</w:t>
            </w:r>
          </w:p>
        </w:tc>
        <w:tc>
          <w:tcPr>
            <w:tcW w:w="5420" w:type="dxa"/>
            <w:vAlign w:val="bottom"/>
            <w:gridSpan w:val="30"/>
          </w:tcPr>
          <w:p>
            <w:pPr>
              <w:spacing w:after="0"/>
              <w:rPr>
                <w:rFonts w:ascii="Arial" w:cs="Arial" w:eastAsia="Arial" w:hAnsi="Arial"/>
                <w:sz w:val="14"/>
                <w:szCs w:val="14"/>
                <w:color w:val="0000FF"/>
              </w:rPr>
            </w:pPr>
            <w:hyperlink r:id="rId215">
              <w:r>
                <w:rPr>
                  <w:rFonts w:ascii="Arial" w:cs="Arial" w:eastAsia="Arial" w:hAnsi="Arial"/>
                  <w:sz w:val="14"/>
                  <w:szCs w:val="14"/>
                  <w:color w:val="0000FF"/>
                </w:rPr>
                <w:t>Form of Restricted Stock Unit Agreement (2021 Plan) (Mandatory Sell-to-Cover</w:t>
              </w:r>
            </w:hyperlink>
          </w:p>
        </w:tc>
        <w:tc>
          <w:tcPr>
            <w:tcW w:w="620" w:type="dxa"/>
            <w:vAlign w:val="bottom"/>
          </w:tcPr>
          <w:p>
            <w:pPr>
              <w:ind w:left="8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10.12</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10/18/2021</w:t>
            </w:r>
          </w:p>
        </w:tc>
      </w:tr>
      <w:tr>
        <w:trPr>
          <w:trHeight w:val="139"/>
        </w:trPr>
        <w:tc>
          <w:tcPr>
            <w:tcW w:w="860" w:type="dxa"/>
            <w:vAlign w:val="bottom"/>
          </w:tcPr>
          <w:p>
            <w:pPr>
              <w:spacing w:after="0"/>
              <w:rPr>
                <w:sz w:val="12"/>
                <w:szCs w:val="12"/>
                <w:color w:val="auto"/>
              </w:rPr>
            </w:pPr>
          </w:p>
        </w:tc>
        <w:tc>
          <w:tcPr>
            <w:tcW w:w="4960" w:type="dxa"/>
            <w:vAlign w:val="bottom"/>
            <w:tcBorders>
              <w:top w:val="single" w:sz="8" w:color="0000FF"/>
            </w:tcBorders>
            <w:gridSpan w:val="15"/>
          </w:tcPr>
          <w:p>
            <w:pPr>
              <w:spacing w:after="0" w:line="139" w:lineRule="exact"/>
              <w:rPr>
                <w:rFonts w:ascii="Arial" w:cs="Arial" w:eastAsia="Arial" w:hAnsi="Arial"/>
                <w:sz w:val="14"/>
                <w:szCs w:val="14"/>
                <w:color w:val="0000FF"/>
              </w:rPr>
            </w:pPr>
            <w:hyperlink r:id="rId215">
              <w:r>
                <w:rPr>
                  <w:rFonts w:ascii="Arial" w:cs="Arial" w:eastAsia="Arial" w:hAnsi="Arial"/>
                  <w:sz w:val="14"/>
                  <w:szCs w:val="14"/>
                  <w:color w:val="0000FF"/>
                </w:rPr>
                <w:t>Election)</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4"/>
        </w:trPr>
        <w:tc>
          <w:tcPr>
            <w:tcW w:w="860" w:type="dxa"/>
            <w:vAlign w:val="bottom"/>
          </w:tcPr>
          <w:p>
            <w:pPr>
              <w:ind w:left="20"/>
              <w:spacing w:after="0"/>
              <w:rPr>
                <w:sz w:val="20"/>
                <w:szCs w:val="20"/>
                <w:color w:val="auto"/>
              </w:rPr>
            </w:pPr>
            <w:r>
              <w:rPr>
                <w:rFonts w:ascii="Arial" w:cs="Arial" w:eastAsia="Arial" w:hAnsi="Arial"/>
                <w:sz w:val="14"/>
                <w:szCs w:val="14"/>
                <w:color w:val="auto"/>
              </w:rPr>
              <w:t>10.12+</w:t>
            </w:r>
          </w:p>
        </w:tc>
        <w:tc>
          <w:tcPr>
            <w:tcW w:w="5420" w:type="dxa"/>
            <w:vAlign w:val="bottom"/>
            <w:gridSpan w:val="30"/>
          </w:tcPr>
          <w:p>
            <w:pPr>
              <w:spacing w:after="0"/>
              <w:rPr>
                <w:rFonts w:ascii="Arial" w:cs="Arial" w:eastAsia="Arial" w:hAnsi="Arial"/>
                <w:sz w:val="14"/>
                <w:szCs w:val="14"/>
                <w:color w:val="0000FF"/>
              </w:rPr>
            </w:pPr>
            <w:hyperlink r:id="rId216">
              <w:r>
                <w:rPr>
                  <w:rFonts w:ascii="Arial" w:cs="Arial" w:eastAsia="Arial" w:hAnsi="Arial"/>
                  <w:sz w:val="14"/>
                  <w:szCs w:val="14"/>
                  <w:color w:val="0000FF"/>
                </w:rPr>
                <w:t>Form of Indemnification Agreement between the Company and each of its directors</w:t>
              </w:r>
            </w:hyperlink>
          </w:p>
        </w:tc>
        <w:tc>
          <w:tcPr>
            <w:tcW w:w="620" w:type="dxa"/>
            <w:vAlign w:val="bottom"/>
          </w:tcPr>
          <w:p>
            <w:pPr>
              <w:ind w:left="8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10.1</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10/18/2021</w:t>
            </w:r>
          </w:p>
        </w:tc>
      </w:tr>
      <w:tr>
        <w:trPr>
          <w:trHeight w:val="139"/>
        </w:trPr>
        <w:tc>
          <w:tcPr>
            <w:tcW w:w="860" w:type="dxa"/>
            <w:vAlign w:val="bottom"/>
          </w:tcPr>
          <w:p>
            <w:pPr>
              <w:spacing w:after="0"/>
              <w:rPr>
                <w:sz w:val="12"/>
                <w:szCs w:val="12"/>
                <w:color w:val="auto"/>
              </w:rPr>
            </w:pPr>
          </w:p>
        </w:tc>
        <w:tc>
          <w:tcPr>
            <w:tcW w:w="5200" w:type="dxa"/>
            <w:vAlign w:val="bottom"/>
            <w:tcBorders>
              <w:top w:val="single" w:sz="8" w:color="0000FF"/>
            </w:tcBorders>
            <w:gridSpan w:val="20"/>
          </w:tcPr>
          <w:p>
            <w:pPr>
              <w:spacing w:after="0" w:line="139" w:lineRule="exact"/>
              <w:rPr>
                <w:rFonts w:ascii="Arial" w:cs="Arial" w:eastAsia="Arial" w:hAnsi="Arial"/>
                <w:sz w:val="14"/>
                <w:szCs w:val="14"/>
                <w:color w:val="0000FF"/>
              </w:rPr>
            </w:pPr>
            <w:hyperlink r:id="rId216">
              <w:r>
                <w:rPr>
                  <w:rFonts w:ascii="Arial" w:cs="Arial" w:eastAsia="Arial" w:hAnsi="Arial"/>
                  <w:sz w:val="14"/>
                  <w:szCs w:val="14"/>
                  <w:color w:val="0000FF"/>
                </w:rPr>
                <w:t>and executive officers</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4"/>
        </w:trPr>
        <w:tc>
          <w:tcPr>
            <w:tcW w:w="860" w:type="dxa"/>
            <w:vAlign w:val="bottom"/>
          </w:tcPr>
          <w:p>
            <w:pPr>
              <w:ind w:left="20"/>
              <w:spacing w:after="0"/>
              <w:rPr>
                <w:sz w:val="20"/>
                <w:szCs w:val="20"/>
                <w:color w:val="auto"/>
              </w:rPr>
            </w:pPr>
            <w:r>
              <w:rPr>
                <w:rFonts w:ascii="Arial" w:cs="Arial" w:eastAsia="Arial" w:hAnsi="Arial"/>
                <w:sz w:val="14"/>
                <w:szCs w:val="14"/>
                <w:color w:val="auto"/>
              </w:rPr>
              <w:t>10.13+</w:t>
            </w:r>
          </w:p>
        </w:tc>
        <w:tc>
          <w:tcPr>
            <w:tcW w:w="3000" w:type="dxa"/>
            <w:vAlign w:val="bottom"/>
            <w:tcBorders>
              <w:bottom w:val="single" w:sz="8" w:color="0000FF"/>
            </w:tcBorders>
            <w:gridSpan w:val="10"/>
          </w:tcPr>
          <w:p>
            <w:pPr>
              <w:spacing w:after="0"/>
              <w:rPr>
                <w:rFonts w:ascii="Arial" w:cs="Arial" w:eastAsia="Arial" w:hAnsi="Arial"/>
                <w:sz w:val="14"/>
                <w:szCs w:val="14"/>
                <w:color w:val="0000FF"/>
              </w:rPr>
            </w:pPr>
            <w:hyperlink r:id="rId217">
              <w:r>
                <w:rPr>
                  <w:rFonts w:ascii="Arial" w:cs="Arial" w:eastAsia="Arial" w:hAnsi="Arial"/>
                  <w:sz w:val="14"/>
                  <w:szCs w:val="14"/>
                  <w:color w:val="0000FF"/>
                </w:rPr>
                <w:t>Non-Employee Director Compensation Program</w:t>
              </w:r>
            </w:hyperlink>
          </w:p>
        </w:tc>
        <w:tc>
          <w:tcPr>
            <w:tcW w:w="2420" w:type="dxa"/>
            <w:vAlign w:val="bottom"/>
            <w:gridSpan w:val="20"/>
          </w:tcPr>
          <w:p>
            <w:pPr>
              <w:spacing w:after="0"/>
              <w:rPr>
                <w:sz w:val="19"/>
                <w:szCs w:val="19"/>
                <w:color w:val="auto"/>
              </w:rPr>
            </w:pPr>
          </w:p>
        </w:tc>
        <w:tc>
          <w:tcPr>
            <w:tcW w:w="620" w:type="dxa"/>
            <w:vAlign w:val="bottom"/>
          </w:tcPr>
          <w:p>
            <w:pPr>
              <w:ind w:left="8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10.13</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10/18/2021</w:t>
            </w:r>
          </w:p>
        </w:tc>
      </w:tr>
      <w:tr>
        <w:trPr>
          <w:trHeight w:val="224"/>
        </w:trPr>
        <w:tc>
          <w:tcPr>
            <w:tcW w:w="860" w:type="dxa"/>
            <w:vAlign w:val="bottom"/>
          </w:tcPr>
          <w:p>
            <w:pPr>
              <w:ind w:left="20"/>
              <w:spacing w:after="0"/>
              <w:rPr>
                <w:sz w:val="20"/>
                <w:szCs w:val="20"/>
                <w:color w:val="auto"/>
              </w:rPr>
            </w:pPr>
            <w:r>
              <w:rPr>
                <w:rFonts w:ascii="Arial" w:cs="Arial" w:eastAsia="Arial" w:hAnsi="Arial"/>
                <w:sz w:val="14"/>
                <w:szCs w:val="14"/>
                <w:color w:val="auto"/>
              </w:rPr>
              <w:t>10.14+</w:t>
            </w:r>
          </w:p>
        </w:tc>
        <w:tc>
          <w:tcPr>
            <w:tcW w:w="2340" w:type="dxa"/>
            <w:vAlign w:val="bottom"/>
            <w:tcBorders>
              <w:bottom w:val="single" w:sz="8" w:color="0000FF"/>
            </w:tcBorders>
            <w:gridSpan w:val="8"/>
          </w:tcPr>
          <w:p>
            <w:pPr>
              <w:spacing w:after="0"/>
              <w:rPr>
                <w:rFonts w:ascii="Arial" w:cs="Arial" w:eastAsia="Arial" w:hAnsi="Arial"/>
                <w:sz w:val="14"/>
                <w:szCs w:val="14"/>
                <w:color w:val="0000FF"/>
              </w:rPr>
            </w:pPr>
            <w:hyperlink r:id="rId218">
              <w:r>
                <w:rPr>
                  <w:rFonts w:ascii="Arial" w:cs="Arial" w:eastAsia="Arial" w:hAnsi="Arial"/>
                  <w:sz w:val="14"/>
                  <w:szCs w:val="14"/>
                  <w:color w:val="0000FF"/>
                </w:rPr>
                <w:t>2021 Employee Stock Purchase Plan</w:t>
              </w:r>
            </w:hyperlink>
          </w:p>
        </w:tc>
        <w:tc>
          <w:tcPr>
            <w:tcW w:w="3080" w:type="dxa"/>
            <w:vAlign w:val="bottom"/>
            <w:gridSpan w:val="22"/>
          </w:tcPr>
          <w:p>
            <w:pPr>
              <w:spacing w:after="0"/>
              <w:rPr>
                <w:sz w:val="19"/>
                <w:szCs w:val="19"/>
                <w:color w:val="auto"/>
              </w:rPr>
            </w:pPr>
          </w:p>
        </w:tc>
        <w:tc>
          <w:tcPr>
            <w:tcW w:w="620" w:type="dxa"/>
            <w:vAlign w:val="bottom"/>
          </w:tcPr>
          <w:p>
            <w:pPr>
              <w:ind w:left="8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10.14</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10/22/2021</w:t>
            </w:r>
          </w:p>
        </w:tc>
      </w:tr>
      <w:tr>
        <w:trPr>
          <w:trHeight w:val="224"/>
        </w:trPr>
        <w:tc>
          <w:tcPr>
            <w:tcW w:w="860" w:type="dxa"/>
            <w:vAlign w:val="bottom"/>
          </w:tcPr>
          <w:p>
            <w:pPr>
              <w:ind w:left="20"/>
              <w:spacing w:after="0"/>
              <w:rPr>
                <w:sz w:val="20"/>
                <w:szCs w:val="20"/>
                <w:color w:val="auto"/>
              </w:rPr>
            </w:pPr>
            <w:r>
              <w:rPr>
                <w:rFonts w:ascii="Arial" w:cs="Arial" w:eastAsia="Arial" w:hAnsi="Arial"/>
                <w:sz w:val="14"/>
                <w:szCs w:val="14"/>
                <w:color w:val="auto"/>
              </w:rPr>
              <w:t>10.15+</w:t>
            </w:r>
          </w:p>
        </w:tc>
        <w:tc>
          <w:tcPr>
            <w:tcW w:w="5420" w:type="dxa"/>
            <w:vAlign w:val="bottom"/>
            <w:gridSpan w:val="30"/>
          </w:tcPr>
          <w:p>
            <w:pPr>
              <w:spacing w:after="0"/>
              <w:rPr>
                <w:rFonts w:ascii="Arial" w:cs="Arial" w:eastAsia="Arial" w:hAnsi="Arial"/>
                <w:sz w:val="14"/>
                <w:szCs w:val="14"/>
                <w:color w:val="0000FF"/>
              </w:rPr>
            </w:pPr>
            <w:hyperlink r:id="rId219">
              <w:r>
                <w:rPr>
                  <w:rFonts w:ascii="Arial" w:cs="Arial" w:eastAsia="Arial" w:hAnsi="Arial"/>
                  <w:sz w:val="14"/>
                  <w:szCs w:val="14"/>
                  <w:color w:val="0000FF"/>
                </w:rPr>
                <w:t>Executive Severance Plan</w:t>
              </w:r>
            </w:hyperlink>
          </w:p>
        </w:tc>
        <w:tc>
          <w:tcPr>
            <w:tcW w:w="620" w:type="dxa"/>
            <w:vAlign w:val="bottom"/>
          </w:tcPr>
          <w:p>
            <w:pPr>
              <w:ind w:left="8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10.19</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10/18/2021</w:t>
            </w: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10.16+</w:t>
            </w:r>
          </w:p>
        </w:tc>
        <w:tc>
          <w:tcPr>
            <w:tcW w:w="3180" w:type="dxa"/>
            <w:vAlign w:val="bottom"/>
            <w:tcBorders>
              <w:bottom w:val="single" w:sz="8" w:color="0000FF"/>
            </w:tcBorders>
            <w:gridSpan w:val="11"/>
          </w:tcPr>
          <w:p>
            <w:pPr>
              <w:spacing w:after="0"/>
              <w:rPr>
                <w:rFonts w:ascii="Arial" w:cs="Arial" w:eastAsia="Arial" w:hAnsi="Arial"/>
                <w:sz w:val="14"/>
                <w:szCs w:val="14"/>
                <w:color w:val="0000FF"/>
              </w:rPr>
            </w:pPr>
            <w:hyperlink r:id="rId220">
              <w:r>
                <w:rPr>
                  <w:rFonts w:ascii="Arial" w:cs="Arial" w:eastAsia="Arial" w:hAnsi="Arial"/>
                  <w:sz w:val="14"/>
                  <w:szCs w:val="14"/>
                  <w:color w:val="0000FF"/>
                </w:rPr>
                <w:t>Amended and Restated Executive Severance Plan</w:t>
              </w:r>
            </w:hyperlink>
          </w:p>
        </w:tc>
        <w:tc>
          <w:tcPr>
            <w:tcW w:w="2240" w:type="dxa"/>
            <w:vAlign w:val="bottom"/>
            <w:gridSpan w:val="19"/>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4"/>
                <w:szCs w:val="14"/>
                <w:color w:val="auto"/>
              </w:rPr>
              <w:t>10-Q</w:t>
            </w:r>
          </w:p>
        </w:tc>
        <w:tc>
          <w:tcPr>
            <w:tcW w:w="1340" w:type="dxa"/>
            <w:vAlign w:val="bottom"/>
          </w:tcPr>
          <w:p>
            <w:pPr>
              <w:ind w:left="180"/>
              <w:spacing w:after="0"/>
              <w:rPr>
                <w:sz w:val="20"/>
                <w:szCs w:val="20"/>
                <w:color w:val="auto"/>
              </w:rPr>
            </w:pPr>
            <w:r>
              <w:rPr>
                <w:rFonts w:ascii="Arial" w:cs="Arial" w:eastAsia="Arial" w:hAnsi="Arial"/>
                <w:sz w:val="14"/>
                <w:szCs w:val="14"/>
                <w:color w:val="auto"/>
              </w:rPr>
              <w:t>001-40958</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10.9</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12/10/2021</w:t>
            </w: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10.17+</w:t>
            </w:r>
          </w:p>
        </w:tc>
        <w:tc>
          <w:tcPr>
            <w:tcW w:w="5420" w:type="dxa"/>
            <w:vAlign w:val="bottom"/>
            <w:gridSpan w:val="30"/>
          </w:tcPr>
          <w:p>
            <w:pPr>
              <w:spacing w:after="0"/>
              <w:rPr>
                <w:rFonts w:ascii="Arial" w:cs="Arial" w:eastAsia="Arial" w:hAnsi="Arial"/>
                <w:sz w:val="14"/>
                <w:szCs w:val="14"/>
                <w:color w:val="0000FF"/>
              </w:rPr>
            </w:pPr>
            <w:hyperlink r:id="rId221">
              <w:r>
                <w:rPr>
                  <w:rFonts w:ascii="Arial" w:cs="Arial" w:eastAsia="Arial" w:hAnsi="Arial"/>
                  <w:sz w:val="14"/>
                  <w:szCs w:val="14"/>
                  <w:color w:val="0000FF"/>
                </w:rPr>
                <w:t>Amended and Restated Employment Agreement, by and between the Company and</w:t>
              </w:r>
            </w:hyperlink>
          </w:p>
        </w:tc>
        <w:tc>
          <w:tcPr>
            <w:tcW w:w="620" w:type="dxa"/>
            <w:vAlign w:val="bottom"/>
          </w:tcPr>
          <w:p>
            <w:pPr>
              <w:ind w:left="8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10.15</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10/18/2021</w:t>
            </w:r>
          </w:p>
        </w:tc>
      </w:tr>
      <w:tr>
        <w:trPr>
          <w:trHeight w:val="139"/>
        </w:trPr>
        <w:tc>
          <w:tcPr>
            <w:tcW w:w="860" w:type="dxa"/>
            <w:vAlign w:val="bottom"/>
          </w:tcPr>
          <w:p>
            <w:pPr>
              <w:spacing w:after="0"/>
              <w:rPr>
                <w:sz w:val="12"/>
                <w:szCs w:val="12"/>
                <w:color w:val="auto"/>
              </w:rPr>
            </w:pPr>
          </w:p>
        </w:tc>
        <w:tc>
          <w:tcPr>
            <w:tcW w:w="5320" w:type="dxa"/>
            <w:vAlign w:val="bottom"/>
            <w:tcBorders>
              <w:top w:val="single" w:sz="8" w:color="0000FF"/>
            </w:tcBorders>
            <w:gridSpan w:val="25"/>
          </w:tcPr>
          <w:p>
            <w:pPr>
              <w:spacing w:after="0" w:line="139" w:lineRule="exact"/>
              <w:rPr>
                <w:rFonts w:ascii="Arial" w:cs="Arial" w:eastAsia="Arial" w:hAnsi="Arial"/>
                <w:sz w:val="14"/>
                <w:szCs w:val="14"/>
                <w:color w:val="0000FF"/>
              </w:rPr>
            </w:pPr>
            <w:hyperlink r:id="rId221">
              <w:r>
                <w:rPr>
                  <w:rFonts w:ascii="Arial" w:cs="Arial" w:eastAsia="Arial" w:hAnsi="Arial"/>
                  <w:sz w:val="14"/>
                  <w:szCs w:val="14"/>
                  <w:color w:val="0000FF"/>
                </w:rPr>
                <w:t>Jennifer Y. Hyman, dated October 5,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10.18</w:t>
            </w:r>
          </w:p>
        </w:tc>
        <w:tc>
          <w:tcPr>
            <w:tcW w:w="5420" w:type="dxa"/>
            <w:vAlign w:val="bottom"/>
            <w:gridSpan w:val="30"/>
          </w:tcPr>
          <w:p>
            <w:pPr>
              <w:spacing w:after="0"/>
              <w:rPr>
                <w:rFonts w:ascii="Arial" w:cs="Arial" w:eastAsia="Arial" w:hAnsi="Arial"/>
                <w:sz w:val="14"/>
                <w:szCs w:val="14"/>
                <w:color w:val="0000FF"/>
              </w:rPr>
            </w:pPr>
            <w:hyperlink r:id="rId222">
              <w:r>
                <w:rPr>
                  <w:rFonts w:ascii="Arial" w:cs="Arial" w:eastAsia="Arial" w:hAnsi="Arial"/>
                  <w:sz w:val="14"/>
                  <w:szCs w:val="14"/>
                  <w:color w:val="0000FF"/>
                </w:rPr>
                <w:t>Amendment to Amended and Restated Employment Agreement by and between the</w:t>
              </w:r>
            </w:hyperlink>
          </w:p>
        </w:tc>
        <w:tc>
          <w:tcPr>
            <w:tcW w:w="620" w:type="dxa"/>
            <w:vAlign w:val="bottom"/>
          </w:tcPr>
          <w:p>
            <w:pPr>
              <w:ind w:left="80"/>
              <w:spacing w:after="0"/>
              <w:rPr>
                <w:sz w:val="20"/>
                <w:szCs w:val="20"/>
                <w:color w:val="auto"/>
              </w:rPr>
            </w:pPr>
            <w:r>
              <w:rPr>
                <w:rFonts w:ascii="Arial" w:cs="Arial" w:eastAsia="Arial" w:hAnsi="Arial"/>
                <w:sz w:val="14"/>
                <w:szCs w:val="14"/>
                <w:color w:val="auto"/>
              </w:rPr>
              <w:t>10-Q</w:t>
            </w:r>
          </w:p>
        </w:tc>
        <w:tc>
          <w:tcPr>
            <w:tcW w:w="1340" w:type="dxa"/>
            <w:vAlign w:val="bottom"/>
          </w:tcPr>
          <w:p>
            <w:pPr>
              <w:ind w:left="180"/>
              <w:spacing w:after="0"/>
              <w:rPr>
                <w:sz w:val="20"/>
                <w:szCs w:val="20"/>
                <w:color w:val="auto"/>
              </w:rPr>
            </w:pPr>
            <w:r>
              <w:rPr>
                <w:rFonts w:ascii="Arial" w:cs="Arial" w:eastAsia="Arial" w:hAnsi="Arial"/>
                <w:sz w:val="14"/>
                <w:szCs w:val="14"/>
                <w:color w:val="auto"/>
              </w:rPr>
              <w:t>001-40958</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10.1</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6/10/2022</w:t>
            </w:r>
          </w:p>
        </w:tc>
      </w:tr>
      <w:tr>
        <w:trPr>
          <w:trHeight w:val="139"/>
        </w:trPr>
        <w:tc>
          <w:tcPr>
            <w:tcW w:w="860" w:type="dxa"/>
            <w:vAlign w:val="bottom"/>
          </w:tcPr>
          <w:p>
            <w:pPr>
              <w:spacing w:after="0"/>
              <w:rPr>
                <w:sz w:val="12"/>
                <w:szCs w:val="12"/>
                <w:color w:val="auto"/>
              </w:rPr>
            </w:pPr>
          </w:p>
        </w:tc>
        <w:tc>
          <w:tcPr>
            <w:tcW w:w="5320" w:type="dxa"/>
            <w:vAlign w:val="bottom"/>
            <w:tcBorders>
              <w:top w:val="single" w:sz="8" w:color="0000FF"/>
            </w:tcBorders>
            <w:gridSpan w:val="25"/>
          </w:tcPr>
          <w:p>
            <w:pPr>
              <w:spacing w:after="0" w:line="139" w:lineRule="exact"/>
              <w:rPr>
                <w:rFonts w:ascii="Arial" w:cs="Arial" w:eastAsia="Arial" w:hAnsi="Arial"/>
                <w:sz w:val="14"/>
                <w:szCs w:val="14"/>
                <w:color w:val="0000FF"/>
              </w:rPr>
            </w:pPr>
            <w:hyperlink r:id="rId222">
              <w:r>
                <w:rPr>
                  <w:rFonts w:ascii="Arial" w:cs="Arial" w:eastAsia="Arial" w:hAnsi="Arial"/>
                  <w:sz w:val="14"/>
                  <w:szCs w:val="14"/>
                  <w:color w:val="0000FF"/>
                </w:rPr>
                <w:t>Company and Jennifer Y. Hyman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10.19+</w:t>
            </w:r>
          </w:p>
        </w:tc>
        <w:tc>
          <w:tcPr>
            <w:tcW w:w="5420" w:type="dxa"/>
            <w:vAlign w:val="bottom"/>
            <w:gridSpan w:val="30"/>
          </w:tcPr>
          <w:p>
            <w:pPr>
              <w:spacing w:after="0"/>
              <w:rPr>
                <w:rFonts w:ascii="Arial" w:cs="Arial" w:eastAsia="Arial" w:hAnsi="Arial"/>
                <w:sz w:val="14"/>
                <w:szCs w:val="14"/>
                <w:color w:val="0000FF"/>
              </w:rPr>
            </w:pPr>
            <w:hyperlink r:id="rId223">
              <w:r>
                <w:rPr>
                  <w:rFonts w:ascii="Arial" w:cs="Arial" w:eastAsia="Arial" w:hAnsi="Arial"/>
                  <w:sz w:val="14"/>
                  <w:szCs w:val="14"/>
                  <w:color w:val="0000FF"/>
                </w:rPr>
                <w:t>Offer Letter, by and between the Company and Scarlett O’Sullivan, dated September</w:t>
              </w:r>
            </w:hyperlink>
          </w:p>
        </w:tc>
        <w:tc>
          <w:tcPr>
            <w:tcW w:w="620" w:type="dxa"/>
            <w:vAlign w:val="bottom"/>
          </w:tcPr>
          <w:p>
            <w:pPr>
              <w:ind w:left="8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10.16</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10/18/2021</w:t>
            </w:r>
          </w:p>
        </w:tc>
      </w:tr>
      <w:tr>
        <w:trPr>
          <w:trHeight w:val="118"/>
        </w:trPr>
        <w:tc>
          <w:tcPr>
            <w:tcW w:w="860" w:type="dxa"/>
            <w:vAlign w:val="bottom"/>
          </w:tcPr>
          <w:p>
            <w:pPr>
              <w:spacing w:after="0"/>
              <w:rPr>
                <w:sz w:val="10"/>
                <w:szCs w:val="10"/>
                <w:color w:val="auto"/>
              </w:rPr>
            </w:pPr>
          </w:p>
        </w:tc>
        <w:tc>
          <w:tcPr>
            <w:tcW w:w="54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r:id="rId223">
              <w:r>
                <w:rPr>
                  <w:rFonts w:ascii="Arial" w:cs="Arial" w:eastAsia="Arial" w:hAnsi="Arial"/>
                  <w:sz w:val="13"/>
                  <w:szCs w:val="13"/>
                  <w:color w:val="0000FF"/>
                </w:rPr>
                <w:t>4, 2015.</w:t>
              </w:r>
            </w:hyperlink>
          </w:p>
        </w:tc>
        <w:tc>
          <w:tcPr>
            <w:tcW w:w="10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20" w:type="dxa"/>
            <w:vAlign w:val="bottom"/>
          </w:tcPr>
          <w:p>
            <w:pPr>
              <w:spacing w:after="0"/>
              <w:rPr>
                <w:sz w:val="10"/>
                <w:szCs w:val="10"/>
                <w:color w:val="auto"/>
              </w:rPr>
            </w:pPr>
          </w:p>
        </w:tc>
      </w:tr>
      <w:tr>
        <w:trPr>
          <w:trHeight w:val="171"/>
        </w:trPr>
        <w:tc>
          <w:tcPr>
            <w:tcW w:w="860" w:type="dxa"/>
            <w:vAlign w:val="bottom"/>
          </w:tcPr>
          <w:p>
            <w:pPr>
              <w:ind w:left="20"/>
              <w:spacing w:after="0"/>
              <w:rPr>
                <w:sz w:val="20"/>
                <w:szCs w:val="20"/>
                <w:color w:val="auto"/>
              </w:rPr>
            </w:pPr>
            <w:r>
              <w:rPr>
                <w:rFonts w:ascii="Arial" w:cs="Arial" w:eastAsia="Arial" w:hAnsi="Arial"/>
                <w:sz w:val="14"/>
                <w:szCs w:val="14"/>
                <w:color w:val="auto"/>
              </w:rPr>
              <w:t>10.20+</w:t>
            </w:r>
          </w:p>
        </w:tc>
        <w:tc>
          <w:tcPr>
            <w:tcW w:w="5420" w:type="dxa"/>
            <w:vAlign w:val="bottom"/>
            <w:gridSpan w:val="30"/>
          </w:tcPr>
          <w:p>
            <w:pPr>
              <w:spacing w:after="0"/>
              <w:rPr>
                <w:rFonts w:ascii="Arial" w:cs="Arial" w:eastAsia="Arial" w:hAnsi="Arial"/>
                <w:sz w:val="14"/>
                <w:szCs w:val="14"/>
                <w:color w:val="0000FF"/>
              </w:rPr>
            </w:pPr>
            <w:hyperlink r:id="rId224">
              <w:r>
                <w:rPr>
                  <w:rFonts w:ascii="Arial" w:cs="Arial" w:eastAsia="Arial" w:hAnsi="Arial"/>
                  <w:sz w:val="14"/>
                  <w:szCs w:val="14"/>
                  <w:color w:val="0000FF"/>
                </w:rPr>
                <w:t>Offer Letter, by and between the Company and Anushka Salinas, dated January 20,</w:t>
              </w:r>
            </w:hyperlink>
          </w:p>
        </w:tc>
        <w:tc>
          <w:tcPr>
            <w:tcW w:w="620" w:type="dxa"/>
            <w:vAlign w:val="bottom"/>
          </w:tcPr>
          <w:p>
            <w:pPr>
              <w:ind w:left="8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10.17</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10/18/2021</w:t>
            </w:r>
          </w:p>
        </w:tc>
      </w:tr>
      <w:tr>
        <w:trPr>
          <w:trHeight w:val="118"/>
        </w:trPr>
        <w:tc>
          <w:tcPr>
            <w:tcW w:w="86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r:id="rId224">
              <w:r>
                <w:rPr>
                  <w:rFonts w:ascii="Arial" w:cs="Arial" w:eastAsia="Arial" w:hAnsi="Arial"/>
                  <w:sz w:val="13"/>
                  <w:szCs w:val="13"/>
                  <w:color w:val="0000FF"/>
                </w:rPr>
                <w:t>2017.</w:t>
              </w:r>
            </w:hyperlink>
          </w:p>
        </w:tc>
        <w:tc>
          <w:tcPr>
            <w:tcW w:w="1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20" w:type="dxa"/>
            <w:vAlign w:val="bottom"/>
          </w:tcPr>
          <w:p>
            <w:pPr>
              <w:spacing w:after="0"/>
              <w:rPr>
                <w:sz w:val="10"/>
                <w:szCs w:val="10"/>
                <w:color w:val="auto"/>
              </w:rPr>
            </w:pPr>
          </w:p>
        </w:tc>
      </w:tr>
      <w:tr>
        <w:trPr>
          <w:trHeight w:val="192"/>
        </w:trPr>
        <w:tc>
          <w:tcPr>
            <w:tcW w:w="860" w:type="dxa"/>
            <w:vAlign w:val="bottom"/>
          </w:tcPr>
          <w:p>
            <w:pPr>
              <w:ind w:left="20"/>
              <w:spacing w:after="0"/>
              <w:rPr>
                <w:sz w:val="20"/>
                <w:szCs w:val="20"/>
                <w:color w:val="auto"/>
              </w:rPr>
            </w:pPr>
            <w:r>
              <w:rPr>
                <w:rFonts w:ascii="Arial" w:cs="Arial" w:eastAsia="Arial" w:hAnsi="Arial"/>
                <w:sz w:val="14"/>
                <w:szCs w:val="14"/>
                <w:color w:val="auto"/>
              </w:rPr>
              <w:t>10.21+</w:t>
            </w:r>
          </w:p>
        </w:tc>
        <w:tc>
          <w:tcPr>
            <w:tcW w:w="5380" w:type="dxa"/>
            <w:vAlign w:val="bottom"/>
            <w:tcBorders>
              <w:bottom w:val="single" w:sz="8" w:color="0000FF"/>
            </w:tcBorders>
            <w:gridSpan w:val="28"/>
          </w:tcPr>
          <w:p>
            <w:pPr>
              <w:spacing w:after="0"/>
              <w:rPr>
                <w:rFonts w:ascii="Arial" w:cs="Arial" w:eastAsia="Arial" w:hAnsi="Arial"/>
                <w:sz w:val="14"/>
                <w:szCs w:val="14"/>
                <w:color w:val="0000FF"/>
              </w:rPr>
            </w:pPr>
            <w:hyperlink r:id="rId225">
              <w:r>
                <w:rPr>
                  <w:rFonts w:ascii="Arial" w:cs="Arial" w:eastAsia="Arial" w:hAnsi="Arial"/>
                  <w:sz w:val="14"/>
                  <w:szCs w:val="14"/>
                  <w:color w:val="0000FF"/>
                </w:rPr>
                <w:t>Offer Letter, by and between the Company and Brian Donato, dated January 17, 2017</w:t>
              </w:r>
            </w:hyperlink>
          </w:p>
        </w:tc>
        <w:tc>
          <w:tcPr>
            <w:tcW w:w="40" w:type="dxa"/>
            <w:vAlign w:val="bottom"/>
            <w:gridSpan w:val="2"/>
          </w:tcPr>
          <w:p>
            <w:pPr>
              <w:spacing w:after="0"/>
              <w:rPr>
                <w:sz w:val="16"/>
                <w:szCs w:val="16"/>
                <w:color w:val="auto"/>
              </w:rPr>
            </w:pPr>
          </w:p>
        </w:tc>
        <w:tc>
          <w:tcPr>
            <w:tcW w:w="620" w:type="dxa"/>
            <w:vAlign w:val="bottom"/>
          </w:tcPr>
          <w:p>
            <w:pPr>
              <w:ind w:left="8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10.18</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10/18/2021</w:t>
            </w:r>
          </w:p>
        </w:tc>
      </w:tr>
      <w:tr>
        <w:trPr>
          <w:trHeight w:val="160"/>
        </w:trPr>
        <w:tc>
          <w:tcPr>
            <w:tcW w:w="860" w:type="dxa"/>
            <w:vAlign w:val="bottom"/>
          </w:tcPr>
          <w:p>
            <w:pPr>
              <w:ind w:left="20"/>
              <w:spacing w:after="0"/>
              <w:rPr>
                <w:sz w:val="20"/>
                <w:szCs w:val="20"/>
                <w:color w:val="auto"/>
              </w:rPr>
            </w:pPr>
            <w:r>
              <w:rPr>
                <w:rFonts w:ascii="Arial" w:cs="Arial" w:eastAsia="Arial" w:hAnsi="Arial"/>
                <w:sz w:val="14"/>
                <w:szCs w:val="14"/>
                <w:color w:val="auto"/>
              </w:rPr>
              <w:t>10.22†</w:t>
            </w:r>
          </w:p>
        </w:tc>
        <w:tc>
          <w:tcPr>
            <w:tcW w:w="5420" w:type="dxa"/>
            <w:vAlign w:val="bottom"/>
            <w:gridSpan w:val="30"/>
          </w:tcPr>
          <w:p>
            <w:pPr>
              <w:spacing w:after="0"/>
              <w:rPr>
                <w:rFonts w:ascii="Arial" w:cs="Arial" w:eastAsia="Arial" w:hAnsi="Arial"/>
                <w:sz w:val="14"/>
                <w:szCs w:val="14"/>
                <w:color w:val="0000FF"/>
              </w:rPr>
            </w:pPr>
            <w:hyperlink r:id="rId226">
              <w:r>
                <w:rPr>
                  <w:rFonts w:ascii="Arial" w:cs="Arial" w:eastAsia="Arial" w:hAnsi="Arial"/>
                  <w:sz w:val="14"/>
                  <w:szCs w:val="14"/>
                  <w:color w:val="0000FF"/>
                </w:rPr>
                <w:t>Seventh Amendment to the Credit Agreement dated as of July 23, 2018, dated as of</w:t>
              </w:r>
            </w:hyperlink>
          </w:p>
        </w:tc>
        <w:tc>
          <w:tcPr>
            <w:tcW w:w="620" w:type="dxa"/>
            <w:vAlign w:val="bottom"/>
          </w:tcPr>
          <w:p>
            <w:pPr>
              <w:ind w:left="8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10.20</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10/18/2021</w:t>
            </w:r>
          </w:p>
        </w:tc>
      </w:tr>
      <w:tr>
        <w:trPr>
          <w:trHeight w:val="118"/>
        </w:trPr>
        <w:tc>
          <w:tcPr>
            <w:tcW w:w="860" w:type="dxa"/>
            <w:vAlign w:val="bottom"/>
          </w:tcPr>
          <w:p>
            <w:pPr>
              <w:spacing w:after="0"/>
              <w:rPr>
                <w:sz w:val="10"/>
                <w:szCs w:val="10"/>
                <w:color w:val="auto"/>
              </w:rPr>
            </w:pPr>
          </w:p>
        </w:tc>
        <w:tc>
          <w:tcPr>
            <w:tcW w:w="5300" w:type="dxa"/>
            <w:vAlign w:val="bottom"/>
            <w:tcBorders>
              <w:top w:val="single" w:sz="8" w:color="0000FF"/>
            </w:tcBorders>
            <w:gridSpan w:val="24"/>
          </w:tcPr>
          <w:p>
            <w:pPr>
              <w:spacing w:after="0" w:line="118" w:lineRule="exact"/>
              <w:rPr>
                <w:rFonts w:ascii="Arial" w:cs="Arial" w:eastAsia="Arial" w:hAnsi="Arial"/>
                <w:sz w:val="13"/>
                <w:szCs w:val="13"/>
                <w:color w:val="0000FF"/>
              </w:rPr>
            </w:pPr>
            <w:hyperlink r:id="rId226">
              <w:r>
                <w:rPr>
                  <w:rFonts w:ascii="Arial" w:cs="Arial" w:eastAsia="Arial" w:hAnsi="Arial"/>
                  <w:sz w:val="13"/>
                  <w:szCs w:val="13"/>
                  <w:color w:val="0000FF"/>
                </w:rPr>
                <w:t>October 18, 2021 (as previously amended on December 21, 2018, April 24, 2019,</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20" w:type="dxa"/>
            <w:vAlign w:val="bottom"/>
          </w:tcPr>
          <w:p>
            <w:pPr>
              <w:spacing w:after="0"/>
              <w:rPr>
                <w:sz w:val="10"/>
                <w:szCs w:val="10"/>
                <w:color w:val="auto"/>
              </w:rPr>
            </w:pPr>
          </w:p>
        </w:tc>
      </w:tr>
      <w:tr>
        <w:trPr>
          <w:trHeight w:val="129"/>
        </w:trPr>
        <w:tc>
          <w:tcPr>
            <w:tcW w:w="860" w:type="dxa"/>
            <w:vAlign w:val="bottom"/>
          </w:tcPr>
          <w:p>
            <w:pPr>
              <w:spacing w:after="0"/>
              <w:rPr>
                <w:sz w:val="11"/>
                <w:szCs w:val="11"/>
                <w:color w:val="auto"/>
              </w:rPr>
            </w:pPr>
          </w:p>
        </w:tc>
        <w:tc>
          <w:tcPr>
            <w:tcW w:w="510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226">
              <w:r>
                <w:rPr>
                  <w:rFonts w:ascii="Arial" w:cs="Arial" w:eastAsia="Arial" w:hAnsi="Arial"/>
                  <w:sz w:val="14"/>
                  <w:szCs w:val="14"/>
                  <w:color w:val="0000FF"/>
                </w:rPr>
                <w:t>November 26, 2019, June 2, 2020, August 18, 2020, and October 26, 2020), and</w:t>
              </w:r>
            </w:hyperlink>
          </w:p>
        </w:tc>
        <w:tc>
          <w:tcPr>
            <w:tcW w:w="320" w:type="dxa"/>
            <w:vAlign w:val="bottom"/>
            <w:gridSpan w:val="12"/>
          </w:tcPr>
          <w:p>
            <w:pPr>
              <w:spacing w:after="0" w:line="129" w:lineRule="exact"/>
              <w:rPr>
                <w:rFonts w:ascii="Arial" w:cs="Arial" w:eastAsia="Arial" w:hAnsi="Arial"/>
                <w:sz w:val="14"/>
                <w:szCs w:val="14"/>
                <w:color w:val="0000FF"/>
              </w:rPr>
            </w:pPr>
            <w:hyperlink r:id="rId226">
              <w:r>
                <w:rPr>
                  <w:rFonts w:ascii="Arial" w:cs="Arial" w:eastAsia="Arial" w:hAnsi="Arial"/>
                  <w:sz w:val="14"/>
                  <w:szCs w:val="14"/>
                  <w:color w:val="0000FF"/>
                </w:rPr>
                <w:t>as</w:t>
              </w:r>
            </w:hyperlink>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118"/>
        </w:trPr>
        <w:tc>
          <w:tcPr>
            <w:tcW w:w="860" w:type="dxa"/>
            <w:vAlign w:val="bottom"/>
          </w:tcPr>
          <w:p>
            <w:pPr>
              <w:spacing w:after="0"/>
              <w:rPr>
                <w:sz w:val="10"/>
                <w:szCs w:val="10"/>
                <w:color w:val="auto"/>
              </w:rPr>
            </w:pPr>
          </w:p>
        </w:tc>
        <w:tc>
          <w:tcPr>
            <w:tcW w:w="5260" w:type="dxa"/>
            <w:vAlign w:val="bottom"/>
            <w:tcBorders>
              <w:top w:val="single" w:sz="8" w:color="0000FF"/>
              <w:bottom w:val="single" w:sz="8" w:color="0000FF"/>
            </w:tcBorders>
            <w:gridSpan w:val="22"/>
          </w:tcPr>
          <w:p>
            <w:pPr>
              <w:spacing w:after="0" w:line="118" w:lineRule="exact"/>
              <w:rPr>
                <w:rFonts w:ascii="Arial" w:cs="Arial" w:eastAsia="Arial" w:hAnsi="Arial"/>
                <w:sz w:val="13"/>
                <w:szCs w:val="13"/>
                <w:color w:val="0000FF"/>
              </w:rPr>
            </w:pPr>
            <w:hyperlink r:id="rId226">
              <w:r>
                <w:rPr>
                  <w:rFonts w:ascii="Arial" w:cs="Arial" w:eastAsia="Arial" w:hAnsi="Arial"/>
                  <w:sz w:val="13"/>
                  <w:szCs w:val="13"/>
                  <w:color w:val="0000FF"/>
                </w:rPr>
                <w:t>may be further amended, restated, supplemented or otherwise modified in accordance</w:t>
              </w:r>
            </w:hyperlink>
          </w:p>
        </w:tc>
        <w:tc>
          <w:tcPr>
            <w:tcW w:w="2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gridSpan w:val="3"/>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20" w:type="dxa"/>
            <w:vAlign w:val="bottom"/>
          </w:tcPr>
          <w:p>
            <w:pPr>
              <w:spacing w:after="0"/>
              <w:rPr>
                <w:sz w:val="10"/>
                <w:szCs w:val="10"/>
                <w:color w:val="auto"/>
              </w:rPr>
            </w:pPr>
          </w:p>
        </w:tc>
      </w:tr>
      <w:tr>
        <w:trPr>
          <w:trHeight w:val="118"/>
        </w:trPr>
        <w:tc>
          <w:tcPr>
            <w:tcW w:w="860" w:type="dxa"/>
            <w:vAlign w:val="bottom"/>
          </w:tcPr>
          <w:p>
            <w:pPr>
              <w:spacing w:after="0"/>
              <w:rPr>
                <w:sz w:val="10"/>
                <w:szCs w:val="10"/>
                <w:color w:val="auto"/>
              </w:rPr>
            </w:pPr>
          </w:p>
        </w:tc>
        <w:tc>
          <w:tcPr>
            <w:tcW w:w="5420" w:type="dxa"/>
            <w:vAlign w:val="bottom"/>
            <w:gridSpan w:val="30"/>
          </w:tcPr>
          <w:p>
            <w:pPr>
              <w:spacing w:after="0" w:line="118" w:lineRule="exact"/>
              <w:rPr>
                <w:rFonts w:ascii="Arial" w:cs="Arial" w:eastAsia="Arial" w:hAnsi="Arial"/>
                <w:sz w:val="13"/>
                <w:szCs w:val="13"/>
                <w:color w:val="0000FF"/>
              </w:rPr>
            </w:pPr>
            <w:hyperlink r:id="rId226">
              <w:r>
                <w:rPr>
                  <w:rFonts w:ascii="Arial" w:cs="Arial" w:eastAsia="Arial" w:hAnsi="Arial"/>
                  <w:sz w:val="13"/>
                  <w:szCs w:val="13"/>
                  <w:color w:val="0000FF"/>
                </w:rPr>
                <w:t>with the terms thereof), by and among the Company, the lenders from time to time</w:t>
              </w:r>
            </w:hyperlink>
          </w:p>
        </w:tc>
        <w:tc>
          <w:tcPr>
            <w:tcW w:w="6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20" w:type="dxa"/>
            <w:vAlign w:val="bottom"/>
          </w:tcPr>
          <w:p>
            <w:pPr>
              <w:spacing w:after="0"/>
              <w:rPr>
                <w:sz w:val="10"/>
                <w:szCs w:val="10"/>
                <w:color w:val="auto"/>
              </w:rPr>
            </w:pPr>
          </w:p>
        </w:tc>
      </w:tr>
      <w:tr>
        <w:trPr>
          <w:trHeight w:val="129"/>
        </w:trPr>
        <w:tc>
          <w:tcPr>
            <w:tcW w:w="860" w:type="dxa"/>
            <w:vAlign w:val="bottom"/>
          </w:tcPr>
          <w:p>
            <w:pPr>
              <w:spacing w:after="0"/>
              <w:rPr>
                <w:sz w:val="11"/>
                <w:szCs w:val="11"/>
                <w:color w:val="auto"/>
              </w:rPr>
            </w:pPr>
          </w:p>
        </w:tc>
        <w:tc>
          <w:tcPr>
            <w:tcW w:w="5120" w:type="dxa"/>
            <w:vAlign w:val="bottom"/>
            <w:tcBorders>
              <w:top w:val="single" w:sz="8" w:color="0000FF"/>
            </w:tcBorders>
            <w:gridSpan w:val="19"/>
          </w:tcPr>
          <w:p>
            <w:pPr>
              <w:spacing w:after="0" w:line="129" w:lineRule="exact"/>
              <w:rPr>
                <w:rFonts w:ascii="Arial" w:cs="Arial" w:eastAsia="Arial" w:hAnsi="Arial"/>
                <w:sz w:val="14"/>
                <w:szCs w:val="14"/>
                <w:color w:val="0000FF"/>
              </w:rPr>
            </w:pPr>
            <w:hyperlink r:id="rId226">
              <w:r>
                <w:rPr>
                  <w:rFonts w:ascii="Arial" w:cs="Arial" w:eastAsia="Arial" w:hAnsi="Arial"/>
                  <w:sz w:val="14"/>
                  <w:szCs w:val="14"/>
                  <w:color w:val="0000FF"/>
                </w:rPr>
                <w:t>party thereto and Double Helix Pte Ltd, as administrative agent.</w:t>
              </w:r>
            </w:hyperlink>
          </w:p>
        </w:tc>
        <w:tc>
          <w:tcPr>
            <w:tcW w:w="12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40" w:type="dxa"/>
            <w:vAlign w:val="bottom"/>
            <w:gridSpan w:val="8"/>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60"/>
        </w:trPr>
        <w:tc>
          <w:tcPr>
            <w:tcW w:w="860" w:type="dxa"/>
            <w:vAlign w:val="bottom"/>
          </w:tcPr>
          <w:p>
            <w:pPr>
              <w:ind w:left="20"/>
              <w:spacing w:after="0"/>
              <w:rPr>
                <w:sz w:val="20"/>
                <w:szCs w:val="20"/>
                <w:color w:val="auto"/>
              </w:rPr>
            </w:pPr>
            <w:r>
              <w:rPr>
                <w:rFonts w:ascii="Arial" w:cs="Arial" w:eastAsia="Arial" w:hAnsi="Arial"/>
                <w:sz w:val="14"/>
                <w:szCs w:val="14"/>
                <w:color w:val="auto"/>
              </w:rPr>
              <w:t>10.23</w:t>
            </w:r>
          </w:p>
        </w:tc>
        <w:tc>
          <w:tcPr>
            <w:tcW w:w="5000" w:type="dxa"/>
            <w:vAlign w:val="bottom"/>
            <w:tcBorders>
              <w:bottom w:val="single" w:sz="8" w:color="0000FF"/>
            </w:tcBorders>
            <w:gridSpan w:val="16"/>
          </w:tcPr>
          <w:p>
            <w:pPr>
              <w:spacing w:after="0"/>
              <w:rPr>
                <w:rFonts w:ascii="Arial" w:cs="Arial" w:eastAsia="Arial" w:hAnsi="Arial"/>
                <w:sz w:val="14"/>
                <w:szCs w:val="14"/>
                <w:color w:val="0000FF"/>
              </w:rPr>
            </w:pPr>
            <w:hyperlink r:id="rId227">
              <w:r>
                <w:rPr>
                  <w:rFonts w:ascii="Arial" w:cs="Arial" w:eastAsia="Arial" w:hAnsi="Arial"/>
                  <w:sz w:val="14"/>
                  <w:szCs w:val="14"/>
                  <w:color w:val="0000FF"/>
                </w:rPr>
                <w:t>Stockholders Agreement, dated October 29, 2021, by and among the Company,</w:t>
              </w:r>
            </w:hyperlink>
          </w:p>
        </w:tc>
        <w:tc>
          <w:tcPr>
            <w:tcW w:w="420" w:type="dxa"/>
            <w:vAlign w:val="bottom"/>
            <w:gridSpan w:val="14"/>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4"/>
                <w:szCs w:val="14"/>
                <w:color w:val="auto"/>
              </w:rPr>
              <w:t>8-K</w:t>
            </w:r>
          </w:p>
        </w:tc>
        <w:tc>
          <w:tcPr>
            <w:tcW w:w="1340" w:type="dxa"/>
            <w:vAlign w:val="bottom"/>
          </w:tcPr>
          <w:p>
            <w:pPr>
              <w:ind w:left="180"/>
              <w:spacing w:after="0"/>
              <w:rPr>
                <w:sz w:val="20"/>
                <w:szCs w:val="20"/>
                <w:color w:val="auto"/>
              </w:rPr>
            </w:pPr>
            <w:r>
              <w:rPr>
                <w:rFonts w:ascii="Arial" w:cs="Arial" w:eastAsia="Arial" w:hAnsi="Arial"/>
                <w:sz w:val="14"/>
                <w:szCs w:val="14"/>
                <w:color w:val="auto"/>
              </w:rPr>
              <w:t>001-40958</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10.1</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10/29/2021</w:t>
            </w:r>
          </w:p>
        </w:tc>
      </w:tr>
      <w:tr>
        <w:trPr>
          <w:trHeight w:val="139"/>
        </w:trPr>
        <w:tc>
          <w:tcPr>
            <w:tcW w:w="860" w:type="dxa"/>
            <w:vAlign w:val="bottom"/>
          </w:tcPr>
          <w:p>
            <w:pPr>
              <w:spacing w:after="0"/>
              <w:rPr>
                <w:sz w:val="12"/>
                <w:szCs w:val="12"/>
                <w:color w:val="auto"/>
              </w:rPr>
            </w:pPr>
          </w:p>
        </w:tc>
        <w:tc>
          <w:tcPr>
            <w:tcW w:w="5420" w:type="dxa"/>
            <w:vAlign w:val="bottom"/>
            <w:gridSpan w:val="30"/>
          </w:tcPr>
          <w:p>
            <w:pPr>
              <w:spacing w:after="0" w:line="139" w:lineRule="exact"/>
              <w:rPr>
                <w:rFonts w:ascii="Arial" w:cs="Arial" w:eastAsia="Arial" w:hAnsi="Arial"/>
                <w:sz w:val="14"/>
                <w:szCs w:val="14"/>
                <w:color w:val="0000FF"/>
              </w:rPr>
            </w:pPr>
            <w:hyperlink r:id="rId227">
              <w:r>
                <w:rPr>
                  <w:rFonts w:ascii="Arial" w:cs="Arial" w:eastAsia="Arial" w:hAnsi="Arial"/>
                  <w:sz w:val="14"/>
                  <w:szCs w:val="14"/>
                  <w:color w:val="0000FF"/>
                </w:rPr>
                <w:t>Jennifer Y. Hyman, entities affiliated with Bain Capital Ventures and entities affiliated</w:t>
              </w:r>
            </w:hyperlink>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39"/>
        </w:trPr>
        <w:tc>
          <w:tcPr>
            <w:tcW w:w="860" w:type="dxa"/>
            <w:vAlign w:val="bottom"/>
          </w:tcPr>
          <w:p>
            <w:pPr>
              <w:spacing w:after="0"/>
              <w:rPr>
                <w:sz w:val="12"/>
                <w:szCs w:val="12"/>
                <w:color w:val="auto"/>
              </w:rPr>
            </w:pPr>
          </w:p>
        </w:tc>
        <w:tc>
          <w:tcPr>
            <w:tcW w:w="3580" w:type="dxa"/>
            <w:vAlign w:val="bottom"/>
            <w:tcBorders>
              <w:top w:val="single" w:sz="8" w:color="0000FF"/>
              <w:bottom w:val="single" w:sz="8" w:color="0000FF"/>
            </w:tcBorders>
            <w:gridSpan w:val="12"/>
          </w:tcPr>
          <w:p>
            <w:pPr>
              <w:spacing w:after="0" w:line="139" w:lineRule="exact"/>
              <w:rPr>
                <w:rFonts w:ascii="Arial" w:cs="Arial" w:eastAsia="Arial" w:hAnsi="Arial"/>
                <w:sz w:val="14"/>
                <w:szCs w:val="14"/>
                <w:color w:val="0000FF"/>
              </w:rPr>
            </w:pPr>
            <w:hyperlink r:id="rId227">
              <w:r>
                <w:rPr>
                  <w:rFonts w:ascii="Arial" w:cs="Arial" w:eastAsia="Arial" w:hAnsi="Arial"/>
                  <w:sz w:val="14"/>
                  <w:szCs w:val="14"/>
                  <w:color w:val="0000FF"/>
                </w:rPr>
                <w:t>with Highland Capital Partners and certain related parties</w:t>
              </w:r>
            </w:hyperlink>
          </w:p>
        </w:tc>
        <w:tc>
          <w:tcPr>
            <w:tcW w:w="170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72"/>
        </w:trPr>
        <w:tc>
          <w:tcPr>
            <w:tcW w:w="860" w:type="dxa"/>
            <w:vAlign w:val="bottom"/>
          </w:tcPr>
          <w:p>
            <w:pPr>
              <w:ind w:left="20"/>
              <w:spacing w:after="0"/>
              <w:rPr>
                <w:sz w:val="20"/>
                <w:szCs w:val="20"/>
                <w:color w:val="auto"/>
              </w:rPr>
            </w:pPr>
            <w:r>
              <w:rPr>
                <w:rFonts w:ascii="Arial" w:cs="Arial" w:eastAsia="Arial" w:hAnsi="Arial"/>
                <w:sz w:val="14"/>
                <w:szCs w:val="14"/>
                <w:color w:val="auto"/>
              </w:rPr>
              <w:t>10.24†</w:t>
            </w:r>
          </w:p>
        </w:tc>
        <w:tc>
          <w:tcPr>
            <w:tcW w:w="5420" w:type="dxa"/>
            <w:vAlign w:val="bottom"/>
            <w:gridSpan w:val="30"/>
          </w:tcPr>
          <w:p>
            <w:pPr>
              <w:spacing w:after="0"/>
              <w:rPr>
                <w:rFonts w:ascii="Arial" w:cs="Arial" w:eastAsia="Arial" w:hAnsi="Arial"/>
                <w:sz w:val="14"/>
                <w:szCs w:val="14"/>
                <w:color w:val="0000FF"/>
              </w:rPr>
            </w:pPr>
            <w:hyperlink r:id="rId228">
              <w:r>
                <w:rPr>
                  <w:rFonts w:ascii="Arial" w:cs="Arial" w:eastAsia="Arial" w:hAnsi="Arial"/>
                  <w:sz w:val="14"/>
                  <w:szCs w:val="14"/>
                  <w:color w:val="0000FF"/>
                </w:rPr>
                <w:t>Lease, dated as of July 7, 2014 as amended by that certain Lease Modification</w:t>
              </w:r>
            </w:hyperlink>
          </w:p>
        </w:tc>
        <w:tc>
          <w:tcPr>
            <w:tcW w:w="620" w:type="dxa"/>
            <w:vAlign w:val="bottom"/>
          </w:tcPr>
          <w:p>
            <w:pPr>
              <w:ind w:left="80"/>
              <w:spacing w:after="0"/>
              <w:rPr>
                <w:sz w:val="20"/>
                <w:szCs w:val="20"/>
                <w:color w:val="auto"/>
              </w:rPr>
            </w:pPr>
            <w:r>
              <w:rPr>
                <w:rFonts w:ascii="Arial" w:cs="Arial" w:eastAsia="Arial" w:hAnsi="Arial"/>
                <w:sz w:val="14"/>
                <w:szCs w:val="14"/>
                <w:color w:val="auto"/>
              </w:rPr>
              <w:t>S-1</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10.21</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10/04/2021</w:t>
            </w:r>
          </w:p>
        </w:tc>
      </w:tr>
      <w:tr>
        <w:trPr>
          <w:trHeight w:val="127"/>
        </w:trPr>
        <w:tc>
          <w:tcPr>
            <w:tcW w:w="860" w:type="dxa"/>
            <w:vAlign w:val="bottom"/>
          </w:tcPr>
          <w:p>
            <w:pPr>
              <w:spacing w:after="0"/>
              <w:rPr>
                <w:sz w:val="11"/>
                <w:szCs w:val="11"/>
                <w:color w:val="auto"/>
              </w:rPr>
            </w:pPr>
          </w:p>
        </w:tc>
        <w:tc>
          <w:tcPr>
            <w:tcW w:w="4920" w:type="dxa"/>
            <w:vAlign w:val="bottom"/>
            <w:tcBorders>
              <w:top w:val="single" w:sz="8" w:color="0000FF"/>
            </w:tcBorders>
            <w:gridSpan w:val="14"/>
          </w:tcPr>
          <w:p>
            <w:pPr>
              <w:spacing w:after="0" w:line="127" w:lineRule="exact"/>
              <w:rPr>
                <w:rFonts w:ascii="Arial" w:cs="Arial" w:eastAsia="Arial" w:hAnsi="Arial"/>
                <w:sz w:val="14"/>
                <w:szCs w:val="14"/>
                <w:color w:val="0000FF"/>
              </w:rPr>
            </w:pPr>
            <w:hyperlink r:id="rId228">
              <w:r>
                <w:rPr>
                  <w:rFonts w:ascii="Arial" w:cs="Arial" w:eastAsia="Arial" w:hAnsi="Arial"/>
                  <w:sz w:val="14"/>
                  <w:szCs w:val="14"/>
                  <w:color w:val="0000FF"/>
                </w:rPr>
                <w:t>Agreement, dated April 28, 2020, each by and between Hartz Metro Leasehold</w:t>
              </w:r>
            </w:hyperlink>
          </w:p>
        </w:tc>
        <w:tc>
          <w:tcPr>
            <w:tcW w:w="500" w:type="dxa"/>
            <w:vAlign w:val="bottom"/>
            <w:gridSpan w:val="16"/>
          </w:tcPr>
          <w:p>
            <w:pPr>
              <w:ind w:left="40"/>
              <w:spacing w:after="0" w:line="127" w:lineRule="exact"/>
              <w:rPr>
                <w:rFonts w:ascii="Arial" w:cs="Arial" w:eastAsia="Arial" w:hAnsi="Arial"/>
                <w:sz w:val="14"/>
                <w:szCs w:val="14"/>
                <w:color w:val="0000FF"/>
              </w:rPr>
            </w:pPr>
            <w:hyperlink r:id="rId228">
              <w:r>
                <w:rPr>
                  <w:rFonts w:ascii="Arial" w:cs="Arial" w:eastAsia="Arial" w:hAnsi="Arial"/>
                  <w:sz w:val="14"/>
                  <w:szCs w:val="14"/>
                  <w:color w:val="0000FF"/>
                </w:rPr>
                <w:t>I LLC</w:t>
              </w:r>
            </w:hyperlink>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129"/>
        </w:trPr>
        <w:tc>
          <w:tcPr>
            <w:tcW w:w="860" w:type="dxa"/>
            <w:vAlign w:val="bottom"/>
          </w:tcPr>
          <w:p>
            <w:pPr>
              <w:spacing w:after="0"/>
              <w:rPr>
                <w:sz w:val="11"/>
                <w:szCs w:val="11"/>
                <w:color w:val="auto"/>
              </w:rPr>
            </w:pPr>
          </w:p>
        </w:tc>
        <w:tc>
          <w:tcPr>
            <w:tcW w:w="534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228">
              <w:r>
                <w:rPr>
                  <w:rFonts w:ascii="Arial" w:cs="Arial" w:eastAsia="Arial" w:hAnsi="Arial"/>
                  <w:sz w:val="14"/>
                  <w:szCs w:val="14"/>
                  <w:color w:val="0000FF"/>
                </w:rPr>
                <w:t>and the Company.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920" w:type="dxa"/>
            <w:vAlign w:val="bottom"/>
            <w:gridSpan w:val="1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60"/>
        </w:trPr>
        <w:tc>
          <w:tcPr>
            <w:tcW w:w="860" w:type="dxa"/>
            <w:vAlign w:val="bottom"/>
          </w:tcPr>
          <w:p>
            <w:pPr>
              <w:ind w:left="20"/>
              <w:spacing w:after="0"/>
              <w:rPr>
                <w:sz w:val="20"/>
                <w:szCs w:val="20"/>
                <w:color w:val="auto"/>
              </w:rPr>
            </w:pPr>
            <w:r>
              <w:rPr>
                <w:rFonts w:ascii="Arial" w:cs="Arial" w:eastAsia="Arial" w:hAnsi="Arial"/>
                <w:sz w:val="14"/>
                <w:szCs w:val="14"/>
                <w:color w:val="auto"/>
              </w:rPr>
              <w:t>10.25†</w:t>
            </w:r>
          </w:p>
        </w:tc>
        <w:tc>
          <w:tcPr>
            <w:tcW w:w="5420" w:type="dxa"/>
            <w:vAlign w:val="bottom"/>
            <w:gridSpan w:val="30"/>
          </w:tcPr>
          <w:p>
            <w:pPr>
              <w:spacing w:after="0"/>
              <w:rPr>
                <w:rFonts w:ascii="Arial" w:cs="Arial" w:eastAsia="Arial" w:hAnsi="Arial"/>
                <w:sz w:val="14"/>
                <w:szCs w:val="14"/>
                <w:color w:val="0000FF"/>
              </w:rPr>
            </w:pPr>
            <w:hyperlink r:id="rId229">
              <w:r>
                <w:rPr>
                  <w:rFonts w:ascii="Arial" w:cs="Arial" w:eastAsia="Arial" w:hAnsi="Arial"/>
                  <w:sz w:val="14"/>
                  <w:szCs w:val="14"/>
                  <w:color w:val="0000FF"/>
                </w:rPr>
                <w:t>Lease, dated as of February 7, 2017 as amended by that certain Lease Modification</w:t>
              </w:r>
            </w:hyperlink>
          </w:p>
        </w:tc>
        <w:tc>
          <w:tcPr>
            <w:tcW w:w="620" w:type="dxa"/>
            <w:vAlign w:val="bottom"/>
          </w:tcPr>
          <w:p>
            <w:pPr>
              <w:ind w:left="80"/>
              <w:spacing w:after="0"/>
              <w:rPr>
                <w:sz w:val="20"/>
                <w:szCs w:val="20"/>
                <w:color w:val="auto"/>
              </w:rPr>
            </w:pPr>
            <w:r>
              <w:rPr>
                <w:rFonts w:ascii="Arial" w:cs="Arial" w:eastAsia="Arial" w:hAnsi="Arial"/>
                <w:sz w:val="14"/>
                <w:szCs w:val="14"/>
                <w:color w:val="auto"/>
              </w:rPr>
              <w:t>S-1</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10.22</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10/04/2021</w:t>
            </w:r>
          </w:p>
        </w:tc>
      </w:tr>
      <w:tr>
        <w:trPr>
          <w:trHeight w:val="139"/>
        </w:trPr>
        <w:tc>
          <w:tcPr>
            <w:tcW w:w="860" w:type="dxa"/>
            <w:vAlign w:val="bottom"/>
          </w:tcPr>
          <w:p>
            <w:pPr>
              <w:spacing w:after="0"/>
              <w:rPr>
                <w:sz w:val="12"/>
                <w:szCs w:val="12"/>
                <w:color w:val="auto"/>
              </w:rPr>
            </w:pPr>
          </w:p>
        </w:tc>
        <w:tc>
          <w:tcPr>
            <w:tcW w:w="5240" w:type="dxa"/>
            <w:vAlign w:val="bottom"/>
            <w:tcBorders>
              <w:top w:val="single" w:sz="8" w:color="0000FF"/>
            </w:tcBorders>
            <w:gridSpan w:val="21"/>
          </w:tcPr>
          <w:p>
            <w:pPr>
              <w:spacing w:after="0" w:line="139" w:lineRule="exact"/>
              <w:rPr>
                <w:rFonts w:ascii="Arial" w:cs="Arial" w:eastAsia="Arial" w:hAnsi="Arial"/>
                <w:sz w:val="14"/>
                <w:szCs w:val="14"/>
                <w:color w:val="0000FF"/>
                <w:w w:val="99"/>
              </w:rPr>
            </w:pPr>
            <w:hyperlink r:id="rId229">
              <w:r>
                <w:rPr>
                  <w:rFonts w:ascii="Arial" w:cs="Arial" w:eastAsia="Arial" w:hAnsi="Arial"/>
                  <w:sz w:val="14"/>
                  <w:szCs w:val="14"/>
                  <w:color w:val="0000FF"/>
                  <w:w w:val="99"/>
                </w:rPr>
                <w:t>Agreement, dated April 28, 2020, each by and between Hartz Metro Leasehold I LLC</w:t>
              </w:r>
            </w:hyperlink>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39"/>
        </w:trPr>
        <w:tc>
          <w:tcPr>
            <w:tcW w:w="860" w:type="dxa"/>
            <w:vAlign w:val="bottom"/>
          </w:tcPr>
          <w:p>
            <w:pPr>
              <w:spacing w:after="0"/>
              <w:rPr>
                <w:sz w:val="12"/>
                <w:szCs w:val="12"/>
                <w:color w:val="auto"/>
              </w:rPr>
            </w:pPr>
          </w:p>
        </w:tc>
        <w:tc>
          <w:tcPr>
            <w:tcW w:w="5340" w:type="dxa"/>
            <w:vAlign w:val="bottom"/>
            <w:tcBorders>
              <w:top w:val="single" w:sz="8" w:color="0000FF"/>
            </w:tcBorders>
            <w:gridSpan w:val="26"/>
          </w:tcPr>
          <w:p>
            <w:pPr>
              <w:spacing w:after="0" w:line="139" w:lineRule="exact"/>
              <w:rPr>
                <w:rFonts w:ascii="Arial" w:cs="Arial" w:eastAsia="Arial" w:hAnsi="Arial"/>
                <w:sz w:val="14"/>
                <w:szCs w:val="14"/>
                <w:color w:val="0000FF"/>
              </w:rPr>
            </w:pPr>
            <w:hyperlink r:id="rId229">
              <w:r>
                <w:rPr>
                  <w:rFonts w:ascii="Arial" w:cs="Arial" w:eastAsia="Arial" w:hAnsi="Arial"/>
                  <w:sz w:val="14"/>
                  <w:szCs w:val="14"/>
                  <w:color w:val="0000FF"/>
                </w:rPr>
                <w:t>and the Company.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920" w:type="dxa"/>
            <w:vAlign w:val="bottom"/>
            <w:gridSpan w:val="13"/>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10.26†</w:t>
            </w:r>
          </w:p>
        </w:tc>
        <w:tc>
          <w:tcPr>
            <w:tcW w:w="5420" w:type="dxa"/>
            <w:vAlign w:val="bottom"/>
            <w:gridSpan w:val="30"/>
          </w:tcPr>
          <w:p>
            <w:pPr>
              <w:spacing w:after="0"/>
              <w:rPr>
                <w:rFonts w:ascii="Arial" w:cs="Arial" w:eastAsia="Arial" w:hAnsi="Arial"/>
                <w:sz w:val="14"/>
                <w:szCs w:val="14"/>
                <w:color w:val="0000FF"/>
              </w:rPr>
            </w:pPr>
            <w:hyperlink r:id="rId230">
              <w:r>
                <w:rPr>
                  <w:rFonts w:ascii="Arial" w:cs="Arial" w:eastAsia="Arial" w:hAnsi="Arial"/>
                  <w:sz w:val="14"/>
                  <w:szCs w:val="14"/>
                  <w:color w:val="0000FF"/>
                </w:rPr>
                <w:t>Industrial Lease, dated March 31, 2018, as amended by that certain First Amendment</w:t>
              </w:r>
            </w:hyperlink>
          </w:p>
        </w:tc>
        <w:tc>
          <w:tcPr>
            <w:tcW w:w="620" w:type="dxa"/>
            <w:vAlign w:val="bottom"/>
          </w:tcPr>
          <w:p>
            <w:pPr>
              <w:ind w:left="8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10.23</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10/18/2021</w:t>
            </w:r>
          </w:p>
        </w:tc>
      </w:tr>
      <w:tr>
        <w:trPr>
          <w:trHeight w:val="139"/>
        </w:trPr>
        <w:tc>
          <w:tcPr>
            <w:tcW w:w="860" w:type="dxa"/>
            <w:vAlign w:val="bottom"/>
          </w:tcPr>
          <w:p>
            <w:pPr>
              <w:spacing w:after="0"/>
              <w:rPr>
                <w:sz w:val="12"/>
                <w:szCs w:val="12"/>
                <w:color w:val="auto"/>
              </w:rPr>
            </w:pPr>
          </w:p>
        </w:tc>
        <w:tc>
          <w:tcPr>
            <w:tcW w:w="5360" w:type="dxa"/>
            <w:vAlign w:val="bottom"/>
            <w:tcBorders>
              <w:top w:val="single" w:sz="8" w:color="0000FF"/>
              <w:bottom w:val="single" w:sz="8" w:color="0000FF"/>
            </w:tcBorders>
            <w:gridSpan w:val="27"/>
          </w:tcPr>
          <w:p>
            <w:pPr>
              <w:spacing w:after="0" w:line="139" w:lineRule="exact"/>
              <w:rPr>
                <w:rFonts w:ascii="Arial" w:cs="Arial" w:eastAsia="Arial" w:hAnsi="Arial"/>
                <w:sz w:val="14"/>
                <w:szCs w:val="14"/>
                <w:color w:val="0000FF"/>
              </w:rPr>
            </w:pPr>
            <w:hyperlink r:id="rId230">
              <w:r>
                <w:rPr>
                  <w:rFonts w:ascii="Arial" w:cs="Arial" w:eastAsia="Arial" w:hAnsi="Arial"/>
                  <w:sz w:val="14"/>
                  <w:szCs w:val="14"/>
                  <w:color w:val="0000FF"/>
                </w:rPr>
                <w:t>to Industrial Lease, dated August 31, 2020, by and between TRPF COOPER I-20 LLC</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39"/>
        </w:trPr>
        <w:tc>
          <w:tcPr>
            <w:tcW w:w="860" w:type="dxa"/>
            <w:vAlign w:val="bottom"/>
          </w:tcPr>
          <w:p>
            <w:pPr>
              <w:spacing w:after="0"/>
              <w:rPr>
                <w:sz w:val="12"/>
                <w:szCs w:val="12"/>
                <w:color w:val="auto"/>
              </w:rPr>
            </w:pPr>
          </w:p>
        </w:tc>
        <w:tc>
          <w:tcPr>
            <w:tcW w:w="5380" w:type="dxa"/>
            <w:vAlign w:val="bottom"/>
            <w:gridSpan w:val="28"/>
          </w:tcPr>
          <w:p>
            <w:pPr>
              <w:spacing w:after="0" w:line="139" w:lineRule="exact"/>
              <w:rPr>
                <w:rFonts w:ascii="Arial" w:cs="Arial" w:eastAsia="Arial" w:hAnsi="Arial"/>
                <w:sz w:val="14"/>
                <w:szCs w:val="14"/>
                <w:color w:val="0000FF"/>
              </w:rPr>
            </w:pPr>
            <w:hyperlink r:id="rId230">
              <w:r>
                <w:rPr>
                  <w:rFonts w:ascii="Arial" w:cs="Arial" w:eastAsia="Arial" w:hAnsi="Arial"/>
                  <w:sz w:val="14"/>
                  <w:szCs w:val="14"/>
                  <w:color w:val="0000FF"/>
                </w:rPr>
                <w:t>and the Company.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920" w:type="dxa"/>
            <w:vAlign w:val="bottom"/>
            <w:gridSpan w:val="13"/>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10.27†</w:t>
            </w:r>
          </w:p>
        </w:tc>
        <w:tc>
          <w:tcPr>
            <w:tcW w:w="5060" w:type="dxa"/>
            <w:vAlign w:val="bottom"/>
            <w:tcBorders>
              <w:bottom w:val="single" w:sz="8" w:color="0000FF"/>
            </w:tcBorders>
            <w:gridSpan w:val="17"/>
          </w:tcPr>
          <w:p>
            <w:pPr>
              <w:spacing w:after="0"/>
              <w:rPr>
                <w:rFonts w:ascii="Arial" w:cs="Arial" w:eastAsia="Arial" w:hAnsi="Arial"/>
                <w:sz w:val="14"/>
                <w:szCs w:val="14"/>
                <w:color w:val="0000FF"/>
              </w:rPr>
            </w:pPr>
            <w:hyperlink r:id="rId231">
              <w:r>
                <w:rPr>
                  <w:rFonts w:ascii="Arial" w:cs="Arial" w:eastAsia="Arial" w:hAnsi="Arial"/>
                  <w:sz w:val="14"/>
                  <w:szCs w:val="14"/>
                  <w:color w:val="0000FF"/>
                </w:rPr>
                <w:t>Lease, dated as of April 1, 2019, as amended by that certain First Amendment of</w:t>
              </w:r>
            </w:hyperlink>
          </w:p>
        </w:tc>
        <w:tc>
          <w:tcPr>
            <w:tcW w:w="360" w:type="dxa"/>
            <w:vAlign w:val="bottom"/>
            <w:gridSpan w:val="13"/>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10.24</w:t>
            </w:r>
          </w:p>
        </w:tc>
        <w:tc>
          <w:tcPr>
            <w:tcW w:w="2120" w:type="dxa"/>
            <w:vAlign w:val="bottom"/>
          </w:tcPr>
          <w:p>
            <w:pPr>
              <w:jc w:val="right"/>
              <w:ind w:right="1189"/>
              <w:spacing w:after="0"/>
              <w:rPr>
                <w:sz w:val="20"/>
                <w:szCs w:val="20"/>
                <w:color w:val="auto"/>
              </w:rPr>
            </w:pPr>
            <w:r>
              <w:rPr>
                <w:rFonts w:ascii="Arial" w:cs="Arial" w:eastAsia="Arial" w:hAnsi="Arial"/>
                <w:sz w:val="14"/>
                <w:szCs w:val="14"/>
                <w:color w:val="auto"/>
              </w:rPr>
              <w:t>10/18/2021</w:t>
            </w:r>
          </w:p>
        </w:tc>
      </w:tr>
      <w:tr>
        <w:trPr>
          <w:trHeight w:val="139"/>
        </w:trPr>
        <w:tc>
          <w:tcPr>
            <w:tcW w:w="860" w:type="dxa"/>
            <w:vAlign w:val="bottom"/>
          </w:tcPr>
          <w:p>
            <w:pPr>
              <w:spacing w:after="0"/>
              <w:rPr>
                <w:sz w:val="12"/>
                <w:szCs w:val="12"/>
                <w:color w:val="auto"/>
              </w:rPr>
            </w:pPr>
          </w:p>
        </w:tc>
        <w:tc>
          <w:tcPr>
            <w:tcW w:w="5420" w:type="dxa"/>
            <w:vAlign w:val="bottom"/>
            <w:gridSpan w:val="30"/>
          </w:tcPr>
          <w:p>
            <w:pPr>
              <w:spacing w:after="0" w:line="139" w:lineRule="exact"/>
              <w:rPr>
                <w:rFonts w:ascii="Arial" w:cs="Arial" w:eastAsia="Arial" w:hAnsi="Arial"/>
                <w:sz w:val="14"/>
                <w:szCs w:val="14"/>
                <w:color w:val="0000FF"/>
              </w:rPr>
            </w:pPr>
            <w:hyperlink r:id="rId231">
              <w:r>
                <w:rPr>
                  <w:rFonts w:ascii="Arial" w:cs="Arial" w:eastAsia="Arial" w:hAnsi="Arial"/>
                  <w:sz w:val="14"/>
                  <w:szCs w:val="14"/>
                  <w:color w:val="0000FF"/>
                </w:rPr>
                <w:t>Lease, dated December 10, 2020, by and between 10 Jay Master Tenant LLC and the</w:t>
              </w:r>
            </w:hyperlink>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39"/>
        </w:trPr>
        <w:tc>
          <w:tcPr>
            <w:tcW w:w="860" w:type="dxa"/>
            <w:vAlign w:val="bottom"/>
          </w:tcPr>
          <w:p>
            <w:pPr>
              <w:spacing w:after="0"/>
              <w:rPr>
                <w:sz w:val="12"/>
                <w:szCs w:val="12"/>
                <w:color w:val="auto"/>
              </w:rPr>
            </w:pPr>
          </w:p>
        </w:tc>
        <w:tc>
          <w:tcPr>
            <w:tcW w:w="640" w:type="dxa"/>
            <w:vAlign w:val="bottom"/>
            <w:tcBorders>
              <w:top w:val="single" w:sz="8" w:color="0000FF"/>
              <w:bottom w:val="single" w:sz="8" w:color="0000FF"/>
            </w:tcBorders>
            <w:gridSpan w:val="3"/>
          </w:tcPr>
          <w:p>
            <w:pPr>
              <w:spacing w:after="0" w:line="139" w:lineRule="exact"/>
              <w:rPr>
                <w:rFonts w:ascii="Arial" w:cs="Arial" w:eastAsia="Arial" w:hAnsi="Arial"/>
                <w:sz w:val="14"/>
                <w:szCs w:val="14"/>
                <w:color w:val="0000FF"/>
                <w:w w:val="97"/>
              </w:rPr>
            </w:pPr>
            <w:hyperlink r:id="rId231">
              <w:r>
                <w:rPr>
                  <w:rFonts w:ascii="Arial" w:cs="Arial" w:eastAsia="Arial" w:hAnsi="Arial"/>
                  <w:sz w:val="14"/>
                  <w:szCs w:val="14"/>
                  <w:color w:val="0000FF"/>
                  <w:w w:val="97"/>
                </w:rPr>
                <w:t>Company.</w:t>
              </w:r>
            </w:hyperlink>
          </w:p>
        </w:tc>
        <w:tc>
          <w:tcPr>
            <w:tcW w:w="4760" w:type="dxa"/>
            <w:vAlign w:val="bottom"/>
            <w:tcBorders>
              <w:top w:val="single" w:sz="8" w:color="0000FF"/>
            </w:tcBorders>
            <w:gridSpan w:val="26"/>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745"/>
        </w:trPr>
        <w:tc>
          <w:tcPr>
            <w:tcW w:w="860" w:type="dxa"/>
            <w:vAlign w:val="bottom"/>
          </w:tcPr>
          <w:p>
            <w:pPr>
              <w:spacing w:after="0"/>
              <w:rPr>
                <w:sz w:val="24"/>
                <w:szCs w:val="24"/>
                <w:color w:val="auto"/>
              </w:rPr>
            </w:pPr>
          </w:p>
        </w:tc>
        <w:tc>
          <w:tcPr>
            <w:tcW w:w="4920" w:type="dxa"/>
            <w:vAlign w:val="bottom"/>
            <w:gridSpan w:val="14"/>
          </w:tcPr>
          <w:p>
            <w:pPr>
              <w:ind w:left="4660"/>
              <w:spacing w:after="0"/>
              <w:rPr>
                <w:sz w:val="20"/>
                <w:szCs w:val="20"/>
                <w:color w:val="auto"/>
              </w:rPr>
            </w:pPr>
            <w:r>
              <w:rPr>
                <w:rFonts w:ascii="Arial" w:cs="Arial" w:eastAsia="Arial" w:hAnsi="Arial"/>
                <w:sz w:val="14"/>
                <w:szCs w:val="14"/>
                <w:color w:val="auto"/>
              </w:rPr>
              <w:t>127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85"/>
        </w:trPr>
        <w:tc>
          <w:tcPr>
            <w:tcW w:w="8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85" w:right="31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color w:val="auto"/>
              </w:rPr>
              <w:t>10.28†</w:t>
            </w:r>
          </w:p>
        </w:tc>
        <w:tc>
          <w:tcPr>
            <w:tcW w:w="5420" w:type="dxa"/>
            <w:vAlign w:val="bottom"/>
            <w:gridSpan w:val="19"/>
          </w:tcPr>
          <w:p>
            <w:pPr>
              <w:spacing w:after="0"/>
              <w:rPr>
                <w:rFonts w:ascii="Arial" w:cs="Arial" w:eastAsia="Arial" w:hAnsi="Arial"/>
                <w:sz w:val="14"/>
                <w:szCs w:val="14"/>
                <w:color w:val="0000FF"/>
              </w:rPr>
            </w:pPr>
            <w:hyperlink r:id="rId234">
              <w:r>
                <w:rPr>
                  <w:rFonts w:ascii="Arial" w:cs="Arial" w:eastAsia="Arial" w:hAnsi="Arial"/>
                  <w:sz w:val="14"/>
                  <w:szCs w:val="14"/>
                  <w:color w:val="0000FF"/>
                </w:rPr>
                <w:t>Partial Termination and Second Amendment of Lease, dated February 16, 2022, by</w:t>
              </w:r>
            </w:hyperlink>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5200" w:type="dxa"/>
            <w:vAlign w:val="bottom"/>
            <w:tcBorders>
              <w:top w:val="single" w:sz="8" w:color="0000FF"/>
            </w:tcBorders>
            <w:gridSpan w:val="14"/>
          </w:tcPr>
          <w:p>
            <w:pPr>
              <w:spacing w:after="0" w:line="139" w:lineRule="exact"/>
              <w:rPr>
                <w:rFonts w:ascii="Arial" w:cs="Arial" w:eastAsia="Arial" w:hAnsi="Arial"/>
                <w:sz w:val="14"/>
                <w:szCs w:val="14"/>
                <w:color w:val="0000FF"/>
              </w:rPr>
            </w:pPr>
            <w:hyperlink r:id="rId234">
              <w:r>
                <w:rPr>
                  <w:rFonts w:ascii="Arial" w:cs="Arial" w:eastAsia="Arial" w:hAnsi="Arial"/>
                  <w:sz w:val="14"/>
                  <w:szCs w:val="14"/>
                  <w:color w:val="0000FF"/>
                </w:rPr>
                <w:t>and between 10 Jay Master Tenant LLC and the Company.</w:t>
              </w:r>
            </w:hyperlink>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10.29</w:t>
            </w:r>
          </w:p>
        </w:tc>
        <w:tc>
          <w:tcPr>
            <w:tcW w:w="5420" w:type="dxa"/>
            <w:vAlign w:val="bottom"/>
            <w:gridSpan w:val="19"/>
          </w:tcPr>
          <w:p>
            <w:pPr>
              <w:spacing w:after="0"/>
              <w:rPr>
                <w:rFonts w:ascii="Arial" w:cs="Arial" w:eastAsia="Arial" w:hAnsi="Arial"/>
                <w:sz w:val="14"/>
                <w:szCs w:val="14"/>
                <w:color w:val="0000FF"/>
              </w:rPr>
            </w:pPr>
            <w:hyperlink r:id="rId235">
              <w:r>
                <w:rPr>
                  <w:rFonts w:ascii="Arial" w:cs="Arial" w:eastAsia="Arial" w:hAnsi="Arial"/>
                  <w:sz w:val="14"/>
                  <w:szCs w:val="14"/>
                  <w:color w:val="0000FF"/>
                </w:rPr>
                <w:t>Eighth Amendment to the Credit Agreement dated as of August 15, 2022 (as</w:t>
              </w:r>
            </w:hyperlink>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4780" w:type="dxa"/>
            <w:vAlign w:val="bottom"/>
            <w:tcBorders>
              <w:top w:val="single" w:sz="8" w:color="0000FF"/>
            </w:tcBorders>
            <w:gridSpan w:val="10"/>
          </w:tcPr>
          <w:p>
            <w:pPr>
              <w:spacing w:after="0" w:line="139" w:lineRule="exact"/>
              <w:rPr>
                <w:rFonts w:ascii="Arial" w:cs="Arial" w:eastAsia="Arial" w:hAnsi="Arial"/>
                <w:sz w:val="14"/>
                <w:szCs w:val="14"/>
                <w:color w:val="0000FF"/>
              </w:rPr>
            </w:pPr>
            <w:hyperlink r:id="rId235">
              <w:r>
                <w:rPr>
                  <w:rFonts w:ascii="Arial" w:cs="Arial" w:eastAsia="Arial" w:hAnsi="Arial"/>
                  <w:sz w:val="14"/>
                  <w:szCs w:val="14"/>
                  <w:color w:val="0000FF"/>
                </w:rPr>
                <w:t>previously amended on July 23, 2018, December 21, 2018, April 24, 2019,</w:t>
              </w:r>
            </w:hyperlink>
          </w:p>
        </w:tc>
        <w:tc>
          <w:tcPr>
            <w:tcW w:w="640" w:type="dxa"/>
            <w:vAlign w:val="bottom"/>
            <w:gridSpan w:val="9"/>
          </w:tcPr>
          <w:p>
            <w:pPr>
              <w:spacing w:after="0" w:line="139" w:lineRule="exact"/>
              <w:rPr>
                <w:rFonts w:ascii="Arial" w:cs="Arial" w:eastAsia="Arial" w:hAnsi="Arial"/>
                <w:sz w:val="14"/>
                <w:szCs w:val="14"/>
                <w:color w:val="0000FF"/>
                <w:w w:val="95"/>
              </w:rPr>
            </w:pPr>
            <w:hyperlink r:id="rId235">
              <w:r>
                <w:rPr>
                  <w:rFonts w:ascii="Arial" w:cs="Arial" w:eastAsia="Arial" w:hAnsi="Arial"/>
                  <w:sz w:val="14"/>
                  <w:szCs w:val="14"/>
                  <w:color w:val="0000FF"/>
                  <w:w w:val="95"/>
                </w:rPr>
                <w:t>November</w:t>
              </w:r>
            </w:hyperlink>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5340" w:type="dxa"/>
            <w:vAlign w:val="bottom"/>
            <w:tcBorders>
              <w:top w:val="single" w:sz="8" w:color="0000FF"/>
            </w:tcBorders>
            <w:gridSpan w:val="16"/>
          </w:tcPr>
          <w:p>
            <w:pPr>
              <w:spacing w:after="0" w:line="139" w:lineRule="exact"/>
              <w:rPr>
                <w:rFonts w:ascii="Arial" w:cs="Arial" w:eastAsia="Arial" w:hAnsi="Arial"/>
                <w:sz w:val="14"/>
                <w:szCs w:val="14"/>
                <w:color w:val="0000FF"/>
              </w:rPr>
            </w:pPr>
            <w:hyperlink r:id="rId235">
              <w:r>
                <w:rPr>
                  <w:rFonts w:ascii="Arial" w:cs="Arial" w:eastAsia="Arial" w:hAnsi="Arial"/>
                  <w:sz w:val="14"/>
                  <w:szCs w:val="14"/>
                  <w:color w:val="0000FF"/>
                </w:rPr>
                <w:t>26, 2019, June 2, 2020, August 18, 2020, October 26, 2020, and October 18, 2021),</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5260" w:type="dxa"/>
            <w:vAlign w:val="bottom"/>
            <w:tcBorders>
              <w:top w:val="single" w:sz="8" w:color="0000FF"/>
            </w:tcBorders>
            <w:gridSpan w:val="15"/>
          </w:tcPr>
          <w:p>
            <w:pPr>
              <w:spacing w:after="0" w:line="139" w:lineRule="exact"/>
              <w:rPr>
                <w:rFonts w:ascii="Arial" w:cs="Arial" w:eastAsia="Arial" w:hAnsi="Arial"/>
                <w:sz w:val="14"/>
                <w:szCs w:val="14"/>
                <w:color w:val="0000FF"/>
              </w:rPr>
            </w:pPr>
            <w:hyperlink r:id="rId235">
              <w:r>
                <w:rPr>
                  <w:rFonts w:ascii="Arial" w:cs="Arial" w:eastAsia="Arial" w:hAnsi="Arial"/>
                  <w:sz w:val="14"/>
                  <w:szCs w:val="14"/>
                  <w:color w:val="0000FF"/>
                </w:rPr>
                <w:t>and as may be further amended, restated, supplemented or otherwise modified in</w:t>
              </w:r>
            </w:hyperlink>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5100" w:type="dxa"/>
            <w:vAlign w:val="bottom"/>
            <w:tcBorders>
              <w:top w:val="single" w:sz="8" w:color="0000FF"/>
              <w:bottom w:val="single" w:sz="8" w:color="0000FF"/>
            </w:tcBorders>
            <w:gridSpan w:val="12"/>
          </w:tcPr>
          <w:p>
            <w:pPr>
              <w:spacing w:after="0" w:line="139" w:lineRule="exact"/>
              <w:rPr>
                <w:rFonts w:ascii="Arial" w:cs="Arial" w:eastAsia="Arial" w:hAnsi="Arial"/>
                <w:sz w:val="14"/>
                <w:szCs w:val="14"/>
                <w:color w:val="0000FF"/>
                <w:w w:val="99"/>
              </w:rPr>
            </w:pPr>
            <w:hyperlink r:id="rId235">
              <w:r>
                <w:rPr>
                  <w:rFonts w:ascii="Arial" w:cs="Arial" w:eastAsia="Arial" w:hAnsi="Arial"/>
                  <w:sz w:val="14"/>
                  <w:szCs w:val="14"/>
                  <w:color w:val="0000FF"/>
                  <w:w w:val="99"/>
                </w:rPr>
                <w:t>accordance with the terms thereof), by and among the Company, the lenders from</w:t>
              </w:r>
            </w:hyperlink>
          </w:p>
        </w:tc>
        <w:tc>
          <w:tcPr>
            <w:tcW w:w="20" w:type="dxa"/>
            <w:vAlign w:val="bottom"/>
            <w:tcBorders>
              <w:bottom w:val="single" w:sz="8" w:color="0000FF"/>
            </w:tcBorders>
          </w:tcPr>
          <w:p>
            <w:pPr>
              <w:spacing w:after="0"/>
              <w:rPr>
                <w:sz w:val="12"/>
                <w:szCs w:val="12"/>
                <w:color w:val="auto"/>
              </w:rPr>
            </w:pPr>
          </w:p>
        </w:tc>
        <w:tc>
          <w:tcPr>
            <w:tcW w:w="2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4700" w:type="dxa"/>
            <w:vAlign w:val="bottom"/>
            <w:tcBorders>
              <w:bottom w:val="single" w:sz="8" w:color="0000FF"/>
            </w:tcBorders>
            <w:gridSpan w:val="7"/>
          </w:tcPr>
          <w:p>
            <w:pPr>
              <w:spacing w:after="0" w:line="139" w:lineRule="exact"/>
              <w:rPr>
                <w:rFonts w:ascii="Arial" w:cs="Arial" w:eastAsia="Arial" w:hAnsi="Arial"/>
                <w:sz w:val="14"/>
                <w:szCs w:val="14"/>
                <w:color w:val="0000FF"/>
              </w:rPr>
            </w:pPr>
            <w:hyperlink r:id="rId235">
              <w:r>
                <w:rPr>
                  <w:rFonts w:ascii="Arial" w:cs="Arial" w:eastAsia="Arial" w:hAnsi="Arial"/>
                  <w:sz w:val="14"/>
                  <w:szCs w:val="14"/>
                  <w:color w:val="0000FF"/>
                </w:rPr>
                <w:t>time to time party thereto and Double Helix Pte Ltd. as administrative agent</w:t>
              </w:r>
            </w:hyperlink>
          </w:p>
        </w:tc>
        <w:tc>
          <w:tcPr>
            <w:tcW w:w="420" w:type="dxa"/>
            <w:vAlign w:val="bottom"/>
            <w:gridSpan w:val="6"/>
          </w:tcPr>
          <w:p>
            <w:pPr>
              <w:spacing w:after="0"/>
              <w:rPr>
                <w:sz w:val="12"/>
                <w:szCs w:val="12"/>
                <w:color w:val="auto"/>
              </w:rPr>
            </w:pPr>
          </w:p>
        </w:tc>
        <w:tc>
          <w:tcPr>
            <w:tcW w:w="2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10.3</w:t>
            </w:r>
          </w:p>
        </w:tc>
        <w:tc>
          <w:tcPr>
            <w:tcW w:w="5420" w:type="dxa"/>
            <w:vAlign w:val="bottom"/>
            <w:gridSpan w:val="19"/>
          </w:tcPr>
          <w:p>
            <w:pPr>
              <w:spacing w:after="0"/>
              <w:rPr>
                <w:sz w:val="20"/>
                <w:szCs w:val="20"/>
                <w:color w:val="auto"/>
              </w:rPr>
            </w:pPr>
            <w:r>
              <w:rPr>
                <w:rFonts w:ascii="Arial" w:cs="Arial" w:eastAsia="Arial" w:hAnsi="Arial"/>
                <w:sz w:val="14"/>
                <w:szCs w:val="14"/>
                <w:color w:val="0000FF"/>
              </w:rPr>
              <w:t>Ninth Amendment to the Credit Agreement, dated as of January 31, 2023, by and</w:t>
            </w: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5080" w:type="dxa"/>
            <w:vAlign w:val="bottom"/>
            <w:tcBorders>
              <w:top w:val="single" w:sz="8" w:color="0000FF"/>
            </w:tcBorders>
            <w:gridSpan w:val="11"/>
          </w:tcPr>
          <w:p>
            <w:pPr>
              <w:spacing w:after="0" w:line="139" w:lineRule="exact"/>
              <w:rPr>
                <w:sz w:val="20"/>
                <w:szCs w:val="20"/>
                <w:color w:val="auto"/>
              </w:rPr>
            </w:pPr>
            <w:r>
              <w:rPr>
                <w:rFonts w:ascii="Arial" w:cs="Arial" w:eastAsia="Arial" w:hAnsi="Arial"/>
                <w:sz w:val="14"/>
                <w:szCs w:val="14"/>
                <w:color w:val="0000FF"/>
                <w:w w:val="99"/>
              </w:rPr>
              <w:t>among the Company, the lenders from time to time party thereto and Double Helix</w:t>
            </w:r>
          </w:p>
        </w:tc>
        <w:tc>
          <w:tcPr>
            <w:tcW w:w="340" w:type="dxa"/>
            <w:vAlign w:val="bottom"/>
            <w:gridSpan w:val="8"/>
          </w:tcPr>
          <w:p>
            <w:pPr>
              <w:ind w:left="80"/>
              <w:spacing w:after="0" w:line="139" w:lineRule="exact"/>
              <w:rPr>
                <w:sz w:val="20"/>
                <w:szCs w:val="20"/>
                <w:color w:val="auto"/>
              </w:rPr>
            </w:pPr>
            <w:r>
              <w:rPr>
                <w:rFonts w:ascii="Arial" w:cs="Arial" w:eastAsia="Arial" w:hAnsi="Arial"/>
                <w:sz w:val="14"/>
                <w:szCs w:val="14"/>
                <w:color w:val="0000FF"/>
              </w:rPr>
              <w:t>Pte</w:t>
            </w: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5380" w:type="dxa"/>
            <w:vAlign w:val="bottom"/>
            <w:tcBorders>
              <w:top w:val="single" w:sz="8" w:color="0000FF"/>
            </w:tcBorders>
            <w:gridSpan w:val="17"/>
          </w:tcPr>
          <w:p>
            <w:pPr>
              <w:spacing w:after="0" w:line="139" w:lineRule="exact"/>
              <w:rPr>
                <w:sz w:val="20"/>
                <w:szCs w:val="20"/>
                <w:color w:val="auto"/>
              </w:rPr>
            </w:pPr>
            <w:r>
              <w:rPr>
                <w:rFonts w:ascii="Arial" w:cs="Arial" w:eastAsia="Arial" w:hAnsi="Arial"/>
                <w:sz w:val="14"/>
                <w:szCs w:val="14"/>
                <w:color w:val="0000FF"/>
              </w:rPr>
              <w:t>Ltd., as administrative agent.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21.1</w:t>
            </w:r>
          </w:p>
        </w:tc>
        <w:tc>
          <w:tcPr>
            <w:tcW w:w="180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0000FF"/>
              </w:rPr>
              <w:t>List of subsidiaries</w:t>
            </w:r>
          </w:p>
        </w:tc>
        <w:tc>
          <w:tcPr>
            <w:tcW w:w="362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23.1</w:t>
            </w:r>
          </w:p>
        </w:tc>
        <w:tc>
          <w:tcPr>
            <w:tcW w:w="5420" w:type="dxa"/>
            <w:vAlign w:val="bottom"/>
            <w:gridSpan w:val="19"/>
          </w:tcPr>
          <w:p>
            <w:pPr>
              <w:spacing w:after="0"/>
              <w:rPr>
                <w:sz w:val="20"/>
                <w:szCs w:val="20"/>
                <w:color w:val="auto"/>
              </w:rPr>
            </w:pPr>
            <w:r>
              <w:rPr>
                <w:rFonts w:ascii="Arial" w:cs="Arial" w:eastAsia="Arial" w:hAnsi="Arial"/>
                <w:sz w:val="14"/>
                <w:szCs w:val="14"/>
                <w:color w:val="0000FF"/>
              </w:rPr>
              <w:t>Consent of PricewaterhouseCoopers, LLP, Independent Registered Public Accounting</w:t>
            </w: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280" w:type="dxa"/>
            <w:vAlign w:val="bottom"/>
            <w:tcBorders>
              <w:top w:val="single" w:sz="8" w:color="0000FF"/>
              <w:bottom w:val="single" w:sz="8" w:color="0000FF"/>
            </w:tcBorders>
          </w:tcPr>
          <w:p>
            <w:pPr>
              <w:spacing w:after="0" w:line="139" w:lineRule="exact"/>
              <w:rPr>
                <w:sz w:val="20"/>
                <w:szCs w:val="20"/>
                <w:color w:val="auto"/>
              </w:rPr>
            </w:pPr>
            <w:r>
              <w:rPr>
                <w:rFonts w:ascii="Arial" w:cs="Arial" w:eastAsia="Arial" w:hAnsi="Arial"/>
                <w:sz w:val="14"/>
                <w:szCs w:val="14"/>
                <w:color w:val="0000FF"/>
                <w:w w:val="92"/>
              </w:rPr>
              <w:t>Firm</w:t>
            </w:r>
          </w:p>
        </w:tc>
        <w:tc>
          <w:tcPr>
            <w:tcW w:w="512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31.1</w:t>
            </w:r>
          </w:p>
        </w:tc>
        <w:tc>
          <w:tcPr>
            <w:tcW w:w="476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rPr>
              <w:t>Certification of Chief Executive Officer pursuant to Rule 13a-14(a)/15d-14(a)</w:t>
            </w:r>
          </w:p>
        </w:tc>
        <w:tc>
          <w:tcPr>
            <w:tcW w:w="6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840" w:type="dxa"/>
            <w:vAlign w:val="bottom"/>
          </w:tcPr>
          <w:p>
            <w:pPr>
              <w:spacing w:after="0"/>
              <w:rPr>
                <w:sz w:val="20"/>
                <w:szCs w:val="20"/>
                <w:color w:val="auto"/>
              </w:rPr>
            </w:pPr>
            <w:r>
              <w:rPr>
                <w:rFonts w:ascii="Arial" w:cs="Arial" w:eastAsia="Arial" w:hAnsi="Arial"/>
                <w:sz w:val="14"/>
                <w:szCs w:val="14"/>
                <w:color w:val="auto"/>
              </w:rPr>
              <w:t>31.2</w:t>
            </w:r>
          </w:p>
        </w:tc>
        <w:tc>
          <w:tcPr>
            <w:tcW w:w="472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Certification of Chief Financial Officer pursuant to Rule 13a-14(a)/15d-14(a)</w:t>
            </w:r>
          </w:p>
        </w:tc>
        <w:tc>
          <w:tcPr>
            <w:tcW w:w="70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840" w:type="dxa"/>
            <w:vAlign w:val="bottom"/>
          </w:tcPr>
          <w:p>
            <w:pPr>
              <w:spacing w:after="0"/>
              <w:rPr>
                <w:sz w:val="20"/>
                <w:szCs w:val="20"/>
                <w:color w:val="auto"/>
              </w:rPr>
            </w:pPr>
            <w:r>
              <w:rPr>
                <w:rFonts w:ascii="Arial" w:cs="Arial" w:eastAsia="Arial" w:hAnsi="Arial"/>
                <w:sz w:val="14"/>
                <w:szCs w:val="14"/>
                <w:color w:val="auto"/>
              </w:rPr>
              <w:t>32.1</w:t>
            </w:r>
          </w:p>
        </w:tc>
        <w:tc>
          <w:tcPr>
            <w:tcW w:w="464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rPr>
              <w:t>Certification of Chief Executive Officer pursuant to 18 U.S.C. Section 1350</w:t>
            </w:r>
          </w:p>
        </w:tc>
        <w:tc>
          <w:tcPr>
            <w:tcW w:w="78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40" w:type="dxa"/>
            <w:vAlign w:val="bottom"/>
          </w:tcPr>
          <w:p>
            <w:pPr>
              <w:spacing w:after="0"/>
              <w:rPr>
                <w:sz w:val="20"/>
                <w:szCs w:val="20"/>
                <w:color w:val="auto"/>
              </w:rPr>
            </w:pPr>
            <w:r>
              <w:rPr>
                <w:rFonts w:ascii="Arial" w:cs="Arial" w:eastAsia="Arial" w:hAnsi="Arial"/>
                <w:sz w:val="14"/>
                <w:szCs w:val="14"/>
                <w:color w:val="auto"/>
              </w:rPr>
              <w:t>32.2</w:t>
            </w:r>
          </w:p>
        </w:tc>
        <w:tc>
          <w:tcPr>
            <w:tcW w:w="460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rPr>
              <w:t>Certification of Chief Financial Officer pursuant to 18 U.S.C. Section 1350</w:t>
            </w:r>
          </w:p>
        </w:tc>
        <w:tc>
          <w:tcPr>
            <w:tcW w:w="82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40" w:type="dxa"/>
            <w:vAlign w:val="bottom"/>
          </w:tcPr>
          <w:p>
            <w:pPr>
              <w:spacing w:after="0"/>
              <w:rPr>
                <w:sz w:val="20"/>
                <w:szCs w:val="20"/>
                <w:color w:val="auto"/>
              </w:rPr>
            </w:pPr>
            <w:r>
              <w:rPr>
                <w:rFonts w:ascii="Arial" w:cs="Arial" w:eastAsia="Arial" w:hAnsi="Arial"/>
                <w:sz w:val="14"/>
                <w:szCs w:val="14"/>
                <w:color w:val="auto"/>
              </w:rPr>
              <w:t>101.INS</w:t>
            </w:r>
          </w:p>
        </w:tc>
        <w:tc>
          <w:tcPr>
            <w:tcW w:w="5420" w:type="dxa"/>
            <w:vAlign w:val="bottom"/>
            <w:gridSpan w:val="19"/>
          </w:tcPr>
          <w:p>
            <w:pPr>
              <w:spacing w:after="0"/>
              <w:rPr>
                <w:sz w:val="20"/>
                <w:szCs w:val="20"/>
                <w:color w:val="auto"/>
              </w:rPr>
            </w:pPr>
            <w:r>
              <w:rPr>
                <w:rFonts w:ascii="Arial" w:cs="Arial" w:eastAsia="Arial" w:hAnsi="Arial"/>
                <w:sz w:val="14"/>
                <w:szCs w:val="14"/>
                <w:color w:val="auto"/>
              </w:rPr>
              <w:t>Inline XBRL Instance Document - the instance document does not appear in the</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5420" w:type="dxa"/>
            <w:vAlign w:val="bottom"/>
            <w:gridSpan w:val="19"/>
          </w:tcPr>
          <w:p>
            <w:pPr>
              <w:spacing w:after="0" w:line="159" w:lineRule="exact"/>
              <w:rPr>
                <w:sz w:val="20"/>
                <w:szCs w:val="20"/>
                <w:color w:val="auto"/>
              </w:rPr>
            </w:pPr>
            <w:r>
              <w:rPr>
                <w:rFonts w:ascii="Arial" w:cs="Arial" w:eastAsia="Arial" w:hAnsi="Arial"/>
                <w:sz w:val="14"/>
                <w:szCs w:val="14"/>
                <w:color w:val="auto"/>
              </w:rPr>
              <w:t>Interactive Data File because its XBRL tags are embedded within the Inline XBRL</w:t>
            </w: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5420" w:type="dxa"/>
            <w:vAlign w:val="bottom"/>
            <w:gridSpan w:val="19"/>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4"/>
                <w:szCs w:val="14"/>
                <w:color w:val="auto"/>
              </w:rPr>
              <w:t>101.SCH</w:t>
            </w:r>
          </w:p>
        </w:tc>
        <w:tc>
          <w:tcPr>
            <w:tcW w:w="5420" w:type="dxa"/>
            <w:vAlign w:val="bottom"/>
            <w:gridSpan w:val="19"/>
          </w:tcPr>
          <w:p>
            <w:pPr>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4"/>
                <w:szCs w:val="14"/>
                <w:color w:val="auto"/>
              </w:rPr>
              <w:t>101.CAL</w:t>
            </w:r>
          </w:p>
        </w:tc>
        <w:tc>
          <w:tcPr>
            <w:tcW w:w="5420" w:type="dxa"/>
            <w:vAlign w:val="bottom"/>
            <w:gridSpan w:val="19"/>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4"/>
                <w:szCs w:val="14"/>
                <w:color w:val="auto"/>
              </w:rPr>
              <w:t>101.DEF</w:t>
            </w:r>
          </w:p>
        </w:tc>
        <w:tc>
          <w:tcPr>
            <w:tcW w:w="5420" w:type="dxa"/>
            <w:vAlign w:val="bottom"/>
            <w:gridSpan w:val="19"/>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4"/>
                <w:szCs w:val="14"/>
                <w:color w:val="auto"/>
              </w:rPr>
              <w:t>101.LAB</w:t>
            </w:r>
          </w:p>
        </w:tc>
        <w:tc>
          <w:tcPr>
            <w:tcW w:w="5420" w:type="dxa"/>
            <w:vAlign w:val="bottom"/>
            <w:gridSpan w:val="19"/>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4"/>
                <w:szCs w:val="14"/>
                <w:color w:val="auto"/>
              </w:rPr>
              <w:t>101.PRE</w:t>
            </w:r>
          </w:p>
        </w:tc>
        <w:tc>
          <w:tcPr>
            <w:tcW w:w="5420" w:type="dxa"/>
            <w:vAlign w:val="bottom"/>
            <w:gridSpan w:val="19"/>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200"/>
        </w:trPr>
        <w:tc>
          <w:tcPr>
            <w:tcW w:w="840" w:type="dxa"/>
            <w:vAlign w:val="bottom"/>
            <w:vMerge w:val="restart"/>
          </w:tcPr>
          <w:p>
            <w:pPr>
              <w:spacing w:after="0"/>
              <w:rPr>
                <w:sz w:val="20"/>
                <w:szCs w:val="20"/>
                <w:color w:val="auto"/>
              </w:rPr>
            </w:pPr>
            <w:r>
              <w:rPr>
                <w:rFonts w:ascii="Arial" w:cs="Arial" w:eastAsia="Arial" w:hAnsi="Arial"/>
                <w:sz w:val="14"/>
                <w:szCs w:val="14"/>
                <w:color w:val="auto"/>
              </w:rPr>
              <w:t>104</w:t>
            </w:r>
          </w:p>
        </w:tc>
        <w:tc>
          <w:tcPr>
            <w:tcW w:w="5420" w:type="dxa"/>
            <w:vAlign w:val="bottom"/>
            <w:gridSpan w:val="19"/>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w:t>
            </w:r>
          </w:p>
        </w:tc>
        <w:tc>
          <w:tcPr>
            <w:tcW w:w="0" w:type="dxa"/>
            <w:vAlign w:val="bottom"/>
          </w:tcPr>
          <w:p>
            <w:pPr>
              <w:spacing w:after="0"/>
              <w:rPr>
                <w:sz w:val="1"/>
                <w:szCs w:val="1"/>
                <w:color w:val="auto"/>
              </w:rPr>
            </w:pPr>
          </w:p>
        </w:tc>
      </w:tr>
      <w:tr>
        <w:trPr>
          <w:trHeight w:val="193"/>
        </w:trPr>
        <w:tc>
          <w:tcPr>
            <w:tcW w:w="840" w:type="dxa"/>
            <w:vAlign w:val="bottom"/>
            <w:vMerge w:val="continue"/>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101)</w:t>
            </w:r>
          </w:p>
        </w:tc>
        <w:tc>
          <w:tcPr>
            <w:tcW w:w="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4"/>
                <w:szCs w:val="14"/>
                <w:color w:val="auto"/>
              </w:rPr>
              <w:t>10-K</w:t>
            </w:r>
          </w:p>
        </w:tc>
        <w:tc>
          <w:tcPr>
            <w:tcW w:w="1320" w:type="dxa"/>
            <w:vAlign w:val="bottom"/>
          </w:tcPr>
          <w:p>
            <w:pPr>
              <w:jc w:val="right"/>
              <w:ind w:right="369"/>
              <w:spacing w:after="0"/>
              <w:rPr>
                <w:sz w:val="20"/>
                <w:szCs w:val="20"/>
                <w:color w:val="auto"/>
              </w:rPr>
            </w:pPr>
            <w:r>
              <w:rPr>
                <w:rFonts w:ascii="Arial" w:cs="Arial" w:eastAsia="Arial" w:hAnsi="Arial"/>
                <w:sz w:val="14"/>
                <w:szCs w:val="14"/>
                <w:color w:val="auto"/>
              </w:rPr>
              <w:t>001-40958</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10.27</w:t>
            </w:r>
          </w:p>
        </w:tc>
        <w:tc>
          <w:tcPr>
            <w:tcW w:w="820" w:type="dxa"/>
            <w:vAlign w:val="bottom"/>
          </w:tcPr>
          <w:p>
            <w:pPr>
              <w:jc w:val="right"/>
              <w:spacing w:after="0"/>
              <w:rPr>
                <w:sz w:val="20"/>
                <w:szCs w:val="20"/>
                <w:color w:val="auto"/>
              </w:rPr>
            </w:pPr>
            <w:r>
              <w:rPr>
                <w:rFonts w:ascii="Arial" w:cs="Arial" w:eastAsia="Arial" w:hAnsi="Arial"/>
                <w:sz w:val="14"/>
                <w:szCs w:val="14"/>
                <w:color w:val="auto"/>
              </w:rPr>
              <w:t>4/14/2022</w:t>
            </w:r>
          </w:p>
        </w:tc>
      </w:tr>
      <w:tr>
        <w:trPr>
          <w:trHeight w:val="361"/>
        </w:trPr>
        <w:tc>
          <w:tcPr>
            <w:tcW w:w="520" w:type="dxa"/>
            <w:vAlign w:val="bottom"/>
          </w:tcPr>
          <w:p>
            <w:pPr>
              <w:spacing w:after="0"/>
              <w:rPr>
                <w:sz w:val="20"/>
                <w:szCs w:val="20"/>
                <w:color w:val="auto"/>
              </w:rPr>
            </w:pPr>
            <w:r>
              <w:rPr>
                <w:rFonts w:ascii="Arial" w:cs="Arial" w:eastAsia="Arial" w:hAnsi="Arial"/>
                <w:sz w:val="14"/>
                <w:szCs w:val="14"/>
                <w:color w:val="auto"/>
              </w:rPr>
              <w:t>10-Q</w:t>
            </w:r>
          </w:p>
        </w:tc>
        <w:tc>
          <w:tcPr>
            <w:tcW w:w="1320" w:type="dxa"/>
            <w:vAlign w:val="bottom"/>
          </w:tcPr>
          <w:p>
            <w:pPr>
              <w:jc w:val="right"/>
              <w:ind w:right="369"/>
              <w:spacing w:after="0"/>
              <w:rPr>
                <w:sz w:val="20"/>
                <w:szCs w:val="20"/>
                <w:color w:val="auto"/>
              </w:rPr>
            </w:pPr>
            <w:r>
              <w:rPr>
                <w:rFonts w:ascii="Arial" w:cs="Arial" w:eastAsia="Arial" w:hAnsi="Arial"/>
                <w:sz w:val="14"/>
                <w:szCs w:val="14"/>
                <w:color w:val="auto"/>
              </w:rPr>
              <w:t>001-40958</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10.1</w:t>
            </w:r>
          </w:p>
        </w:tc>
        <w:tc>
          <w:tcPr>
            <w:tcW w:w="820" w:type="dxa"/>
            <w:vAlign w:val="bottom"/>
          </w:tcPr>
          <w:p>
            <w:pPr>
              <w:jc w:val="right"/>
              <w:spacing w:after="0"/>
              <w:rPr>
                <w:sz w:val="20"/>
                <w:szCs w:val="20"/>
                <w:color w:val="auto"/>
              </w:rPr>
            </w:pPr>
            <w:r>
              <w:rPr>
                <w:rFonts w:ascii="Arial" w:cs="Arial" w:eastAsia="Arial" w:hAnsi="Arial"/>
                <w:sz w:val="14"/>
                <w:szCs w:val="14"/>
                <w:color w:val="auto"/>
              </w:rPr>
              <w:t>9/13/2022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359"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41"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125"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83" w:lineRule="exact"/>
        <w:rPr>
          <w:sz w:val="20"/>
          <w:szCs w:val="20"/>
          <w:color w:val="auto"/>
        </w:rPr>
      </w:pPr>
    </w:p>
    <w:p>
      <w:pPr>
        <w:ind w:left="4280"/>
        <w:spacing w:after="0"/>
        <w:rPr>
          <w:sz w:val="20"/>
          <w:szCs w:val="20"/>
          <w:color w:val="auto"/>
        </w:rPr>
      </w:pPr>
      <w:r>
        <w:rPr>
          <w:rFonts w:ascii="Arial" w:cs="Arial" w:eastAsia="Arial" w:hAnsi="Arial"/>
          <w:sz w:val="12"/>
          <w:szCs w:val="12"/>
          <w:color w:val="auto"/>
        </w:rPr>
        <w:t>**</w:t>
      </w:r>
    </w:p>
    <w:p>
      <w:pPr>
        <w:spacing w:after="0" w:line="106" w:lineRule="exact"/>
        <w:rPr>
          <w:sz w:val="20"/>
          <w:szCs w:val="20"/>
          <w:color w:val="auto"/>
        </w:rPr>
      </w:pPr>
    </w:p>
    <w:p>
      <w:pPr>
        <w:ind w:left="4280"/>
        <w:spacing w:after="0"/>
        <w:rPr>
          <w:sz w:val="20"/>
          <w:szCs w:val="20"/>
          <w:color w:val="auto"/>
        </w:rPr>
      </w:pPr>
      <w:r>
        <w:rPr>
          <w:rFonts w:ascii="Arial" w:cs="Arial" w:eastAsia="Arial" w:hAnsi="Arial"/>
          <w:sz w:val="12"/>
          <w:szCs w:val="12"/>
          <w:color w:val="auto"/>
        </w:rPr>
        <w:t>**</w:t>
      </w:r>
    </w:p>
    <w:p>
      <w:pPr>
        <w:spacing w:after="0" w:line="106"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1"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83"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83"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83"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83"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232"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ectPr>
          <w:pgSz w:w="11900" w:h="16838" w:orient="portrait"/>
          <w:cols w:equalWidth="0" w:num="2">
            <w:col w:w="6220" w:space="120"/>
            <w:col w:w="4380"/>
          </w:cols>
          <w:pgMar w:left="320" w:top="785" w:right="85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color w:val="auto"/>
        </w:rPr>
        <w:t>* Filed herewith</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23" w:lineRule="exact"/>
        <w:rPr>
          <w:sz w:val="20"/>
          <w:szCs w:val="20"/>
          <w:color w:val="auto"/>
        </w:rPr>
      </w:pPr>
    </w:p>
    <w:p>
      <w:pPr>
        <w:ind w:firstLine="5"/>
        <w:spacing w:after="0" w:line="269" w:lineRule="auto"/>
        <w:tabs>
          <w:tab w:leader="none" w:pos="118" w:val="left"/>
        </w:tabs>
        <w:numPr>
          <w:ilvl w:val="0"/>
          <w:numId w:val="72"/>
        </w:numPr>
        <w:rPr>
          <w:rFonts w:ascii="Arial" w:cs="Arial" w:eastAsia="Arial" w:hAnsi="Arial"/>
          <w:sz w:val="14"/>
          <w:szCs w:val="14"/>
          <w:color w:val="auto"/>
        </w:rPr>
      </w:pPr>
      <w:r>
        <w:rPr>
          <w:rFonts w:ascii="Arial" w:cs="Arial" w:eastAsia="Arial" w:hAnsi="Arial"/>
          <w:sz w:val="14"/>
          <w:szCs w:val="14"/>
          <w:color w:val="auto"/>
        </w:rPr>
        <w:t>Certain portions of this exhibit (indicated by “[***]”) have been omitted pursuant to Regulation S-K, Item (601)(b)(10) because the omitted information (i) is not material and (ii) is treated as confidential by the Company</w:t>
      </w: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931" w:right="519" w:bottom="1440" w:gutter="0" w:footer="0" w:header="0"/>
        </w:sectPr>
      </w:pPr>
    </w:p>
    <w:bookmarkStart w:id="132" w:name="page133"/>
    <w:bookmarkEnd w:id="132"/>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133" w:name="page134"/>
    <w:bookmarkEnd w:id="133"/>
    <w:p>
      <w:pPr>
        <w:jc w:val="center"/>
        <w:spacing w:after="0"/>
        <w:rPr>
          <w:sz w:val="20"/>
          <w:szCs w:val="20"/>
          <w:color w:val="auto"/>
        </w:rPr>
      </w:pPr>
      <w:r>
        <w:rPr>
          <w:rFonts w:ascii="Arial" w:cs="Arial" w:eastAsia="Arial" w:hAnsi="Arial"/>
          <w:sz w:val="14"/>
          <w:szCs w:val="14"/>
          <w:b w:val="1"/>
          <w:bCs w:val="1"/>
          <w:color w:val="auto"/>
        </w:rPr>
        <w:t>SIGNATURES</w:t>
      </w:r>
    </w:p>
    <w:p>
      <w:pPr>
        <w:spacing w:after="0" w:line="94" w:lineRule="exact"/>
        <w:rPr>
          <w:sz w:val="20"/>
          <w:szCs w:val="20"/>
          <w:color w:val="auto"/>
        </w:rPr>
      </w:pPr>
    </w:p>
    <w:p>
      <w:pPr>
        <w:ind w:right="400" w:firstLine="382"/>
        <w:spacing w:after="0" w:line="290" w:lineRule="auto"/>
        <w:rPr>
          <w:sz w:val="20"/>
          <w:szCs w:val="20"/>
          <w:color w:val="auto"/>
        </w:rPr>
      </w:pPr>
      <w:r>
        <w:rPr>
          <w:rFonts w:ascii="Arial" w:cs="Arial" w:eastAsia="Arial" w:hAnsi="Arial"/>
          <w:sz w:val="14"/>
          <w:szCs w:val="14"/>
          <w:color w:val="auto"/>
        </w:rPr>
        <w:t>Pursuant to the requirements of Sections 13 or 15(d)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3600" w:type="dxa"/>
            <w:vAlign w:val="bottom"/>
          </w:tcPr>
          <w:p>
            <w:pPr>
              <w:spacing w:after="0"/>
              <w:rPr>
                <w:sz w:val="16"/>
                <w:szCs w:val="16"/>
                <w:color w:val="auto"/>
              </w:rPr>
            </w:pPr>
          </w:p>
        </w:tc>
        <w:tc>
          <w:tcPr>
            <w:tcW w:w="7660" w:type="dxa"/>
            <w:vAlign w:val="bottom"/>
            <w:gridSpan w:val="2"/>
          </w:tcPr>
          <w:p>
            <w:pPr>
              <w:ind w:left="2340"/>
              <w:spacing w:after="0"/>
              <w:rPr>
                <w:sz w:val="20"/>
                <w:szCs w:val="20"/>
                <w:color w:val="auto"/>
              </w:rPr>
            </w:pPr>
            <w:r>
              <w:rPr>
                <w:rFonts w:ascii="Arial" w:cs="Arial" w:eastAsia="Arial" w:hAnsi="Arial"/>
                <w:sz w:val="14"/>
                <w:szCs w:val="14"/>
                <w:b w:val="1"/>
                <w:bCs w:val="1"/>
                <w:color w:val="auto"/>
              </w:rPr>
              <w:t>RENT THE RUNWAY, INC.</w:t>
            </w:r>
          </w:p>
        </w:tc>
      </w:tr>
      <w:tr>
        <w:trPr>
          <w:trHeight w:val="374"/>
        </w:trPr>
        <w:tc>
          <w:tcPr>
            <w:tcW w:w="3600" w:type="dxa"/>
            <w:vAlign w:val="bottom"/>
          </w:tcPr>
          <w:p>
            <w:pPr>
              <w:spacing w:after="0"/>
              <w:rPr>
                <w:sz w:val="20"/>
                <w:szCs w:val="20"/>
                <w:color w:val="auto"/>
              </w:rPr>
            </w:pPr>
            <w:r>
              <w:rPr>
                <w:rFonts w:ascii="Arial" w:cs="Arial" w:eastAsia="Arial" w:hAnsi="Arial"/>
                <w:sz w:val="14"/>
                <w:szCs w:val="14"/>
                <w:color w:val="auto"/>
              </w:rPr>
              <w:t>Date: April 13, 2023</w:t>
            </w:r>
          </w:p>
        </w:tc>
        <w:tc>
          <w:tcPr>
            <w:tcW w:w="7660" w:type="dxa"/>
            <w:vAlign w:val="bottom"/>
            <w:gridSpan w:val="2"/>
          </w:tcPr>
          <w:p>
            <w:pPr>
              <w:ind w:left="2340"/>
              <w:spacing w:after="0"/>
              <w:rPr>
                <w:sz w:val="20"/>
                <w:szCs w:val="20"/>
                <w:color w:val="auto"/>
              </w:rPr>
            </w:pPr>
            <w:r>
              <w:rPr>
                <w:rFonts w:ascii="Arial" w:cs="Arial" w:eastAsia="Arial" w:hAnsi="Arial"/>
                <w:sz w:val="14"/>
                <w:szCs w:val="14"/>
                <w:color w:val="auto"/>
              </w:rPr>
              <w:t>By:    /s/ Jennifer Y. Hyman</w:t>
            </w:r>
          </w:p>
        </w:tc>
      </w:tr>
      <w:tr>
        <w:trPr>
          <w:trHeight w:val="186"/>
        </w:trPr>
        <w:tc>
          <w:tcPr>
            <w:tcW w:w="36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8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Jennifer Y. Hyman</w:t>
            </w:r>
          </w:p>
        </w:tc>
      </w:tr>
      <w:tr>
        <w:trPr>
          <w:trHeight w:val="198"/>
        </w:trPr>
        <w:tc>
          <w:tcPr>
            <w:tcW w:w="36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4"/>
                <w:szCs w:val="14"/>
                <w:color w:val="auto"/>
              </w:rPr>
              <w:t>Chief Executive Officer</w:t>
            </w:r>
          </w:p>
        </w:tc>
      </w:tr>
    </w:tbl>
    <w:p>
      <w:pPr>
        <w:spacing w:after="0" w:line="164" w:lineRule="exact"/>
        <w:rPr>
          <w:sz w:val="20"/>
          <w:szCs w:val="20"/>
          <w:color w:val="auto"/>
        </w:rPr>
      </w:pPr>
    </w:p>
    <w:p>
      <w:pPr>
        <w:ind w:right="480" w:firstLine="382"/>
        <w:spacing w:after="0" w:line="290"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80"/>
          </w:cols>
          <w:pgMar w:left="300" w:top="1016" w:right="319" w:bottom="1440" w:gutter="0" w:footer="0" w:header="0"/>
        </w:sectPr>
      </w:pPr>
    </w:p>
    <w:p>
      <w:pPr>
        <w:spacing w:after="0" w:line="67"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10185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13"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210185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28"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Jennifer Y. Hyman</w:t>
      </w:r>
    </w:p>
    <w:p>
      <w:pPr>
        <w:spacing w:after="0" w:line="8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210185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Scarlett O’Sullivan</w:t>
      </w:r>
    </w:p>
    <w:p>
      <w:pPr>
        <w:spacing w:after="0" w:line="9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/s/ Tim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10185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31"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Tim Bixby</w:t>
      </w:r>
    </w:p>
    <w:p>
      <w:pPr>
        <w:spacing w:after="0" w:line="94"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Jennifer Fleiss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10185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31"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Jennifer Fleiss</w:t>
      </w:r>
    </w:p>
    <w:p>
      <w:pPr>
        <w:spacing w:after="0" w:line="9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10185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31"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Scott Friend</w:t>
      </w:r>
    </w:p>
    <w:p>
      <w:pPr>
        <w:spacing w:after="0" w:line="94"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Melanie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10185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31"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Melanie Harris</w:t>
      </w:r>
    </w:p>
    <w:p>
      <w:pPr>
        <w:spacing w:after="0" w:line="9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/s/ Beth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10185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Beth Kaplan</w:t>
      </w:r>
    </w:p>
    <w:p>
      <w:pPr>
        <w:spacing w:after="0" w:line="9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10185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31"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Dan Nova</w:t>
      </w:r>
    </w:p>
    <w:p>
      <w:pPr>
        <w:spacing w:after="0" w:line="94"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Gwyneth Paltrow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10185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Gwyneth Paltrow</w:t>
      </w:r>
    </w:p>
    <w:p>
      <w:pPr>
        <w:spacing w:after="0" w:line="94"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/s/ Carley 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10185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3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Carley Roney</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 Mike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10185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31"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Mike Roth</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89"/>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 xml:space="preserve">Chief Executive Officer and Director </w:t>
            </w:r>
            <w:r>
              <w:rPr>
                <w:rFonts w:ascii="Arial" w:cs="Arial" w:eastAsia="Arial" w:hAnsi="Arial"/>
                <w:sz w:val="14"/>
                <w:szCs w:val="14"/>
                <w:i w:val="1"/>
                <w:iCs w:val="1"/>
                <w:color w:val="auto"/>
              </w:rPr>
              <w:t>(Principal Executive Officer)</w:t>
            </w:r>
          </w:p>
        </w:tc>
        <w:tc>
          <w:tcPr>
            <w:tcW w:w="2240" w:type="dxa"/>
            <w:vAlign w:val="bottom"/>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33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 xml:space="preserve">Chief Financial Officer </w:t>
            </w:r>
            <w:r>
              <w:rPr>
                <w:rFonts w:ascii="Arial" w:cs="Arial" w:eastAsia="Arial" w:hAnsi="Arial"/>
                <w:sz w:val="14"/>
                <w:szCs w:val="14"/>
                <w:i w:val="1"/>
                <w:iCs w:val="1"/>
                <w:color w:val="auto"/>
              </w:rPr>
              <w:t>(Principal Financial Officer and Principal Accounting</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118"/>
        </w:trPr>
        <w:tc>
          <w:tcPr>
            <w:tcW w:w="51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Officer)</w:t>
            </w: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5120" w:type="dxa"/>
            <w:vAlign w:val="bottom"/>
            <w:gridSpan w:val="2"/>
            <w:vMerge w:val="continue"/>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1"/>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467"/>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467"/>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467"/>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467"/>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467"/>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467"/>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467"/>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509"/>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bl>
    <w:p>
      <w:pPr>
        <w:spacing w:after="0" w:line="281" w:lineRule="exact"/>
        <w:rPr>
          <w:sz w:val="20"/>
          <w:szCs w:val="20"/>
          <w:color w:val="auto"/>
        </w:rPr>
      </w:pPr>
    </w:p>
    <w:p>
      <w:pPr>
        <w:sectPr>
          <w:pgSz w:w="11900" w:h="16838" w:orient="portrait"/>
          <w:cols w:equalWidth="0" w:num="2">
            <w:col w:w="2680" w:space="720"/>
            <w:col w:w="7880"/>
          </w:cols>
          <w:pgMar w:left="300" w:top="1016" w:right="319" w:bottom="1440"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280"/>
          </w:cols>
          <w:pgMar w:left="300" w:top="1016" w:right="319" w:bottom="1440" w:gutter="0" w:footer="0" w:header="0"/>
          <w:type w:val="continuous"/>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7">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65" w:name="page266"/>
    <w:bookmarkEnd w:id="265"/>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60" w:type="dxa"/>
            <w:vAlign w:val="bottom"/>
          </w:tcPr>
          <w:p>
            <w:pPr>
              <w:spacing w:after="0"/>
              <w:rPr>
                <w:sz w:val="16"/>
                <w:szCs w:val="16"/>
                <w:color w:val="auto"/>
              </w:rPr>
            </w:pPr>
          </w:p>
        </w:tc>
        <w:tc>
          <w:tcPr>
            <w:tcW w:w="8220" w:type="dxa"/>
            <w:vAlign w:val="bottom"/>
            <w:gridSpan w:val="2"/>
          </w:tcPr>
          <w:p>
            <w:pPr>
              <w:ind w:left="1100"/>
              <w:spacing w:after="0"/>
              <w:rPr>
                <w:sz w:val="20"/>
                <w:szCs w:val="20"/>
                <w:color w:val="auto"/>
              </w:rPr>
            </w:pPr>
            <w:r>
              <w:rPr>
                <w:rFonts w:ascii="Arial" w:cs="Arial" w:eastAsia="Arial" w:hAnsi="Arial"/>
                <w:sz w:val="14"/>
                <w:szCs w:val="14"/>
                <w:b w:val="1"/>
                <w:bCs w:val="1"/>
                <w:color w:val="auto"/>
              </w:rPr>
              <w:t>List of Subsidiaries of Rent the Runway, Inc.</w:t>
            </w:r>
          </w:p>
        </w:tc>
      </w:tr>
      <w:tr>
        <w:trPr>
          <w:trHeight w:val="38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Subsidiary</w:t>
            </w:r>
          </w:p>
        </w:tc>
        <w:tc>
          <w:tcPr>
            <w:tcW w:w="1860" w:type="dxa"/>
            <w:vAlign w:val="bottom"/>
          </w:tcPr>
          <w:p>
            <w:pPr>
              <w:spacing w:after="0"/>
              <w:rPr>
                <w:sz w:val="24"/>
                <w:szCs w:val="24"/>
                <w:color w:val="auto"/>
              </w:rPr>
            </w:pPr>
          </w:p>
        </w:tc>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Organization</w:t>
            </w:r>
          </w:p>
        </w:tc>
      </w:tr>
      <w:tr>
        <w:trPr>
          <w:trHeight w:val="177"/>
        </w:trPr>
        <w:tc>
          <w:tcPr>
            <w:tcW w:w="3060" w:type="dxa"/>
            <w:vAlign w:val="bottom"/>
          </w:tcPr>
          <w:p>
            <w:pPr>
              <w:ind w:left="20"/>
              <w:spacing w:after="0"/>
              <w:rPr>
                <w:sz w:val="20"/>
                <w:szCs w:val="20"/>
                <w:color w:val="auto"/>
              </w:rPr>
            </w:pPr>
            <w:r>
              <w:rPr>
                <w:rFonts w:ascii="Arial" w:cs="Arial" w:eastAsia="Arial" w:hAnsi="Arial"/>
                <w:sz w:val="14"/>
                <w:szCs w:val="14"/>
                <w:color w:val="auto"/>
              </w:rPr>
              <w:t>Rent the Runway Limited</w:t>
            </w:r>
          </w:p>
        </w:tc>
        <w:tc>
          <w:tcPr>
            <w:tcW w:w="1860" w:type="dxa"/>
            <w:vAlign w:val="bottom"/>
          </w:tcPr>
          <w:p>
            <w:pPr>
              <w:spacing w:after="0"/>
              <w:rPr>
                <w:sz w:val="15"/>
                <w:szCs w:val="15"/>
                <w:color w:val="auto"/>
              </w:rPr>
            </w:pPr>
          </w:p>
        </w:tc>
        <w:tc>
          <w:tcPr>
            <w:tcW w:w="6360" w:type="dxa"/>
            <w:vAlign w:val="bottom"/>
          </w:tcPr>
          <w:p>
            <w:pPr>
              <w:ind w:left="20"/>
              <w:spacing w:after="0"/>
              <w:rPr>
                <w:sz w:val="20"/>
                <w:szCs w:val="20"/>
                <w:color w:val="auto"/>
              </w:rPr>
            </w:pPr>
            <w:r>
              <w:rPr>
                <w:rFonts w:ascii="Arial" w:cs="Arial" w:eastAsia="Arial" w:hAnsi="Arial"/>
                <w:sz w:val="14"/>
                <w:szCs w:val="14"/>
                <w:color w:val="auto"/>
              </w:rPr>
              <w:t>Ireland</w:t>
            </w:r>
          </w:p>
        </w:tc>
      </w:tr>
    </w:tbl>
    <w:p>
      <w:pPr>
        <w:sectPr>
          <w:pgSz w:w="11900" w:h="16838" w:orient="portrait"/>
          <w:cols w:equalWidth="0" w:num="1">
            <w:col w:w="11280"/>
          </w:cols>
          <w:pgMar w:left="300" w:top="125" w:right="319" w:bottom="1440" w:gutter="0" w:footer="0" w:header="0"/>
        </w:sectPr>
      </w:pPr>
    </w:p>
    <w:bookmarkStart w:id="266" w:name="page267"/>
    <w:bookmarkEnd w:id="266"/>
    <w:p>
      <w:pPr>
        <w:spacing w:after="0" w:line="45" w:lineRule="exact"/>
        <w:rPr>
          <w:sz w:val="20"/>
          <w:szCs w:val="20"/>
          <w:color w:val="auto"/>
        </w:rPr>
      </w:pPr>
    </w:p>
    <w:p>
      <w:pPr>
        <w:jc w:val="center"/>
        <w:ind w:right="-159"/>
        <w:spacing w:after="0"/>
        <w:rPr>
          <w:sz w:val="20"/>
          <w:szCs w:val="20"/>
          <w:color w:val="auto"/>
        </w:rPr>
      </w:pPr>
      <w:r>
        <w:rPr>
          <w:rFonts w:ascii="Georgia" w:cs="Georgia" w:eastAsia="Georgia" w:hAnsi="Georgia"/>
          <w:sz w:val="14"/>
          <w:szCs w:val="14"/>
          <w:color w:val="auto"/>
        </w:rPr>
        <w:t>CONSENT OF INDEPENDENT REGISTERED PUBLIC ACCOUNTING FIRM</w:t>
      </w:r>
    </w:p>
    <w:p>
      <w:pPr>
        <w:spacing w:after="0" w:line="318" w:lineRule="exact"/>
        <w:rPr>
          <w:sz w:val="20"/>
          <w:szCs w:val="20"/>
          <w:color w:val="auto"/>
        </w:rPr>
      </w:pPr>
    </w:p>
    <w:p>
      <w:pPr>
        <w:spacing w:after="0" w:line="232" w:lineRule="auto"/>
        <w:rPr>
          <w:sz w:val="20"/>
          <w:szCs w:val="20"/>
          <w:color w:val="auto"/>
        </w:rPr>
      </w:pPr>
      <w:r>
        <w:rPr>
          <w:rFonts w:ascii="Georgia" w:cs="Georgia" w:eastAsia="Georgia" w:hAnsi="Georgia"/>
          <w:sz w:val="14"/>
          <w:szCs w:val="14"/>
          <w:color w:val="auto"/>
        </w:rPr>
        <w:t>We hereby consent to the incorporation by reference in the Registration Statements on Form S-8 (Nos. 333-260564 and 333-264295) of Rent the Runway, Inc. of our report dated April 13, 2023 relating to the financial statements, which appears in this Form 10-K.</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Georgia" w:cs="Georgia" w:eastAsia="Georgia" w:hAnsi="Georgia"/>
          <w:sz w:val="14"/>
          <w:szCs w:val="14"/>
          <w:color w:val="auto"/>
        </w:rPr>
        <w:t>/s/ PricewaterhouseCoopers LLP</w:t>
      </w:r>
    </w:p>
    <w:p>
      <w:pPr>
        <w:spacing w:after="0" w:line="224" w:lineRule="auto"/>
        <w:rPr>
          <w:sz w:val="20"/>
          <w:szCs w:val="20"/>
          <w:color w:val="auto"/>
        </w:rPr>
      </w:pPr>
      <w:r>
        <w:rPr>
          <w:rFonts w:ascii="Georgia" w:cs="Georgia" w:eastAsia="Georgia" w:hAnsi="Georgia"/>
          <w:sz w:val="14"/>
          <w:szCs w:val="14"/>
          <w:color w:val="auto"/>
        </w:rPr>
        <w:t>New York, New York</w:t>
      </w:r>
    </w:p>
    <w:p>
      <w:pPr>
        <w:spacing w:after="0"/>
        <w:rPr>
          <w:sz w:val="20"/>
          <w:szCs w:val="20"/>
          <w:color w:val="auto"/>
        </w:rPr>
      </w:pPr>
      <w:r>
        <w:rPr>
          <w:rFonts w:ascii="Georgia" w:cs="Georgia" w:eastAsia="Georgia" w:hAnsi="Georgia"/>
          <w:sz w:val="14"/>
          <w:szCs w:val="14"/>
          <w:color w:val="auto"/>
        </w:rPr>
        <w:t>April 13, 2023</w:t>
      </w:r>
    </w:p>
    <w:p>
      <w:pPr>
        <w:sectPr>
          <w:pgSz w:w="11900" w:h="16838" w:orient="portrait"/>
          <w:cols w:equalWidth="0" w:num="1">
            <w:col w:w="11120"/>
          </w:cols>
          <w:pgMar w:left="300" w:top="1440" w:right="479" w:bottom="1440" w:gutter="0" w:footer="0" w:header="0"/>
        </w:sectPr>
      </w:pPr>
    </w:p>
    <w:bookmarkStart w:id="267" w:name="page268"/>
    <w:bookmarkEnd w:id="267"/>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Jennifer Y. Hyman, certify that:</w:t>
      </w:r>
    </w:p>
    <w:p>
      <w:pPr>
        <w:spacing w:after="0" w:line="189" w:lineRule="exact"/>
        <w:rPr>
          <w:sz w:val="20"/>
          <w:szCs w:val="20"/>
          <w:color w:val="auto"/>
        </w:rPr>
      </w:pPr>
    </w:p>
    <w:p>
      <w:pPr>
        <w:ind w:left="540" w:hanging="280"/>
        <w:spacing w:after="0"/>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7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7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7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right="180" w:hanging="251"/>
        <w:spacing w:after="0" w:line="255" w:lineRule="auto"/>
        <w:tabs>
          <w:tab w:leader="none" w:pos="1011" w:val="left"/>
        </w:tabs>
        <w:numPr>
          <w:ilvl w:val="1"/>
          <w:numId w:val="7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7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7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7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7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5" w:right="319" w:bottom="1440" w:gutter="0" w:footer="0" w:header="0"/>
        </w:sectPr>
      </w:pPr>
    </w:p>
    <w:bookmarkStart w:id="268" w:name="page269"/>
    <w:bookmarkEnd w:id="268"/>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4220" w:val="left"/>
          <w:tab w:leader="none" w:pos="7040" w:val="left"/>
        </w:tabs>
        <w:rPr>
          <w:sz w:val="20"/>
          <w:szCs w:val="20"/>
          <w:color w:val="auto"/>
        </w:rPr>
      </w:pPr>
      <w:r>
        <w:rPr>
          <w:rFonts w:ascii="Arial" w:cs="Arial" w:eastAsia="Arial" w:hAnsi="Arial"/>
          <w:sz w:val="14"/>
          <w:szCs w:val="14"/>
          <w:color w:val="auto"/>
        </w:rPr>
        <w:t>Date: April 13,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28575</wp:posOffset>
            </wp:positionV>
            <wp:extent cx="3725545"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1">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Jennifer Y. Hyman</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60"/>
          </w:cols>
          <w:pgMar w:left="320" w:top="125" w:right="319" w:bottom="1440" w:gutter="0" w:footer="0" w:header="0"/>
        </w:sectPr>
      </w:pPr>
    </w:p>
    <w:bookmarkStart w:id="269" w:name="page270"/>
    <w:bookmarkEnd w:id="269"/>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Scarlett O’Sullivan, certify that:</w:t>
      </w:r>
    </w:p>
    <w:p>
      <w:pPr>
        <w:spacing w:after="0" w:line="189" w:lineRule="exact"/>
        <w:rPr>
          <w:sz w:val="20"/>
          <w:szCs w:val="20"/>
          <w:color w:val="auto"/>
        </w:rPr>
      </w:pPr>
    </w:p>
    <w:p>
      <w:pPr>
        <w:ind w:left="540" w:hanging="280"/>
        <w:spacing w:after="0"/>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7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right="180" w:hanging="251"/>
        <w:spacing w:after="0" w:line="255" w:lineRule="auto"/>
        <w:tabs>
          <w:tab w:leader="none" w:pos="1011" w:val="left"/>
        </w:tabs>
        <w:numPr>
          <w:ilvl w:val="1"/>
          <w:numId w:val="74"/>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7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7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7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7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6" w:right="319" w:bottom="1440" w:gutter="0" w:footer="0" w:header="0"/>
        </w:sectPr>
      </w:pPr>
    </w:p>
    <w:bookmarkStart w:id="270" w:name="page271"/>
    <w:bookmarkEnd w:id="270"/>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220" w:val="left"/>
          <w:tab w:leader="none" w:pos="7040" w:val="left"/>
        </w:tabs>
        <w:rPr>
          <w:sz w:val="20"/>
          <w:szCs w:val="20"/>
          <w:color w:val="auto"/>
        </w:rPr>
      </w:pPr>
      <w:r>
        <w:rPr>
          <w:rFonts w:ascii="Arial" w:cs="Arial" w:eastAsia="Arial" w:hAnsi="Arial"/>
          <w:sz w:val="14"/>
          <w:szCs w:val="14"/>
          <w:color w:val="auto"/>
        </w:rPr>
        <w:t>Date: April 13,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28575</wp:posOffset>
            </wp:positionV>
            <wp:extent cx="3725545"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2">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Scarlett O’Sullivan</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60"/>
          </w:cols>
          <w:pgMar w:left="320" w:top="125" w:right="319" w:bottom="1440" w:gutter="0" w:footer="0" w:header="0"/>
        </w:sectPr>
      </w:pPr>
    </w:p>
    <w:bookmarkStart w:id="271" w:name="page272"/>
    <w:bookmarkEnd w:id="271"/>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64"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4"/>
          <w:szCs w:val="14"/>
          <w:color w:val="auto"/>
        </w:rPr>
        <w:t>I, Jennifer Y. Hyman, the Chief Executive Officer of Rent the Runway, Inc., certify, pursuant to 18 U.S.C. Section 1350, as adopted pursuant to Section 906 of the Sarbanes-Oxley Act of 2002, that the Annual Report on Form 10-K of Rent the Runway, Inc. for the period ended January 31, 2023, fully complies with the requirements of Section 13(a) or 15(d) of the Securities Exchange Act of 1934 and that the information contained in such Annual Report on Form 10-K fairly presents, in all material respects, the financial condition and results of operations of Rent the Runway, Inc.</w:t>
      </w:r>
    </w:p>
    <w:p>
      <w:pPr>
        <w:spacing w:after="0" w:line="200" w:lineRule="exact"/>
        <w:rPr>
          <w:sz w:val="20"/>
          <w:szCs w:val="20"/>
          <w:color w:val="auto"/>
        </w:rPr>
      </w:pPr>
    </w:p>
    <w:p>
      <w:pPr>
        <w:spacing w:after="0" w:line="360" w:lineRule="exact"/>
        <w:rPr>
          <w:sz w:val="20"/>
          <w:szCs w:val="20"/>
          <w:color w:val="auto"/>
        </w:rPr>
      </w:pPr>
    </w:p>
    <w:p>
      <w:pPr>
        <w:ind w:left="20"/>
        <w:spacing w:after="0"/>
        <w:tabs>
          <w:tab w:leader="none" w:pos="4240" w:val="left"/>
          <w:tab w:leader="none" w:pos="7060" w:val="left"/>
        </w:tabs>
        <w:rPr>
          <w:sz w:val="20"/>
          <w:szCs w:val="20"/>
          <w:color w:val="auto"/>
        </w:rPr>
      </w:pPr>
      <w:r>
        <w:rPr>
          <w:rFonts w:ascii="Arial" w:cs="Arial" w:eastAsia="Arial" w:hAnsi="Arial"/>
          <w:sz w:val="14"/>
          <w:szCs w:val="14"/>
          <w:color w:val="auto"/>
        </w:rPr>
        <w:t>Date: April 13,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3">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Jennifer Y. Hyman</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80"/>
          </w:cols>
          <w:pgMar w:left="300" w:top="125" w:right="319" w:bottom="1440" w:gutter="0" w:footer="0" w:header="0"/>
        </w:sectPr>
      </w:pPr>
    </w:p>
    <w:bookmarkStart w:id="272" w:name="page273"/>
    <w:bookmarkEnd w:id="272"/>
    <w:p>
      <w:pPr>
        <w:jc w:val="right"/>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3"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14"/>
          <w:szCs w:val="14"/>
          <w:color w:val="auto"/>
        </w:rPr>
        <w:t>I, Scarlett O’Sullivan, the Chief Financial Officer of Rent the Runway, Inc., certify, pursuant to 18 U.S.C. Section 1350, as adopted pursuant to Section 906 of the Sarbanes-Oxley Act of 2002, that the Annual Report on Form 10-K of Rent the Runway, Inc. for the period ended January 31, 2023, fully complies with the requirements of Section 13(a) or 15(d) of the Securities Exchange Act of 1934 and that the information contained in such Annual Report on Form 10-K fairly presents, in all material respects, the financial condition and results of operations of Rent the Runway, Inc.</w:t>
      </w:r>
    </w:p>
    <w:p>
      <w:pPr>
        <w:spacing w:after="0" w:line="200" w:lineRule="exact"/>
        <w:rPr>
          <w:sz w:val="20"/>
          <w:szCs w:val="20"/>
          <w:color w:val="auto"/>
        </w:rPr>
      </w:pPr>
    </w:p>
    <w:p>
      <w:pPr>
        <w:spacing w:after="0" w:line="360" w:lineRule="exact"/>
        <w:rPr>
          <w:sz w:val="20"/>
          <w:szCs w:val="20"/>
          <w:color w:val="auto"/>
        </w:rPr>
      </w:pPr>
    </w:p>
    <w:p>
      <w:pPr>
        <w:ind w:left="20"/>
        <w:spacing w:after="0"/>
        <w:tabs>
          <w:tab w:leader="none" w:pos="4240" w:val="left"/>
          <w:tab w:leader="none" w:pos="7060" w:val="left"/>
        </w:tabs>
        <w:rPr>
          <w:sz w:val="20"/>
          <w:szCs w:val="20"/>
          <w:color w:val="auto"/>
        </w:rPr>
      </w:pPr>
      <w:r>
        <w:rPr>
          <w:rFonts w:ascii="Arial" w:cs="Arial" w:eastAsia="Arial" w:hAnsi="Arial"/>
          <w:sz w:val="14"/>
          <w:szCs w:val="14"/>
          <w:color w:val="auto"/>
        </w:rPr>
        <w:t>Date: April 13,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4">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Scarlett O’Sullivan</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1"/>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2"/>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lvl w:ilvl="1">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5"/>
      <w:numFmt w:val="bullet"/>
      <w:start w:val="1"/>
    </w:lvl>
  </w:abstractNum>
  <w:abstractNum w:abstractNumId="19">
    <w:nsid w:val="6DE91B18"/>
    <w:multiLevelType w:val="hybridMultilevel"/>
    <w:lvl w:ilvl="0">
      <w:lvlJc w:val="left"/>
      <w:lvlText w:val="6"/>
      <w:numFmt w:val="bullet"/>
      <w:start w:val="1"/>
    </w:lvl>
  </w:abstractNum>
  <w:abstractNum w:abstractNumId="20">
    <w:nsid w:val="38437FDB"/>
    <w:multiLevelType w:val="hybridMultilevel"/>
    <w:lvl w:ilvl="0">
      <w:lvlJc w:val="left"/>
      <w:lvlText w:val="7"/>
      <w:numFmt w:val="bullet"/>
      <w:start w:val="1"/>
    </w:lvl>
  </w:abstractNum>
  <w:abstractNum w:abstractNumId="21">
    <w:nsid w:val="7644A45C"/>
    <w:multiLevelType w:val="hybridMultilevel"/>
    <w:lvl w:ilvl="0">
      <w:lvlJc w:val="left"/>
      <w:lvlText w:val="8"/>
      <w:numFmt w:val="bullet"/>
      <w:start w:val="1"/>
    </w:lvl>
  </w:abstractNum>
  <w:abstractNum w:abstractNumId="22">
    <w:nsid w:val="32FFF902"/>
    <w:multiLevelType w:val="hybridMultilevel"/>
    <w:lvl w:ilvl="0">
      <w:lvlJc w:val="left"/>
      <w:lvlText w:val="9"/>
      <w:numFmt w:val="bullet"/>
      <w:start w:val="1"/>
    </w:lvl>
  </w:abstractNum>
  <w:abstractNum w:abstractNumId="23">
    <w:nsid w:val="684A481A"/>
    <w:multiLevelType w:val="hybridMultilevel"/>
    <w:lvl w:ilvl="0">
      <w:lvlJc w:val="left"/>
      <w:lvlText w:val="%1"/>
      <w:numFmt w:val="decimal"/>
      <w:start w:val="10"/>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1"/>
      <w:numFmt w:val="decimal"/>
      <w:start w:val="1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lvl w:ilvl="1">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1"/>
      <w:numFmt w:val="decimal"/>
      <w:start w:val="12"/>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1."/>
      <w:numFmt w:val="decimal"/>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1."/>
      <w:numFmt w:val="decimal"/>
      <w:start w:val="3"/>
    </w:lvl>
  </w:abstractNum>
  <w:abstractNum w:abstractNumId="61">
    <w:nsid w:val="5DB70AE5"/>
    <w:multiLevelType w:val="hybridMultilevel"/>
    <w:lvl w:ilvl="0">
      <w:lvlJc w:val="left"/>
      <w:lvlText w:val="%1."/>
      <w:numFmt w:val="decimal"/>
      <w:start w:val="6"/>
    </w:lvl>
  </w:abstractNum>
  <w:abstractNum w:abstractNumId="62">
    <w:nsid w:val="100F8FCA"/>
    <w:multiLevelType w:val="hybridMultilevel"/>
    <w:lvl w:ilvl="0">
      <w:lvlJc w:val="left"/>
      <w:lvlText w:val="%1."/>
      <w:numFmt w:val="decimal"/>
      <w:start w:val="7"/>
    </w:lvl>
  </w:abstractNum>
  <w:abstractNum w:abstractNumId="63">
    <w:nsid w:val="6590700B"/>
    <w:multiLevelType w:val="hybridMultilevel"/>
    <w:lvl w:ilvl="0">
      <w:lvlJc w:val="left"/>
      <w:lvlText w:val="%1."/>
      <w:numFmt w:val="decimal"/>
      <w:start w:val="8"/>
    </w:lvl>
  </w:abstractNum>
  <w:abstractNum w:abstractNumId="64">
    <w:nsid w:val="15014ACB"/>
    <w:multiLevelType w:val="hybridMultilevel"/>
    <w:lvl w:ilvl="0">
      <w:lvlJc w:val="left"/>
      <w:lvlText w:val="%1."/>
      <w:numFmt w:val="decimal"/>
      <w:start w:val="9"/>
    </w:lvl>
  </w:abstractNum>
  <w:abstractNum w:abstractNumId="65">
    <w:nsid w:val="5F5E7FD0"/>
    <w:multiLevelType w:val="hybridMultilevel"/>
    <w:lvl w:ilvl="0">
      <w:lvlJc w:val="left"/>
      <w:lvlText w:val="%1."/>
      <w:numFmt w:val="decimal"/>
      <w:start w:val="10"/>
    </w:lvl>
  </w:abstractNum>
  <w:abstractNum w:abstractNumId="66">
    <w:nsid w:val="98A3148"/>
    <w:multiLevelType w:val="hybridMultilevel"/>
    <w:lvl w:ilvl="0">
      <w:lvlJc w:val="left"/>
      <w:lvlText w:val="%1."/>
      <w:numFmt w:val="decimal"/>
      <w:start w:val="11"/>
    </w:lvl>
  </w:abstractNum>
  <w:abstractNum w:abstractNumId="67">
    <w:nsid w:val="799D0247"/>
    <w:multiLevelType w:val="hybridMultilevel"/>
    <w:lvl w:ilvl="0">
      <w:lvlJc w:val="left"/>
      <w:lvlText w:val="%1."/>
      <w:numFmt w:val="decimal"/>
      <w:start w:val="12"/>
    </w:lvl>
  </w:abstractNum>
  <w:abstractNum w:abstractNumId="68">
    <w:nsid w:val="6B94764"/>
    <w:multiLevelType w:val="hybridMultilevel"/>
    <w:lvl w:ilvl="0">
      <w:lvlJc w:val="left"/>
      <w:lvlText w:val="%1."/>
      <w:numFmt w:val="decimal"/>
      <w:start w:val="14"/>
    </w:lvl>
  </w:abstractNum>
  <w:abstractNum w:abstractNumId="69">
    <w:nsid w:val="42C296BD"/>
    <w:multiLevelType w:val="hybridMultilevel"/>
    <w:lvl w:ilvl="0">
      <w:lvlJc w:val="left"/>
      <w:lvlText w:val="%1."/>
      <w:numFmt w:val="decimal"/>
      <w:start w:val="15"/>
    </w:lvl>
  </w:abstractNum>
  <w:abstractNum w:abstractNumId="70">
    <w:nsid w:val="168E121F"/>
    <w:multiLevelType w:val="hybridMultilevel"/>
    <w:lvl w:ilvl="0">
      <w:lvlJc w:val="left"/>
      <w:lvlText w:val="%1."/>
      <w:numFmt w:val="decimal"/>
      <w:start w:val="16"/>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png"/><Relationship Id="rId300"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312" Type="http://schemas.openxmlformats.org/officeDocument/2006/relationships/image" Target="media/image271.png"/><Relationship Id="rId313" Type="http://schemas.openxmlformats.org/officeDocument/2006/relationships/image" Target="media/image272.png"/><Relationship Id="rId314" Type="http://schemas.openxmlformats.org/officeDocument/2006/relationships/image" Target="media/image273.png"/><Relationship Id="rId315" Type="http://schemas.openxmlformats.org/officeDocument/2006/relationships/image" Target="media/image274.png"/><Relationship Id="rId316" Type="http://schemas.openxmlformats.org/officeDocument/2006/relationships/image" Target="media/image275.png"/><Relationship Id="rId317" Type="http://schemas.openxmlformats.org/officeDocument/2006/relationships/image" Target="media/image276.png"/><Relationship Id="rId318" Type="http://schemas.openxmlformats.org/officeDocument/2006/relationships/image" Target="media/image277.png"/><Relationship Id="rId319" Type="http://schemas.openxmlformats.org/officeDocument/2006/relationships/image" Target="media/image278.png"/><Relationship Id="rId320" Type="http://schemas.openxmlformats.org/officeDocument/2006/relationships/image" Target="media/image279.png"/><Relationship Id="rId321" Type="http://schemas.openxmlformats.org/officeDocument/2006/relationships/image" Target="media/image280.png"/><Relationship Id="rId322" Type="http://schemas.openxmlformats.org/officeDocument/2006/relationships/image" Target="media/image281.png"/><Relationship Id="rId323" Type="http://schemas.openxmlformats.org/officeDocument/2006/relationships/image" Target="media/image282.png"/><Relationship Id="rId324" Type="http://schemas.openxmlformats.org/officeDocument/2006/relationships/image" Target="media/image283.png"/><Relationship Id="rId325" Type="http://schemas.openxmlformats.org/officeDocument/2006/relationships/image" Target="media/image284.png"/><Relationship Id="rId326" Type="http://schemas.openxmlformats.org/officeDocument/2006/relationships/image" Target="media/image285.png"/><Relationship Id="rId327" Type="http://schemas.openxmlformats.org/officeDocument/2006/relationships/image" Target="media/image286.png"/><Relationship Id="rId328" Type="http://schemas.openxmlformats.org/officeDocument/2006/relationships/image" Target="media/image287.png"/><Relationship Id="rId329" Type="http://schemas.openxmlformats.org/officeDocument/2006/relationships/image" Target="media/image288.png"/><Relationship Id="rId330" Type="http://schemas.openxmlformats.org/officeDocument/2006/relationships/image" Target="media/image289.png"/><Relationship Id="rId331" Type="http://schemas.openxmlformats.org/officeDocument/2006/relationships/image" Target="media/image290.png"/><Relationship Id="rId332" Type="http://schemas.openxmlformats.org/officeDocument/2006/relationships/image" Target="media/image291.png"/><Relationship Id="rId333" Type="http://schemas.openxmlformats.org/officeDocument/2006/relationships/image" Target="media/image292.png"/><Relationship Id="rId334" Type="http://schemas.openxmlformats.org/officeDocument/2006/relationships/image" Target="media/image293.png"/><Relationship Id="rId335" Type="http://schemas.openxmlformats.org/officeDocument/2006/relationships/image" Target="media/image294.png"/><Relationship Id="rId336" Type="http://schemas.openxmlformats.org/officeDocument/2006/relationships/image" Target="media/image295.png"/><Relationship Id="rId337" Type="http://schemas.openxmlformats.org/officeDocument/2006/relationships/image" Target="media/image296.png"/><Relationship Id="rId338" Type="http://schemas.openxmlformats.org/officeDocument/2006/relationships/image" Target="media/image297.png"/><Relationship Id="rId339" Type="http://schemas.openxmlformats.org/officeDocument/2006/relationships/image" Target="media/image298.png"/><Relationship Id="rId340" Type="http://schemas.openxmlformats.org/officeDocument/2006/relationships/image" Target="media/image299.png"/><Relationship Id="rId341" Type="http://schemas.openxmlformats.org/officeDocument/2006/relationships/image" Target="media/image300.png"/><Relationship Id="rId342" Type="http://schemas.openxmlformats.org/officeDocument/2006/relationships/image" Target="media/image301.png"/><Relationship Id="rId343" Type="http://schemas.openxmlformats.org/officeDocument/2006/relationships/image" Target="media/image302.png"/><Relationship Id="rId344" Type="http://schemas.openxmlformats.org/officeDocument/2006/relationships/image" Target="media/image303.png"/><Relationship Id="rId345" Type="http://schemas.openxmlformats.org/officeDocument/2006/relationships/image" Target="media/image304.png"/><Relationship Id="rId346" Type="http://schemas.openxmlformats.org/officeDocument/2006/relationships/image" Target="media/image305.png"/><Relationship Id="rId347" Type="http://schemas.openxmlformats.org/officeDocument/2006/relationships/image" Target="media/image306.png"/><Relationship Id="rId348" Type="http://schemas.openxmlformats.org/officeDocument/2006/relationships/image" Target="media/image307.png"/><Relationship Id="rId349" Type="http://schemas.openxmlformats.org/officeDocument/2006/relationships/image" Target="media/image308.png"/><Relationship Id="rId350" Type="http://schemas.openxmlformats.org/officeDocument/2006/relationships/image" Target="media/image309.png"/><Relationship Id="rId351" Type="http://schemas.openxmlformats.org/officeDocument/2006/relationships/image" Target="media/image310.png"/><Relationship Id="rId352" Type="http://schemas.openxmlformats.org/officeDocument/2006/relationships/image" Target="media/image311.png"/><Relationship Id="rId353" Type="http://schemas.openxmlformats.org/officeDocument/2006/relationships/image" Target="media/image312.png"/><Relationship Id="rId354" Type="http://schemas.openxmlformats.org/officeDocument/2006/relationships/image" Target="media/image313.png"/><Relationship Id="rId355" Type="http://schemas.openxmlformats.org/officeDocument/2006/relationships/image" Target="media/image314.png"/><Relationship Id="rId356" Type="http://schemas.openxmlformats.org/officeDocument/2006/relationships/image" Target="media/image315.png"/><Relationship Id="rId357" Type="http://schemas.openxmlformats.org/officeDocument/2006/relationships/image" Target="media/image316.png"/><Relationship Id="rId358" Type="http://schemas.openxmlformats.org/officeDocument/2006/relationships/image" Target="media/image317.png"/><Relationship Id="rId359" Type="http://schemas.openxmlformats.org/officeDocument/2006/relationships/image" Target="media/image318.png"/><Relationship Id="rId360" Type="http://schemas.openxmlformats.org/officeDocument/2006/relationships/image" Target="media/image319.png"/><Relationship Id="rId361" Type="http://schemas.openxmlformats.org/officeDocument/2006/relationships/image" Target="media/image320.png"/><Relationship Id="rId362" Type="http://schemas.openxmlformats.org/officeDocument/2006/relationships/image" Target="media/image321.png"/><Relationship Id="rId363" Type="http://schemas.openxmlformats.org/officeDocument/2006/relationships/image" Target="media/image322.png"/><Relationship Id="rId364" Type="http://schemas.openxmlformats.org/officeDocument/2006/relationships/image" Target="media/image323.png"/><Relationship Id="rId365" Type="http://schemas.openxmlformats.org/officeDocument/2006/relationships/image" Target="media/image324.png"/><Relationship Id="rId366" Type="http://schemas.openxmlformats.org/officeDocument/2006/relationships/image" Target="media/image325.png"/><Relationship Id="rId367" Type="http://schemas.openxmlformats.org/officeDocument/2006/relationships/image" Target="media/image326.png"/><Relationship Id="rId368" Type="http://schemas.openxmlformats.org/officeDocument/2006/relationships/image" Target="media/image327.png"/><Relationship Id="rId369" Type="http://schemas.openxmlformats.org/officeDocument/2006/relationships/image" Target="media/image328.png"/><Relationship Id="rId370" Type="http://schemas.openxmlformats.org/officeDocument/2006/relationships/image" Target="media/image329.png"/><Relationship Id="rId371" Type="http://schemas.openxmlformats.org/officeDocument/2006/relationships/image" Target="media/image330.png"/><Relationship Id="rId372" Type="http://schemas.openxmlformats.org/officeDocument/2006/relationships/image" Target="media/image331.png"/><Relationship Id="rId373" Type="http://schemas.openxmlformats.org/officeDocument/2006/relationships/image" Target="media/image332.png"/><Relationship Id="rId374" Type="http://schemas.openxmlformats.org/officeDocument/2006/relationships/image" Target="media/image333.png"/><Relationship Id="rId375" Type="http://schemas.openxmlformats.org/officeDocument/2006/relationships/image" Target="media/image334.png"/><Relationship Id="rId376" Type="http://schemas.openxmlformats.org/officeDocument/2006/relationships/image" Target="media/image335.png"/><Relationship Id="rId377" Type="http://schemas.openxmlformats.org/officeDocument/2006/relationships/image" Target="media/image336.png"/><Relationship Id="rId378" Type="http://schemas.openxmlformats.org/officeDocument/2006/relationships/image" Target="media/image337.png"/><Relationship Id="rId379" Type="http://schemas.openxmlformats.org/officeDocument/2006/relationships/image" Target="media/image338.png"/><Relationship Id="rId380" Type="http://schemas.openxmlformats.org/officeDocument/2006/relationships/image" Target="media/image339.png"/><Relationship Id="rId381" Type="http://schemas.openxmlformats.org/officeDocument/2006/relationships/image" Target="media/image340.png"/><Relationship Id="rId382" Type="http://schemas.openxmlformats.org/officeDocument/2006/relationships/image" Target="media/image341.png"/><Relationship Id="rId383" Type="http://schemas.openxmlformats.org/officeDocument/2006/relationships/image" Target="media/image342.png"/><Relationship Id="rId384" Type="http://schemas.openxmlformats.org/officeDocument/2006/relationships/image" Target="media/image343.png"/><Relationship Id="rId198" Type="http://schemas.openxmlformats.org/officeDocument/2006/relationships/hyperlink" Target="https://www.sec.gov/Archives/edgar/data/0001468327/000119312521313321/d211519dex31.htm" TargetMode="External"/><Relationship Id="rId199" Type="http://schemas.openxmlformats.org/officeDocument/2006/relationships/hyperlink" Target="https://www.sec.gov/Archives/edgar/data/0001468327/000119312521313321/d211519dex32.htm" TargetMode="External"/><Relationship Id="rId200" Type="http://schemas.openxmlformats.org/officeDocument/2006/relationships/hyperlink" Target="https://www.sec.gov/Archives/edgar/data/0001468327/000119312521291103/d194411dex41.htm" TargetMode="External"/><Relationship Id="rId201" Type="http://schemas.openxmlformats.org/officeDocument/2006/relationships/hyperlink" Target="https://www.sec.gov/Archives/edgar/data/0001468327/000119312521291103/d194411dex42.htm" TargetMode="External"/><Relationship Id="rId202" Type="http://schemas.openxmlformats.org/officeDocument/2006/relationships/hyperlink" Target="https://www.sec.gov/Archives/edgar/data/1468327/000146832722000047/exhibit43descriptionofcapi.htm" TargetMode="External"/><Relationship Id="rId203" Type="http://schemas.openxmlformats.org/officeDocument/2006/relationships/hyperlink" Target="https://www.sec.gov/Archives/edgar/data/0001468327/000119312521301156/d194411dex102.htm" TargetMode="External"/><Relationship Id="rId204" Type="http://schemas.openxmlformats.org/officeDocument/2006/relationships/hyperlink" Target="https://www.sec.gov/Archives/edgar/data/0001468327/000119312521301156/d194411dex103.htm" TargetMode="External"/><Relationship Id="rId205" Type="http://schemas.openxmlformats.org/officeDocument/2006/relationships/hyperlink" Target="https://www.sec.gov/Archives/edgar/data/0001468327/000119312521301156/d194411dex104.htm" TargetMode="External"/><Relationship Id="rId206" Type="http://schemas.openxmlformats.org/officeDocument/2006/relationships/hyperlink" Target="https://www.sec.gov/Archives/edgar/data/0001468327/000119312521301156/d194411dex105.htm" TargetMode="External"/><Relationship Id="rId207" Type="http://schemas.openxmlformats.org/officeDocument/2006/relationships/hyperlink" Target="https://www.sec.gov/Archives/edgar/data/0001468327/000119312521301156/d194411dex106.htm" TargetMode="External"/><Relationship Id="rId208" Type="http://schemas.openxmlformats.org/officeDocument/2006/relationships/hyperlink" Target="https://www.sec.gov/Archives/edgar/data/0001468327/000119312521301156/d194411dex107.htm" TargetMode="External"/><Relationship Id="rId209" Type="http://schemas.openxmlformats.org/officeDocument/2006/relationships/hyperlink" Target="https://www.sec.gov/Archives/edgar/data/0001468327/000119312521301156/d194411dex108.htm" TargetMode="External"/><Relationship Id="rId210" Type="http://schemas.openxmlformats.org/officeDocument/2006/relationships/hyperlink" Target="https://www.sec.gov/Archives/edgar/data/1468327/000119312521304928/d194411dex109.htm" TargetMode="External"/><Relationship Id="rId211" Type="http://schemas.openxmlformats.org/officeDocument/2006/relationships/hyperlink" Target="https://www.sec.gov/Archives/edgar/data/1468327/000119312521301156/d194411dex1010.htm" TargetMode="External"/><Relationship Id="rId212" Type="http://schemas.openxmlformats.org/officeDocument/2006/relationships/hyperlink" Target="https://www.sec.gov/Archives/edgar/data/1468327/000119312521301156/d194411dex1011.htm" TargetMode="External"/><Relationship Id="rId215" Type="http://schemas.openxmlformats.org/officeDocument/2006/relationships/hyperlink" Target="https://www.sec.gov/Archives/edgar/data/1468327/000119312521301156/d194411dex1012.htm" TargetMode="External"/><Relationship Id="rId216" Type="http://schemas.openxmlformats.org/officeDocument/2006/relationships/hyperlink" Target="https://www.sec.gov/Archives/edgar/data/1468327/000119312521301156/d194411dex101.htm" TargetMode="External"/><Relationship Id="rId217" Type="http://schemas.openxmlformats.org/officeDocument/2006/relationships/hyperlink" Target="https://www.sec.gov/Archives/edgar/data/1468327/000119312521301156/d194411dex1013.htm" TargetMode="External"/><Relationship Id="rId218" Type="http://schemas.openxmlformats.org/officeDocument/2006/relationships/hyperlink" Target="https://www.sec.gov/Archives/edgar/data/0001468327/000119312521304928/d194411dex1014.htm" TargetMode="External"/><Relationship Id="rId219" Type="http://schemas.openxmlformats.org/officeDocument/2006/relationships/hyperlink" Target="https://www.sec.gov/Archives/edgar/data/1468327/000119312521301156/d194411dex1019.htm" TargetMode="External"/><Relationship Id="rId220" Type="http://schemas.openxmlformats.org/officeDocument/2006/relationships/hyperlink" Target="https://www.sec.gov/Archives/edgar/data/1468327/000146832721000013/exhibit109.htm" TargetMode="External"/><Relationship Id="rId221" Type="http://schemas.openxmlformats.org/officeDocument/2006/relationships/hyperlink" Target="https://www.sec.gov/Archives/edgar/data/1468327/000119312521301156/d194411dex1015.htm" TargetMode="External"/><Relationship Id="rId222" Type="http://schemas.openxmlformats.org/officeDocument/2006/relationships/hyperlink" Target="https://www.sec.gov/Archives/edgar/data/1468327/000146832722000073/exhibit101jhemploymentagre.htm" TargetMode="External"/><Relationship Id="rId223" Type="http://schemas.openxmlformats.org/officeDocument/2006/relationships/hyperlink" Target="https://www.sec.gov/Archives/edgar/data/0001468327/000119312521301156/d194411dex1016.htm" TargetMode="External"/><Relationship Id="rId224" Type="http://schemas.openxmlformats.org/officeDocument/2006/relationships/hyperlink" Target="https://www.sec.gov/Archives/edgar/data/0001468327/000119312521301156/d194411dex1017.htm" TargetMode="External"/><Relationship Id="rId225" Type="http://schemas.openxmlformats.org/officeDocument/2006/relationships/hyperlink" Target="https://www.sec.gov/Archives/edgar/data/0001468327/000119312521301156/d194411dex1018.htm" TargetMode="External"/><Relationship Id="rId226" Type="http://schemas.openxmlformats.org/officeDocument/2006/relationships/hyperlink" Target="https://www.sec.gov/Archives/edgar/data/1468327/000119312521301156/d194411dex1020.htm" TargetMode="External"/><Relationship Id="rId227" Type="http://schemas.openxmlformats.org/officeDocument/2006/relationships/hyperlink" Target="https://www.sec.gov/Archives/edgar/data/0001468327/000119312521313321/d211519dex101.htm" TargetMode="External"/><Relationship Id="rId228" Type="http://schemas.openxmlformats.org/officeDocument/2006/relationships/hyperlink" Target="https://www.sec.gov/Archives/edgar/data/0001468327/000119312521291103/d194411dex1021.htm" TargetMode="External"/><Relationship Id="rId229" Type="http://schemas.openxmlformats.org/officeDocument/2006/relationships/hyperlink" Target="https://www.sec.gov/Archives/edgar/data/0001468327/000119312521291103/d194411dex1022.htm" TargetMode="External"/><Relationship Id="rId230" Type="http://schemas.openxmlformats.org/officeDocument/2006/relationships/hyperlink" Target="https://www.sec.gov/Archives/edgar/data/1468327/000119312521291103/d194411dex1023.htm" TargetMode="External"/><Relationship Id="rId231" Type="http://schemas.openxmlformats.org/officeDocument/2006/relationships/hyperlink" Target="https://www.sec.gov/Archives/edgar/data/1468327/000119312521291103/d194411dex1024.htm" TargetMode="External"/><Relationship Id="rId234" Type="http://schemas.openxmlformats.org/officeDocument/2006/relationships/hyperlink" Target="https://www.sec.gov/Archives/edgar/data/1468327/000146832722000047/exhibit102710jaylease2ndam.htm" TargetMode="External"/><Relationship Id="rId235" Type="http://schemas.openxmlformats.org/officeDocument/2006/relationships/hyperlink" Target="https://www.sec.gov/Archives/edgar/data/1468327/000146832722000115/rtr-eighthamendmentfull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2023-04-13T20:57:24Z</dcterms:created>
  <dcterms:modified xsi:type="dcterms:W3CDTF">2023-04-13T20:57:24Z</dcterms:modified>
</cp:coreProperties>
</file>