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7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70485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53340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34"/>
          <w:szCs w:val="34"/>
          <w:b w:val="1"/>
          <w:bCs w:val="1"/>
          <w:color w:val="auto"/>
        </w:rPr>
        <w:t>Rent the Runway, Inc.</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5"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001-40958</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80-0376379</w:t>
            </w:r>
          </w:p>
        </w:tc>
      </w:tr>
      <w:tr>
        <w:trPr>
          <w:trHeight w:val="140"/>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5240" w:type="dxa"/>
            <w:vAlign w:val="bottom"/>
          </w:tcPr>
          <w:p>
            <w:pPr>
              <w:ind w:left="226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5240" w:type="dxa"/>
            <w:vAlign w:val="bottom"/>
          </w:tcPr>
          <w:p>
            <w:pPr>
              <w:ind w:left="226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31"/>
        </w:trPr>
        <w:tc>
          <w:tcPr>
            <w:tcW w:w="18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52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Brooklyn, New York 11201</w:t>
            </w:r>
          </w:p>
        </w:tc>
        <w:tc>
          <w:tcPr>
            <w:tcW w:w="17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236"/>
        </w:trPr>
        <w:tc>
          <w:tcPr>
            <w:tcW w:w="18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524-6860</w:t>
            </w:r>
          </w:p>
        </w:tc>
        <w:tc>
          <w:tcPr>
            <w:tcW w:w="1700" w:type="dxa"/>
            <w:vAlign w:val="bottom"/>
          </w:tcPr>
          <w:p>
            <w:pPr>
              <w:spacing w:after="0"/>
              <w:rPr>
                <w:sz w:val="20"/>
                <w:szCs w:val="20"/>
                <w:color w:val="auto"/>
              </w:rPr>
            </w:pPr>
          </w:p>
        </w:tc>
      </w:tr>
      <w:tr>
        <w:trPr>
          <w:trHeight w:val="167"/>
        </w:trPr>
        <w:tc>
          <w:tcPr>
            <w:tcW w:w="186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70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7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167005</wp:posOffset>
            </wp:positionV>
            <wp:extent cx="24390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ectPr>
          <w:pgSz w:w="11900" w:h="16838" w:orient="portrait"/>
          <w:cols w:equalWidth="0" w:num="1">
            <w:col w:w="10700"/>
          </w:cols>
          <w:pgMar w:left="300" w:top="897" w:right="899" w:bottom="1440" w:gutter="0" w:footer="0" w:header="0"/>
        </w:sectPr>
      </w:pPr>
    </w:p>
    <w:p>
      <w:pPr>
        <w:spacing w:after="0" w:line="189" w:lineRule="exact"/>
        <w:rPr>
          <w:sz w:val="24"/>
          <w:szCs w:val="2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360" w:firstLine="684"/>
        <w:spacing w:after="0" w:line="463" w:lineRule="auto"/>
        <w:tabs>
          <w:tab w:leader="none" w:pos="104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r>
      <w:tr>
        <w:trPr>
          <w:trHeight w:val="18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r>
      <w:tr>
        <w:trPr>
          <w:trHeight w:val="186"/>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-478155</wp:posOffset>
            </wp:positionH>
            <wp:positionV relativeFrom="paragraph">
              <wp:posOffset>26035</wp:posOffset>
            </wp:positionV>
            <wp:extent cx="22840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26"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NASDAQ</w:t>
      </w:r>
    </w:p>
    <w:p>
      <w:pPr>
        <w:spacing w:after="0" w:line="159" w:lineRule="exact"/>
        <w:rPr>
          <w:sz w:val="24"/>
          <w:szCs w:val="24"/>
          <w:color w:val="auto"/>
        </w:rPr>
      </w:pPr>
    </w:p>
    <w:p>
      <w:pPr>
        <w:sectPr>
          <w:pgSz w:w="11900" w:h="16838" w:orient="portrait"/>
          <w:cols w:equalWidth="0" w:num="2">
            <w:col w:w="7720" w:space="720"/>
            <w:col w:w="2260"/>
          </w:cols>
          <w:pgMar w:left="300" w:top="897" w:right="899" w:bottom="1440" w:gutter="0" w:footer="0" w:header="0"/>
          <w:type w:val="continuous"/>
        </w:sect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392430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897" w:right="899" w:bottom="1440" w:gutter="0" w:footer="0" w:header="0"/>
          <w:type w:val="continuous"/>
        </w:sectPr>
      </w:pPr>
    </w:p>
    <w:bookmarkStart w:id="1" w:name="page2"/>
    <w:bookmarkEnd w:id="1"/>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701675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60"/>
          </w:cols>
          <w:pgMar w:left="300" w:top="719" w:right="539" w:bottom="1440" w:gutter="0" w:footer="0" w:header="0"/>
        </w:sectPr>
      </w:pPr>
    </w:p>
    <w:bookmarkStart w:id="2" w:name="page3"/>
    <w:bookmarkEnd w:id="2"/>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3.01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Notice of Delisting or Failure to Satisfy a Continued Listing Rule or Standard;</w:t>
      </w:r>
    </w:p>
    <w:p>
      <w:pPr>
        <w:spacing w:after="0"/>
        <w:rPr>
          <w:sz w:val="20"/>
          <w:szCs w:val="20"/>
          <w:color w:val="auto"/>
        </w:rPr>
      </w:pPr>
      <w:r>
        <w:rPr>
          <w:rFonts w:ascii="Times New Roman" w:cs="Times New Roman" w:eastAsia="Times New Roman" w:hAnsi="Times New Roman"/>
          <w:sz w:val="14"/>
          <w:szCs w:val="14"/>
          <w:b w:val="1"/>
          <w:bCs w:val="1"/>
          <w:color w:val="auto"/>
        </w:rPr>
        <w:t>Transfer of Listing.</w:t>
      </w:r>
    </w:p>
    <w:p>
      <w:pPr>
        <w:spacing w:after="0" w:line="200" w:lineRule="exact"/>
        <w:rPr>
          <w:sz w:val="20"/>
          <w:szCs w:val="20"/>
          <w:color w:val="auto"/>
        </w:rPr>
      </w:pPr>
    </w:p>
    <w:p>
      <w:pPr>
        <w:sectPr>
          <w:pgSz w:w="11900" w:h="16838" w:orient="portrait"/>
          <w:cols w:equalWidth="0" w:num="2">
            <w:col w:w="580" w:space="580"/>
            <w:col w:w="10100"/>
          </w:cols>
          <w:pgMar w:left="300" w:top="850" w:right="339" w:bottom="1440" w:gutter="0" w:footer="0" w:header="0"/>
        </w:sectPr>
      </w:pPr>
    </w:p>
    <w:p>
      <w:pPr>
        <w:spacing w:after="0" w:line="6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March 27, 2024, Rent the Runway, Inc. (the “Company”) received written notice (the “Notice”) from The Nasdaq Stock Market, LLC (“Nasdaq”) notifying the Company that the Company is no longer in compliance with the minimum Market Value of Listed Securities (“MVLS”) of $35,000,000 required for continued listing on The Nasdaq Capital Market as set forth in Nasdaq Listing Rule 5550(b)(2) (the “Minimum MVLS Requirement”). The Notice has no effect at this time on the listing of the Company’s Class A common stock, par value $0.001 per share, which continues to trade on The Nasdaq Capital Market under the symbol “RENT”.</w:t>
      </w:r>
    </w:p>
    <w:p>
      <w:pPr>
        <w:spacing w:after="0" w:line="1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Notice is in addition to the previous notice of deficiency that the Company received from Nasdaq on October 20, 2023, notifying the Company that the bid price for the Company’s Class A common stock had closed below the minimum $1.00 per share requirement for continued listing on the Nasdaq Capital Market under Nasdaq Listing Rule 5550(a)(2) for the prior thirty consecutive business days (the “Bid Price Requirement”). While the Bid Price Requirement remains uncured as of the date of this Current Report on Form 8-K, the Company has taken action to cure the deficiency, as described further in Item 5.03 of this Current Report on Form 8-K.</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In accordance with Nasdaq Listing Rule 5810(c)(3)(C), the Company has a period of 180 calendar days, or until September 23, 2024 (the “Compliance Date”), to regain compliance with the Minimum MVLS Requirement. To regain compliance with the Minimum MVLS Requirement, the Company’s MVLS must close at $35,000,000 or more for a minimum of 10 consecutive business days prior to the Compliance Date.</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If the Company does not regain compliance with the Minimum MVLS Requirement by the Compliance Date, Nasdaq will notify the Company that its securities are subject to delisting, at which point the Company may appeal the delisting determination to a Nasdaq hearings panel. There can be no assurance that, if the Company decides to appeal the delisting determination, such an appeal would be successful.</w:t>
      </w:r>
    </w:p>
    <w:p>
      <w:pPr>
        <w:spacing w:after="0" w:line="15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Company intends to actively monitor its MVLS and may, if appropriate, consider implementing available options to regain compliance with the Minimum MVLS Requirement under the Nasdaq Listing Rules. There can be no assurance that the Company will be able to regain compliance with the Minimum MVLS Requirement or the Bid Price Requirement, or maintain compliance with any other listing requirements.</w:t>
      </w:r>
    </w:p>
    <w:p>
      <w:pPr>
        <w:spacing w:after="0" w:line="187"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5.03</w:t>
      </w:r>
      <w:r>
        <w:rPr>
          <w:sz w:val="20"/>
          <w:szCs w:val="20"/>
          <w:color w:val="auto"/>
        </w:rPr>
        <w:tab/>
      </w:r>
      <w:r>
        <w:rPr>
          <w:rFonts w:ascii="Times New Roman" w:cs="Times New Roman" w:eastAsia="Times New Roman" w:hAnsi="Times New Roman"/>
          <w:sz w:val="14"/>
          <w:szCs w:val="14"/>
          <w:b w:val="1"/>
          <w:bCs w:val="1"/>
          <w:color w:val="auto"/>
        </w:rPr>
        <w:t>Amendments to Articles of Incorporation or Bylaws; Change in Fiscal Year.</w:t>
      </w:r>
    </w:p>
    <w:p>
      <w:pPr>
        <w:spacing w:after="0" w:line="25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As previously disclosed, the Company held a Special Meeting of Stockholders on March 21, 2024, at which the Company’s stockholders voted to approve amendments to the Company’s Twelfth Amended and Restated Certificate of Incorporation (the “Restated Certificate”) to effect a reverse stock split of the Company’s Class A and Class B common stock at a ratio ranging from any whole number between 1-for-5 and 1-for-30, as determined by the Company’s Board of Directors in its discretion, subject to the Board of Directors’ authority to abandon such amendments.</w:t>
      </w:r>
    </w:p>
    <w:p>
      <w:pPr>
        <w:spacing w:after="0" w:line="16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Board of Directors subsequently approved the amendment to the Restated Certificate effecting the reverse stock split at a ratio of 1-for-20 (the “Reverse Stock Split”) and abandoned all other amendments to the Restated Certificate previously approved by the Board of Directors and the stockholders.</w:t>
      </w:r>
    </w:p>
    <w:p>
      <w:pPr>
        <w:spacing w:after="0" w:line="14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On April 2, 2024, the Company filed a Certificate of Amendment to the Restated Certificate (the “Amendment”) to effect the Reverse Stock Split with the Secretary of State of the State of Delaware. The Amendment did not affect the number of authorized shares of the Company’s common stock or the par value of the Company’s common stock. The Reverse Stock Split became effective at 5:00 p.m., Eastern Time, on April 2, 2024, at which time every 20 shares of issued and outstanding Class A common stock or Class B common stock were automatically reclassified into one new share of Class A or Class B common stock, respectively.</w:t>
      </w:r>
    </w:p>
    <w:p>
      <w:pPr>
        <w:spacing w:after="0" w:line="1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Amendment does not purport to be complete and is qualified in its entirety by reference to the full text of the Amendment, which is filed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708660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These statements include, but are not limited to, statements regarding the Company’s ability to regain compliance with the Minimum MVLS Requirement or the Bid Price Requirement, the Company’s intention to actively monitor its MVLS, the Company’s plans to consider implementing available options to regain compliance with the Minimum MVLS Requirement, and the expected timing of the Reverse Stock Split implementation.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 These risks and uncertainties include risks related to the Company’s ability to achieve anticipated cost savings and operate within its anticipated budget. Additional information regarding these and other risks and uncertainties that could cause actual results to differ materially from the Company’s expectations is included in its Quarterly Report on Form 10-Q for the fiscal quarter ended October 31, 2023. Except as required by law, the Company does not undertake any obligation to publicly update or revise any forward-looking statement, whether as a result of new information, future developments, or otherwise.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29"/>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Exhibits.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20" w:type="dxa"/>
            <w:vAlign w:val="bottom"/>
          </w:tcPr>
          <w:p>
            <w:pPr>
              <w:jc w:val="center"/>
              <w:ind w:left="432"/>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Certificate of Amendment of Twelfth Amended and Restated Certificate of Incorporation of Rent the Runway, Inc., dated April 2, 2024.</w:t>
            </w:r>
          </w:p>
        </w:tc>
      </w:tr>
      <w:tr>
        <w:trPr>
          <w:trHeight w:val="1067"/>
        </w:trPr>
        <w:tc>
          <w:tcPr>
            <w:tcW w:w="20" w:type="dxa"/>
            <w:vAlign w:val="bottom"/>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 w:name="page5"/>
    <w:bookmarkEnd w:id="4"/>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RENT THE RUNWAY, INC.</w:t>
      </w:r>
    </w:p>
    <w:p>
      <w:pPr>
        <w:spacing w:after="0" w:line="106" w:lineRule="exact"/>
        <w:rPr>
          <w:sz w:val="20"/>
          <w:szCs w:val="20"/>
          <w:color w:val="auto"/>
        </w:rPr>
      </w:pPr>
    </w:p>
    <w:p>
      <w:pPr>
        <w:ind w:left="340"/>
        <w:spacing w:after="0"/>
        <w:tabs>
          <w:tab w:leader="none" w:pos="5540" w:val="left"/>
          <w:tab w:leader="none" w:pos="6160" w:val="left"/>
        </w:tabs>
        <w:rPr>
          <w:sz w:val="20"/>
          <w:szCs w:val="20"/>
          <w:color w:val="auto"/>
        </w:rPr>
      </w:pPr>
      <w:r>
        <w:rPr>
          <w:rFonts w:ascii="Times New Roman" w:cs="Times New Roman" w:eastAsia="Times New Roman" w:hAnsi="Times New Roman"/>
          <w:sz w:val="14"/>
          <w:szCs w:val="14"/>
          <w:color w:val="auto"/>
        </w:rPr>
        <w:t>Date: April 2,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404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Cara Schembri</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Legal &amp; Administrative Officer</w:t>
      </w:r>
    </w:p>
    <w:p>
      <w:pPr>
        <w:sectPr>
          <w:pgSz w:w="11900" w:h="16838" w:orient="portrait"/>
          <w:cols w:equalWidth="0" w:num="1">
            <w:col w:w="10700"/>
          </w:cols>
          <w:pgMar w:left="300" w:top="632" w:right="8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2024-04-02T16:13:02Z</dcterms:created>
  <dcterms:modified xsi:type="dcterms:W3CDTF">2024-04-02T16:13:02Z</dcterms:modified>
</cp:coreProperties>
</file>