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7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5"/>
                <w:szCs w:val="15"/>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20"/>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8"/>
                <w:szCs w:val="18"/>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8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1660" w:type="dxa"/>
            <w:vAlign w:val="bottom"/>
          </w:tcPr>
          <w:p>
            <w:pPr>
              <w:spacing w:after="0"/>
              <w:rPr>
                <w:sz w:val="7"/>
                <w:szCs w:val="7"/>
                <w:color w:val="auto"/>
              </w:rPr>
            </w:pPr>
          </w:p>
        </w:tc>
      </w:tr>
    </w:tbl>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5"/>
                <w:szCs w:val="15"/>
                <w:color w:val="auto"/>
              </w:rPr>
            </w:pPr>
          </w:p>
        </w:tc>
      </w:tr>
      <w:tr>
        <w:trPr>
          <w:trHeight w:val="204"/>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74"/>
        </w:trPr>
        <w:tc>
          <w:tcPr>
            <w:tcW w:w="37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84"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5, 2024, Rent the Runway, Inc. (the “Company”) issued a press release announcing its financial results for the quarter ended July 31,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Form 8-K and is incorporated by reference.</w:t>
      </w:r>
    </w:p>
    <w:p>
      <w:pPr>
        <w:spacing w:after="0" w:line="21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3"/>
          </w:tcPr>
          <w:p>
            <w:pPr>
              <w:ind w:left="4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1"/>
                <w:szCs w:val="21"/>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Press Release issued by Rent the Runway, Inc. on September 5, 2024</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line="20" w:lineRule="exact"/>
              <w:rPr>
                <w:sz w:val="1"/>
                <w:szCs w:val="1"/>
                <w:color w:val="auto"/>
              </w:rPr>
            </w:pPr>
          </w:p>
        </w:tc>
        <w:tc>
          <w:tcPr>
            <w:tcW w:w="4980" w:type="dxa"/>
            <w:vAlign w:val="bottom"/>
            <w:shd w:val="clear" w:color="auto" w:fill="0000FF"/>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2450"/>
        </w:trPr>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September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Second Quarter 2024 Results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Exceeded Revenue and Adjusted EBITDA Guidance for Q2 2024. Continued Improvement in Business Momentum in Q2 2024.</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Record Low Cash Consumption in 1H 2024.</w:t>
      </w:r>
    </w:p>
    <w:p>
      <w:pPr>
        <w:spacing w:after="0" w:line="283" w:lineRule="exact"/>
        <w:rPr>
          <w:sz w:val="20"/>
          <w:szCs w:val="20"/>
          <w:color w:val="auto"/>
        </w:rPr>
      </w:pPr>
    </w:p>
    <w:p>
      <w:pPr>
        <w:jc w:val="center"/>
        <w:ind w:left="340" w:right="140"/>
        <w:spacing w:after="0" w:line="300" w:lineRule="auto"/>
        <w:rPr>
          <w:sz w:val="20"/>
          <w:szCs w:val="20"/>
          <w:color w:val="auto"/>
        </w:rPr>
      </w:pPr>
      <w:r>
        <w:rPr>
          <w:rFonts w:ascii="Arial" w:cs="Arial" w:eastAsia="Arial" w:hAnsi="Arial"/>
          <w:sz w:val="20"/>
          <w:szCs w:val="20"/>
          <w:color w:val="auto"/>
        </w:rPr>
        <w:t>Raised FY24 Revenue Guidance Underscores Confidence in Business Trajectory. Reiterates Expectation for Free Cash Flow Breakeven in FY 2024.</w:t>
      </w:r>
    </w:p>
    <w:p>
      <w:pPr>
        <w:spacing w:after="0" w:line="193"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New York (September 5, 2024) </w:t>
      </w:r>
      <w:r>
        <w:rPr>
          <w:rFonts w:ascii="Arial" w:cs="Arial" w:eastAsia="Arial" w:hAnsi="Arial"/>
          <w:sz w:val="20"/>
          <w:szCs w:val="20"/>
          <w:color w:val="auto"/>
        </w:rPr>
        <w:t>- Rent the Runway, Inc. (“Rent the Runway” or "RTR") (NASDAQ: RENT), transforming the way</w:t>
      </w:r>
      <w:r>
        <w:rPr>
          <w:rFonts w:ascii="Arial" w:cs="Arial" w:eastAsia="Arial" w:hAnsi="Arial"/>
          <w:sz w:val="20"/>
          <w:szCs w:val="20"/>
          <w:b w:val="1"/>
          <w:bCs w:val="1"/>
          <w:color w:val="auto"/>
        </w:rPr>
        <w:t xml:space="preserve"> </w:t>
      </w:r>
      <w:r>
        <w:rPr>
          <w:rFonts w:ascii="Arial" w:cs="Arial" w:eastAsia="Arial" w:hAnsi="Arial"/>
          <w:sz w:val="20"/>
          <w:szCs w:val="20"/>
          <w:color w:val="auto"/>
        </w:rPr>
        <w:t>women get dressed by pioneering the world’s first Closet in the Cloud, today reported financial results for the fiscal quarter ended July 31, 2024.</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Second Quarter and Recent Business Highlights</w:t>
      </w:r>
    </w:p>
    <w:p>
      <w:pPr>
        <w:spacing w:after="0" w:line="270" w:lineRule="exact"/>
        <w:rPr>
          <w:sz w:val="20"/>
          <w:szCs w:val="20"/>
          <w:color w:val="auto"/>
        </w:rPr>
      </w:pPr>
    </w:p>
    <w:p>
      <w:pPr>
        <w:ind w:left="500" w:right="100" w:hanging="492"/>
        <w:spacing w:after="0" w:line="274" w:lineRule="auto"/>
        <w:tabs>
          <w:tab w:leader="none" w:pos="488"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color w:val="auto"/>
        </w:rPr>
        <w:t xml:space="preserve">Improved free cash flow consumption of $6M for the six months ending July 31, 2024, </w:t>
      </w:r>
      <w:r>
        <w:rPr>
          <w:rFonts w:ascii="Arial" w:cs="Arial" w:eastAsia="Arial" w:hAnsi="Arial"/>
          <w:sz w:val="20"/>
          <w:szCs w:val="20"/>
          <w:color w:val="auto"/>
        </w:rPr>
        <w:t>which is $24M lower than the</w:t>
      </w:r>
      <w:r>
        <w:rPr>
          <w:rFonts w:ascii="Arial" w:cs="Arial" w:eastAsia="Arial" w:hAnsi="Arial"/>
          <w:sz w:val="20"/>
          <w:szCs w:val="20"/>
          <w:b w:val="1"/>
          <w:bCs w:val="1"/>
          <w:color w:val="auto"/>
        </w:rPr>
        <w:t xml:space="preserve"> </w:t>
      </w:r>
      <w:r>
        <w:rPr>
          <w:rFonts w:ascii="Arial" w:cs="Arial" w:eastAsia="Arial" w:hAnsi="Arial"/>
          <w:sz w:val="20"/>
          <w:szCs w:val="20"/>
          <w:color w:val="auto"/>
        </w:rPr>
        <w:t>six months ending July 31, 2023 and $48M lower than the six months ending July 31, 2022. We are reiterating our guidance to be free cash flow breakeven this fiscal year.</w:t>
      </w:r>
    </w:p>
    <w:p>
      <w:pPr>
        <w:spacing w:after="0" w:line="1" w:lineRule="exact"/>
        <w:rPr>
          <w:rFonts w:ascii="Arial" w:cs="Arial" w:eastAsia="Arial" w:hAnsi="Arial"/>
          <w:sz w:val="20"/>
          <w:szCs w:val="20"/>
          <w:b w:val="1"/>
          <w:bCs w:val="1"/>
          <w:i w:val="1"/>
          <w:iCs w:val="1"/>
          <w:color w:val="auto"/>
        </w:rPr>
      </w:pPr>
    </w:p>
    <w:p>
      <w:pPr>
        <w:ind w:left="500" w:right="200" w:hanging="492"/>
        <w:spacing w:after="0" w:line="274"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Strong momentum in the Reserve offering </w:t>
      </w:r>
      <w:r>
        <w:rPr>
          <w:rFonts w:ascii="Arial" w:cs="Arial" w:eastAsia="Arial" w:hAnsi="Arial"/>
          <w:sz w:val="20"/>
          <w:szCs w:val="20"/>
          <w:color w:val="auto"/>
        </w:rPr>
        <w:t>as a result of increased focus and operational, product, and merchandising</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improvements that resulted in an improved customer experience.</w:t>
      </w:r>
    </w:p>
    <w:p>
      <w:pPr>
        <w:spacing w:after="0" w:line="1" w:lineRule="exact"/>
        <w:rPr>
          <w:rFonts w:ascii="Arial" w:cs="Arial" w:eastAsia="Arial" w:hAnsi="Arial"/>
          <w:sz w:val="20"/>
          <w:szCs w:val="20"/>
          <w:b w:val="1"/>
          <w:bCs w:val="1"/>
          <w:color w:val="auto"/>
        </w:rPr>
      </w:pPr>
    </w:p>
    <w:p>
      <w:pPr>
        <w:ind w:left="500" w:right="920" w:hanging="492"/>
        <w:spacing w:after="0" w:line="274"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Strong rejoin rates of former customers </w:t>
      </w:r>
      <w:r>
        <w:rPr>
          <w:rFonts w:ascii="Arial" w:cs="Arial" w:eastAsia="Arial" w:hAnsi="Arial"/>
          <w:sz w:val="20"/>
          <w:szCs w:val="20"/>
          <w:color w:val="auto"/>
        </w:rPr>
        <w:t>driven by improved marketing, inventory, merchandising, and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experience.</w:t>
      </w:r>
    </w:p>
    <w:p>
      <w:pPr>
        <w:spacing w:after="0" w:line="1" w:lineRule="exact"/>
        <w:rPr>
          <w:rFonts w:ascii="Arial" w:cs="Arial" w:eastAsia="Arial" w:hAnsi="Arial"/>
          <w:sz w:val="20"/>
          <w:szCs w:val="20"/>
          <w:color w:val="auto"/>
        </w:rPr>
      </w:pPr>
    </w:p>
    <w:p>
      <w:pPr>
        <w:ind w:left="480" w:hanging="472"/>
        <w:spacing w:after="0"/>
        <w:tabs>
          <w:tab w:leader="none" w:pos="48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Significantly improved checkout experience </w:t>
      </w:r>
      <w:r>
        <w:rPr>
          <w:rFonts w:ascii="Arial" w:cs="Arial" w:eastAsia="Arial" w:hAnsi="Arial"/>
          <w:sz w:val="20"/>
          <w:szCs w:val="20"/>
          <w:color w:val="auto"/>
        </w:rPr>
        <w:t>driving higher checkout completion rates.</w:t>
      </w:r>
    </w:p>
    <w:p>
      <w:pPr>
        <w:spacing w:after="0" w:line="36" w:lineRule="exact"/>
        <w:rPr>
          <w:rFonts w:ascii="Arial" w:cs="Arial" w:eastAsia="Arial" w:hAnsi="Arial"/>
          <w:sz w:val="20"/>
          <w:szCs w:val="20"/>
          <w:b w:val="1"/>
          <w:bCs w:val="1"/>
          <w:color w:val="auto"/>
        </w:rPr>
      </w:pPr>
    </w:p>
    <w:p>
      <w:pPr>
        <w:ind w:left="500" w:right="180" w:hanging="492"/>
        <w:spacing w:after="0" w:line="287" w:lineRule="auto"/>
        <w:tabs>
          <w:tab w:leader="none" w:pos="488"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Improved Site Performance </w:t>
      </w:r>
      <w:r>
        <w:rPr>
          <w:rFonts w:ascii="Arial" w:cs="Arial" w:eastAsia="Arial" w:hAnsi="Arial"/>
          <w:sz w:val="19"/>
          <w:szCs w:val="19"/>
          <w:color w:val="auto"/>
        </w:rPr>
        <w:t>to improve customer experience and to realize potential to drive significantly higher organic</w:t>
      </w:r>
      <w:r>
        <w:rPr>
          <w:rFonts w:ascii="Arial" w:cs="Arial" w:eastAsia="Arial" w:hAnsi="Arial"/>
          <w:sz w:val="19"/>
          <w:szCs w:val="19"/>
          <w:b w:val="1"/>
          <w:bCs w:val="1"/>
          <w:color w:val="auto"/>
        </w:rPr>
        <w:t xml:space="preserve"> </w:t>
      </w:r>
      <w:r>
        <w:rPr>
          <w:rFonts w:ascii="Arial" w:cs="Arial" w:eastAsia="Arial" w:hAnsi="Arial"/>
          <w:sz w:val="19"/>
          <w:szCs w:val="19"/>
          <w:color w:val="auto"/>
        </w:rPr>
        <w:t>traffic from search engine optimization initiatives. Site enhancements drove faster load times and lower bounce rates.</w:t>
      </w:r>
    </w:p>
    <w:p>
      <w:pPr>
        <w:ind w:left="500" w:right="160" w:hanging="492"/>
        <w:spacing w:after="0" w:line="302"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 xml:space="preserve">Continued focus on full cycle and brand marketing </w:t>
      </w:r>
      <w:r>
        <w:rPr>
          <w:rFonts w:ascii="Arial" w:cs="Arial" w:eastAsia="Arial" w:hAnsi="Arial"/>
          <w:sz w:val="20"/>
          <w:szCs w:val="20"/>
          <w:color w:val="auto"/>
        </w:rPr>
        <w:t>with RTR College Tour in Fall 2024 and enhancements to lifecycle</w:t>
      </w:r>
      <w:r>
        <w:rPr>
          <w:rFonts w:ascii="Arial" w:cs="Arial" w:eastAsia="Arial" w:hAnsi="Arial"/>
          <w:sz w:val="20"/>
          <w:szCs w:val="20"/>
          <w:b w:val="1"/>
          <w:bCs w:val="1"/>
          <w:color w:val="auto"/>
        </w:rPr>
        <w:t xml:space="preserve"> </w:t>
      </w:r>
      <w:r>
        <w:rPr>
          <w:rFonts w:ascii="Arial" w:cs="Arial" w:eastAsia="Arial" w:hAnsi="Arial"/>
          <w:sz w:val="20"/>
          <w:szCs w:val="20"/>
          <w:color w:val="auto"/>
        </w:rPr>
        <w:t>and email marketing during the quarter.</w:t>
      </w:r>
    </w:p>
    <w:p>
      <w:pPr>
        <w:spacing w:after="0" w:line="193" w:lineRule="exact"/>
        <w:rPr>
          <w:sz w:val="20"/>
          <w:szCs w:val="20"/>
          <w:color w:val="auto"/>
        </w:rPr>
      </w:pPr>
    </w:p>
    <w:p>
      <w:pPr>
        <w:ind w:right="60"/>
        <w:spacing w:after="0" w:line="278" w:lineRule="auto"/>
        <w:rPr>
          <w:sz w:val="20"/>
          <w:szCs w:val="20"/>
          <w:color w:val="auto"/>
        </w:rPr>
      </w:pPr>
      <w:r>
        <w:rPr>
          <w:rFonts w:ascii="Arial" w:cs="Arial" w:eastAsia="Arial" w:hAnsi="Arial"/>
          <w:sz w:val="20"/>
          <w:szCs w:val="20"/>
          <w:color w:val="auto"/>
        </w:rPr>
        <w:t>"Rent the Runway is at an exciting inflection point,” said Jennifer Hyman, Co-Founder, President, and CEO of Rent the Runway. “We believe that our sustained improvement in revenue growth, along with measurable progress on profitability, are indicators that our business is getting stronger. The substantial improvement we've seen in our Reserve business as a result of increased focus and an improved customer experience makes me optimistic that our growth strategies and streamlined operational focus is working. This improvement, along with strong repeat subscriber acquisition, are signs that our customers are noticing the positive changes happening at Rent the Runway. Our second half plans focus on driving continued acceleration in our Reserve business, further improving the first 90 day customer subscription experience, and important marketing initiatives designed to deepen customer engagement with the Rent the Runway brand and experience.”</w:t>
      </w:r>
    </w:p>
    <w:p>
      <w:pPr>
        <w:sectPr>
          <w:pgSz w:w="11900" w:h="16838" w:orient="portrait"/>
          <w:cols w:equalWidth="0" w:num="1">
            <w:col w:w="11240"/>
          </w:cols>
          <w:pgMar w:left="320" w:top="1101" w:right="339" w:bottom="1440" w:gutter="0" w:footer="0" w:header="0"/>
        </w:sectPr>
      </w:pPr>
    </w:p>
    <w:bookmarkStart w:id="4" w:name="page5"/>
    <w:bookmarkEnd w:id="4"/>
    <w:p>
      <w:pPr>
        <w:ind w:right="40"/>
        <w:spacing w:after="0" w:line="282" w:lineRule="auto"/>
        <w:rPr>
          <w:sz w:val="20"/>
          <w:szCs w:val="20"/>
          <w:color w:val="auto"/>
        </w:rPr>
      </w:pPr>
      <w:r>
        <w:rPr>
          <w:rFonts w:ascii="Arial" w:cs="Arial" w:eastAsia="Arial" w:hAnsi="Arial"/>
          <w:sz w:val="20"/>
          <w:szCs w:val="20"/>
          <w:color w:val="auto"/>
        </w:rPr>
        <w:t>“Our business exhibited improved momentum in Q2 2024,” said Sid Thacker, Chief Financial Officer, Rent the Runway. “Revenue growth improved for the third consecutive quarter giving us confidence to raise our full year revenue guidance. Notably, we saw strong improvement in the Reserve business as increased focus and an improved customer experience drove new order growth. Underlying trends in the Subscription business continued to improve and demand remained strong for the Resale business during the quarter. Free cash flow consumption improved for the six months ending July 31, 2024 and we are reiterating our commitment to achieving free cash flow breakeven for FY24.”</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2024 Key Metrics and Financial Highlights</w:t>
      </w:r>
    </w:p>
    <w:p>
      <w:pPr>
        <w:spacing w:after="0" w:line="285" w:lineRule="exact"/>
        <w:rPr>
          <w:sz w:val="20"/>
          <w:szCs w:val="20"/>
          <w:color w:val="auto"/>
        </w:rPr>
      </w:pPr>
    </w:p>
    <w:p>
      <w:pPr>
        <w:ind w:left="480" w:hanging="310"/>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Revenue was $78.9 million, a 4.2% increase year-over-year from $75.7 million in the second quarter of fiscal year 2023.</w:t>
      </w:r>
    </w:p>
    <w:p>
      <w:pPr>
        <w:spacing w:after="0" w:line="41" w:lineRule="exact"/>
        <w:rPr>
          <w:rFonts w:ascii="Arial" w:cs="Arial" w:eastAsia="Arial" w:hAnsi="Arial"/>
          <w:sz w:val="20"/>
          <w:szCs w:val="20"/>
          <w:b w:val="1"/>
          <w:bCs w:val="1"/>
          <w:color w:val="auto"/>
        </w:rPr>
      </w:pPr>
    </w:p>
    <w:p>
      <w:pPr>
        <w:ind w:left="500" w:hanging="330"/>
        <w:spacing w:after="0" w:line="269"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129,073 ending Active Subscribers, representing a change of (6)% from 137,566 at the end of the second quarter of fiscal year 2023.</w:t>
      </w:r>
    </w:p>
    <w:p>
      <w:pPr>
        <w:ind w:left="500" w:right="360" w:hanging="330"/>
        <w:spacing w:after="0" w:line="274"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color w:val="auto"/>
        </w:rPr>
        <w:t>137,455 Average Active Subscribers, representing a change of (3)% from 141,393 at the end of the second quarter of fiscal year 2023.</w:t>
      </w:r>
    </w:p>
    <w:p>
      <w:pPr>
        <w:spacing w:after="0" w:line="1" w:lineRule="exact"/>
        <w:rPr>
          <w:rFonts w:ascii="Arial" w:cs="Arial" w:eastAsia="Arial" w:hAnsi="Arial"/>
          <w:sz w:val="20"/>
          <w:szCs w:val="20"/>
          <w:color w:val="auto"/>
        </w:rPr>
      </w:pPr>
    </w:p>
    <w:p>
      <w:pPr>
        <w:ind w:left="500" w:right="120" w:hanging="330"/>
        <w:spacing w:after="0" w:line="27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175,087 ending Total Subscribers, representing a change of (5)% from 184,389 at the end of the second quarter of fiscal year 2023.</w:t>
      </w:r>
    </w:p>
    <w:p>
      <w:pPr>
        <w:spacing w:after="0" w:line="1" w:lineRule="exact"/>
        <w:rPr>
          <w:rFonts w:ascii="Arial" w:cs="Arial" w:eastAsia="Arial" w:hAnsi="Arial"/>
          <w:sz w:val="20"/>
          <w:szCs w:val="20"/>
          <w:b w:val="1"/>
          <w:bCs w:val="1"/>
          <w:color w:val="auto"/>
        </w:rPr>
      </w:pPr>
    </w:p>
    <w:p>
      <w:pPr>
        <w:ind w:left="500" w:right="380" w:hanging="330"/>
        <w:spacing w:after="0" w:line="27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Gross Profit was $32.4 million, representing a change of (2.4)% from $33.2 million in the second quarter of fiscal year 2023. Gross Margin was 41.1%, as compared to 43.9% in the second quarter of fiscal year 2023.</w:t>
      </w:r>
    </w:p>
    <w:p>
      <w:pPr>
        <w:spacing w:after="0" w:line="1" w:lineRule="exact"/>
        <w:rPr>
          <w:rFonts w:ascii="Arial" w:cs="Arial" w:eastAsia="Arial" w:hAnsi="Arial"/>
          <w:sz w:val="20"/>
          <w:szCs w:val="20"/>
          <w:b w:val="1"/>
          <w:bCs w:val="1"/>
          <w:color w:val="auto"/>
        </w:rPr>
      </w:pPr>
    </w:p>
    <w:p>
      <w:pPr>
        <w:ind w:left="500" w:right="480" w:hanging="330"/>
        <w:spacing w:after="0" w:line="274"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Net Loss was $(15.6) million, as compared to $(26.8) million in the second quarter of fiscal year 2023. Net Loss as a percentage of revenue was (19.8)%, as compared to (35.4)% in the second quarter of fiscal year 2023.</w:t>
      </w:r>
    </w:p>
    <w:p>
      <w:pPr>
        <w:spacing w:after="0" w:line="1" w:lineRule="exact"/>
        <w:rPr>
          <w:rFonts w:ascii="Arial" w:cs="Arial" w:eastAsia="Arial" w:hAnsi="Arial"/>
          <w:sz w:val="20"/>
          <w:szCs w:val="20"/>
          <w:b w:val="1"/>
          <w:bCs w:val="1"/>
          <w:color w:val="auto"/>
        </w:rPr>
      </w:pPr>
    </w:p>
    <w:p>
      <w:pPr>
        <w:ind w:left="500" w:right="540" w:hanging="330"/>
        <w:spacing w:after="0" w:line="309"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Adjusted EBITDA was $13.7 million, as compared to $7.7 million in the second quarter of fiscal year 2023. Adjusted EBITDA margin was 17.4%, as compared to 10.2% in the second quarter of fiscal year 2023.</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third quarter of 2024, Rent the Runway expects:</w:t>
      </w:r>
    </w:p>
    <w:p>
      <w:pPr>
        <w:spacing w:after="0" w:line="31"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of between $75 million and $77 million</w:t>
      </w:r>
    </w:p>
    <w:p>
      <w:pPr>
        <w:spacing w:after="0" w:line="35"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Margin of 13% to 15%</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2024, Rent the Runway expects:</w:t>
      </w:r>
    </w:p>
    <w:p>
      <w:pPr>
        <w:spacing w:after="0" w:line="40" w:lineRule="exact"/>
        <w:rPr>
          <w:sz w:val="20"/>
          <w:szCs w:val="20"/>
          <w:color w:val="auto"/>
        </w:rPr>
      </w:pPr>
    </w:p>
    <w:p>
      <w:pPr>
        <w:ind w:left="500" w:right="160" w:hanging="330"/>
        <w:spacing w:after="0" w:line="274" w:lineRule="auto"/>
        <w:tabs>
          <w:tab w:leader="none" w:pos="488" w:val="left"/>
        </w:tabs>
        <w:numPr>
          <w:ilvl w:val="0"/>
          <w:numId w:val="5"/>
        </w:numPr>
        <w:rPr>
          <w:rFonts w:ascii="Arial" w:cs="Arial" w:eastAsia="Arial" w:hAnsi="Arial"/>
          <w:sz w:val="20"/>
          <w:szCs w:val="20"/>
          <w:color w:val="auto"/>
        </w:rPr>
      </w:pPr>
      <w:r>
        <w:rPr>
          <w:rFonts w:ascii="Arial" w:cs="Arial" w:eastAsia="Arial" w:hAnsi="Arial"/>
          <w:sz w:val="20"/>
          <w:szCs w:val="20"/>
          <w:color w:val="auto"/>
        </w:rPr>
        <w:t>Revenue growth of between 2% to 6% versus fiscal year 2023, an increase versus prior expectations based on stronger business momentum</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Margin of 15% to 16%</w:t>
      </w:r>
    </w:p>
    <w:p>
      <w:pPr>
        <w:spacing w:after="0" w:line="31" w:lineRule="exact"/>
        <w:rPr>
          <w:rFonts w:ascii="Arial" w:cs="Arial" w:eastAsia="Arial" w:hAnsi="Arial"/>
          <w:sz w:val="20"/>
          <w:szCs w:val="20"/>
          <w:color w:val="auto"/>
        </w:rPr>
      </w:pPr>
    </w:p>
    <w:p>
      <w:pPr>
        <w:ind w:left="480" w:hanging="310"/>
        <w:spacing w:after="0"/>
        <w:tabs>
          <w:tab w:leader="none" w:pos="480" w:val="left"/>
        </w:tabs>
        <w:numPr>
          <w:ilvl w:val="0"/>
          <w:numId w:val="5"/>
        </w:numPr>
        <w:rPr>
          <w:rFonts w:ascii="Arial" w:cs="Arial" w:eastAsia="Arial" w:hAnsi="Arial"/>
          <w:sz w:val="20"/>
          <w:szCs w:val="20"/>
          <w:color w:val="auto"/>
        </w:rPr>
      </w:pPr>
      <w:r>
        <w:rPr>
          <w:rFonts w:ascii="Arial" w:cs="Arial" w:eastAsia="Arial" w:hAnsi="Arial"/>
          <w:sz w:val="20"/>
          <w:szCs w:val="20"/>
          <w:color w:val="auto"/>
        </w:rPr>
        <w:t>Free Cash Flow Breakeven on a full year basis</w:t>
      </w:r>
    </w:p>
    <w:p>
      <w:pPr>
        <w:spacing w:after="0" w:line="278" w:lineRule="exact"/>
        <w:rPr>
          <w:sz w:val="20"/>
          <w:szCs w:val="20"/>
          <w:color w:val="auto"/>
        </w:rPr>
      </w:pPr>
    </w:p>
    <w:p>
      <w:pPr>
        <w:ind w:right="240"/>
        <w:spacing w:after="0" w:line="300" w:lineRule="auto"/>
        <w:rPr>
          <w:sz w:val="20"/>
          <w:szCs w:val="20"/>
          <w:color w:val="auto"/>
        </w:rPr>
      </w:pPr>
      <w:r>
        <w:rPr>
          <w:rFonts w:ascii="Arial" w:cs="Arial" w:eastAsia="Arial" w:hAnsi="Arial"/>
          <w:sz w:val="20"/>
          <w:szCs w:val="20"/>
          <w:color w:val="auto"/>
        </w:rPr>
        <w:t>Please see our second quarter 2024 earnings presentation at https://investors.renttherunway.com/ under the “Presentations” section for supplemental guidance.</w:t>
      </w:r>
    </w:p>
    <w:p>
      <w:pPr>
        <w:sectPr>
          <w:pgSz w:w="11900" w:h="16838" w:orient="portrait"/>
          <w:cols w:equalWidth="0" w:num="1">
            <w:col w:w="11120"/>
          </w:cols>
          <w:pgMar w:left="320" w:top="1103" w:right="4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72"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second quarter 2024 Earnings Presentation is now accessible through the Investor Relations section of Rent the Runway’s website at https://investors.renttherunway.com/ under the “Presentations” section.</w:t>
      </w:r>
    </w:p>
    <w:p>
      <w:pPr>
        <w:spacing w:after="0" w:line="183" w:lineRule="exact"/>
        <w:rPr>
          <w:sz w:val="20"/>
          <w:szCs w:val="20"/>
          <w:color w:val="auto"/>
        </w:rPr>
      </w:pPr>
    </w:p>
    <w:p>
      <w:pPr>
        <w:ind w:right="500"/>
        <w:spacing w:after="0" w:line="300" w:lineRule="auto"/>
        <w:rPr>
          <w:sz w:val="20"/>
          <w:szCs w:val="20"/>
          <w:color w:val="auto"/>
        </w:rPr>
      </w:pPr>
      <w:r>
        <w:rPr>
          <w:rFonts w:ascii="Arial" w:cs="Arial" w:eastAsia="Arial" w:hAnsi="Arial"/>
          <w:sz w:val="20"/>
          <w:szCs w:val="20"/>
          <w:color w:val="auto"/>
        </w:rPr>
        <w:t>Rent the Runway will host a conference call and webcast to discuss its second quarter 2024 financial results and provide a business update today, September 5, 2024, at 4:30 pm ET.</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20"/>
          <w:szCs w:val="20"/>
          <w:color w:val="auto"/>
        </w:rPr>
        <w:t>The financial results and live webcast will be accessible through the Investor Relations section of Rent the Runway’s website at https://investors.renttherunway.com/ under the “Events” section. To access the call through a conference line, dial 1-877-407-3982 (in the U.S.) or 1-201-493-6780 (international callers).</w:t>
      </w:r>
    </w:p>
    <w:p>
      <w:pPr>
        <w:spacing w:after="0" w:line="179" w:lineRule="exact"/>
        <w:rPr>
          <w:sz w:val="20"/>
          <w:szCs w:val="20"/>
          <w:color w:val="auto"/>
        </w:rPr>
      </w:pPr>
    </w:p>
    <w:p>
      <w:pPr>
        <w:jc w:val="both"/>
        <w:ind w:right="120"/>
        <w:spacing w:after="0" w:line="298" w:lineRule="auto"/>
        <w:rPr>
          <w:sz w:val="20"/>
          <w:szCs w:val="20"/>
          <w:color w:val="auto"/>
        </w:rPr>
      </w:pPr>
      <w:r>
        <w:rPr>
          <w:rFonts w:ascii="Arial" w:cs="Arial" w:eastAsia="Arial" w:hAnsi="Arial"/>
          <w:sz w:val="19"/>
          <w:szCs w:val="19"/>
          <w:color w:val="auto"/>
        </w:rPr>
        <w:t>A replay of the conference call will be posted shortly after the call and will be available for at least fourteen days. To access the replay, dial 1-844-512-2921 (in the U.S.) or 1-412-317-6671 (international callers). The access code for the replay is 13748508.</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72"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ectPr>
          <w:pgSz w:w="11900" w:h="16838" w:orient="portrait"/>
          <w:cols w:equalWidth="0" w:num="1">
            <w:col w:w="11240"/>
          </w:cols>
          <w:pgMar w:left="320" w:top="1101" w:right="339" w:bottom="1440" w:gutter="0" w:footer="0" w:header="0"/>
        </w:sectPr>
      </w:pPr>
    </w:p>
    <w:bookmarkStart w:id="6" w:name="page7"/>
    <w:bookmarkEnd w:id="6"/>
    <w:p>
      <w:pPr>
        <w:jc w:val="both"/>
        <w:spacing w:after="0" w:line="290" w:lineRule="auto"/>
        <w:rPr>
          <w:sz w:val="20"/>
          <w:szCs w:val="20"/>
          <w:color w:val="auto"/>
        </w:rPr>
      </w:pPr>
      <w:r>
        <w:rPr>
          <w:rFonts w:ascii="Arial" w:cs="Arial" w:eastAsia="Arial" w:hAnsi="Arial"/>
          <w:sz w:val="19"/>
          <w:szCs w:val="19"/>
          <w:b w:val="1"/>
          <w:bCs w:val="1"/>
          <w:color w:val="auto"/>
        </w:rPr>
        <w:t xml:space="preserve">Forward-Looking Statements: </w:t>
      </w:r>
      <w:r>
        <w:rPr>
          <w:rFonts w:ascii="Arial" w:cs="Arial" w:eastAsia="Arial" w:hAnsi="Arial"/>
          <w:sz w:val="19"/>
          <w:szCs w:val="19"/>
          <w:color w:val="auto"/>
        </w:rPr>
        <w:t>This press release contains forward-looking statements within the meaning of the Private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Litigation Reform Act of 1995. All statements contained in this press release that do not relate to matters of historical fact should be considered forward-looking statements. These statements include, but are not limited to, guidance and underlying assumptions for the third fiscal quarter of 2024 and the fiscal year 2024, and statements regarding our business objectives and strategic initiatives, including with respect to our Reserve offering, marketing initiatives and customer engagement.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drive future growth or manage our growth effectively; the highly competitive and rapidly changing nature of the global fashion industry; risks related to the macroeconomic environment; our ability to cost-effectively grow our customer base; any failure to retain customers; our ability to accurately forecast customer demand, acquire and manage our offerings effectively and plan for future expenses; risks arising from the restructuring of our operations; our reliance on the effective operation of proprietary technology systems and software as well as those of third-party vendors and service providers; risks related to shipping, logistics and our supply chain; our ability to remediate our material weaknesses in our internal control over financial reporting; laws and regulations applicable to our business; our reliance on the experience and expertise of our senior management and other key personnel; our ability to adequately obtain, maintain, protect and enforce our intellectual property and proprietary rights; compliance with data privacy, data security, data protection and consumer protection laws and industry standards; risks associated with our brand and manufacturing partners; our reliance on third parties to provide payment processing infrastructure underlying our business; our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risks related to the Company's debt, including the Company's ability to comply with covenants in the Company's credit facility; risks related to our Class A capital stock and ownership structure; and risks related to future pandemics or public health crises.</w:t>
      </w:r>
    </w:p>
    <w:p>
      <w:pPr>
        <w:sectPr>
          <w:pgSz w:w="11900" w:h="16838" w:orient="portrait"/>
          <w:cols w:equalWidth="0" w:num="1">
            <w:col w:w="11240"/>
          </w:cols>
          <w:pgMar w:left="320" w:top="1101" w:right="339" w:bottom="1440" w:gutter="0" w:footer="0" w:header="0"/>
        </w:sectPr>
      </w:pPr>
    </w:p>
    <w:bookmarkStart w:id="7" w:name="page8"/>
    <w:bookmarkEnd w:id="7"/>
    <w:p>
      <w:pPr>
        <w:jc w:val="both"/>
        <w:spacing w:after="0" w:line="282" w:lineRule="auto"/>
        <w:rPr>
          <w:sz w:val="20"/>
          <w:szCs w:val="20"/>
          <w:color w:val="auto"/>
        </w:rPr>
      </w:pPr>
      <w:r>
        <w:rPr>
          <w:rFonts w:ascii="Arial" w:cs="Arial" w:eastAsia="Arial" w:hAnsi="Arial"/>
          <w:sz w:val="20"/>
          <w:szCs w:val="20"/>
          <w:color w:val="auto"/>
        </w:rPr>
        <w:t>Additional information regarding these and other risks and uncertainties that could cause actual results to differ materially from the Company’s expectations is included in our Quarterly Report on Form 10-Q for the quarter ended April 30, 2024, as will be updated in our Quarterly Report on Form 10-Q for the quarter ended July 31, 2024. Except as required by law, we do not undertake any obligation to publicly update or revise any forward-looking statement,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72"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168" w:lineRule="exact"/>
        <w:rPr>
          <w:sz w:val="20"/>
          <w:szCs w:val="20"/>
          <w:color w:val="auto"/>
        </w:rPr>
      </w:pPr>
    </w:p>
    <w:p>
      <w:pPr>
        <w:jc w:val="both"/>
        <w:ind w:right="580"/>
        <w:spacing w:after="0" w:line="290" w:lineRule="auto"/>
        <w:rPr>
          <w:sz w:val="20"/>
          <w:szCs w:val="20"/>
          <w:color w:val="auto"/>
        </w:rPr>
      </w:pPr>
      <w:r>
        <w:rPr>
          <w:rFonts w:ascii="Arial" w:cs="Arial" w:eastAsia="Arial" w:hAnsi="Arial"/>
          <w:sz w:val="20"/>
          <w:szCs w:val="20"/>
          <w:color w:val="auto"/>
        </w:rPr>
        <w:t>Average Active Subscribers is defined as the mean of the beginning of quarter and end of quarter Active Subscribers for a quarterly period; and for other periods, represents the mean of the Average Active Subscribers of every quarter within that period.</w:t>
      </w:r>
    </w:p>
    <w:p>
      <w:pPr>
        <w:spacing w:after="0" w:line="206" w:lineRule="exact"/>
        <w:rPr>
          <w:sz w:val="20"/>
          <w:szCs w:val="20"/>
          <w:color w:val="auto"/>
        </w:rPr>
      </w:pPr>
    </w:p>
    <w:p>
      <w:pPr>
        <w:ind w:right="20"/>
        <w:spacing w:after="0" w:line="280" w:lineRule="auto"/>
        <w:rPr>
          <w:sz w:val="20"/>
          <w:szCs w:val="20"/>
          <w:color w:val="auto"/>
        </w:rPr>
      </w:pPr>
      <w:r>
        <w:rPr>
          <w:rFonts w:ascii="Arial" w:cs="Arial" w:eastAsia="Arial" w:hAnsi="Arial"/>
          <w:sz w:val="20"/>
          <w:szCs w:val="20"/>
          <w:color w:val="auto"/>
        </w:rPr>
        <w:t>Gross Profit is defined as total revenue less costs related to activities to fulfill customer orders and rental product acquisition costs, presented as fulfillment and rental product depreciation and revenue share, respectively, on the consolidated statement of operations. We depreciate owned apparel assets over three years and owned accessory assets over two years, net of 20% and 30% salvage values, respectively, and recognize the depreciation on a straight line basis and remaining cost of items when sold or retired on our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Adjusted EBITDA margin, free cash flow, and free cash flow margin. In addition to our results determined in accordance with GAAP, we believe that Adjusted EBITDA and Adjusted EBITDA margin are useful in evaluating our performance and free cash flow and free cash flow margin are useful in evaluating our performance and liquidity. Adjusted EBITDA is a key performance measure used by management to assess our operating performance and the operating leverage of our business prior to capital expenditures.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212" w:lineRule="exact"/>
        <w:rPr>
          <w:sz w:val="20"/>
          <w:szCs w:val="20"/>
          <w:color w:val="auto"/>
        </w:rPr>
      </w:pPr>
    </w:p>
    <w:p>
      <w:pPr>
        <w:ind w:right="20"/>
        <w:spacing w:after="0" w:line="287"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share-based compensation expense, write-off of liquidated assets, non-recurring adjustments, restructuring charges, income tax (benefit) expense, other income and expense, and other gains / losses. Adjusted EBITDA margin is defined as Adjusted EBITDA calculated as a percentage of total revenue, net for a period.</w:t>
      </w:r>
    </w:p>
    <w:p>
      <w:pPr>
        <w:sectPr>
          <w:pgSz w:w="11900" w:h="16838" w:orient="portrait"/>
          <w:cols w:equalWidth="0" w:num="1">
            <w:col w:w="11240"/>
          </w:cols>
          <w:pgMar w:left="320" w:top="1103"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color w:val="auto"/>
        </w:rPr>
        <w:t>We define free cash flow as net cash used in operating activities and net cash used in investing activities on a combined basis.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is defined as free cash flow as a percentage of revenue.</w:t>
      </w:r>
    </w:p>
    <w:p>
      <w:pPr>
        <w:spacing w:after="0" w:line="270" w:lineRule="exact"/>
        <w:rPr>
          <w:sz w:val="20"/>
          <w:szCs w:val="20"/>
          <w:color w:val="auto"/>
        </w:rPr>
      </w:pPr>
    </w:p>
    <w:p>
      <w:pPr>
        <w:ind w:right="80"/>
        <w:spacing w:after="0" w:line="278" w:lineRule="auto"/>
        <w:rPr>
          <w:sz w:val="20"/>
          <w:szCs w:val="20"/>
          <w:color w:val="auto"/>
        </w:rPr>
      </w:pPr>
      <w:r>
        <w:rPr>
          <w:rFonts w:ascii="Arial" w:cs="Arial" w:eastAsia="Arial" w:hAnsi="Arial"/>
          <w:sz w:val="20"/>
          <w:szCs w:val="20"/>
          <w:color w:val="auto"/>
        </w:rPr>
        <w:t>The reconciliation of presented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Reconciliation of Adjusted EBITDA, Adjusted EBITDA margin and free cash flow expectations for Q3 2024 and fiscal year 2024 (as applicable)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Press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080"/>
          </w:cols>
          <w:pgMar w:left="320" w:top="1346" w:right="499" w:bottom="1440" w:gutter="0" w:footer="0" w:header="0"/>
        </w:sectPr>
      </w:pPr>
    </w:p>
    <w:bookmarkStart w:id="9" w:name="page10"/>
    <w:bookmarkEnd w:id="9"/>
    <w:p>
      <w:pPr>
        <w:ind w:left="4200"/>
        <w:spacing w:after="0"/>
        <w:rPr>
          <w:sz w:val="20"/>
          <w:szCs w:val="20"/>
          <w:color w:val="auto"/>
        </w:rPr>
      </w:pPr>
      <w:r>
        <w:rPr>
          <w:rFonts w:ascii="Arial" w:cs="Arial" w:eastAsia="Arial" w:hAnsi="Arial"/>
          <w:sz w:val="20"/>
          <w:szCs w:val="20"/>
          <w:b w:val="1"/>
          <w:bCs w:val="1"/>
          <w:color w:val="auto"/>
        </w:rPr>
        <w:t>Rent the Runway, Inc.</w:t>
      </w:r>
    </w:p>
    <w:p>
      <w:pPr>
        <w:ind w:left="3280"/>
        <w:spacing w:after="0" w:line="197" w:lineRule="auto"/>
        <w:rPr>
          <w:sz w:val="20"/>
          <w:szCs w:val="20"/>
          <w:color w:val="auto"/>
        </w:rPr>
      </w:pPr>
      <w:r>
        <w:rPr>
          <w:rFonts w:ascii="Arial" w:cs="Arial" w:eastAsia="Arial" w:hAnsi="Arial"/>
          <w:sz w:val="20"/>
          <w:szCs w:val="20"/>
          <w:b w:val="1"/>
          <w:bCs w:val="1"/>
          <w:color w:val="auto"/>
        </w:rPr>
        <w:t>Condensed Consolidated Balance Sheets</w:t>
      </w:r>
    </w:p>
    <w:p>
      <w:pPr>
        <w:ind w:left="4660"/>
        <w:spacing w:after="0"/>
        <w:rPr>
          <w:sz w:val="20"/>
          <w:szCs w:val="20"/>
          <w:color w:val="auto"/>
        </w:rPr>
      </w:pPr>
      <w:r>
        <w:rPr>
          <w:rFonts w:ascii="Arial" w:cs="Arial" w:eastAsia="Arial" w:hAnsi="Arial"/>
          <w:sz w:val="20"/>
          <w:szCs w:val="20"/>
          <w:b w:val="1"/>
          <w:bCs w:val="1"/>
          <w:color w:val="auto"/>
        </w:rPr>
        <w:t>(in millions)</w:t>
      </w:r>
    </w:p>
    <w:p>
      <w:pPr>
        <w:ind w:left="47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w:t>
            </w:r>
          </w:p>
        </w:tc>
        <w:tc>
          <w:tcPr>
            <w:tcW w:w="220" w:type="dxa"/>
            <w:vAlign w:val="bottom"/>
          </w:tcPr>
          <w:p>
            <w:pPr>
              <w:spacing w:after="0"/>
              <w:rPr>
                <w:sz w:val="17"/>
                <w:szCs w:val="17"/>
                <w:color w:val="auto"/>
              </w:rPr>
            </w:pPr>
          </w:p>
        </w:tc>
        <w:tc>
          <w:tcPr>
            <w:tcW w:w="1260" w:type="dxa"/>
            <w:vAlign w:val="bottom"/>
          </w:tcPr>
          <w:p>
            <w:pPr>
              <w:jc w:val="right"/>
              <w:ind w:right="276"/>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6"/>
        </w:trPr>
        <w:tc>
          <w:tcPr>
            <w:tcW w:w="74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742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2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ind w:right="96"/>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3"/>
                <w:szCs w:val="23"/>
                <w:color w:val="auto"/>
              </w:rPr>
            </w:pPr>
          </w:p>
        </w:tc>
        <w:tc>
          <w:tcPr>
            <w:tcW w:w="220" w:type="dxa"/>
            <w:vAlign w:val="bottom"/>
          </w:tcPr>
          <w:p>
            <w:pPr>
              <w:jc w:val="right"/>
              <w:ind w:right="36"/>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57"/>
        </w:trPr>
        <w:tc>
          <w:tcPr>
            <w:tcW w:w="742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66"/>
        </w:trPr>
        <w:tc>
          <w:tcPr>
            <w:tcW w:w="7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54"/>
        </w:trPr>
        <w:tc>
          <w:tcPr>
            <w:tcW w:w="7420" w:type="dxa"/>
            <w:vAlign w:val="bottom"/>
          </w:tcPr>
          <w:p>
            <w:pPr>
              <w:ind w:left="64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59"/>
        </w:trPr>
        <w:tc>
          <w:tcPr>
            <w:tcW w:w="7420" w:type="dxa"/>
            <w:vAlign w:val="bottom"/>
          </w:tcPr>
          <w:p>
            <w:pPr>
              <w:spacing w:after="0"/>
              <w:rPr>
                <w:sz w:val="20"/>
                <w:szCs w:val="20"/>
                <w:color w:val="auto"/>
              </w:rPr>
            </w:pPr>
            <w:r>
              <w:rPr>
                <w:rFonts w:ascii="Arial" w:cs="Arial" w:eastAsia="Arial" w:hAnsi="Arial"/>
                <w:sz w:val="17"/>
                <w:szCs w:val="17"/>
                <w:color w:val="auto"/>
              </w:rPr>
              <w:t>Restricted cash</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Rental product,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85.9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94.0</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Fixed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83"/>
        </w:trPr>
        <w:tc>
          <w:tcPr>
            <w:tcW w:w="7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84"/>
        </w:trPr>
        <w:tc>
          <w:tcPr>
            <w:tcW w:w="742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317"/>
        </w:trPr>
        <w:tc>
          <w:tcPr>
            <w:tcW w:w="742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57"/>
        </w:trPr>
        <w:tc>
          <w:tcPr>
            <w:tcW w:w="742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57"/>
        </w:trPr>
        <w:tc>
          <w:tcPr>
            <w:tcW w:w="7420" w:type="dxa"/>
            <w:vAlign w:val="bottom"/>
          </w:tcPr>
          <w:p>
            <w:pPr>
              <w:ind w:left="160"/>
              <w:spacing w:after="0"/>
              <w:rPr>
                <w:sz w:val="20"/>
                <w:szCs w:val="20"/>
                <w:color w:val="auto"/>
              </w:rPr>
            </w:pPr>
            <w:r>
              <w:rPr>
                <w:rFonts w:ascii="Arial" w:cs="Arial" w:eastAsia="Arial" w:hAnsi="Arial"/>
                <w:sz w:val="17"/>
                <w:szCs w:val="17"/>
                <w:color w:val="auto"/>
              </w:rPr>
              <w:t>Customer credit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56"/>
        </w:trPr>
        <w:tc>
          <w:tcPr>
            <w:tcW w:w="74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Long-term debt, net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319.8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306.7</w:t>
            </w: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57"/>
        </w:trPr>
        <w:tc>
          <w:tcPr>
            <w:tcW w:w="7420" w:type="dxa"/>
            <w:vAlign w:val="bottom"/>
          </w:tcPr>
          <w:p>
            <w:pPr>
              <w:spacing w:after="0"/>
              <w:rPr>
                <w:sz w:val="20"/>
                <w:szCs w:val="20"/>
                <w:color w:val="auto"/>
              </w:rPr>
            </w:pPr>
            <w:r>
              <w:rPr>
                <w:rFonts w:ascii="Arial" w:cs="Arial" w:eastAsia="Arial" w:hAnsi="Arial"/>
                <w:sz w:val="17"/>
                <w:szCs w:val="17"/>
                <w:color w:val="auto"/>
              </w:rPr>
              <w:t>Other liabilities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7"/>
        </w:trPr>
        <w:tc>
          <w:tcPr>
            <w:tcW w:w="742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400.8</w:t>
            </w:r>
          </w:p>
        </w:tc>
        <w:tc>
          <w:tcPr>
            <w:tcW w:w="0" w:type="dxa"/>
            <w:vAlign w:val="bottom"/>
          </w:tcPr>
          <w:p>
            <w:pPr>
              <w:spacing w:after="0"/>
              <w:rPr>
                <w:sz w:val="1"/>
                <w:szCs w:val="1"/>
                <w:color w:val="auto"/>
              </w:rPr>
            </w:pPr>
          </w:p>
        </w:tc>
      </w:tr>
      <w:tr>
        <w:trPr>
          <w:trHeight w:val="27"/>
        </w:trPr>
        <w:tc>
          <w:tcPr>
            <w:tcW w:w="7420" w:type="dxa"/>
            <w:vAlign w:val="bottom"/>
            <w:vMerge w:val="restart"/>
          </w:tcPr>
          <w:p>
            <w:pPr>
              <w:spacing w:after="0"/>
              <w:rPr>
                <w:sz w:val="20"/>
                <w:szCs w:val="20"/>
                <w:color w:val="auto"/>
              </w:rPr>
            </w:pPr>
            <w:r>
              <w:rPr>
                <w:rFonts w:ascii="Arial" w:cs="Arial" w:eastAsia="Arial" w:hAnsi="Arial"/>
                <w:sz w:val="17"/>
                <w:szCs w:val="17"/>
                <w:color w:val="auto"/>
              </w:rPr>
              <w:t>Stockholders’ equity (deficit)</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2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28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2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4"/>
        </w:trPr>
        <w:tc>
          <w:tcPr>
            <w:tcW w:w="742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930.8</w:t>
            </w:r>
          </w:p>
        </w:tc>
        <w:tc>
          <w:tcPr>
            <w:tcW w:w="0" w:type="dxa"/>
            <w:vAlign w:val="bottom"/>
          </w:tcPr>
          <w:p>
            <w:pPr>
              <w:spacing w:after="0"/>
              <w:rPr>
                <w:sz w:val="1"/>
                <w:szCs w:val="1"/>
                <w:color w:val="auto"/>
              </w:rPr>
            </w:pPr>
          </w:p>
        </w:tc>
      </w:tr>
      <w:tr>
        <w:trPr>
          <w:trHeight w:val="283"/>
        </w:trPr>
        <w:tc>
          <w:tcPr>
            <w:tcW w:w="742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(1,090.7)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(1,053.1)</w:t>
            </w:r>
          </w:p>
        </w:tc>
        <w:tc>
          <w:tcPr>
            <w:tcW w:w="0" w:type="dxa"/>
            <w:vAlign w:val="bottom"/>
          </w:tcPr>
          <w:p>
            <w:pPr>
              <w:spacing w:after="0"/>
              <w:rPr>
                <w:sz w:val="1"/>
                <w:szCs w:val="1"/>
                <w:color w:val="auto"/>
              </w:rPr>
            </w:pPr>
          </w:p>
        </w:tc>
      </w:tr>
      <w:tr>
        <w:trPr>
          <w:trHeight w:val="4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4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(122.3)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20" w:type="dxa"/>
            <w:vAlign w:val="bottom"/>
          </w:tcPr>
          <w:p>
            <w:pPr>
              <w:spacing w:after="0"/>
              <w:rPr>
                <w:sz w:val="20"/>
                <w:szCs w:val="20"/>
                <w:color w:val="auto"/>
              </w:rPr>
            </w:pPr>
            <w:r>
              <w:rPr>
                <w:rFonts w:ascii="Arial" w:cs="Arial" w:eastAsia="Arial" w:hAnsi="Arial"/>
                <w:sz w:val="17"/>
                <w:szCs w:val="17"/>
                <w:color w:val="auto"/>
              </w:rPr>
              <w:t>Total liabilities and stockholders’ equity (deficit)</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278.5</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720" w:top="1067" w:right="6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Rent the Runway, Inc.</w:t>
      </w:r>
    </w:p>
    <w:p>
      <w:pPr>
        <w:jc w:val="center"/>
        <w:ind w:right="20"/>
        <w:spacing w:after="0" w:line="231" w:lineRule="auto"/>
        <w:rPr>
          <w:sz w:val="20"/>
          <w:szCs w:val="20"/>
          <w:color w:val="auto"/>
        </w:rPr>
      </w:pPr>
      <w:r>
        <w:rPr>
          <w:rFonts w:ascii="Arial" w:cs="Arial" w:eastAsia="Arial" w:hAnsi="Arial"/>
          <w:sz w:val="20"/>
          <w:szCs w:val="20"/>
          <w:b w:val="1"/>
          <w:bCs w:val="1"/>
          <w:color w:val="auto"/>
        </w:rPr>
        <w:t>Condensed Consolidated Statements of Operations</w:t>
      </w: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jc w:val="center"/>
        <w:ind w:right="20"/>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7"/>
                <w:szCs w:val="17"/>
                <w:color w:val="auto"/>
              </w:rPr>
            </w:pPr>
          </w:p>
        </w:tc>
        <w:tc>
          <w:tcPr>
            <w:tcW w:w="25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Arial" w:cs="Arial" w:eastAsia="Arial" w:hAnsi="Arial"/>
                <w:sz w:val="18"/>
                <w:szCs w:val="18"/>
                <w:color w:val="auto"/>
              </w:rPr>
              <w:t>Revenue:</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20"/>
                <w:szCs w:val="20"/>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0"/>
                <w:szCs w:val="2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20"/>
                <w:szCs w:val="2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Subscription and Reserve rental revenue</w:t>
            </w:r>
          </w:p>
        </w:tc>
        <w:tc>
          <w:tcPr>
            <w:tcW w:w="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660"/>
              <w:spacing w:after="0"/>
              <w:rPr>
                <w:sz w:val="20"/>
                <w:szCs w:val="20"/>
                <w:color w:val="auto"/>
              </w:rPr>
            </w:pPr>
            <w:r>
              <w:rPr>
                <w:rFonts w:ascii="Arial" w:cs="Arial" w:eastAsia="Arial" w:hAnsi="Arial"/>
                <w:sz w:val="18"/>
                <w:szCs w:val="18"/>
                <w:color w:val="auto"/>
              </w:rPr>
              <w:t>Total revenue, net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3"/>
        </w:trPr>
        <w:tc>
          <w:tcPr>
            <w:tcW w:w="518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Fulfillment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Rental product depreciation and revenue share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0"/>
        </w:trPr>
        <w:tc>
          <w:tcPr>
            <w:tcW w:w="5180" w:type="dxa"/>
            <w:vAlign w:val="bottom"/>
          </w:tcPr>
          <w:p>
            <w:pPr>
              <w:ind w:left="340"/>
              <w:spacing w:after="0"/>
              <w:rPr>
                <w:sz w:val="20"/>
                <w:szCs w:val="20"/>
                <w:color w:val="auto"/>
              </w:rPr>
            </w:pPr>
            <w:r>
              <w:rPr>
                <w:rFonts w:ascii="Arial" w:cs="Arial" w:eastAsia="Arial" w:hAnsi="Arial"/>
                <w:sz w:val="18"/>
                <w:szCs w:val="18"/>
                <w:color w:val="auto"/>
              </w:rPr>
              <w:t>Other depreciation and amortization</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97"/>
        </w:trPr>
        <w:tc>
          <w:tcPr>
            <w:tcW w:w="5180" w:type="dxa"/>
            <w:vAlign w:val="bottom"/>
          </w:tcPr>
          <w:p>
            <w:pPr>
              <w:ind w:left="34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66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98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180" w:type="dxa"/>
            <w:vAlign w:val="bottom"/>
          </w:tcPr>
          <w:p>
            <w:pPr>
              <w:ind w:left="880"/>
              <w:spacing w:after="0"/>
              <w:rPr>
                <w:sz w:val="20"/>
                <w:szCs w:val="20"/>
                <w:color w:val="auto"/>
              </w:rPr>
            </w:pPr>
            <w:r>
              <w:rPr>
                <w:rFonts w:ascii="Arial" w:cs="Arial" w:eastAsia="Arial" w:hAnsi="Arial"/>
                <w:sz w:val="18"/>
                <w:szCs w:val="18"/>
                <w:color w:val="auto"/>
              </w:rPr>
              <w:t>Net loss before income tax benefit / (expense)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5180" w:type="dxa"/>
            <w:vAlign w:val="bottom"/>
          </w:tcPr>
          <w:p>
            <w:pPr>
              <w:ind w:left="98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6"/>
                <w:szCs w:val="16"/>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40"/>
        </w:trPr>
        <w:tc>
          <w:tcPr>
            <w:tcW w:w="518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34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5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3,736,953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3,380,413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3,692,025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3,337,535</w:t>
            </w:r>
          </w:p>
        </w:tc>
        <w:tc>
          <w:tcPr>
            <w:tcW w:w="0" w:type="dxa"/>
            <w:vAlign w:val="bottom"/>
          </w:tcPr>
          <w:p>
            <w:pPr>
              <w:spacing w:after="0"/>
              <w:rPr>
                <w:sz w:val="1"/>
                <w:szCs w:val="1"/>
                <w:color w:val="auto"/>
              </w:rPr>
            </w:pPr>
          </w:p>
        </w:tc>
      </w:tr>
      <w:tr>
        <w:trPr>
          <w:trHeight w:val="235"/>
        </w:trPr>
        <w:tc>
          <w:tcPr>
            <w:tcW w:w="5180" w:type="dxa"/>
            <w:vAlign w:val="bottom"/>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101" w:right="339" w:bottom="1440" w:gutter="0" w:footer="0" w:header="0"/>
        </w:sectPr>
      </w:pPr>
    </w:p>
    <w:bookmarkStart w:id="11" w:name="page12"/>
    <w:bookmarkEnd w:id="11"/>
    <w:p>
      <w:pPr>
        <w:spacing w:after="0" w:line="39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Rent the Runway, Inc.</w:t>
      </w:r>
    </w:p>
    <w:p>
      <w:pPr>
        <w:ind w:left="3160"/>
        <w:spacing w:after="0" w:line="231" w:lineRule="auto"/>
        <w:rPr>
          <w:sz w:val="20"/>
          <w:szCs w:val="20"/>
          <w:color w:val="auto"/>
        </w:rPr>
      </w:pPr>
      <w:r>
        <w:rPr>
          <w:rFonts w:ascii="Arial" w:cs="Arial" w:eastAsia="Arial" w:hAnsi="Arial"/>
          <w:sz w:val="20"/>
          <w:szCs w:val="20"/>
          <w:b w:val="1"/>
          <w:bCs w:val="1"/>
          <w:color w:val="auto"/>
        </w:rPr>
        <w:t>Condensed Consolidated Statements of Cash Flow</w:t>
      </w:r>
    </w:p>
    <w:p>
      <w:pPr>
        <w:ind w:left="5000"/>
        <w:spacing w:after="0"/>
        <w:rPr>
          <w:sz w:val="20"/>
          <w:szCs w:val="20"/>
          <w:color w:val="auto"/>
        </w:rPr>
      </w:pPr>
      <w:r>
        <w:rPr>
          <w:rFonts w:ascii="Arial" w:cs="Arial" w:eastAsia="Arial" w:hAnsi="Arial"/>
          <w:sz w:val="20"/>
          <w:szCs w:val="20"/>
          <w:b w:val="1"/>
          <w:bCs w:val="1"/>
          <w:color w:val="auto"/>
        </w:rPr>
        <w:t>(in millions)</w:t>
      </w:r>
    </w:p>
    <w:p>
      <w:pPr>
        <w:ind w:left="5060"/>
        <w:spacing w:after="0"/>
        <w:rPr>
          <w:sz w:val="20"/>
          <w:szCs w:val="20"/>
          <w:color w:val="auto"/>
        </w:rPr>
      </w:pPr>
      <w:r>
        <w:rPr>
          <w:rFonts w:ascii="Arial" w:cs="Arial" w:eastAsia="Arial" w:hAnsi="Arial"/>
          <w:sz w:val="20"/>
          <w:szCs w:val="20"/>
          <w:color w:val="auto"/>
        </w:rPr>
        <w:t>(unaudited)</w:t>
      </w:r>
    </w:p>
    <w:p>
      <w:pPr>
        <w:spacing w:after="0" w:line="30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32385</wp:posOffset>
            </wp:positionV>
            <wp:extent cx="20491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9145" cy="8890"/>
                    </a:xfrm>
                    <a:prstGeom prst="rect">
                      <a:avLst/>
                    </a:prstGeom>
                    <a:noFill/>
                  </pic:spPr>
                </pic:pic>
              </a:graphicData>
            </a:graphic>
          </wp:anchor>
        </w:drawing>
      </w:r>
    </w:p>
    <w:p>
      <w:pPr>
        <w:spacing w:after="0" w:line="62" w:lineRule="exact"/>
        <w:rPr>
          <w:sz w:val="20"/>
          <w:szCs w:val="20"/>
          <w:color w:val="auto"/>
        </w:rPr>
      </w:pPr>
    </w:p>
    <w:p>
      <w:pPr>
        <w:jc w:val="both"/>
        <w:ind w:left="8480"/>
        <w:spacing w:after="0"/>
        <w:tabs>
          <w:tab w:leader="none" w:pos="101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4990465</wp:posOffset>
            </wp:positionH>
            <wp:positionV relativeFrom="paragraph">
              <wp:posOffset>32385</wp:posOffset>
            </wp:positionV>
            <wp:extent cx="2049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ectPr>
          <w:pgSz w:w="11900" w:h="16838" w:orient="portrait"/>
          <w:cols w:equalWidth="0" w:num="1">
            <w:col w:w="11080"/>
          </w:cols>
          <w:pgMar w:left="380" w:top="1440" w:right="439" w:bottom="1440" w:gutter="0" w:footer="0" w:header="0"/>
        </w:sectPr>
      </w:pP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from write-off of fixed assets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(decrease) increase in cash and cash equivalents and restricted cash</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17"/>
                <w:szCs w:val="17"/>
                <w:color w:val="auto"/>
              </w:rPr>
            </w:pP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(56.9)</w:t>
            </w:r>
          </w:p>
        </w:tc>
      </w:tr>
      <w:tr>
        <w:trPr>
          <w:trHeight w:val="486"/>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19.9</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43"/>
        </w:trPr>
        <w:tc>
          <w:tcPr>
            <w:tcW w:w="6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14.7</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60"/>
        </w:trPr>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486"/>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52"/>
        </w:trPr>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28"/>
        </w:trPr>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43"/>
        </w:trPr>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451"/>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5"/>
        </w:trPr>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10.8</w:t>
            </w:r>
          </w:p>
        </w:tc>
      </w:tr>
      <w:tr>
        <w:trPr>
          <w:trHeight w:val="243"/>
        </w:trPr>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(25.5)</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473"/>
        </w:trPr>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(29.9)</w:t>
            </w:r>
          </w:p>
        </w:tc>
      </w:tr>
      <w:tr>
        <w:trPr>
          <w:trHeight w:val="270"/>
        </w:trPr>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94.0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163.6</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86.6</w:t>
            </w:r>
          </w:p>
        </w:tc>
        <w:tc>
          <w:tcPr>
            <w:tcW w:w="100" w:type="dxa"/>
            <w:vAlign w:val="bottom"/>
          </w:tcPr>
          <w:p>
            <w:pPr>
              <w:spacing w:after="0"/>
              <w:rPr>
                <w:sz w:val="18"/>
                <w:szCs w:val="18"/>
                <w:color w:val="auto"/>
              </w:rPr>
            </w:pPr>
          </w:p>
        </w:tc>
        <w:tc>
          <w:tcPr>
            <w:tcW w:w="600" w:type="dxa"/>
            <w:vAlign w:val="bottom"/>
          </w:tcPr>
          <w:p>
            <w:pPr>
              <w:jc w:val="right"/>
              <w:ind w:right="424"/>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133.7</w:t>
            </w:r>
          </w:p>
        </w:tc>
      </w:tr>
      <w:tr>
        <w:trPr>
          <w:trHeight w:val="33"/>
        </w:trPr>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
        </w:trPr>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140" w:space="720"/>
            <w:col w:w="3220"/>
          </w:cols>
          <w:pgMar w:left="380" w:top="1440" w:right="439" w:bottom="1440" w:gutter="0" w:footer="0" w:header="0"/>
          <w:type w:val="continuous"/>
        </w:sectPr>
      </w:pPr>
    </w:p>
    <w:bookmarkStart w:id="12" w:name="page13"/>
    <w:bookmarkEnd w:id="12"/>
    <w:p>
      <w:pPr>
        <w:ind w:left="4280"/>
        <w:spacing w:after="0"/>
        <w:rPr>
          <w:sz w:val="20"/>
          <w:szCs w:val="20"/>
          <w:color w:val="auto"/>
        </w:rPr>
      </w:pPr>
      <w:r>
        <w:rPr>
          <w:rFonts w:ascii="Arial" w:cs="Arial" w:eastAsia="Arial" w:hAnsi="Arial"/>
          <w:sz w:val="20"/>
          <w:szCs w:val="20"/>
          <w:b w:val="1"/>
          <w:bCs w:val="1"/>
          <w:color w:val="auto"/>
        </w:rPr>
        <w:t>Rent the Runway, Inc.</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19"/>
          <w:szCs w:val="19"/>
          <w:b w:val="1"/>
          <w:bCs w:val="1"/>
          <w:color w:val="auto"/>
        </w:rPr>
        <w:t>Condensed Consolidated Statements of Cash Flow</w:t>
      </w:r>
    </w:p>
    <w:p>
      <w:pPr>
        <w:ind w:left="4740"/>
        <w:spacing w:after="0"/>
        <w:rPr>
          <w:sz w:val="20"/>
          <w:szCs w:val="20"/>
          <w:color w:val="auto"/>
        </w:rPr>
      </w:pPr>
      <w:r>
        <w:rPr>
          <w:rFonts w:ascii="Arial" w:cs="Arial" w:eastAsia="Arial" w:hAnsi="Arial"/>
          <w:sz w:val="20"/>
          <w:szCs w:val="20"/>
          <w:b w:val="1"/>
          <w:bCs w:val="1"/>
          <w:color w:val="auto"/>
        </w:rPr>
        <w:t>(in millions)</w:t>
      </w:r>
    </w:p>
    <w:p>
      <w:pPr>
        <w:ind w:left="4800"/>
        <w:spacing w:after="0"/>
        <w:rPr>
          <w:sz w:val="20"/>
          <w:szCs w:val="20"/>
          <w:color w:val="auto"/>
        </w:rPr>
      </w:pPr>
      <w:r>
        <w:rPr>
          <w:rFonts w:ascii="Arial" w:cs="Arial" w:eastAsia="Arial" w:hAnsi="Arial"/>
          <w:sz w:val="20"/>
          <w:szCs w:val="20"/>
          <w:color w:val="auto"/>
        </w:rPr>
        <w:t>(unaudited)</w:t>
      </w:r>
    </w:p>
    <w:p>
      <w:pPr>
        <w:sectPr>
          <w:pgSz w:w="11900" w:h="16838" w:orient="portrait"/>
          <w:cols w:equalWidth="0" w:num="1">
            <w:col w:w="10620"/>
          </w:cols>
          <w:pgMar w:left="640" w:top="110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 w:hanging="161"/>
        <w:spacing w:after="0" w:line="301"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 payments,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assets and intangibles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Financing lease right-of-use asset amortization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fixed assets and intangibles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Six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911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599"/>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76.6</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123.7</w:t>
            </w:r>
          </w:p>
        </w:tc>
      </w:tr>
      <w:tr>
        <w:trPr>
          <w:trHeight w:val="230"/>
        </w:trPr>
        <w:tc>
          <w:tcPr>
            <w:tcW w:w="320" w:type="dxa"/>
            <w:vAlign w:val="bottom"/>
          </w:tcPr>
          <w:p>
            <w:pPr>
              <w:spacing w:after="0"/>
              <w:rPr>
                <w:sz w:val="19"/>
                <w:szCs w:val="19"/>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43"/>
        </w:trPr>
        <w:tc>
          <w:tcPr>
            <w:tcW w:w="320" w:type="dxa"/>
            <w:vAlign w:val="bottom"/>
          </w:tcPr>
          <w:p>
            <w:pPr>
              <w:spacing w:after="0"/>
              <w:rPr>
                <w:sz w:val="21"/>
                <w:szCs w:val="21"/>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86.6</w:t>
            </w:r>
          </w:p>
        </w:tc>
        <w:tc>
          <w:tcPr>
            <w:tcW w:w="8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133.7</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473"/>
        </w:trPr>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62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r>
    </w:tbl>
    <w:p>
      <w:pPr>
        <w:sectPr>
          <w:pgSz w:w="11900" w:h="16838" w:orient="portrait"/>
          <w:cols w:equalWidth="0" w:num="2">
            <w:col w:w="7060" w:space="560"/>
            <w:col w:w="3000"/>
          </w:cols>
          <w:pgMar w:left="640" w:top="1101" w:right="639" w:bottom="1440" w:gutter="0" w:footer="0" w:header="0"/>
          <w:type w:val="continuous"/>
        </w:sectPr>
      </w:pPr>
    </w:p>
    <w:bookmarkStart w:id="13" w:name="page14"/>
    <w:bookmarkEnd w:id="13"/>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ind w:left="5133"/>
        <w:spacing w:after="0"/>
        <w:rPr>
          <w:sz w:val="20"/>
          <w:szCs w:val="20"/>
          <w:color w:val="auto"/>
        </w:rPr>
      </w:pPr>
      <w:r>
        <w:rPr>
          <w:rFonts w:ascii="Arial" w:cs="Arial" w:eastAsia="Arial" w:hAnsi="Arial"/>
          <w:sz w:val="20"/>
          <w:szCs w:val="20"/>
          <w:b w:val="1"/>
          <w:bCs w:val="1"/>
          <w:color w:val="auto"/>
        </w:rPr>
        <w:t>(in millions)</w:t>
      </w:r>
    </w:p>
    <w:p>
      <w:pPr>
        <w:ind w:left="5193"/>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p>
      <w:pPr>
        <w:spacing w:after="0" w:line="268" w:lineRule="exact"/>
        <w:rPr>
          <w:sz w:val="20"/>
          <w:szCs w:val="20"/>
          <w:color w:val="auto"/>
        </w:rPr>
      </w:pPr>
    </w:p>
    <w:p>
      <w:pPr>
        <w:ind w:left="73" w:right="20"/>
        <w:spacing w:after="0" w:line="243"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ectPr>
          <w:pgSz w:w="11900" w:h="16838" w:orient="portrait"/>
          <w:cols w:equalWidth="0" w:num="1">
            <w:col w:w="11213"/>
          </w:cols>
          <w:pgMar w:left="247" w:top="110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3"/>
        <w:spacing w:after="0"/>
        <w:rPr>
          <w:sz w:val="20"/>
          <w:szCs w:val="20"/>
          <w:color w:val="auto"/>
        </w:rPr>
      </w:pPr>
      <w:r>
        <w:rPr>
          <w:rFonts w:ascii="Arial" w:cs="Arial" w:eastAsia="Arial" w:hAnsi="Arial"/>
          <w:sz w:val="18"/>
          <w:szCs w:val="18"/>
          <w:color w:val="auto"/>
        </w:rPr>
        <w:t>Net loss</w:t>
      </w:r>
    </w:p>
    <w:p>
      <w:pPr>
        <w:spacing w:after="0" w:line="8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46"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77" w:lineRule="exact"/>
        <w:rPr>
          <w:sz w:val="20"/>
          <w:szCs w:val="20"/>
          <w:color w:val="auto"/>
        </w:rPr>
      </w:pPr>
    </w:p>
    <w:p>
      <w:pPr>
        <w:ind w:left="93"/>
        <w:spacing w:after="0"/>
        <w:rPr>
          <w:sz w:val="20"/>
          <w:szCs w:val="20"/>
          <w:color w:val="auto"/>
        </w:rPr>
      </w:pPr>
      <w:r>
        <w:rPr>
          <w:rFonts w:ascii="Arial" w:cs="Arial" w:eastAsia="Arial" w:hAnsi="Arial"/>
          <w:sz w:val="17"/>
          <w:szCs w:val="17"/>
          <w:color w:val="auto"/>
        </w:rPr>
        <w:t xml:space="preserve">Other depreciation and amortization </w:t>
      </w:r>
      <w:r>
        <w:rPr>
          <w:rFonts w:ascii="Arial" w:cs="Arial" w:eastAsia="Arial" w:hAnsi="Arial"/>
          <w:sz w:val="22"/>
          <w:szCs w:val="22"/>
          <w:color w:val="auto"/>
          <w:vertAlign w:val="superscript"/>
        </w:rPr>
        <w:t>(2)</w:t>
      </w:r>
    </w:p>
    <w:p>
      <w:pPr>
        <w:spacing w:after="0" w:line="58"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(3)</w:t>
      </w:r>
    </w:p>
    <w:p>
      <w:pPr>
        <w:spacing w:after="0" w:line="2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33"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3"/>
          <w:szCs w:val="23"/>
          <w:color w:val="auto"/>
          <w:vertAlign w:val="superscript"/>
        </w:rPr>
        <w:t>(6)</w:t>
      </w:r>
    </w:p>
    <w:p>
      <w:pPr>
        <w:spacing w:after="0" w:line="33" w:lineRule="exact"/>
        <w:rPr>
          <w:sz w:val="20"/>
          <w:szCs w:val="20"/>
          <w:color w:val="auto"/>
        </w:rPr>
      </w:pPr>
    </w:p>
    <w:p>
      <w:pPr>
        <w:ind w:left="93" w:right="840"/>
        <w:spacing w:after="0" w:line="339" w:lineRule="auto"/>
        <w:rPr>
          <w:sz w:val="20"/>
          <w:szCs w:val="20"/>
          <w:color w:val="auto"/>
        </w:rPr>
      </w:pPr>
      <w:r>
        <w:rPr>
          <w:rFonts w:ascii="Arial" w:cs="Arial" w:eastAsia="Arial" w:hAnsi="Arial"/>
          <w:sz w:val="18"/>
          <w:szCs w:val="18"/>
          <w:color w:val="auto"/>
        </w:rPr>
        <w:t xml:space="preserve">Income tax (benefit) / expense Other (income) / expense, net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Other (gains) / losses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Adjusted EBITDA</w:t>
      </w:r>
    </w:p>
    <w:p>
      <w:pPr>
        <w:spacing w:after="0" w:line="2"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(9)</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31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July 31,</w:t>
            </w:r>
          </w:p>
        </w:tc>
        <w:tc>
          <w:tcPr>
            <w:tcW w:w="400" w:type="dxa"/>
            <w:vAlign w:val="bottom"/>
          </w:tcPr>
          <w:p>
            <w:pPr>
              <w:spacing w:after="0"/>
              <w:rPr>
                <w:sz w:val="17"/>
                <w:szCs w:val="17"/>
                <w:color w:val="auto"/>
              </w:rPr>
            </w:pPr>
          </w:p>
        </w:tc>
        <w:tc>
          <w:tcPr>
            <w:tcW w:w="304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 July 31,</w:t>
            </w:r>
          </w:p>
        </w:tc>
      </w:tr>
      <w:tr>
        <w:trPr>
          <w:trHeight w:val="237"/>
        </w:trPr>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r>
      <w:tr>
        <w:trPr>
          <w:trHeight w:val="228"/>
        </w:trPr>
        <w:tc>
          <w:tcPr>
            <w:tcW w:w="380" w:type="dxa"/>
            <w:vAlign w:val="bottom"/>
          </w:tcPr>
          <w:p>
            <w:pPr>
              <w:spacing w:after="0"/>
              <w:rPr>
                <w:sz w:val="19"/>
                <w:szCs w:val="19"/>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r>
      <w:tr>
        <w:trPr>
          <w:trHeight w:val="276"/>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(56.9)</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18.3</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24.9</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7.5</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16.2</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1.7</w:t>
            </w:r>
          </w:p>
        </w:tc>
      </w:tr>
      <w:tr>
        <w:trPr>
          <w:trHeight w:val="297"/>
        </w:trPr>
        <w:tc>
          <w:tcPr>
            <w:tcW w:w="38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0.5</w:t>
            </w:r>
          </w:p>
        </w:tc>
      </w:tr>
      <w:tr>
        <w:trPr>
          <w:trHeight w:val="297"/>
        </w:trPr>
        <w:tc>
          <w:tcPr>
            <w:tcW w:w="380" w:type="dxa"/>
            <w:vAlign w:val="bottom"/>
          </w:tcPr>
          <w:p>
            <w:pPr>
              <w:spacing w:after="0"/>
              <w:rPr>
                <w:sz w:val="24"/>
                <w:szCs w:val="2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(0.1)</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(0.1)</w:t>
            </w:r>
          </w:p>
        </w:tc>
      </w:tr>
      <w:tr>
        <w:trPr>
          <w:trHeight w:val="297"/>
        </w:trPr>
        <w:tc>
          <w:tcPr>
            <w:tcW w:w="38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37"/>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4"/>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12.2</w:t>
            </w:r>
          </w:p>
        </w:tc>
      </w:tr>
      <w:tr>
        <w:trPr>
          <w:trHeight w:val="36"/>
        </w:trPr>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4"/>
        </w:trPr>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17.4 %</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10.2 %</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13.1 %</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8.1 %</w:t>
            </w:r>
          </w:p>
        </w:tc>
      </w:tr>
    </w:tbl>
    <w:p>
      <w:pPr>
        <w:spacing w:after="0" w:line="223" w:lineRule="exact"/>
        <w:rPr>
          <w:sz w:val="20"/>
          <w:szCs w:val="20"/>
          <w:color w:val="auto"/>
        </w:rPr>
      </w:pPr>
    </w:p>
    <w:p>
      <w:pPr>
        <w:sectPr>
          <w:pgSz w:w="11900" w:h="16838" w:orient="portrait"/>
          <w:cols w:equalWidth="0" w:num="2">
            <w:col w:w="3513" w:space="720"/>
            <w:col w:w="6980"/>
          </w:cols>
          <w:pgMar w:left="247" w:top="1101" w:right="439" w:bottom="1440" w:gutter="0" w:footer="0" w:header="0"/>
          <w:type w:val="continuous"/>
        </w:sectPr>
      </w:pPr>
    </w:p>
    <w:p>
      <w:pPr>
        <w:spacing w:after="0" w:line="371" w:lineRule="exact"/>
        <w:rPr>
          <w:sz w:val="20"/>
          <w:szCs w:val="20"/>
          <w:color w:val="auto"/>
        </w:rPr>
      </w:pPr>
    </w:p>
    <w:p>
      <w:pPr>
        <w:ind w:left="333" w:right="200" w:hanging="333"/>
        <w:spacing w:after="0" w:line="305" w:lineRule="auto"/>
        <w:tabs>
          <w:tab w:leader="none" w:pos="326"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debt discount amortization of $6.7 million in the three months ended July 31, 2024, $1.8 million in the three months ended July 31, 2023, $13.1 million in the six months ended July 31, 2024 and $3.4 million in the six months ended July 31, 2023.</w:t>
      </w:r>
    </w:p>
    <w:p>
      <w:pPr>
        <w:spacing w:after="0" w:line="35" w:lineRule="exact"/>
        <w:rPr>
          <w:rFonts w:ascii="Arial" w:cs="Arial" w:eastAsia="Arial" w:hAnsi="Arial"/>
          <w:sz w:val="9"/>
          <w:szCs w:val="9"/>
          <w:color w:val="auto"/>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non-rental product depreciation and capitalized software amortization.</w:t>
      </w:r>
    </w:p>
    <w:p>
      <w:pPr>
        <w:spacing w:after="0" w:line="78"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w:t>
      </w:r>
    </w:p>
    <w:p>
      <w:pPr>
        <w:spacing w:after="0" w:line="10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9"/>
          <w:szCs w:val="9"/>
          <w:color w:val="auto"/>
        </w:rPr>
      </w:pPr>
      <w:r>
        <w:rPr>
          <w:rFonts w:ascii="Arial" w:cs="Arial" w:eastAsia="Arial" w:hAnsi="Arial"/>
          <w:sz w:val="14"/>
          <w:szCs w:val="14"/>
          <w:color w:val="auto"/>
        </w:rPr>
        <w:t>Reflects the write-off of the remaining book value of liquidated rental product that had previously been held for sale.</w:t>
      </w:r>
    </w:p>
    <w:p>
      <w:pPr>
        <w:spacing w:after="0" w:line="122" w:lineRule="exact"/>
        <w:rPr>
          <w:rFonts w:ascii="Arial" w:cs="Arial" w:eastAsia="Arial" w:hAnsi="Arial"/>
          <w:sz w:val="9"/>
          <w:szCs w:val="9"/>
          <w:color w:val="auto"/>
        </w:rPr>
      </w:pPr>
    </w:p>
    <w:p>
      <w:pPr>
        <w:ind w:left="313" w:hanging="313"/>
        <w:spacing w:after="0"/>
        <w:tabs>
          <w:tab w:leader="none" w:pos="313" w:val="left"/>
        </w:tabs>
        <w:numPr>
          <w:ilvl w:val="0"/>
          <w:numId w:val="6"/>
        </w:numPr>
        <w:rPr>
          <w:rFonts w:ascii="Arial" w:cs="Arial" w:eastAsia="Arial" w:hAnsi="Arial"/>
          <w:sz w:val="9"/>
          <w:szCs w:val="9"/>
          <w:color w:val="auto"/>
        </w:rPr>
      </w:pPr>
      <w:r>
        <w:rPr>
          <w:rFonts w:ascii="Arial" w:cs="Arial" w:eastAsia="Arial" w:hAnsi="Arial"/>
          <w:sz w:val="14"/>
          <w:szCs w:val="14"/>
          <w:color w:val="auto"/>
        </w:rPr>
        <w:t>Non-recurring adjustments for the three and six months ended July 31, 2023 includes $0.5 million of costs related to the option exchange.</w:t>
      </w:r>
    </w:p>
    <w:p>
      <w:pPr>
        <w:spacing w:after="0" w:line="107" w:lineRule="exact"/>
        <w:rPr>
          <w:rFonts w:ascii="Arial" w:cs="Arial" w:eastAsia="Arial" w:hAnsi="Arial"/>
          <w:sz w:val="9"/>
          <w:szCs w:val="9"/>
          <w:color w:val="auto"/>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Reflects restructuring charges primarily related to severance and related costs in connection with the January 2024 restructuring plan.</w:t>
      </w:r>
    </w:p>
    <w:p>
      <w:pPr>
        <w:spacing w:after="0" w:line="10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Includes other (income) / expense recognized in the period.</w:t>
      </w:r>
    </w:p>
    <w:p>
      <w:pPr>
        <w:spacing w:after="0" w:line="149" w:lineRule="exact"/>
        <w:rPr>
          <w:rFonts w:ascii="Arial" w:cs="Arial" w:eastAsia="Arial" w:hAnsi="Arial"/>
          <w:sz w:val="9"/>
          <w:szCs w:val="9"/>
          <w:color w:val="auto"/>
        </w:rPr>
      </w:pPr>
    </w:p>
    <w:p>
      <w:pPr>
        <w:ind w:left="333" w:right="180" w:hanging="333"/>
        <w:spacing w:after="0" w:line="239" w:lineRule="auto"/>
        <w:tabs>
          <w:tab w:leader="none" w:pos="326"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79"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Adjusted EBITDA Margin calculated as Adjusted EBITDA as a percentage of revenue.</w:t>
      </w:r>
    </w:p>
    <w:p>
      <w:pPr>
        <w:sectPr>
          <w:pgSz w:w="11900" w:h="16838" w:orient="portrait"/>
          <w:cols w:equalWidth="0" w:num="1">
            <w:col w:w="11213"/>
          </w:cols>
          <w:pgMar w:left="247" w:top="1101" w:right="439" w:bottom="1440" w:gutter="0" w:footer="0" w:header="0"/>
          <w:type w:val="continuous"/>
        </w:sectPr>
      </w:pPr>
    </w:p>
    <w:bookmarkStart w:id="14" w:name="page15"/>
    <w:bookmarkEnd w:id="14"/>
    <w:p>
      <w:pPr>
        <w:spacing w:after="0" w:line="200" w:lineRule="exact"/>
        <w:rPr>
          <w:sz w:val="20"/>
          <w:szCs w:val="20"/>
          <w:color w:val="auto"/>
        </w:rPr>
      </w:pPr>
    </w:p>
    <w:p>
      <w:pPr>
        <w:spacing w:after="0" w:line="272"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231"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following table presents a reconciliation of net cash (used in) provided by operating activities, the most comparable GAAP financial measure, to Free Cash Flow and Free Cash Flow Margin for the periods presented: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Six Months Ended July 31,</w:t>
            </w:r>
          </w:p>
        </w:tc>
        <w:tc>
          <w:tcPr>
            <w:tcW w:w="680" w:type="dxa"/>
            <w:vAlign w:val="bottom"/>
            <w:tcBorders>
              <w:bottom w:val="single" w:sz="8" w:color="auto"/>
            </w:tcBorders>
          </w:tcPr>
          <w:p>
            <w:pPr>
              <w:spacing w:after="0"/>
              <w:rPr>
                <w:sz w:val="17"/>
                <w:szCs w:val="17"/>
                <w:color w:val="auto"/>
              </w:rPr>
            </w:pPr>
          </w:p>
        </w:tc>
      </w:tr>
      <w:tr>
        <w:trPr>
          <w:trHeight w:val="223"/>
        </w:trPr>
        <w:tc>
          <w:tcPr>
            <w:tcW w:w="76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9"/>
                <w:szCs w:val="19"/>
                <w:color w:val="auto"/>
              </w:rPr>
            </w:pPr>
          </w:p>
        </w:tc>
      </w:tr>
      <w:tr>
        <w:trPr>
          <w:trHeight w:val="227"/>
        </w:trPr>
        <w:tc>
          <w:tcPr>
            <w:tcW w:w="7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9"/>
                <w:szCs w:val="19"/>
                <w:color w:val="auto"/>
              </w:rPr>
            </w:pPr>
          </w:p>
        </w:tc>
      </w:tr>
      <w:tr>
        <w:trPr>
          <w:trHeight w:val="276"/>
        </w:trPr>
        <w:tc>
          <w:tcPr>
            <w:tcW w:w="762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(4.1)</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w w:val="93"/>
              </w:rPr>
              <w:t>(26.3)</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(36.3)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Proceeds from liquidation of rental product</w:t>
            </w:r>
          </w:p>
        </w:tc>
        <w:tc>
          <w:tcPr>
            <w:tcW w:w="100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2.2</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Proceeds from sale of rental product</w:t>
            </w:r>
          </w:p>
        </w:tc>
        <w:tc>
          <w:tcPr>
            <w:tcW w:w="1000" w:type="dxa"/>
            <w:vAlign w:val="bottom"/>
          </w:tcPr>
          <w:p>
            <w:pPr>
              <w:spacing w:after="0"/>
              <w:rPr>
                <w:sz w:val="24"/>
                <w:szCs w:val="24"/>
                <w:color w:val="auto"/>
              </w:rPr>
            </w:pPr>
          </w:p>
        </w:tc>
        <w:tc>
          <w:tcPr>
            <w:tcW w:w="660" w:type="dxa"/>
            <w:vAlign w:val="bottom"/>
          </w:tcPr>
          <w:p>
            <w:pPr>
              <w:jc w:val="right"/>
              <w:ind w:right="15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10.8</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0" w:type="dxa"/>
            <w:vAlign w:val="bottom"/>
          </w:tcPr>
          <w:p>
            <w:pPr>
              <w:spacing w:after="0"/>
              <w:rPr>
                <w:sz w:val="24"/>
                <w:szCs w:val="24"/>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36"/>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86"/>
        </w:trPr>
        <w:tc>
          <w:tcPr>
            <w:tcW w:w="7620" w:type="dxa"/>
            <w:vAlign w:val="bottom"/>
          </w:tcPr>
          <w:p>
            <w:pPr>
              <w:spacing w:after="0"/>
              <w:rPr>
                <w:sz w:val="20"/>
                <w:szCs w:val="20"/>
                <w:color w:val="auto"/>
              </w:rPr>
            </w:pPr>
            <w:r>
              <w:rPr>
                <w:rFonts w:ascii="Arial" w:cs="Arial" w:eastAsia="Arial" w:hAnsi="Arial"/>
                <w:sz w:val="18"/>
                <w:szCs w:val="18"/>
                <w:color w:val="auto"/>
              </w:rPr>
              <w:t>Free Cash Flow</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(29.6)</w:t>
            </w:r>
          </w:p>
        </w:tc>
      </w:tr>
      <w:tr>
        <w:trPr>
          <w:trHeight w:val="25"/>
        </w:trPr>
        <w:tc>
          <w:tcPr>
            <w:tcW w:w="7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w:t>
            </w:r>
          </w:p>
        </w:tc>
      </w:tr>
    </w:tbl>
    <w:p>
      <w:pPr>
        <w:sectPr>
          <w:pgSz w:w="11900" w:h="16838" w:orient="portrait"/>
          <w:cols w:equalWidth="0" w:num="1">
            <w:col w:w="11060"/>
          </w:cols>
          <w:pgMar w:left="320" w:top="1440" w:right="519" w:bottom="1440" w:gutter="0" w:footer="0" w:header="0"/>
        </w:sectPr>
      </w:pPr>
    </w:p>
    <w:bookmarkStart w:id="15" w:name="page16"/>
    <w:bookmarkEnd w:id="15"/>
    <w:p>
      <w:pPr>
        <w:spacing w:after="0" w:line="200" w:lineRule="exact"/>
        <w:rPr>
          <w:sz w:val="20"/>
          <w:szCs w:val="20"/>
          <w:color w:val="auto"/>
        </w:rPr>
      </w:pPr>
    </w:p>
    <w:p>
      <w:pPr>
        <w:spacing w:after="0" w:line="264"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Rent the Runway, Inc.</w:t>
      </w:r>
    </w:p>
    <w:p>
      <w:pPr>
        <w:ind w:left="2920"/>
        <w:spacing w:after="0" w:line="197" w:lineRule="auto"/>
        <w:rPr>
          <w:sz w:val="20"/>
          <w:szCs w:val="20"/>
          <w:color w:val="auto"/>
        </w:rPr>
      </w:pPr>
      <w:r>
        <w:rPr>
          <w:rFonts w:ascii="Arial" w:cs="Arial" w:eastAsia="Arial" w:hAnsi="Arial"/>
          <w:sz w:val="20"/>
          <w:szCs w:val="20"/>
          <w:b w:val="1"/>
          <w:bCs w:val="1"/>
          <w:color w:val="auto"/>
        </w:rPr>
        <w:t>Reconciliation of GAAP to Non-GAAP Financial Measures</w:t>
      </w:r>
    </w:p>
    <w:p>
      <w:pPr>
        <w:jc w:val="center"/>
        <w:ind w:right="-159"/>
        <w:spacing w:after="0"/>
        <w:rPr>
          <w:sz w:val="20"/>
          <w:szCs w:val="20"/>
          <w:color w:val="auto"/>
        </w:rPr>
      </w:pPr>
      <w:r>
        <w:rPr>
          <w:rFonts w:ascii="Arial" w:cs="Arial" w:eastAsia="Arial" w:hAnsi="Arial"/>
          <w:sz w:val="20"/>
          <w:szCs w:val="20"/>
          <w:b w:val="1"/>
          <w:bCs w:val="1"/>
          <w:color w:val="auto"/>
        </w:rPr>
        <w:t>(in millions)</w:t>
      </w: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a reconciliation of net loss, the most comparable GAAP financial measure, to Free Cash Flow and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Free Cash Flow Margin for the periods presented:</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62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Six Months Ended July 31,</w:t>
            </w:r>
          </w:p>
        </w:tc>
        <w:tc>
          <w:tcPr>
            <w:tcW w:w="680" w:type="dxa"/>
            <w:vAlign w:val="bottom"/>
            <w:tcBorders>
              <w:bottom w:val="single" w:sz="8" w:color="auto"/>
            </w:tcBorders>
          </w:tcPr>
          <w:p>
            <w:pPr>
              <w:spacing w:after="0"/>
              <w:rPr>
                <w:sz w:val="17"/>
                <w:szCs w:val="17"/>
                <w:color w:val="auto"/>
              </w:rPr>
            </w:pPr>
          </w:p>
        </w:tc>
      </w:tr>
      <w:tr>
        <w:trPr>
          <w:trHeight w:val="223"/>
        </w:trPr>
        <w:tc>
          <w:tcPr>
            <w:tcW w:w="76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9"/>
                <w:szCs w:val="19"/>
                <w:color w:val="auto"/>
              </w:rPr>
            </w:pPr>
          </w:p>
        </w:tc>
      </w:tr>
      <w:tr>
        <w:trPr>
          <w:trHeight w:val="228"/>
        </w:trPr>
        <w:tc>
          <w:tcPr>
            <w:tcW w:w="7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gridSpan w:val="3"/>
          </w:tcPr>
          <w:p>
            <w:pPr>
              <w:jc w:val="right"/>
              <w:ind w:right="555"/>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9"/>
                <w:szCs w:val="19"/>
                <w:color w:val="auto"/>
              </w:rPr>
            </w:pPr>
          </w:p>
        </w:tc>
      </w:tr>
      <w:tr>
        <w:trPr>
          <w:trHeight w:val="276"/>
        </w:trPr>
        <w:tc>
          <w:tcPr>
            <w:tcW w:w="76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1"/>
              <w:spacing w:after="0"/>
              <w:rPr>
                <w:sz w:val="20"/>
                <w:szCs w:val="20"/>
                <w:color w:val="auto"/>
              </w:rPr>
            </w:pPr>
            <w:r>
              <w:rPr>
                <w:rFonts w:ascii="Arial" w:cs="Arial" w:eastAsia="Arial" w:hAnsi="Arial"/>
                <w:sz w:val="18"/>
                <w:szCs w:val="18"/>
                <w:color w:val="auto"/>
                <w:w w:val="93"/>
              </w:rPr>
              <w:t>(37.6)</w:t>
            </w:r>
          </w:p>
        </w:tc>
        <w:tc>
          <w:tcPr>
            <w:tcW w:w="100" w:type="dxa"/>
            <w:vAlign w:val="bottom"/>
          </w:tcPr>
          <w:p>
            <w:pPr>
              <w:spacing w:after="0"/>
              <w:rPr>
                <w:sz w:val="24"/>
                <w:szCs w:val="24"/>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(56.9)</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Interest (income) / expense, net</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18.3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Rental product depreciation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24.9</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depreciation and amortization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7.5</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16.2</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Write-off of liquidated assets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Non-recurring adjustments</w:t>
            </w:r>
          </w:p>
        </w:tc>
        <w:tc>
          <w:tcPr>
            <w:tcW w:w="100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Restructuring charges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Income tax (benefit) / expense</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(0.1)</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(income) / expense, net</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(0.1)</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(gains) / losses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Adjusted EBITDA</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12.2</w:t>
            </w:r>
          </w:p>
        </w:tc>
      </w:tr>
      <w:tr>
        <w:trPr>
          <w:trHeight w:val="36"/>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rental product</w:t>
            </w:r>
          </w:p>
        </w:tc>
        <w:tc>
          <w:tcPr>
            <w:tcW w:w="1000" w:type="dxa"/>
            <w:vAlign w:val="bottom"/>
          </w:tcPr>
          <w:p>
            <w:pPr>
              <w:spacing w:after="0"/>
              <w:rPr>
                <w:sz w:val="22"/>
                <w:szCs w:val="22"/>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w w:val="93"/>
              </w:rPr>
              <w:t>(26.3)</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(36.3)</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Purchases of fixed and intangible assets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(2.2)</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expense</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(3.0)</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Cash interest earned</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Change in assets and liabilities</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(2.8)</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Non-recurring adjustments</w:t>
            </w:r>
          </w:p>
        </w:tc>
        <w:tc>
          <w:tcPr>
            <w:tcW w:w="1000" w:type="dxa"/>
            <w:vAlign w:val="bottom"/>
          </w:tcPr>
          <w:p>
            <w:pPr>
              <w:spacing w:after="0"/>
              <w:rPr>
                <w:sz w:val="24"/>
                <w:szCs w:val="2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(0.5)</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Restructuring charges</w:t>
            </w:r>
          </w:p>
        </w:tc>
        <w:tc>
          <w:tcPr>
            <w:tcW w:w="1000" w:type="dxa"/>
            <w:vAlign w:val="bottom"/>
          </w:tcPr>
          <w:p>
            <w:pPr>
              <w:spacing w:after="0"/>
              <w:rPr>
                <w:sz w:val="24"/>
                <w:szCs w:val="24"/>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97"/>
        </w:trPr>
        <w:tc>
          <w:tcPr>
            <w:tcW w:w="7620" w:type="dxa"/>
            <w:vAlign w:val="bottom"/>
          </w:tcPr>
          <w:p>
            <w:pPr>
              <w:ind w:left="440"/>
              <w:spacing w:after="0"/>
              <w:rPr>
                <w:sz w:val="20"/>
                <w:szCs w:val="20"/>
                <w:color w:val="auto"/>
              </w:rPr>
            </w:pPr>
            <w:r>
              <w:rPr>
                <w:rFonts w:ascii="Arial" w:cs="Arial" w:eastAsia="Arial" w:hAnsi="Arial"/>
                <w:sz w:val="18"/>
                <w:szCs w:val="18"/>
                <w:color w:val="auto"/>
              </w:rPr>
              <w:t>Other adjustments (1)</w:t>
            </w:r>
          </w:p>
        </w:tc>
        <w:tc>
          <w:tcPr>
            <w:tcW w:w="1000" w:type="dxa"/>
            <w:vAlign w:val="bottom"/>
          </w:tcPr>
          <w:p>
            <w:pPr>
              <w:spacing w:after="0"/>
              <w:rPr>
                <w:sz w:val="24"/>
                <w:szCs w:val="24"/>
                <w:color w:val="auto"/>
              </w:rPr>
            </w:pPr>
          </w:p>
        </w:tc>
        <w:tc>
          <w:tcPr>
            <w:tcW w:w="66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Free Cash Flow</w:t>
            </w:r>
          </w:p>
        </w:tc>
        <w:tc>
          <w:tcPr>
            <w:tcW w:w="1000" w:type="dxa"/>
            <w:vAlign w:val="bottom"/>
          </w:tcPr>
          <w:p>
            <w:pPr>
              <w:jc w:val="right"/>
              <w:ind w:right="797"/>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w w:val="97"/>
              </w:rPr>
              <w:t>(29.6)</w:t>
            </w:r>
          </w:p>
        </w:tc>
      </w:tr>
      <w:tr>
        <w:trPr>
          <w:trHeight w:val="37"/>
        </w:trPr>
        <w:tc>
          <w:tcPr>
            <w:tcW w:w="76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54"/>
        </w:trPr>
        <w:tc>
          <w:tcPr>
            <w:tcW w:w="7620" w:type="dxa"/>
            <w:vAlign w:val="bottom"/>
          </w:tcPr>
          <w:p>
            <w:pPr>
              <w:spacing w:after="0"/>
              <w:rPr>
                <w:sz w:val="20"/>
                <w:szCs w:val="20"/>
                <w:color w:val="auto"/>
              </w:rPr>
            </w:pPr>
            <w:r>
              <w:rPr>
                <w:rFonts w:ascii="Arial" w:cs="Arial" w:eastAsia="Arial" w:hAnsi="Arial"/>
                <w:sz w:val="18"/>
                <w:szCs w:val="18"/>
                <w:color w:val="auto"/>
              </w:rPr>
              <w:t>Free Cash Flow Margin</w:t>
            </w:r>
          </w:p>
        </w:tc>
        <w:tc>
          <w:tcPr>
            <w:tcW w:w="10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hanging="152"/>
        <w:spacing w:after="0"/>
        <w:tabs>
          <w:tab w:leader="none" w:pos="160" w:val="left"/>
        </w:tabs>
        <w:numPr>
          <w:ilvl w:val="0"/>
          <w:numId w:val="7"/>
        </w:numPr>
        <w:rPr>
          <w:rFonts w:ascii="Arial" w:cs="Arial" w:eastAsia="Arial" w:hAnsi="Arial"/>
          <w:sz w:val="9"/>
          <w:szCs w:val="9"/>
          <w:color w:val="auto"/>
        </w:rPr>
      </w:pPr>
      <w:r>
        <w:rPr>
          <w:rFonts w:ascii="Arial" w:cs="Arial" w:eastAsia="Arial" w:hAnsi="Arial"/>
          <w:sz w:val="14"/>
          <w:szCs w:val="14"/>
          <w:color w:val="auto"/>
        </w:rPr>
        <w:t>Other adjustments primarily includes cash tax adjustments and other cash gains (losses).</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2024-09-05T15:32:52Z</dcterms:created>
  <dcterms:modified xsi:type="dcterms:W3CDTF">2024-09-05T15:32:52Z</dcterms:modified>
</cp:coreProperties>
</file>