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60"/>
        <w:spacing w:after="0" w:line="25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32385</wp:posOffset>
            </wp:positionH>
            <wp:positionV relativeFrom="paragraph">
              <wp:posOffset>-233045</wp:posOffset>
            </wp:positionV>
            <wp:extent cx="127635" cy="1276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" cy="127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5"/>
        </w:trPr>
        <w:tc>
          <w:tcPr>
            <w:tcW w:w="6240" w:type="dxa"/>
            <w:vAlign w:val="bottom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58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58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5231765</wp:posOffset>
            </wp:positionH>
            <wp:positionV relativeFrom="paragraph">
              <wp:posOffset>-611505</wp:posOffset>
            </wp:positionV>
            <wp:extent cx="57150" cy="6248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3944620</wp:posOffset>
            </wp:positionH>
            <wp:positionV relativeFrom="paragraph">
              <wp:posOffset>-611505</wp:posOffset>
            </wp:positionV>
            <wp:extent cx="57150" cy="6248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-1675130</wp:posOffset>
            </wp:positionH>
            <wp:positionV relativeFrom="paragraph">
              <wp:posOffset>20320</wp:posOffset>
            </wp:positionV>
            <wp:extent cx="7047865" cy="59817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865" cy="5981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420"/>
            <w:col w:w="8460"/>
          </w:cols>
          <w:pgMar w:left="460" w:top="215" w:right="359" w:bottom="1440" w:gutter="0" w:footer="0" w:header="0"/>
        </w:sectPr>
      </w:pP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Hyman Jennifer</w:t>
        </w:r>
      </w:hyperlink>
    </w:p>
    <w:p>
      <w:pPr>
        <w:spacing w:after="0" w:line="28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6"/>
        </w:trPr>
        <w:tc>
          <w:tcPr>
            <w:tcW w:w="12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(Middle)</w:t>
            </w:r>
          </w:p>
        </w:tc>
      </w:tr>
      <w:tr>
        <w:trPr>
          <w:trHeight w:val="262"/>
        </w:trPr>
        <w:tc>
          <w:tcPr>
            <w:tcW w:w="23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C/O RENT THE RUNWAY, INC.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52"/>
        </w:trPr>
        <w:tc>
          <w:tcPr>
            <w:tcW w:w="12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 JAY STREET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418"/>
        </w:trPr>
        <w:tc>
          <w:tcPr>
            <w:tcW w:w="1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24"/>
        </w:trPr>
        <w:tc>
          <w:tcPr>
            <w:tcW w:w="12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BROOKLYN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NY</w:t>
            </w: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11201</w:t>
            </w:r>
          </w:p>
        </w:tc>
      </w:tr>
      <w:tr>
        <w:trPr>
          <w:trHeight w:val="456"/>
        </w:trPr>
        <w:tc>
          <w:tcPr>
            <w:tcW w:w="12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202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Rent the Runway, Inc.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RENT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X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02/01/2024</w:t>
            </w: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Chair, CEO &amp; President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5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Rule 10b5-1(c) Transaction Indication</w:t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left="320" w:right="460"/>
        <w:spacing w:after="0" w:line="28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120" w:space="720"/>
            <w:col w:w="7240"/>
          </w:cols>
          <w:pgMar w:left="460" w:top="21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3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Class B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12,932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66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02/01/2024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right"/>
              <w:ind w:right="19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12,932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8"/>
              </w:rPr>
              <w:t>0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12,932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1,155,636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4"/>
                <w:vertAlign w:val="superscript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66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02/01/2024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ind w:right="22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12,932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8"/>
              </w:rPr>
              <w:t>0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(4)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(4)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(4)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Class B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3,180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66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02/01/2024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right"/>
              <w:ind w:right="39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3,180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8"/>
              </w:rPr>
              <w:t>0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22,261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3,180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66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02/01/2024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ind w:right="42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3,180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8"/>
              </w:rPr>
              <w:t>0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1,158,816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123,108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123,108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I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the contingent right to receive one share of the Issuer's Class B common stock.</w:t>
      </w:r>
    </w:p>
    <w:p>
      <w:pPr>
        <w:spacing w:after="0" w:line="3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60" w:hanging="2"/>
        <w:spacing w:after="0" w:line="236" w:lineRule="auto"/>
        <w:tabs>
          <w:tab w:leader="none" w:pos="166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share of Class B common stock is convertible at any time at the option of the holder into one share of Class A common stock. Each share of Class B common stock will automatically convert into one share of Class A common stock upon certain sales or transfers. The Class B common stock does not expire, but will convert automatically to Class A common stock as provided in the Issuer's Twelfth Amended and Restated Certificate of Incorporation.</w:t>
      </w:r>
    </w:p>
    <w:p>
      <w:pPr>
        <w:spacing w:after="0" w:line="2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Person's Form 4s subsequent to November 1, 2023 overstated the number of shares of Class B common stock held by the Reporting Person by 6,205 shares, which has been corrected herein.</w:t>
      </w:r>
    </w:p>
    <w:p>
      <w:pPr>
        <w:spacing w:after="0" w:line="3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RSU represents the contingent right to receive one share of the Issuer's Class B Common Stock. The RSUs vest in seven remaining substantially equal quarterly installments.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19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/s/ Cara Schembri as Attorney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02/05/2024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in- fact for Jennifer Y. Hyman</w:t>
            </w: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19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jc w:val="both"/>
        <w:ind w:left="40" w:right="3780" w:hanging="2"/>
        <w:spacing w:after="0" w:line="328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37388" TargetMode="External"/><Relationship Id="rId13" Type="http://schemas.openxmlformats.org/officeDocument/2006/relationships/hyperlink" Target="http://www.sec.gov/cgi-bin/browse-edgar?action=getcompany&amp;CIK=000146832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2024-02-05T18:58:58Z</dcterms:created>
  <dcterms:modified xsi:type="dcterms:W3CDTF">2024-02-05T18:58:58Z</dcterms:modified>
</cp:coreProperties>
</file>