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1160" w:right="120" w:hanging="1133"/>
        <w:spacing w:after="0" w:line="239"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Emil Michael as a member of the Board of Directors.</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February 28, 2025, Emil Michael, a member of the Board of Directors (the “Board”) of Rent the Runway, Inc. (the “Company”), tendered his resignation from the Board and all committees on which he served, in each case, effective as of March 1, 2025. Mr. Michael’s resignation was not a result of any disagreement with the Company on any matter relating to the Company’s operations, policies or practices.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Approval of Cash Retention Bonus Program.</w:t>
      </w:r>
    </w:p>
    <w:p>
      <w:pPr>
        <w:spacing w:after="0" w:line="2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27, 2025, the Compensation Committee of the Board approved a cash retention bonus program (the “Retention Bonus Program”) in respect of fiscal year 2025 (the “Retention Period”) for its executive officers and other eligible participants, including Jennifer Hyman, the Company’s Co-Founder, Chief Executive Officer, President and Chair, and Siddharth Thacker, the Company’s Chief Financial Officer.</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Retention Bonus Program provides for quarterly cash payments to eligible participants that are based (i) 50% on pre-determined Company performance metrics established by the Compensation Committee relating to growth in the Company’s active subscribers, which component may be earned (subject to achievement of a threshold level of performance) between 75% to 100% of the target level based on Company performance in respect of each fiscal quarter, and (ii) 50% on the participant’s continued service (collectively, the “Retention Bonus”). The participant is required to remain in continued employment in good standing with the Company through the end of the applicable fiscal quarter in order to be eligible for the portion of the Retention Bonus that becomes payable on that date, provided that if a participant’s employment is terminated by the Company (or any successor) without Cause or by the participant for Good Reason, in each case, following the occurrence of a Transaction (each, as defined in the Company’s Transaction Bonus Plan) during the Retention Period, such participant will be eligible to receive 25% of the total target amount of the Retention Bonus, subject to satisfaction of a release of claims requirement. Ms. Hyman’s target Retention Bonus is $1,500,000 and Mr. Thacker’s target Retention Bonus is $420,000.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0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9"/>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2"/>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9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681"/>
        </w:trPr>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March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Cara Schembri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Legal &amp; Administrative Officer</w:t>
      </w:r>
    </w:p>
    <w:sectPr>
      <w:pgSz w:w="11900" w:h="16838" w:orient="portrait"/>
      <w:cols w:equalWidth="0" w:num="1">
        <w:col w:w="11160"/>
      </w:cols>
      <w:pgMar w:left="320" w:top="76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2025-03-05T16:18:48Z</dcterms:created>
  <dcterms:modified xsi:type="dcterms:W3CDTF">2025-03-05T16:18:48Z</dcterms:modified>
</cp:coreProperties>
</file>