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December 12, 2025, Rent the Runway, Inc. (the “Company”) issued a press release announcing its financial results for the quarter ended October 31, 2025.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December 12, 2025</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December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Third Quarter 2025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Continued Growth of the Business with Q3 Ending Active Subscribers +12.4% YoY; Revenue up </w:t>
      </w:r>
      <w:r>
        <w:rPr>
          <w:rFonts w:ascii="Arial" w:cs="Arial" w:eastAsia="Arial" w:hAnsi="Arial"/>
          <w:sz w:val="17"/>
          <w:szCs w:val="17"/>
          <w:color w:val="auto"/>
        </w:rPr>
        <w:t>15.4%</w:t>
      </w:r>
      <w:r>
        <w:rPr>
          <w:rFonts w:ascii="Arial" w:cs="Arial" w:eastAsia="Arial" w:hAnsi="Arial"/>
          <w:sz w:val="20"/>
          <w:szCs w:val="20"/>
          <w:color w:val="auto"/>
        </w:rPr>
        <w:t xml:space="preserve"> YOY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Closed Transformative Recapitalization Plan, Strengthening the Balance Sheet and Injecting Capital into the Business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Expanded our Community-driven Organic Growth Strategy to Drive Brand Awareness and Acquisition</w:t>
      </w:r>
    </w:p>
    <w:p>
      <w:pPr>
        <w:spacing w:after="0" w:line="268" w:lineRule="exact"/>
        <w:rPr>
          <w:sz w:val="20"/>
          <w:szCs w:val="20"/>
          <w:color w:val="auto"/>
        </w:rPr>
      </w:pPr>
    </w:p>
    <w:p>
      <w:pPr>
        <w:jc w:val="both"/>
        <w:ind w:right="20"/>
        <w:spacing w:after="0" w:line="316" w:lineRule="auto"/>
        <w:rPr>
          <w:sz w:val="20"/>
          <w:szCs w:val="20"/>
          <w:color w:val="auto"/>
        </w:rPr>
      </w:pPr>
      <w:r>
        <w:rPr>
          <w:rFonts w:ascii="Arial" w:cs="Arial" w:eastAsia="Arial" w:hAnsi="Arial"/>
          <w:sz w:val="20"/>
          <w:szCs w:val="20"/>
          <w:b w:val="1"/>
          <w:bCs w:val="1"/>
          <w:color w:val="auto"/>
        </w:rPr>
        <w:t xml:space="preserve">NEW YORK, December 12, 2025 </w:t>
      </w:r>
      <w:r>
        <w:rPr>
          <w:rFonts w:ascii="Arial" w:cs="Arial" w:eastAsia="Arial" w:hAnsi="Arial"/>
          <w:sz w:val="20"/>
          <w:szCs w:val="20"/>
          <w:color w:val="auto"/>
        </w:rPr>
        <w:t>- Rent the Runway, Inc. (“Rent the Runway” or "RTR") (NASDAQ: RENT),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transforming the way women get dressed, today reported financial results for the fiscal quarter ended October 31, 2025.</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Rent the Runway is delivering on its multi-year transformation plan, achieving substantial growth on the heels of its largest inventory investment in company history. Our strategic repositioning achieved a milestone in October 2025 with the close of the transformative recapitalization transactions, which significantly strengthened the balance sheet by reducing our outstanding debt balance, extending the debt maturity date to 2029, and infusing cash into the business.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"This year we’ve repositioned ourselves for sustained growth in the category,” said Jennifer Hyman, Co-Founder and CEO of Rent the Runway. “Not only did we execute operationally on our stated goals to return to our customer-obsessed origins, reinvigorate our brand, and drive double-digit growth in subscribers (which were up +12% year-over-year in Q3); but we also restructured our balance sheet, closing the recapitalization transactions in October that offer improved financial flexibility to better position us for continued growth."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56" w:lineRule="exact"/>
        <w:rPr>
          <w:sz w:val="20"/>
          <w:szCs w:val="20"/>
          <w:color w:val="auto"/>
        </w:rPr>
      </w:pPr>
    </w:p>
    <w:p>
      <w:pPr>
        <w:ind w:left="500" w:right="20" w:hanging="492"/>
        <w:spacing w:after="0" w:line="275" w:lineRule="auto"/>
        <w:tabs>
          <w:tab w:leader="none" w:pos="488" w:val="left"/>
        </w:tabs>
        <w:numPr>
          <w:ilvl w:val="0"/>
          <w:numId w:val="2"/>
        </w:numPr>
        <w:rPr>
          <w:rFonts w:ascii="Arial" w:cs="Arial" w:eastAsia="Arial" w:hAnsi="Arial"/>
          <w:sz w:val="20"/>
          <w:szCs w:val="20"/>
          <w:i w:val="1"/>
          <w:iCs w:val="1"/>
          <w:color w:val="auto"/>
        </w:rPr>
      </w:pPr>
      <w:r>
        <w:rPr>
          <w:rFonts w:ascii="Arial" w:cs="Arial" w:eastAsia="Arial" w:hAnsi="Arial"/>
          <w:sz w:val="20"/>
          <w:szCs w:val="20"/>
          <w:b w:val="1"/>
          <w:bCs w:val="1"/>
          <w:color w:val="auto"/>
        </w:rPr>
        <w:t xml:space="preserve">Completed Transformative Debt Restructuring and Capital Infusion: </w:t>
      </w:r>
      <w:r>
        <w:rPr>
          <w:rFonts w:ascii="Arial" w:cs="Arial" w:eastAsia="Arial" w:hAnsi="Arial"/>
          <w:sz w:val="20"/>
          <w:szCs w:val="20"/>
          <w:color w:val="auto"/>
        </w:rPr>
        <w:t>On October 28, 2025, Rent the Runway closed</w:t>
      </w:r>
      <w:r>
        <w:rPr>
          <w:rFonts w:ascii="Arial" w:cs="Arial" w:eastAsia="Arial" w:hAnsi="Arial"/>
          <w:sz w:val="20"/>
          <w:szCs w:val="20"/>
          <w:b w:val="1"/>
          <w:bCs w:val="1"/>
          <w:color w:val="auto"/>
        </w:rPr>
        <w:t xml:space="preserve"> </w:t>
      </w:r>
      <w:r>
        <w:rPr>
          <w:rFonts w:ascii="Arial" w:cs="Arial" w:eastAsia="Arial" w:hAnsi="Arial"/>
          <w:sz w:val="20"/>
          <w:szCs w:val="20"/>
          <w:color w:val="auto"/>
        </w:rPr>
        <w:t>its previously announced recapitalization transactions. As part of the recapitalization, Aranda Principal Strategies (“APS”) converted a substantial portion of its extant debt investment into common equity ownership, and an investor group consisting of APS, STORY3 Capital Partners (“STORY3”) and Nexus Capital Management (“Nexus”) contributed $20 million of cash to RTR’s balance sheet. Effective as of the closing of the transactions, RTR’s total outstanding debt balance was reduced to $120 million with its maturity extended to 2029. In a concurrent rights offering, the Company received an incremental amount of approximately $12.5 million of primary gross proceeds.</w:t>
      </w:r>
    </w:p>
    <w:p>
      <w:pPr>
        <w:spacing w:after="0" w:line="4" w:lineRule="exact"/>
        <w:rPr>
          <w:rFonts w:ascii="Arial" w:cs="Arial" w:eastAsia="Arial" w:hAnsi="Arial"/>
          <w:sz w:val="20"/>
          <w:szCs w:val="20"/>
          <w:i w:val="1"/>
          <w:iCs w:val="1"/>
          <w:color w:val="auto"/>
        </w:rPr>
      </w:pPr>
    </w:p>
    <w:p>
      <w:pPr>
        <w:ind w:left="500" w:right="240" w:hanging="492"/>
        <w:spacing w:after="0" w:line="283"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Driving Growth by Making the Biggest Inventory Acquisition in RTR History. </w:t>
      </w:r>
      <w:r>
        <w:rPr>
          <w:rFonts w:ascii="Arial" w:cs="Arial" w:eastAsia="Arial" w:hAnsi="Arial"/>
          <w:sz w:val="20"/>
          <w:szCs w:val="20"/>
          <w:color w:val="auto"/>
        </w:rPr>
        <w:t>This year, we’re on track to nearly</w:t>
      </w:r>
      <w:r>
        <w:rPr>
          <w:rFonts w:ascii="Arial" w:cs="Arial" w:eastAsia="Arial" w:hAnsi="Arial"/>
          <w:sz w:val="20"/>
          <w:szCs w:val="20"/>
          <w:b w:val="1"/>
          <w:bCs w:val="1"/>
          <w:color w:val="auto"/>
        </w:rPr>
        <w:t xml:space="preserve"> </w:t>
      </w:r>
      <w:r>
        <w:rPr>
          <w:rFonts w:ascii="Arial" w:cs="Arial" w:eastAsia="Arial" w:hAnsi="Arial"/>
          <w:sz w:val="20"/>
          <w:szCs w:val="20"/>
          <w:color w:val="auto"/>
        </w:rPr>
        <w:t>double the new inventory added to our site and post more than 1.5x the number of new styles relative to last year, which has driven substantial growth in our business. Ending Active Subscribers for Q3 2025 increased 12% year-over-year primarily driven by improvement in subscriber retention. Inventory continues to be a significant driver of improvements in customer loyalty, with inventory-related churn down nearly 30% year-over-year in Q3.</w:t>
      </w:r>
    </w:p>
    <w:p>
      <w:pPr>
        <w:sectPr>
          <w:pgSz w:w="11900" w:h="16838" w:orient="portrait"/>
          <w:cols w:equalWidth="0" w:num="1">
            <w:col w:w="11240"/>
          </w:cols>
          <w:pgMar w:left="320" w:top="1101" w:right="339" w:bottom="1440" w:gutter="0" w:footer="0" w:header="0"/>
        </w:sectPr>
      </w:pPr>
    </w:p>
    <w:bookmarkStart w:id="4" w:name="page5"/>
    <w:bookmarkEnd w:id="4"/>
    <w:p>
      <w:pPr>
        <w:ind w:left="500" w:right="20" w:hanging="492"/>
        <w:spacing w:after="0" w:line="276"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Reinvigorating our Brand &amp; Fueling Growth with Community-First Organic Tactics: </w:t>
      </w:r>
      <w:r>
        <w:rPr>
          <w:rFonts w:ascii="Arial" w:cs="Arial" w:eastAsia="Arial" w:hAnsi="Arial"/>
          <w:sz w:val="20"/>
          <w:szCs w:val="20"/>
          <w:color w:val="auto"/>
        </w:rPr>
        <w:t>We’ve expanded our community-driven organic growth strategy to drive brand awareness and acquisition. Key launches in Q3 include the RTR Muse, Affiliate Creator and City Ambassador programs, each of which leverage community-driven content and word-of-mouth tactics designed to reach new customers more efficiently than traditional paid marketing tactics.</w:t>
      </w:r>
    </w:p>
    <w:p>
      <w:pPr>
        <w:spacing w:after="0" w:line="1" w:lineRule="exact"/>
        <w:rPr>
          <w:rFonts w:ascii="Arial" w:cs="Arial" w:eastAsia="Arial" w:hAnsi="Arial"/>
          <w:sz w:val="20"/>
          <w:szCs w:val="20"/>
          <w:color w:val="auto"/>
        </w:rPr>
      </w:pPr>
    </w:p>
    <w:p>
      <w:pPr>
        <w:ind w:left="500" w:right="320" w:hanging="492"/>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Accelerating Product Innovation and Personalized Experience: </w:t>
      </w:r>
      <w:r>
        <w:rPr>
          <w:rFonts w:ascii="Arial" w:cs="Arial" w:eastAsia="Arial" w:hAnsi="Arial"/>
          <w:sz w:val="20"/>
          <w:szCs w:val="20"/>
          <w:color w:val="auto"/>
        </w:rPr>
        <w:t>Q3 launches include a personalized home page</w:t>
      </w:r>
      <w:r>
        <w:rPr>
          <w:rFonts w:ascii="Arial" w:cs="Arial" w:eastAsia="Arial" w:hAnsi="Arial"/>
          <w:sz w:val="20"/>
          <w:szCs w:val="20"/>
          <w:b w:val="1"/>
          <w:bCs w:val="1"/>
          <w:color w:val="auto"/>
        </w:rPr>
        <w:t xml:space="preserve"> </w:t>
      </w:r>
      <w:r>
        <w:rPr>
          <w:rFonts w:ascii="Arial" w:cs="Arial" w:eastAsia="Arial" w:hAnsi="Arial"/>
          <w:sz w:val="20"/>
          <w:szCs w:val="20"/>
          <w:color w:val="auto"/>
        </w:rPr>
        <w:t>redesign that encourages inventory discovery tailored according to a customer’s preferences. Since launch to date, our customer is engaging +57% more with the personalized app experience compared to the prior homepage.</w:t>
      </w:r>
    </w:p>
    <w:p>
      <w:pPr>
        <w:spacing w:after="0" w:line="2" w:lineRule="exact"/>
        <w:rPr>
          <w:rFonts w:ascii="Arial" w:cs="Arial" w:eastAsia="Arial" w:hAnsi="Arial"/>
          <w:sz w:val="20"/>
          <w:szCs w:val="20"/>
          <w:color w:val="auto"/>
        </w:rPr>
      </w:pPr>
    </w:p>
    <w:p>
      <w:pPr>
        <w:ind w:left="500" w:right="40" w:hanging="492"/>
        <w:spacing w:after="0" w:line="283"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Optimizing Revenue per Subscriber and Driving Add-On Growth</w:t>
      </w:r>
      <w:r>
        <w:rPr>
          <w:rFonts w:ascii="Arial" w:cs="Arial" w:eastAsia="Arial" w:hAnsi="Arial"/>
          <w:sz w:val="20"/>
          <w:szCs w:val="20"/>
          <w:color w:val="auto"/>
        </w:rPr>
        <w:t>: We’ve enhanced the add-on pricing experience for</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customers by clearly showing her that the price prorates based on her specific billing cycle. These updates, along with overall inventory improvements, resulted in a +17% year over year increase in the subscription add-on rate in Q3. We also recently launched instant gratification, a product that uses our in-stock notifications to enable subscribers to make one-off inventory orders when they are out of shipments.</w:t>
      </w:r>
    </w:p>
    <w:p>
      <w:pPr>
        <w:spacing w:after="0" w:line="199"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"We're pleased with the improved growth momentum we have seen this year," said Sid Thacker, Chief Financial Officer of Rent the Runway. "We look forward to continuing to delight our customers and to driving sustainable growth in the years ahead."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Revenue was $87.6 million, a 15.4% increase year-over-year from $75.9 million in the third quarter of fiscal year 2024.</w:t>
      </w:r>
    </w:p>
    <w:p>
      <w:pPr>
        <w:spacing w:after="0" w:line="41" w:lineRule="exact"/>
        <w:rPr>
          <w:rFonts w:ascii="Arial" w:cs="Arial" w:eastAsia="Arial" w:hAnsi="Arial"/>
          <w:sz w:val="20"/>
          <w:szCs w:val="20"/>
          <w:b w:val="1"/>
          <w:bCs w:val="1"/>
          <w:color w:val="auto"/>
        </w:rPr>
      </w:pPr>
    </w:p>
    <w:p>
      <w:pPr>
        <w:ind w:left="500" w:hanging="330"/>
        <w:spacing w:after="0" w:line="269"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148,916 ending Active Subscribers, representing an increase of 12.4% from 132,518 at the end of the third quarter of fiscal year 2024.</w:t>
      </w:r>
    </w:p>
    <w:p>
      <w:pPr>
        <w:ind w:left="500" w:right="360" w:hanging="330"/>
        <w:spacing w:after="0" w:line="274"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147,645 Average Active Subscribers, representing an increase of 12.9% from 130,796 at the end of the third quarter of fiscal year 2024.</w:t>
      </w:r>
    </w:p>
    <w:p>
      <w:pPr>
        <w:spacing w:after="0" w:line="1" w:lineRule="exact"/>
        <w:rPr>
          <w:rFonts w:ascii="Arial" w:cs="Arial" w:eastAsia="Arial" w:hAnsi="Arial"/>
          <w:sz w:val="20"/>
          <w:szCs w:val="20"/>
          <w:color w:val="auto"/>
        </w:rPr>
      </w:pPr>
    </w:p>
    <w:p>
      <w:pPr>
        <w:ind w:left="500" w:right="24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185,166 ending Total Subscribers, representing an increase of 6.1% from 174,511 at the end of the third quarter of fiscal year 2024.</w:t>
      </w:r>
    </w:p>
    <w:p>
      <w:pPr>
        <w:spacing w:after="0" w:line="1" w:lineRule="exact"/>
        <w:rPr>
          <w:rFonts w:ascii="Arial" w:cs="Arial" w:eastAsia="Arial" w:hAnsi="Arial"/>
          <w:sz w:val="20"/>
          <w:szCs w:val="20"/>
          <w:b w:val="1"/>
          <w:bCs w:val="1"/>
          <w:color w:val="auto"/>
        </w:rPr>
      </w:pPr>
    </w:p>
    <w:p>
      <w:pPr>
        <w:ind w:left="500" w:right="20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$25.9 million, representing a change of (1.5)% from $26.3 million in the third quarter of fiscal year 2024. Gross Margin was 29.6%, as compared to 34.7% in the third quarter of fiscal year 2024.</w:t>
      </w:r>
    </w:p>
    <w:p>
      <w:pPr>
        <w:spacing w:after="0" w:line="1" w:lineRule="exact"/>
        <w:rPr>
          <w:rFonts w:ascii="Arial" w:cs="Arial" w:eastAsia="Arial" w:hAnsi="Arial"/>
          <w:sz w:val="20"/>
          <w:szCs w:val="20"/>
          <w:b w:val="1"/>
          <w:bCs w:val="1"/>
          <w:color w:val="auto"/>
        </w:rPr>
      </w:pPr>
    </w:p>
    <w:p>
      <w:pPr>
        <w:ind w:left="500" w:right="340" w:hanging="330"/>
        <w:spacing w:after="0" w:line="262" w:lineRule="auto"/>
        <w:tabs>
          <w:tab w:leader="none" w:pos="488"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Net Income (Loss) was $76.5 million, as compared to $(18.9) million in the third quarter of fiscal year 2024. Net Income (Loss) as a percentage of revenue was 87.3%, as compared to (24.9)% in the third quarter of fiscal year 2024.</w:t>
      </w:r>
      <w:r>
        <w:rPr>
          <w:rFonts w:ascii="Arial" w:cs="Arial" w:eastAsia="Arial" w:hAnsi="Arial"/>
          <w:sz w:val="24"/>
          <w:szCs w:val="24"/>
          <w:color w:val="auto"/>
          <w:vertAlign w:val="superscript"/>
        </w:rPr>
        <w:t>1</w:t>
      </w:r>
    </w:p>
    <w:p>
      <w:pPr>
        <w:ind w:left="500" w:right="240" w:hanging="330"/>
        <w:spacing w:after="0" w:line="295"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 was $4.3 million, as compared to $9.3 million in the third quarter of fiscal year 2024. Adjusted EBITDA Margin was 4.9%, as compared to 12.3% in the third quarter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hanging="92"/>
        <w:spacing w:after="0"/>
        <w:tabs>
          <w:tab w:leader="none" w:pos="100" w:val="left"/>
        </w:tabs>
        <w:numPr>
          <w:ilvl w:val="0"/>
          <w:numId w:val="5"/>
        </w:numPr>
        <w:rPr>
          <w:rFonts w:ascii="Arial" w:cs="Arial" w:eastAsia="Arial" w:hAnsi="Arial"/>
          <w:sz w:val="9"/>
          <w:szCs w:val="9"/>
          <w:color w:val="auto"/>
        </w:rPr>
      </w:pPr>
      <w:r>
        <w:rPr>
          <w:rFonts w:ascii="Arial" w:cs="Arial" w:eastAsia="Arial" w:hAnsi="Arial"/>
          <w:sz w:val="14"/>
          <w:szCs w:val="14"/>
          <w:color w:val="auto"/>
        </w:rPr>
        <w:t>Net Income for Q3 25 includes a one-time $96.3M Gain on Debt Restructuring as a result of the recapitalization.</w:t>
      </w:r>
    </w:p>
    <w:p>
      <w:pPr>
        <w:sectPr>
          <w:pgSz w:w="11900" w:h="16838" w:orient="portrait"/>
          <w:cols w:equalWidth="0" w:num="1">
            <w:col w:w="11220"/>
          </w:cols>
          <w:pgMar w:left="320" w:top="1101"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fourth quarter of 2025, Rent the Runway expects:</w:t>
      </w:r>
    </w:p>
    <w:p>
      <w:pPr>
        <w:spacing w:after="0" w:line="27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of between $85 million and $87 million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between 11% and 13%</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2025, Rent the Runway -</w:t>
      </w:r>
    </w:p>
    <w:p>
      <w:pPr>
        <w:spacing w:after="0" w:line="28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Expects Revenue of between $323.1 million and $325.1 million</w:t>
      </w:r>
    </w:p>
    <w:p>
      <w:pPr>
        <w:spacing w:after="0" w:line="31" w:lineRule="exact"/>
        <w:rPr>
          <w:rFonts w:ascii="Arial" w:cs="Arial" w:eastAsia="Arial" w:hAnsi="Arial"/>
          <w:sz w:val="20"/>
          <w:szCs w:val="20"/>
          <w:color w:val="auto"/>
        </w:rPr>
      </w:pPr>
    </w:p>
    <w:p>
      <w:pPr>
        <w:ind w:left="640" w:hanging="308"/>
        <w:spacing w:after="0" w:line="236" w:lineRule="auto"/>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Expects Adjusted EBITDA Margin</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between 4.9% and 5.5%</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Reiterates guidance for double-digit growth in ending Active Subscribers versus fiscal year 2024.</w:t>
      </w:r>
    </w:p>
    <w:p>
      <w:pPr>
        <w:spacing w:after="0" w:line="13" w:lineRule="exact"/>
        <w:rPr>
          <w:rFonts w:ascii="Arial" w:cs="Arial" w:eastAsia="Arial" w:hAnsi="Arial"/>
          <w:sz w:val="20"/>
          <w:szCs w:val="20"/>
          <w:color w:val="auto"/>
        </w:rPr>
      </w:pPr>
    </w:p>
    <w:p>
      <w:pPr>
        <w:ind w:left="660" w:right="900" w:hanging="328"/>
        <w:spacing w:after="0" w:line="24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Reiterates Free Cash Flow</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to be lower than $(40) million, primarily due to costs related to the recapitalization transactions that closed in October 2025.</w:t>
      </w:r>
    </w:p>
    <w:p>
      <w:pPr>
        <w:spacing w:after="0" w:line="228" w:lineRule="exact"/>
        <w:rPr>
          <w:sz w:val="20"/>
          <w:szCs w:val="20"/>
          <w:color w:val="auto"/>
        </w:rPr>
      </w:pPr>
    </w:p>
    <w:p>
      <w:pPr>
        <w:ind w:right="240"/>
        <w:spacing w:after="0" w:line="314" w:lineRule="auto"/>
        <w:rPr>
          <w:sz w:val="20"/>
          <w:szCs w:val="20"/>
          <w:color w:val="auto"/>
        </w:rPr>
      </w:pPr>
      <w:r>
        <w:rPr>
          <w:rFonts w:ascii="Arial" w:cs="Arial" w:eastAsia="Arial" w:hAnsi="Arial"/>
          <w:sz w:val="20"/>
          <w:szCs w:val="20"/>
          <w:color w:val="auto"/>
        </w:rPr>
        <w:t>There are unknowns around the economy and tariffs as well as timing of potential customer retention improvements that can further affect actual results for fiscal year 2025 versus expectations.</w:t>
      </w:r>
    </w:p>
    <w:p>
      <w:pPr>
        <w:spacing w:after="0" w:line="168" w:lineRule="exact"/>
        <w:rPr>
          <w:sz w:val="20"/>
          <w:szCs w:val="20"/>
          <w:color w:val="auto"/>
        </w:rPr>
      </w:pPr>
    </w:p>
    <w:p>
      <w:pPr>
        <w:ind w:right="500"/>
        <w:spacing w:after="0" w:line="314" w:lineRule="auto"/>
        <w:rPr>
          <w:sz w:val="20"/>
          <w:szCs w:val="20"/>
          <w:color w:val="auto"/>
        </w:rPr>
      </w:pPr>
      <w:r>
        <w:rPr>
          <w:rFonts w:ascii="Arial" w:cs="Arial" w:eastAsia="Arial" w:hAnsi="Arial"/>
          <w:sz w:val="20"/>
          <w:szCs w:val="20"/>
          <w:color w:val="auto"/>
        </w:rPr>
        <w:t>Please see our third quarter 2025 earnings presentation at https://investors.renttherunway.com/ under the “Presentations” section for supplemental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1" w:lineRule="exact"/>
        <w:rPr>
          <w:sz w:val="20"/>
          <w:szCs w:val="20"/>
          <w:color w:val="auto"/>
        </w:rPr>
      </w:pPr>
    </w:p>
    <w:p>
      <w:pPr>
        <w:ind w:firstLine="8"/>
        <w:spacing w:after="0" w:line="282" w:lineRule="auto"/>
        <w:tabs>
          <w:tab w:leader="none" w:pos="92"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a non-GAAP financial measure. As more fully described in the Non-GAAP Financial Measures section of this release, a reconciliation of Adjusted EBITDA Margin for the fourth quarter of fiscal year 2025 is not available without unreasonable efforts.</w:t>
      </w:r>
    </w:p>
    <w:p>
      <w:pPr>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a non-GAAP financial measure. As more fully described in the Non-GAAP Financial Measures section of this release, a reconciliation of Adjusted EBITDA Margin for fiscal year 2025 is not available without unreasonable efforts.</w:t>
      </w:r>
    </w:p>
    <w:p>
      <w:pPr>
        <w:spacing w:after="0" w:line="254"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a non-GAAP financial measure. As more fully described in the Non-GAAP Financial Measures section of this release, a reconciliation of Free Cash Flow for fiscal year 2025 is not available without unreasonable efforts.</w:t>
      </w:r>
    </w:p>
    <w:p>
      <w:pPr>
        <w:sectPr>
          <w:pgSz w:w="11900" w:h="16838" w:orient="portrait"/>
          <w:cols w:equalWidth="0" w:num="1">
            <w:col w:w="11120"/>
          </w:cols>
          <w:pgMar w:left="320" w:top="1101" w:right="4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third quarter 2025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760"/>
        <w:spacing w:after="0" w:line="300" w:lineRule="auto"/>
        <w:rPr>
          <w:sz w:val="20"/>
          <w:szCs w:val="20"/>
          <w:color w:val="auto"/>
        </w:rPr>
      </w:pPr>
      <w:r>
        <w:rPr>
          <w:rFonts w:ascii="Arial" w:cs="Arial" w:eastAsia="Arial" w:hAnsi="Arial"/>
          <w:sz w:val="20"/>
          <w:szCs w:val="20"/>
          <w:color w:val="auto"/>
        </w:rPr>
        <w:t>Rent the Runway will host a conference call and webcast to discuss its third quarter 2025 financial results and provide a business update today, December 12, 2025, at 8:30 am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13757335.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fourth fiscal quarter of 2025 and fiscal year 2025, and statements regarding the anticipated benefits of the recapitalization transactions, the impact of potential customer retention improvements, the impact of our multi-year transformational plan, the impact and volume of our new inventory, our planned improvements to the new member experience and our position for sustained growth.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failure to realize all of the anticipated benefits of the recapitalization transaction, or that those benefits may be short-lived or insufficient for our future needs; failure to manage the transition of our Board of Directors; our failure to comply with the covenants under the new credit agreement we entered into in connection with the recapitalization transactions;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risks related to our Class A capital stock and ownership structure; and risks related to future pandemics or public health crises.</w:t>
      </w:r>
    </w:p>
    <w:p>
      <w:pPr>
        <w:sectPr>
          <w:pgSz w:w="11900" w:h="16838" w:orient="portrait"/>
          <w:cols w:equalWidth="0" w:num="1">
            <w:col w:w="11220"/>
          </w:cols>
          <w:pgMar w:left="320" w:top="1088" w:right="35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expectations is included in our Quarterly Report on Form 10-Q for the quarter ended July 31, 2025, as will be updated in our Quarterly Report on Form 10-Q for the quarter ended October 31, 2025.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196"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ectPr>
          <w:pgSz w:w="11900" w:h="16838" w:orient="portrait"/>
          <w:cols w:equalWidth="0" w:num="1">
            <w:col w:w="11240"/>
          </w:cols>
          <w:pgMar w:left="320" w:top="1103" w:right="339" w:bottom="1440" w:gutter="0" w:footer="0" w:header="0"/>
        </w:sectPr>
      </w:pPr>
    </w:p>
    <w:bookmarkStart w:id="9" w:name="page10"/>
    <w:bookmarkEnd w:id="9"/>
    <w:p>
      <w:pPr>
        <w:ind w:right="160"/>
        <w:spacing w:after="0" w:line="282" w:lineRule="auto"/>
        <w:rPr>
          <w:sz w:val="20"/>
          <w:szCs w:val="20"/>
          <w:color w:val="auto"/>
        </w:rPr>
      </w:pPr>
      <w:r>
        <w:rPr>
          <w:rFonts w:ascii="Arial" w:cs="Arial" w:eastAsia="Arial" w:hAnsi="Arial"/>
          <w:sz w:val="20"/>
          <w:szCs w:val="20"/>
          <w:color w:val="auto"/>
        </w:rPr>
        <w:t>We define Adjusted EBITDA as net income (loss), adjusted to exclude interest expense, rental product depreciation, other depreciation and amortization, share-based compensation expense, write-off of liquidated assets, non-recurring adjustments, non-ordinary course legal fees, restructuring charges, Gain on Debt Restructuring, income tax (benefit) expense, other income and expense, and other gains / losses. Adjusted EBITDA margin is defined as Adjusted EBITDA calculated as a percentage of total revenue, net for a period.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8"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free cash flow and Adjusted EBITDA margin expectations for fiscal year 2025 and Q4 2025, respectively,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20"/>
          </w:cols>
          <w:pgMar w:left="320" w:top="1103" w:right="35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333.7</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940.5</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(1,099.0)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(1,123.0)</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197"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October 31,</w:t>
            </w:r>
          </w:p>
        </w:tc>
        <w:tc>
          <w:tcPr>
            <w:tcW w:w="220" w:type="dxa"/>
            <w:vAlign w:val="bottom"/>
          </w:tcPr>
          <w:p>
            <w:pPr>
              <w:spacing w:after="0"/>
              <w:rPr>
                <w:sz w:val="17"/>
                <w:szCs w:val="17"/>
                <w:color w:val="auto"/>
              </w:rPr>
            </w:pPr>
          </w:p>
        </w:tc>
        <w:tc>
          <w:tcPr>
            <w:tcW w:w="254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3"/>
        </w:trPr>
        <w:tc>
          <w:tcPr>
            <w:tcW w:w="55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20"/>
                <w:szCs w:val="20"/>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20"/>
                <w:szCs w:val="20"/>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97"/>
        </w:trPr>
        <w:tc>
          <w:tcPr>
            <w:tcW w:w="550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22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3"/>
        </w:trPr>
        <w:tc>
          <w:tcPr>
            <w:tcW w:w="550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0"/>
        </w:trPr>
        <w:tc>
          <w:tcPr>
            <w:tcW w:w="550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550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50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Gain on Debt Restructuring</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Pr>
          <w:p>
            <w:pPr>
              <w:ind w:left="880"/>
              <w:spacing w:after="0"/>
              <w:rPr>
                <w:sz w:val="20"/>
                <w:szCs w:val="20"/>
                <w:color w:val="auto"/>
              </w:rPr>
            </w:pPr>
            <w:r>
              <w:rPr>
                <w:rFonts w:ascii="Arial" w:cs="Arial" w:eastAsia="Arial" w:hAnsi="Arial"/>
                <w:sz w:val="18"/>
                <w:szCs w:val="18"/>
                <w:color w:val="auto"/>
              </w:rPr>
              <w:t>Net income (loss) before income tax benefit / (expense)</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50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0"/>
        </w:trPr>
        <w:tc>
          <w:tcPr>
            <w:tcW w:w="55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0"/>
        </w:trPr>
        <w:tc>
          <w:tcPr>
            <w:tcW w:w="55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 per</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5,586,257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4,017,222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4,669,517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3,925,414</w:t>
            </w:r>
          </w:p>
        </w:tc>
        <w:tc>
          <w:tcPr>
            <w:tcW w:w="0" w:type="dxa"/>
            <w:vAlign w:val="bottom"/>
          </w:tcPr>
          <w:p>
            <w:pPr>
              <w:spacing w:after="0"/>
              <w:rPr>
                <w:sz w:val="1"/>
                <w:szCs w:val="1"/>
                <w:color w:val="auto"/>
              </w:rPr>
            </w:pPr>
          </w:p>
        </w:tc>
      </w:tr>
      <w:tr>
        <w:trPr>
          <w:trHeight w:val="235"/>
        </w:trPr>
        <w:tc>
          <w:tcPr>
            <w:tcW w:w="5500" w:type="dxa"/>
            <w:vAlign w:val="bottom"/>
          </w:tcPr>
          <w:p>
            <w:pPr>
              <w:ind w:left="160"/>
              <w:spacing w:after="0"/>
              <w:rPr>
                <w:sz w:val="20"/>
                <w:szCs w:val="20"/>
                <w:color w:val="auto"/>
              </w:rPr>
            </w:pPr>
            <w:r>
              <w:rPr>
                <w:rFonts w:ascii="Arial" w:cs="Arial" w:eastAsia="Arial" w:hAnsi="Arial"/>
                <w:sz w:val="18"/>
                <w:szCs w:val="18"/>
                <w:color w:val="auto"/>
              </w:rPr>
              <w:t>share attributable to common stockholders, basic</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 per</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5,602,571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4,017,222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4,702,107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3,925,414</w:t>
            </w:r>
          </w:p>
        </w:tc>
        <w:tc>
          <w:tcPr>
            <w:tcW w:w="0" w:type="dxa"/>
            <w:vAlign w:val="bottom"/>
          </w:tcPr>
          <w:p>
            <w:pPr>
              <w:spacing w:after="0"/>
              <w:rPr>
                <w:sz w:val="1"/>
                <w:szCs w:val="1"/>
                <w:color w:val="auto"/>
              </w:rPr>
            </w:pPr>
          </w:p>
        </w:tc>
      </w:tr>
      <w:tr>
        <w:trPr>
          <w:trHeight w:val="235"/>
        </w:trPr>
        <w:tc>
          <w:tcPr>
            <w:tcW w:w="5500" w:type="dxa"/>
            <w:vAlign w:val="bottom"/>
          </w:tcPr>
          <w:p>
            <w:pPr>
              <w:ind w:left="160"/>
              <w:spacing w:after="0"/>
              <w:rPr>
                <w:sz w:val="20"/>
                <w:szCs w:val="20"/>
                <w:color w:val="auto"/>
              </w:rPr>
            </w:pPr>
            <w:r>
              <w:rPr>
                <w:rFonts w:ascii="Arial" w:cs="Arial" w:eastAsia="Arial" w:hAnsi="Arial"/>
                <w:sz w:val="18"/>
                <w:szCs w:val="18"/>
                <w:color w:val="auto"/>
              </w:rPr>
              <w:t>share attributable to common stockholders, diluted</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67" w:right="339" w:bottom="1440" w:gutter="0" w:footer="0" w:header="0"/>
        </w:sectPr>
      </w:pPr>
    </w:p>
    <w:bookmarkStart w:id="12" w:name="page13"/>
    <w:bookmarkEnd w:id="12"/>
    <w:p>
      <w:pPr>
        <w:ind w:left="44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940"/>
        <w:spacing w:after="0"/>
        <w:rPr>
          <w:sz w:val="20"/>
          <w:szCs w:val="20"/>
          <w:color w:val="auto"/>
        </w:rPr>
      </w:pPr>
      <w:r>
        <w:rPr>
          <w:rFonts w:ascii="Arial" w:cs="Arial" w:eastAsia="Arial" w:hAnsi="Arial"/>
          <w:sz w:val="20"/>
          <w:szCs w:val="20"/>
          <w:b w:val="1"/>
          <w:bCs w:val="1"/>
          <w:color w:val="auto"/>
        </w:rPr>
        <w:t>(in millions)</w:t>
      </w:r>
    </w:p>
    <w:p>
      <w:pPr>
        <w:ind w:left="50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020"/>
          </w:cols>
          <w:pgMar w:left="440" w:top="11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20" w:right="1700"/>
        <w:spacing w:after="0" w:line="316" w:lineRule="auto"/>
        <w:rPr>
          <w:sz w:val="20"/>
          <w:szCs w:val="20"/>
          <w:color w:val="auto"/>
        </w:rPr>
      </w:pPr>
      <w:r>
        <w:rPr>
          <w:rFonts w:ascii="Arial" w:cs="Arial" w:eastAsia="Arial" w:hAnsi="Arial"/>
          <w:sz w:val="16"/>
          <w:szCs w:val="16"/>
          <w:color w:val="auto"/>
        </w:rPr>
        <w:t>Loss from write-off of fixed and intangible assets and lease termination Proceeds from rental product sold</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Gain on Debt Restructuring</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long-term debt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Debt restructuring costs paid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financing costs paid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equity issuance costs paid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short-term financing agreements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49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r>
      <w:tr>
        <w:trPr>
          <w:trHeight w:val="439"/>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(56.5)</w:t>
            </w:r>
          </w:p>
        </w:tc>
      </w:tr>
      <w:tr>
        <w:trPr>
          <w:trHeight w:val="486"/>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43"/>
        </w:trPr>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60"/>
        </w:trPr>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486"/>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2"/>
        </w:trPr>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28"/>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42"/>
        </w:trPr>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51"/>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5"/>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(20.8)</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73"/>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94.0</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18"/>
                <w:szCs w:val="18"/>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83.1</w:t>
            </w:r>
          </w:p>
        </w:tc>
      </w:tr>
      <w:tr>
        <w:trPr>
          <w:trHeight w:val="3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080" w:space="720"/>
            <w:col w:w="3220"/>
          </w:cols>
          <w:pgMar w:left="440" w:top="1101" w:right="439" w:bottom="1440" w:gutter="0" w:footer="0" w:header="0"/>
          <w:type w:val="continuous"/>
        </w:sectPr>
      </w:pPr>
    </w:p>
    <w:bookmarkStart w:id="13" w:name="page14"/>
    <w:bookmarkEnd w:id="13"/>
    <w:p>
      <w:pPr>
        <w:ind w:left="4280"/>
        <w:spacing w:after="0"/>
        <w:rPr>
          <w:sz w:val="20"/>
          <w:szCs w:val="20"/>
          <w:color w:val="auto"/>
        </w:rPr>
      </w:pPr>
      <w:r>
        <w:rPr>
          <w:rFonts w:ascii="Arial" w:cs="Arial" w:eastAsia="Arial" w:hAnsi="Arial"/>
          <w:sz w:val="20"/>
          <w:szCs w:val="20"/>
          <w:b w:val="1"/>
          <w:bCs w:val="1"/>
          <w:color w:val="auto"/>
        </w:rPr>
        <w:t>Rent the Runway, Inc.</w:t>
      </w:r>
    </w:p>
    <w:p>
      <w:pPr>
        <w:ind w:left="290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23495</wp:posOffset>
            </wp:positionV>
            <wp:extent cx="19119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0"/>
        </w:trPr>
        <w:tc>
          <w:tcPr>
            <w:tcW w:w="7620" w:type="dxa"/>
            <w:vAlign w:val="bottom"/>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 TO THE CONDENSED</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160"/>
              <w:spacing w:after="0"/>
              <w:rPr>
                <w:sz w:val="20"/>
                <w:szCs w:val="20"/>
                <w:color w:val="auto"/>
              </w:rPr>
            </w:pPr>
            <w:r>
              <w:rPr>
                <w:rFonts w:ascii="Arial" w:cs="Arial" w:eastAsia="Arial" w:hAnsi="Arial"/>
                <w:sz w:val="14"/>
                <w:szCs w:val="14"/>
                <w:b w:val="1"/>
                <w:bCs w:val="1"/>
                <w:color w:val="auto"/>
              </w:rPr>
              <w:t>CONSOLIDATED BALANCE SHEETS: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50.7</w:t>
            </w:r>
          </w:p>
        </w:tc>
        <w:tc>
          <w:tcPr>
            <w:tcW w:w="8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4"/>
                <w:szCs w:val="14"/>
                <w:color w:val="auto"/>
              </w:rPr>
              <w:t>Restricted cash, current</w:t>
            </w:r>
          </w:p>
        </w:tc>
        <w:tc>
          <w:tcPr>
            <w:tcW w:w="960" w:type="dxa"/>
            <w:vAlign w:val="bottom"/>
          </w:tcPr>
          <w:p>
            <w:pPr>
              <w:spacing w:after="0"/>
              <w:rPr>
                <w:sz w:val="19"/>
                <w:szCs w:val="19"/>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4"/>
                <w:szCs w:val="14"/>
                <w:color w:val="auto"/>
              </w:rPr>
              <w:t>Restricted cash, noncurrent</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2"/>
        </w:trPr>
        <w:tc>
          <w:tcPr>
            <w:tcW w:w="7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4"/>
                <w:szCs w:val="14"/>
                <w:color w:val="auto"/>
              </w:rPr>
              <w:t>Total cash and cash equivalents and restricted cash</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7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20" w:type="dxa"/>
            <w:vAlign w:val="bottom"/>
          </w:tcPr>
          <w:p>
            <w:pPr>
              <w:spacing w:after="0"/>
              <w:rPr>
                <w:sz w:val="20"/>
                <w:szCs w:val="20"/>
                <w:color w:val="auto"/>
              </w:rPr>
            </w:pPr>
            <w:r>
              <w:rPr>
                <w:rFonts w:ascii="Arial" w:cs="Arial" w:eastAsia="Arial" w:hAnsi="Arial"/>
                <w:sz w:val="14"/>
                <w:szCs w:val="14"/>
                <w:color w:val="auto"/>
              </w:rPr>
              <w:t>Cash payments (receipts) for:</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Fixed operating lease payments, net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Fixed assets and intangibles received in the prior period</w:t>
            </w:r>
          </w:p>
        </w:tc>
        <w:tc>
          <w:tcPr>
            <w:tcW w:w="9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Rental product received in the prior period</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Non-cash financing and investing activities: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Financing lease right-of-use asset amortization</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ROU assets obtained in exchange for lease liabilities</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7620" w:type="dxa"/>
            <w:vAlign w:val="bottom"/>
          </w:tcPr>
          <w:p>
            <w:pPr>
              <w:ind w:left="440"/>
              <w:spacing w:after="0"/>
              <w:rPr>
                <w:sz w:val="20"/>
                <w:szCs w:val="20"/>
                <w:color w:val="auto"/>
              </w:rPr>
            </w:pPr>
            <w:r>
              <w:rPr>
                <w:rFonts w:ascii="Arial" w:cs="Arial" w:eastAsia="Arial" w:hAnsi="Arial"/>
                <w:sz w:val="14"/>
                <w:szCs w:val="14"/>
                <w:color w:val="auto"/>
              </w:rPr>
              <w:t>Adjustments to ROU assets or lease liabilities due to modification or other reassessment events to operating</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20" w:type="dxa"/>
            <w:vAlign w:val="bottom"/>
          </w:tcPr>
          <w:p>
            <w:pPr>
              <w:ind w:left="440"/>
              <w:spacing w:after="0"/>
              <w:rPr>
                <w:sz w:val="20"/>
                <w:szCs w:val="20"/>
                <w:color w:val="auto"/>
              </w:rPr>
            </w:pPr>
            <w:r>
              <w:rPr>
                <w:rFonts w:ascii="Arial" w:cs="Arial" w:eastAsia="Arial" w:hAnsi="Arial"/>
                <w:sz w:val="14"/>
                <w:szCs w:val="14"/>
                <w:color w:val="auto"/>
              </w:rPr>
              <w:t>and finance leases</w:t>
            </w:r>
          </w:p>
        </w:tc>
        <w:tc>
          <w:tcPr>
            <w:tcW w:w="96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Purchases of fixed assets and intangibles not yet settled</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Purchases of rental product not yet settled</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Debt and rights offering costs not yet settled</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440"/>
              <w:spacing w:after="0"/>
              <w:rPr>
                <w:sz w:val="20"/>
                <w:szCs w:val="20"/>
                <w:color w:val="auto"/>
              </w:rPr>
            </w:pPr>
            <w:r>
              <w:rPr>
                <w:rFonts w:ascii="Arial" w:cs="Arial" w:eastAsia="Arial" w:hAnsi="Arial"/>
                <w:sz w:val="14"/>
                <w:szCs w:val="14"/>
                <w:color w:val="auto"/>
              </w:rPr>
              <w:t>Change in common stock related to debt restructuring</w:t>
            </w:r>
          </w:p>
        </w:tc>
        <w:tc>
          <w:tcPr>
            <w:tcW w:w="96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620"/>
          </w:cols>
          <w:pgMar w:left="640" w:top="1101" w:right="639" w:bottom="1440" w:gutter="0" w:footer="0" w:header="0"/>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220"/>
        <w:spacing w:after="0" w:line="231" w:lineRule="auto"/>
        <w:rPr>
          <w:sz w:val="20"/>
          <w:szCs w:val="20"/>
          <w:color w:val="auto"/>
        </w:rPr>
      </w:pPr>
      <w:r>
        <w:rPr>
          <w:rFonts w:ascii="Arial" w:cs="Arial" w:eastAsia="Arial" w:hAnsi="Arial"/>
          <w:sz w:val="20"/>
          <w:szCs w:val="20"/>
          <w:color w:val="auto"/>
        </w:rPr>
        <w:t>The following table presents a reconciliation of net income (loss) and net income (loss) as a percentage of revenue, the most comparable GAAP financial measures, to Adjusted EBITDA and Adjusted EBITDA Margin, respectively, for the periods presented:</w:t>
      </w:r>
    </w:p>
    <w:p>
      <w:pPr>
        <w:sectPr>
          <w:pgSz w:w="11900" w:h="16838" w:orient="portrait"/>
          <w:cols w:equalWidth="0" w:num="1">
            <w:col w:w="11193"/>
          </w:cols>
          <w:pgMar w:left="247" w:top="110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income (loss)</w:t>
      </w:r>
    </w:p>
    <w:p>
      <w:pPr>
        <w:spacing w:after="0" w:line="9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51"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2"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5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right="1140"/>
        <w:spacing w:after="0" w:line="309" w:lineRule="auto"/>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Gain on Debt Restructuring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Income tax (benefit) / expense Other (income) / expense, net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Adjusted EBITDA</w:t>
      </w:r>
    </w:p>
    <w:p>
      <w:pPr>
        <w:spacing w:after="0" w:line="37" w:lineRule="exact"/>
        <w:rPr>
          <w:sz w:val="20"/>
          <w:szCs w:val="20"/>
          <w:color w:val="auto"/>
        </w:rPr>
      </w:pPr>
    </w:p>
    <w:p>
      <w:pPr>
        <w:ind w:left="93"/>
        <w:spacing w:after="0" w:line="397" w:lineRule="auto"/>
        <w:rPr>
          <w:sz w:val="20"/>
          <w:szCs w:val="20"/>
          <w:color w:val="auto"/>
        </w:rPr>
      </w:pPr>
      <w:r>
        <w:rPr>
          <w:rFonts w:ascii="Arial" w:cs="Arial" w:eastAsia="Arial" w:hAnsi="Arial"/>
          <w:sz w:val="18"/>
          <w:szCs w:val="18"/>
          <w:color w:val="auto"/>
        </w:rPr>
        <w:t xml:space="preserve">Net Income (Loss) as a percentage of revenue Adjusted EBITDA Margin </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32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October 31,</w:t>
            </w:r>
          </w:p>
        </w:tc>
        <w:tc>
          <w:tcPr>
            <w:tcW w:w="360" w:type="dxa"/>
            <w:vAlign w:val="bottom"/>
          </w:tcPr>
          <w:p>
            <w:pPr>
              <w:spacing w:after="0"/>
              <w:rPr>
                <w:sz w:val="17"/>
                <w:szCs w:val="17"/>
                <w:color w:val="auto"/>
              </w:rPr>
            </w:pPr>
          </w:p>
        </w:tc>
        <w:tc>
          <w:tcPr>
            <w:tcW w:w="30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 October 31,</w:t>
            </w:r>
          </w:p>
        </w:tc>
      </w:tr>
      <w:tr>
        <w:trPr>
          <w:trHeight w:val="237"/>
        </w:trPr>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r>
      <w:tr>
        <w:trPr>
          <w:trHeight w:val="227"/>
        </w:trPr>
        <w:tc>
          <w:tcPr>
            <w:tcW w:w="36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r>
      <w:tr>
        <w:trPr>
          <w:trHeight w:val="276"/>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(56.5)</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17.7</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47.6</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9.6</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7.6</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3.9</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97"/>
        </w:trPr>
        <w:tc>
          <w:tcPr>
            <w:tcW w:w="36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(96.3)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97"/>
        </w:trPr>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97"/>
        </w:trPr>
        <w:tc>
          <w:tcPr>
            <w:tcW w:w="36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36"/>
        </w:trPr>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4"/>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29.5</w:t>
            </w:r>
          </w:p>
        </w:tc>
      </w:tr>
      <w:tr>
        <w:trPr>
          <w:trHeight w:val="36"/>
        </w:trPr>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87.3 %</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37"/>
        </w:trPr>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4.9 %</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12.3 %</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12.8 %</w:t>
            </w:r>
          </w:p>
        </w:tc>
      </w:tr>
    </w:tbl>
    <w:p>
      <w:pPr>
        <w:spacing w:after="0" w:line="417" w:lineRule="exact"/>
        <w:rPr>
          <w:sz w:val="20"/>
          <w:szCs w:val="20"/>
          <w:color w:val="auto"/>
        </w:rPr>
      </w:pPr>
    </w:p>
    <w:p>
      <w:pPr>
        <w:sectPr>
          <w:pgSz w:w="11900" w:h="16838" w:orient="portrait"/>
          <w:cols w:equalWidth="0" w:num="2">
            <w:col w:w="3813" w:space="200"/>
            <w:col w:w="7180"/>
          </w:cols>
          <w:pgMar w:left="247" w:top="1101" w:right="459" w:bottom="1440" w:gutter="0" w:footer="0" w:header="0"/>
          <w:type w:val="continuous"/>
        </w:sectPr>
      </w:pPr>
    </w:p>
    <w:p>
      <w:pPr>
        <w:spacing w:after="0" w:line="191" w:lineRule="exact"/>
        <w:rPr>
          <w:sz w:val="20"/>
          <w:szCs w:val="20"/>
          <w:color w:val="auto"/>
        </w:rPr>
      </w:pPr>
    </w:p>
    <w:p>
      <w:pPr>
        <w:ind w:left="333" w:hanging="333"/>
        <w:spacing w:after="0" w:line="231" w:lineRule="auto"/>
        <w:tabs>
          <w:tab w:leader="none" w:pos="326"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color w:val="auto"/>
        </w:rPr>
        <w:t>Includes debt discount amortization of $(7.7) million in the three months ended October 31, 2025, $6.9 million in the three months ended October 31, 2024, $(0.8) million in the nine months ended October 31, 2025 and $20.0 million in the nine months ended October 31, 2024.</w:t>
      </w:r>
    </w:p>
    <w:p>
      <w:pPr>
        <w:spacing w:after="0" w:line="79"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and nine months ended October 31, 2025 primarily includes $(1.8) million and $0.2 million of transaction related costs.</w:t>
      </w:r>
    </w:p>
    <w:p>
      <w:pPr>
        <w:spacing w:after="0" w:line="106" w:lineRule="exact"/>
        <w:rPr>
          <w:rFonts w:ascii="Arial" w:cs="Arial" w:eastAsia="Arial" w:hAnsi="Arial"/>
          <w:sz w:val="19"/>
          <w:szCs w:val="19"/>
          <w:color w:val="auto"/>
          <w:vertAlign w:val="superscript"/>
        </w:rPr>
      </w:pPr>
    </w:p>
    <w:p>
      <w:pPr>
        <w:ind w:left="333" w:right="40" w:hanging="333"/>
        <w:spacing w:after="0" w:line="325" w:lineRule="auto"/>
        <w:tabs>
          <w:tab w:leader="none" w:pos="326" w:val="left"/>
        </w:tabs>
        <w:numPr>
          <w:ilvl w:val="0"/>
          <w:numId w:val="9"/>
        </w:numPr>
        <w:rPr>
          <w:rFonts w:ascii="Arial" w:cs="Arial" w:eastAsia="Arial" w:hAnsi="Arial"/>
          <w:sz w:val="9"/>
          <w:szCs w:val="9"/>
          <w:color w:val="auto"/>
        </w:rPr>
      </w:pPr>
      <w:r>
        <w:rPr>
          <w:rFonts w:ascii="Arial" w:cs="Arial" w:eastAsia="Arial" w:hAnsi="Arial"/>
          <w:sz w:val="14"/>
          <w:szCs w:val="14"/>
          <w:color w:val="auto"/>
        </w:rPr>
        <w:t>Non-ordinary course legal fees for the three and nine months ended October 31, 2025 includes $2.8 million and $4.8 million of costs related to securities lawsuits and non-recurring legal fees including transaction related costs.</w:t>
      </w:r>
    </w:p>
    <w:p>
      <w:pPr>
        <w:spacing w:after="0" w:line="35" w:lineRule="exact"/>
        <w:rPr>
          <w:rFonts w:ascii="Arial" w:cs="Arial" w:eastAsia="Arial" w:hAnsi="Arial"/>
          <w:sz w:val="9"/>
          <w:szCs w:val="9"/>
          <w:color w:val="auto"/>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the gain recognized from the troubled debt restructuring from the recapitalization transactions completed in October 2025.</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color w:val="auto"/>
          <w:vertAlign w:val="superscript"/>
        </w:rPr>
      </w:pPr>
    </w:p>
    <w:p>
      <w:pPr>
        <w:ind w:left="333" w:right="180" w:hanging="333"/>
        <w:spacing w:after="0" w:line="239" w:lineRule="auto"/>
        <w:tabs>
          <w:tab w:leader="none" w:pos="32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6 - Leases – Lessee Accounting” in the Notes to the Condensed Consolidated Financial Statements).</w:t>
      </w:r>
    </w:p>
    <w:p>
      <w:pPr>
        <w:spacing w:after="0" w:line="10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193"/>
          </w:cols>
          <w:pgMar w:left="247" w:top="1101" w:right="459" w:bottom="1440" w:gutter="0" w:footer="0" w:header="0"/>
          <w:type w:val="continuous"/>
        </w:sectPr>
      </w:pPr>
    </w:p>
    <w:bookmarkStart w:id="15" w:name="page16"/>
    <w:bookmarkEnd w:id="15"/>
    <w:p>
      <w:pPr>
        <w:spacing w:after="0" w:line="1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 October 31,</w:t>
            </w:r>
          </w:p>
        </w:tc>
      </w:tr>
      <w:tr>
        <w:trPr>
          <w:trHeight w:val="223"/>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8"/>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r>
      <w:tr>
        <w:trPr>
          <w:trHeight w:val="276"/>
        </w:trPr>
        <w:tc>
          <w:tcPr>
            <w:tcW w:w="828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11.5</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(41.4)</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3.4</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20.1</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(2.9)</w:t>
            </w:r>
          </w:p>
        </w:tc>
      </w:tr>
      <w:tr>
        <w:trPr>
          <w:trHeight w:val="37"/>
        </w:trPr>
        <w:tc>
          <w:tcPr>
            <w:tcW w:w="8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6"/>
        </w:trPr>
        <w:tc>
          <w:tcPr>
            <w:tcW w:w="8280" w:type="dxa"/>
            <w:vAlign w:val="bottom"/>
          </w:tcPr>
          <w:p>
            <w:pPr>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(9.3)</w:t>
            </w:r>
          </w:p>
        </w:tc>
      </w:tr>
      <w:tr>
        <w:trPr>
          <w:trHeight w:val="25"/>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828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2025-12-12T07:12:01Z</dcterms:created>
  <dcterms:modified xsi:type="dcterms:W3CDTF">2025-12-12T07:12:01Z</dcterms:modified>
</cp:coreProperties>
</file>