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
        <w:spacing w:after="0"/>
        <w:rPr>
          <w:sz w:val="20"/>
          <w:szCs w:val="20"/>
          <w:color w:val="auto"/>
        </w:rPr>
      </w:pPr>
      <w:r>
        <w:rPr>
          <w:rFonts w:ascii="Times New Roman" w:cs="Times New Roman" w:eastAsia="Times New Roman" w:hAnsi="Times New Roman"/>
          <w:sz w:val="20"/>
          <w:szCs w:val="20"/>
          <w:color w:val="auto"/>
        </w:rPr>
        <w:t>SECURITIES AND EXCHANGE COMMISSION</w:t>
      </w:r>
    </w:p>
    <w:p>
      <w:pPr>
        <w:spacing w:after="0" w:line="28"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Washington, D.C. 20549</w:t>
      </w:r>
    </w:p>
    <w:p>
      <w:pPr>
        <w:spacing w:after="0" w:line="2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SCHEDULE 13D/A</w:t>
      </w:r>
    </w:p>
    <w:p>
      <w:pPr>
        <w:spacing w:after="0" w:line="24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Under the Securities Exchange Act of 1934</w:t>
      </w:r>
    </w:p>
    <w:p>
      <w:pPr>
        <w:spacing w:after="0" w:line="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(Amendment No. 2)*</w:t>
      </w:r>
    </w:p>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Rent the Runway,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13970</wp:posOffset>
            </wp:positionV>
            <wp:extent cx="701230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12305" cy="8255"/>
                    </a:xfrm>
                    <a:prstGeom prst="rect">
                      <a:avLst/>
                    </a:prstGeom>
                    <a:noFill/>
                  </pic:spPr>
                </pic:pic>
              </a:graphicData>
            </a:graphic>
          </wp:anchor>
        </w:drawing>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(Name of Issuer)</w:t>
      </w:r>
    </w:p>
    <w:p>
      <w:pPr>
        <w:spacing w:after="0" w:line="200" w:lineRule="exact"/>
        <w:rPr>
          <w:sz w:val="24"/>
          <w:szCs w:val="24"/>
          <w:color w:val="auto"/>
        </w:rPr>
      </w:pPr>
    </w:p>
    <w:p>
      <w:pPr>
        <w:spacing w:after="0" w:line="257"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0"/>
          <w:szCs w:val="20"/>
          <w:color w:val="auto"/>
        </w:rPr>
        <w:t>Class A common stock, par value $0.001 per share</w:t>
      </w:r>
    </w:p>
    <w:p>
      <w:pPr>
        <w:spacing w:after="0" w:line="28"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20"/>
          <w:szCs w:val="20"/>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493395</wp:posOffset>
            </wp:positionH>
            <wp:positionV relativeFrom="paragraph">
              <wp:posOffset>-140335</wp:posOffset>
            </wp:positionV>
            <wp:extent cx="62407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40780" cy="8255"/>
                    </a:xfrm>
                    <a:prstGeom prst="rect">
                      <a:avLst/>
                    </a:prstGeom>
                    <a:noFill/>
                  </pic:spPr>
                </pic:pic>
              </a:graphicData>
            </a:graphic>
          </wp:anchor>
        </w:drawing>
      </w:r>
    </w:p>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76010Y103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13970</wp:posOffset>
            </wp:positionV>
            <wp:extent cx="70123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12305" cy="8255"/>
                    </a:xfrm>
                    <a:prstGeom prst="rect">
                      <a:avLst/>
                    </a:prstGeom>
                    <a:noFill/>
                  </pic:spPr>
                </pic:pic>
              </a:graphicData>
            </a:graphic>
          </wp:anchor>
        </w:drawing>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(CUSIP Number)</w:t>
      </w:r>
    </w:p>
    <w:p>
      <w:pPr>
        <w:spacing w:after="0" w:line="2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Eleazer Klein, Esq.</w:t>
      </w:r>
    </w:p>
    <w:p>
      <w:pPr>
        <w:spacing w:after="0" w:line="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Adriana Schwartz, Esq.</w:t>
      </w:r>
    </w:p>
    <w:p>
      <w:pPr>
        <w:jc w:val="center"/>
        <w:ind w:right="-19"/>
        <w:spacing w:after="0"/>
        <w:rPr>
          <w:sz w:val="20"/>
          <w:szCs w:val="20"/>
          <w:color w:val="auto"/>
        </w:rPr>
      </w:pPr>
      <w:r>
        <w:rPr>
          <w:rFonts w:ascii="Times New Roman" w:cs="Times New Roman" w:eastAsia="Times New Roman" w:hAnsi="Times New Roman"/>
          <w:sz w:val="20"/>
          <w:szCs w:val="20"/>
          <w:color w:val="auto"/>
        </w:rPr>
        <w:t>Schulte Roth &amp; Zabel LLP</w:t>
      </w:r>
    </w:p>
    <w:p>
      <w:pPr>
        <w:jc w:val="center"/>
        <w:ind w:right="-19"/>
        <w:spacing w:after="0"/>
        <w:rPr>
          <w:sz w:val="20"/>
          <w:szCs w:val="20"/>
          <w:color w:val="auto"/>
        </w:rPr>
      </w:pPr>
      <w:r>
        <w:rPr>
          <w:rFonts w:ascii="Times New Roman" w:cs="Times New Roman" w:eastAsia="Times New Roman" w:hAnsi="Times New Roman"/>
          <w:sz w:val="20"/>
          <w:szCs w:val="20"/>
          <w:color w:val="auto"/>
        </w:rPr>
        <w:t>919 Third Avenue</w:t>
      </w:r>
    </w:p>
    <w:p>
      <w:pPr>
        <w:jc w:val="center"/>
        <w:ind w:right="-19"/>
        <w:spacing w:after="0"/>
        <w:rPr>
          <w:sz w:val="20"/>
          <w:szCs w:val="20"/>
          <w:color w:val="auto"/>
        </w:rPr>
      </w:pPr>
      <w:r>
        <w:rPr>
          <w:rFonts w:ascii="Times New Roman" w:cs="Times New Roman" w:eastAsia="Times New Roman" w:hAnsi="Times New Roman"/>
          <w:sz w:val="20"/>
          <w:szCs w:val="20"/>
          <w:color w:val="auto"/>
        </w:rPr>
        <w:t>New York, NY 10022</w:t>
      </w:r>
    </w:p>
    <w:p>
      <w:pPr>
        <w:jc w:val="center"/>
        <w:ind w:right="-19"/>
        <w:spacing w:after="0"/>
        <w:rPr>
          <w:sz w:val="20"/>
          <w:szCs w:val="20"/>
          <w:color w:val="auto"/>
        </w:rPr>
      </w:pPr>
      <w:r>
        <w:rPr>
          <w:rFonts w:ascii="Times New Roman" w:cs="Times New Roman" w:eastAsia="Times New Roman" w:hAnsi="Times New Roman"/>
          <w:sz w:val="20"/>
          <w:szCs w:val="20"/>
          <w:color w:val="auto"/>
        </w:rPr>
        <w:t>(212) 756-2000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493395</wp:posOffset>
            </wp:positionH>
            <wp:positionV relativeFrom="paragraph">
              <wp:posOffset>154305</wp:posOffset>
            </wp:positionV>
            <wp:extent cx="62147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14745" cy="8255"/>
                    </a:xfrm>
                    <a:prstGeom prst="rect">
                      <a:avLst/>
                    </a:prstGeom>
                    <a:noFill/>
                  </pic:spPr>
                </pic:pic>
              </a:graphicData>
            </a:graphic>
          </wp:anchor>
        </w:drawing>
      </w:r>
    </w:p>
    <w:p>
      <w:pPr>
        <w:spacing w:after="0" w:line="25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(Name, Address and Telephone Number of Person</w:t>
      </w:r>
    </w:p>
    <w:p>
      <w:pPr>
        <w:spacing w:after="0" w:line="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Authorized to Receive Notices and Communications)</w:t>
      </w:r>
    </w:p>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March 6,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13970</wp:posOffset>
            </wp:positionV>
            <wp:extent cx="70123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12305" cy="8890"/>
                    </a:xfrm>
                    <a:prstGeom prst="rect">
                      <a:avLst/>
                    </a:prstGeom>
                    <a:noFill/>
                  </pic:spPr>
                </pic:pic>
              </a:graphicData>
            </a:graphic>
          </wp:anchor>
        </w:drawing>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(Date of Event Which Requires Filing of This Statement)</w:t>
      </w:r>
    </w:p>
    <w:p>
      <w:pPr>
        <w:spacing w:after="0" w:line="200" w:lineRule="exact"/>
        <w:rPr>
          <w:sz w:val="24"/>
          <w:szCs w:val="24"/>
          <w:color w:val="auto"/>
        </w:rPr>
      </w:pPr>
    </w:p>
    <w:p>
      <w:pPr>
        <w:spacing w:after="0" w:line="230" w:lineRule="exact"/>
        <w:rPr>
          <w:sz w:val="24"/>
          <w:szCs w:val="24"/>
          <w:color w:val="auto"/>
        </w:rPr>
      </w:pPr>
    </w:p>
    <w:p>
      <w:pPr>
        <w:spacing w:after="0" w:line="250" w:lineRule="auto"/>
        <w:rPr>
          <w:sz w:val="20"/>
          <w:szCs w:val="20"/>
          <w:color w:val="auto"/>
        </w:rPr>
      </w:pPr>
      <w:r>
        <w:rPr>
          <w:rFonts w:ascii="Times New Roman" w:cs="Times New Roman" w:eastAsia="Times New Roman" w:hAnsi="Times New Roman"/>
          <w:sz w:val="20"/>
          <w:szCs w:val="20"/>
          <w:color w:val="auto"/>
        </w:rPr>
        <w:t>If the filing person has previously filed a statement on Schedule 13G to report the acquisition that is the subject of this Schedule 13D, and is filing this schedule because of Rule 13d-1(e), Rule 13d-1(f) or Rule 13d-1(g), check the following box. [ ]</w:t>
      </w:r>
    </w:p>
    <w:p>
      <w:pPr>
        <w:spacing w:after="0" w:line="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(Page 1 of 5 Pages)</w:t>
      </w:r>
    </w:p>
    <w:p>
      <w:pPr>
        <w:spacing w:after="0"/>
        <w:rPr>
          <w:sz w:val="20"/>
          <w:szCs w:val="20"/>
          <w:color w:val="auto"/>
        </w:rPr>
      </w:pPr>
      <w:r>
        <w:rPr>
          <w:rFonts w:ascii="Times New Roman" w:cs="Times New Roman" w:eastAsia="Times New Roman" w:hAnsi="Times New Roman"/>
          <w:sz w:val="20"/>
          <w:szCs w:val="20"/>
          <w:color w:val="auto"/>
        </w:rPr>
        <w:t>______________________________</w:t>
      </w:r>
    </w:p>
    <w:p>
      <w:pPr>
        <w:ind w:firstLine="8"/>
        <w:spacing w:after="0" w:line="246" w:lineRule="auto"/>
        <w:tabs>
          <w:tab w:leader="none" w:pos="159"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95" w:lineRule="exact"/>
        <w:rPr>
          <w:sz w:val="24"/>
          <w:szCs w:val="24"/>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1240"/>
          </w:cols>
          <w:pgMar w:left="320" w:top="225"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8"/>
        </w:trPr>
        <w:tc>
          <w:tcPr>
            <w:tcW w:w="2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CUSIP No. 76010Y103</w:t>
            </w:r>
          </w:p>
        </w:tc>
        <w:tc>
          <w:tcPr>
            <w:tcW w:w="7060" w:type="dxa"/>
            <w:vAlign w:val="bottom"/>
          </w:tcPr>
          <w:p>
            <w:pPr>
              <w:ind w:left="2020"/>
              <w:spacing w:after="0"/>
              <w:rPr>
                <w:sz w:val="20"/>
                <w:szCs w:val="20"/>
                <w:color w:val="auto"/>
              </w:rPr>
            </w:pPr>
            <w:r>
              <w:rPr>
                <w:rFonts w:ascii="Times New Roman" w:cs="Times New Roman" w:eastAsia="Times New Roman" w:hAnsi="Times New Roman"/>
                <w:sz w:val="18"/>
                <w:szCs w:val="18"/>
                <w:b w:val="1"/>
                <w:bCs w:val="1"/>
                <w:color w:val="auto"/>
              </w:rPr>
              <w:t>SCHEDULE 13D/A</w:t>
            </w: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w w:val="96"/>
              </w:rPr>
              <w:t>Page 2 of 5 Pages</w:t>
            </w:r>
          </w:p>
        </w:tc>
        <w:tc>
          <w:tcPr>
            <w:tcW w:w="0" w:type="dxa"/>
            <w:vAlign w:val="bottom"/>
          </w:tcPr>
          <w:p>
            <w:pPr>
              <w:spacing w:after="0"/>
              <w:rPr>
                <w:sz w:val="1"/>
                <w:szCs w:val="1"/>
                <w:color w:val="auto"/>
              </w:rPr>
            </w:pPr>
          </w:p>
        </w:tc>
      </w:tr>
      <w:tr>
        <w:trPr>
          <w:trHeight w:val="351"/>
        </w:trPr>
        <w:tc>
          <w:tcPr>
            <w:tcW w:w="1640" w:type="dxa"/>
            <w:vAlign w:val="bottom"/>
            <w:tcBorders>
              <w:bottom w:val="single" w:sz="8" w:color="auto"/>
            </w:tcBorders>
          </w:tcPr>
          <w:p>
            <w:pPr>
              <w:spacing w:after="0"/>
              <w:rPr>
                <w:sz w:val="24"/>
                <w:szCs w:val="24"/>
                <w:color w:val="auto"/>
              </w:rPr>
            </w:pPr>
          </w:p>
        </w:tc>
        <w:tc>
          <w:tcPr>
            <w:tcW w:w="8260" w:type="dxa"/>
            <w:vAlign w:val="bottom"/>
            <w:tcBorders>
              <w:bottom w:val="single" w:sz="8" w:color="auto"/>
            </w:tcBorders>
            <w:gridSpan w:val="2"/>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16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1</w:t>
            </w:r>
          </w:p>
        </w:tc>
        <w:tc>
          <w:tcPr>
            <w:tcW w:w="826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NAME OF REPORTING PERSON</w:t>
            </w: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1640" w:type="dxa"/>
            <w:vAlign w:val="bottom"/>
            <w:tcBorders>
              <w:left w:val="single" w:sz="8" w:color="auto"/>
              <w:right w:val="single" w:sz="8" w:color="auto"/>
            </w:tcBorders>
          </w:tcPr>
          <w:p>
            <w:pPr>
              <w:spacing w:after="0"/>
              <w:rPr>
                <w:sz w:val="22"/>
                <w:szCs w:val="22"/>
                <w:color w:val="auto"/>
              </w:rPr>
            </w:pPr>
          </w:p>
        </w:tc>
        <w:tc>
          <w:tcPr>
            <w:tcW w:w="826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auto"/>
              </w:rPr>
              <w:t>Yisroel Mordechai Goldstone</w:t>
            </w: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1640" w:type="dxa"/>
            <w:vAlign w:val="bottom"/>
            <w:tcBorders>
              <w:left w:val="single" w:sz="8" w:color="auto"/>
              <w:bottom w:val="single" w:sz="8" w:color="auto"/>
              <w:right w:val="single" w:sz="8" w:color="auto"/>
            </w:tcBorders>
          </w:tcPr>
          <w:p>
            <w:pPr>
              <w:spacing w:after="0"/>
              <w:rPr>
                <w:sz w:val="8"/>
                <w:szCs w:val="8"/>
                <w:color w:val="auto"/>
              </w:rPr>
            </w:pPr>
          </w:p>
        </w:tc>
        <w:tc>
          <w:tcPr>
            <w:tcW w:w="8260" w:type="dxa"/>
            <w:vAlign w:val="bottom"/>
            <w:tcBorders>
              <w:bottom w:val="single" w:sz="8" w:color="auto"/>
            </w:tcBorders>
            <w:gridSpan w:val="2"/>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6"/>
        </w:trPr>
        <w:tc>
          <w:tcPr>
            <w:tcW w:w="16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2</w:t>
            </w:r>
          </w:p>
        </w:tc>
        <w:tc>
          <w:tcPr>
            <w:tcW w:w="826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CHECK THE APPROPRIATE BOX IF A MEMBER OF A GROUP</w:t>
            </w:r>
          </w:p>
        </w:tc>
        <w:tc>
          <w:tcPr>
            <w:tcW w:w="2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Borders>
              <w:right w:val="single" w:sz="8" w:color="auto"/>
            </w:tcBorders>
          </w:tcPr>
          <w:p>
            <w:pPr>
              <w:spacing w:after="0" w:line="230" w:lineRule="exact"/>
              <w:rPr>
                <w:sz w:val="20"/>
                <w:szCs w:val="20"/>
                <w:color w:val="auto"/>
              </w:rPr>
            </w:pPr>
            <w:r>
              <w:rPr>
                <w:rFonts w:ascii="Times New Roman" w:cs="Times New Roman" w:eastAsia="Times New Roman" w:hAnsi="Times New Roman"/>
                <w:sz w:val="20"/>
                <w:szCs w:val="20"/>
                <w:color w:val="auto"/>
              </w:rPr>
              <w:t xml:space="preserve">(a) </w:t>
            </w:r>
            <w:r>
              <w:rPr>
                <w:rFonts w:ascii="MS PGothic" w:cs="MS PGothic" w:eastAsia="MS PGothic" w:hAnsi="MS PGothic"/>
                <w:sz w:val="20"/>
                <w:szCs w:val="20"/>
                <w:color w:val="auto"/>
              </w:rPr>
              <w:t>☐</w:t>
            </w:r>
          </w:p>
        </w:tc>
        <w:tc>
          <w:tcPr>
            <w:tcW w:w="0" w:type="dxa"/>
            <w:vAlign w:val="bottom"/>
          </w:tcPr>
          <w:p>
            <w:pPr>
              <w:spacing w:after="0"/>
              <w:rPr>
                <w:sz w:val="1"/>
                <w:szCs w:val="1"/>
                <w:color w:val="auto"/>
              </w:rPr>
            </w:pPr>
          </w:p>
        </w:tc>
      </w:tr>
      <w:tr>
        <w:trPr>
          <w:trHeight w:val="297"/>
        </w:trPr>
        <w:tc>
          <w:tcPr>
            <w:tcW w:w="1640" w:type="dxa"/>
            <w:vAlign w:val="bottom"/>
            <w:tcBorders>
              <w:left w:val="single" w:sz="8" w:color="auto"/>
              <w:bottom w:val="single" w:sz="8" w:color="auto"/>
              <w:right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7060" w:type="dxa"/>
            <w:vAlign w:val="bottom"/>
            <w:tcBorders>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right w:val="single" w:sz="8" w:color="auto"/>
            </w:tcBorders>
          </w:tcPr>
          <w:p>
            <w:pPr>
              <w:spacing w:after="0" w:line="230" w:lineRule="exact"/>
              <w:rPr>
                <w:sz w:val="20"/>
                <w:szCs w:val="20"/>
                <w:color w:val="auto"/>
              </w:rPr>
            </w:pPr>
            <w:r>
              <w:rPr>
                <w:rFonts w:ascii="Times New Roman" w:cs="Times New Roman" w:eastAsia="Times New Roman" w:hAnsi="Times New Roman"/>
                <w:sz w:val="20"/>
                <w:szCs w:val="20"/>
                <w:color w:val="auto"/>
              </w:rPr>
              <w:t xml:space="preserve">(b) </w:t>
            </w:r>
            <w:r>
              <w:rPr>
                <w:rFonts w:ascii="MS PGothic" w:cs="MS PGothic" w:eastAsia="MS PGothic" w:hAnsi="MS PGothic"/>
                <w:sz w:val="20"/>
                <w:szCs w:val="20"/>
                <w:color w:val="auto"/>
              </w:rPr>
              <w:t>☐</w:t>
            </w:r>
          </w:p>
        </w:tc>
        <w:tc>
          <w:tcPr>
            <w:tcW w:w="0" w:type="dxa"/>
            <w:vAlign w:val="bottom"/>
          </w:tcPr>
          <w:p>
            <w:pPr>
              <w:spacing w:after="0"/>
              <w:rPr>
                <w:sz w:val="1"/>
                <w:szCs w:val="1"/>
                <w:color w:val="auto"/>
              </w:rPr>
            </w:pPr>
          </w:p>
        </w:tc>
      </w:tr>
      <w:tr>
        <w:trPr>
          <w:trHeight w:val="297"/>
        </w:trPr>
        <w:tc>
          <w:tcPr>
            <w:tcW w:w="16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3</w:t>
            </w:r>
          </w:p>
        </w:tc>
        <w:tc>
          <w:tcPr>
            <w:tcW w:w="826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SEC USE ONLY</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1640" w:type="dxa"/>
            <w:vAlign w:val="bottom"/>
            <w:tcBorders>
              <w:left w:val="single" w:sz="8" w:color="auto"/>
              <w:bottom w:val="single" w:sz="8" w:color="auto"/>
              <w:right w:val="single" w:sz="8" w:color="auto"/>
            </w:tcBorders>
          </w:tcPr>
          <w:p>
            <w:pPr>
              <w:spacing w:after="0"/>
              <w:rPr>
                <w:sz w:val="8"/>
                <w:szCs w:val="8"/>
                <w:color w:val="auto"/>
              </w:rPr>
            </w:pPr>
          </w:p>
        </w:tc>
        <w:tc>
          <w:tcPr>
            <w:tcW w:w="8260" w:type="dxa"/>
            <w:vAlign w:val="bottom"/>
            <w:tcBorders>
              <w:bottom w:val="single" w:sz="8" w:color="auto"/>
            </w:tcBorders>
            <w:gridSpan w:val="2"/>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16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4</w:t>
            </w:r>
          </w:p>
        </w:tc>
        <w:tc>
          <w:tcPr>
            <w:tcW w:w="826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SOURCE OF FUNDS</w:t>
            </w: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1640" w:type="dxa"/>
            <w:vAlign w:val="bottom"/>
            <w:tcBorders>
              <w:left w:val="single" w:sz="8" w:color="auto"/>
              <w:right w:val="single" w:sz="8" w:color="auto"/>
            </w:tcBorders>
          </w:tcPr>
          <w:p>
            <w:pPr>
              <w:spacing w:after="0"/>
              <w:rPr>
                <w:sz w:val="22"/>
                <w:szCs w:val="22"/>
                <w:color w:val="auto"/>
              </w:rPr>
            </w:pPr>
          </w:p>
        </w:tc>
        <w:tc>
          <w:tcPr>
            <w:tcW w:w="120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PF</w:t>
            </w:r>
          </w:p>
        </w:tc>
        <w:tc>
          <w:tcPr>
            <w:tcW w:w="70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1640" w:type="dxa"/>
            <w:vAlign w:val="bottom"/>
            <w:tcBorders>
              <w:left w:val="single" w:sz="8" w:color="auto"/>
              <w:bottom w:val="single" w:sz="8" w:color="auto"/>
              <w:right w:val="single" w:sz="8" w:color="auto"/>
            </w:tcBorders>
          </w:tcPr>
          <w:p>
            <w:pPr>
              <w:spacing w:after="0"/>
              <w:rPr>
                <w:sz w:val="8"/>
                <w:szCs w:val="8"/>
                <w:color w:val="auto"/>
              </w:rPr>
            </w:pPr>
          </w:p>
        </w:tc>
        <w:tc>
          <w:tcPr>
            <w:tcW w:w="8260" w:type="dxa"/>
            <w:vAlign w:val="bottom"/>
            <w:tcBorders>
              <w:bottom w:val="single" w:sz="8" w:color="auto"/>
            </w:tcBorders>
            <w:gridSpan w:val="2"/>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16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5</w:t>
            </w:r>
          </w:p>
        </w:tc>
        <w:tc>
          <w:tcPr>
            <w:tcW w:w="826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8"/>
              </w:rPr>
              <w:t>CHECK BOX IF DISCLOSURE OF LEGAL PROCEEDING IS REQUIRED PURSUANT TO ITEMS</w:t>
            </w:r>
          </w:p>
        </w:tc>
        <w:tc>
          <w:tcPr>
            <w:tcW w:w="2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Borders>
              <w:right w:val="single" w:sz="8" w:color="auto"/>
            </w:tcBorders>
          </w:tcPr>
          <w:p>
            <w:pPr>
              <w:spacing w:after="0" w:line="201" w:lineRule="exact"/>
              <w:rPr>
                <w:sz w:val="20"/>
                <w:szCs w:val="20"/>
                <w:color w:val="auto"/>
              </w:rPr>
            </w:pPr>
            <w:r>
              <w:rPr>
                <w:rFonts w:ascii="MS PGothic" w:cs="MS PGothic" w:eastAsia="MS PGothic" w:hAnsi="MS PGothic"/>
                <w:sz w:val="20"/>
                <w:szCs w:val="20"/>
                <w:color w:val="auto"/>
              </w:rPr>
              <w:t>☐</w:t>
            </w:r>
          </w:p>
        </w:tc>
        <w:tc>
          <w:tcPr>
            <w:tcW w:w="0" w:type="dxa"/>
            <w:vAlign w:val="bottom"/>
          </w:tcPr>
          <w:p>
            <w:pPr>
              <w:spacing w:after="0"/>
              <w:rPr>
                <w:sz w:val="1"/>
                <w:szCs w:val="1"/>
                <w:color w:val="auto"/>
              </w:rPr>
            </w:pPr>
          </w:p>
        </w:tc>
      </w:tr>
      <w:tr>
        <w:trPr>
          <w:trHeight w:val="258"/>
        </w:trPr>
        <w:tc>
          <w:tcPr>
            <w:tcW w:w="1640" w:type="dxa"/>
            <w:vAlign w:val="bottom"/>
            <w:tcBorders>
              <w:left w:val="single" w:sz="8" w:color="auto"/>
              <w:right w:val="single" w:sz="8" w:color="auto"/>
            </w:tcBorders>
          </w:tcPr>
          <w:p>
            <w:pPr>
              <w:spacing w:after="0"/>
              <w:rPr>
                <w:sz w:val="22"/>
                <w:szCs w:val="22"/>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20"/>
                <w:szCs w:val="20"/>
                <w:color w:val="auto"/>
              </w:rPr>
              <w:t>2(d) or 2(e)</w:t>
            </w:r>
          </w:p>
        </w:tc>
        <w:tc>
          <w:tcPr>
            <w:tcW w:w="7060" w:type="dxa"/>
            <w:vAlign w:val="bottom"/>
          </w:tcPr>
          <w:p>
            <w:pPr>
              <w:spacing w:after="0"/>
              <w:rPr>
                <w:sz w:val="22"/>
                <w:szCs w:val="22"/>
                <w:color w:val="auto"/>
              </w:rPr>
            </w:pPr>
          </w:p>
        </w:tc>
        <w:tc>
          <w:tcPr>
            <w:tcW w:w="2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1640" w:type="dxa"/>
            <w:vAlign w:val="bottom"/>
            <w:tcBorders>
              <w:left w:val="single" w:sz="8" w:color="auto"/>
              <w:bottom w:val="single" w:sz="8" w:color="auto"/>
              <w:right w:val="single" w:sz="8" w:color="auto"/>
            </w:tcBorders>
          </w:tcPr>
          <w:p>
            <w:pPr>
              <w:spacing w:after="0"/>
              <w:rPr>
                <w:sz w:val="8"/>
                <w:szCs w:val="8"/>
                <w:color w:val="auto"/>
              </w:rPr>
            </w:pPr>
          </w:p>
        </w:tc>
        <w:tc>
          <w:tcPr>
            <w:tcW w:w="8260" w:type="dxa"/>
            <w:vAlign w:val="bottom"/>
            <w:tcBorders>
              <w:bottom w:val="single" w:sz="8" w:color="auto"/>
            </w:tcBorders>
            <w:gridSpan w:val="2"/>
          </w:tcPr>
          <w:p>
            <w:pPr>
              <w:spacing w:after="0"/>
              <w:rPr>
                <w:sz w:val="8"/>
                <w:szCs w:val="8"/>
                <w:color w:val="auto"/>
              </w:rPr>
            </w:pPr>
          </w:p>
        </w:tc>
        <w:tc>
          <w:tcPr>
            <w:tcW w:w="240" w:type="dxa"/>
            <w:vAlign w:val="bottom"/>
            <w:tcBorders>
              <w:bottom w:val="single" w:sz="8" w:color="auto"/>
              <w:right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16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6</w:t>
            </w:r>
          </w:p>
        </w:tc>
        <w:tc>
          <w:tcPr>
            <w:tcW w:w="826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CITIZENSHIP OR PLACE OF ORGANIZATION</w:t>
            </w: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1640" w:type="dxa"/>
            <w:vAlign w:val="bottom"/>
            <w:tcBorders>
              <w:left w:val="single" w:sz="8" w:color="auto"/>
              <w:right w:val="single" w:sz="8" w:color="auto"/>
            </w:tcBorders>
          </w:tcPr>
          <w:p>
            <w:pPr>
              <w:spacing w:after="0"/>
              <w:rPr>
                <w:sz w:val="22"/>
                <w:szCs w:val="22"/>
                <w:color w:val="auto"/>
              </w:rPr>
            </w:pPr>
          </w:p>
        </w:tc>
        <w:tc>
          <w:tcPr>
            <w:tcW w:w="826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auto"/>
              </w:rPr>
              <w:t>United States</w:t>
            </w: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1640" w:type="dxa"/>
            <w:vAlign w:val="bottom"/>
            <w:tcBorders>
              <w:left w:val="single" w:sz="8" w:color="auto"/>
              <w:bottom w:val="single" w:sz="8" w:color="auto"/>
              <w:right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70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1640" w:type="dxa"/>
            <w:vAlign w:val="bottom"/>
            <w:tcBorders>
              <w:left w:val="single" w:sz="8" w:color="auto"/>
              <w:right w:val="single" w:sz="8" w:color="auto"/>
            </w:tcBorders>
          </w:tcPr>
          <w:p>
            <w:pPr>
              <w:spacing w:after="0"/>
              <w:rPr>
                <w:sz w:val="22"/>
                <w:szCs w:val="22"/>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7</w:t>
            </w:r>
          </w:p>
        </w:tc>
        <w:tc>
          <w:tcPr>
            <w:tcW w:w="70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SOLE VOTING POWER</w:t>
            </w: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16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NUMBER OF</w:t>
            </w:r>
          </w:p>
        </w:tc>
        <w:tc>
          <w:tcPr>
            <w:tcW w:w="1200" w:type="dxa"/>
            <w:vAlign w:val="bottom"/>
            <w:tcBorders>
              <w:right w:val="single" w:sz="8" w:color="auto"/>
            </w:tcBorders>
          </w:tcPr>
          <w:p>
            <w:pPr>
              <w:spacing w:after="0"/>
              <w:rPr>
                <w:sz w:val="22"/>
                <w:szCs w:val="22"/>
                <w:color w:val="auto"/>
              </w:rPr>
            </w:pPr>
          </w:p>
        </w:tc>
        <w:tc>
          <w:tcPr>
            <w:tcW w:w="706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6,721,645</w:t>
            </w: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1640" w:type="dxa"/>
            <w:vAlign w:val="bottom"/>
            <w:tcBorders>
              <w:left w:val="single" w:sz="8" w:color="auto"/>
              <w:right w:val="single" w:sz="8" w:color="auto"/>
            </w:tcBorders>
            <w:vMerge w:val="continue"/>
          </w:tcPr>
          <w:p>
            <w:pPr>
              <w:spacing w:after="0"/>
              <w:rPr>
                <w:sz w:val="8"/>
                <w:szCs w:val="8"/>
                <w:color w:val="auto"/>
              </w:rPr>
            </w:pPr>
          </w:p>
        </w:tc>
        <w:tc>
          <w:tcPr>
            <w:tcW w:w="1200" w:type="dxa"/>
            <w:vAlign w:val="bottom"/>
            <w:tcBorders>
              <w:bottom w:val="single" w:sz="8" w:color="auto"/>
              <w:right w:val="single" w:sz="8" w:color="auto"/>
            </w:tcBorders>
          </w:tcPr>
          <w:p>
            <w:pPr>
              <w:spacing w:after="0"/>
              <w:rPr>
                <w:sz w:val="8"/>
                <w:szCs w:val="8"/>
                <w:color w:val="auto"/>
              </w:rPr>
            </w:pPr>
          </w:p>
        </w:tc>
        <w:tc>
          <w:tcPr>
            <w:tcW w:w="70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1640" w:type="dxa"/>
            <w:vAlign w:val="bottom"/>
            <w:tcBorders>
              <w:left w:val="single" w:sz="8" w:color="auto"/>
              <w:right w:val="single" w:sz="8" w:color="auto"/>
            </w:tcBorders>
            <w:vMerge w:val="continue"/>
          </w:tcPr>
          <w:p>
            <w:pPr>
              <w:spacing w:after="0"/>
              <w:rPr>
                <w:sz w:val="4"/>
                <w:szCs w:val="4"/>
                <w:color w:val="auto"/>
              </w:rPr>
            </w:pPr>
          </w:p>
        </w:tc>
        <w:tc>
          <w:tcPr>
            <w:tcW w:w="12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8</w:t>
            </w:r>
          </w:p>
        </w:tc>
        <w:tc>
          <w:tcPr>
            <w:tcW w:w="70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SHARED VOTING POWER</w:t>
            </w: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640" w:type="dxa"/>
            <w:vAlign w:val="bottom"/>
            <w:tcBorders>
              <w:left w:val="single" w:sz="8" w:color="auto"/>
              <w:right w:val="single" w:sz="8" w:color="auto"/>
            </w:tcBorders>
          </w:tcPr>
          <w:p>
            <w:pPr>
              <w:jc w:val="center"/>
              <w:spacing w:after="0" w:line="203" w:lineRule="exact"/>
              <w:rPr>
                <w:sz w:val="20"/>
                <w:szCs w:val="20"/>
                <w:color w:val="auto"/>
              </w:rPr>
            </w:pPr>
            <w:r>
              <w:rPr>
                <w:rFonts w:ascii="Times New Roman" w:cs="Times New Roman" w:eastAsia="Times New Roman" w:hAnsi="Times New Roman"/>
                <w:sz w:val="20"/>
                <w:szCs w:val="20"/>
                <w:color w:val="auto"/>
                <w:w w:val="99"/>
              </w:rPr>
              <w:t>SHARES</w:t>
            </w:r>
          </w:p>
        </w:tc>
        <w:tc>
          <w:tcPr>
            <w:tcW w:w="1200" w:type="dxa"/>
            <w:vAlign w:val="bottom"/>
            <w:tcBorders>
              <w:right w:val="single" w:sz="8" w:color="auto"/>
            </w:tcBorders>
            <w:vMerge w:val="continue"/>
          </w:tcPr>
          <w:p>
            <w:pPr>
              <w:spacing w:after="0"/>
              <w:rPr>
                <w:sz w:val="17"/>
                <w:szCs w:val="17"/>
                <w:color w:val="auto"/>
              </w:rPr>
            </w:pPr>
          </w:p>
        </w:tc>
        <w:tc>
          <w:tcPr>
            <w:tcW w:w="706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16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BENEFICIALLY</w:t>
            </w:r>
          </w:p>
        </w:tc>
        <w:tc>
          <w:tcPr>
            <w:tcW w:w="1200" w:type="dxa"/>
            <w:vAlign w:val="bottom"/>
            <w:tcBorders>
              <w:right w:val="single" w:sz="8" w:color="auto"/>
            </w:tcBorders>
          </w:tcPr>
          <w:p>
            <w:pPr>
              <w:spacing w:after="0"/>
              <w:rPr>
                <w:sz w:val="22"/>
                <w:szCs w:val="22"/>
                <w:color w:val="auto"/>
              </w:rPr>
            </w:pPr>
          </w:p>
        </w:tc>
        <w:tc>
          <w:tcPr>
            <w:tcW w:w="706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-0-</w:t>
            </w: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04"/>
        </w:trPr>
        <w:tc>
          <w:tcPr>
            <w:tcW w:w="16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OWNED BY</w:t>
            </w:r>
          </w:p>
        </w:tc>
        <w:tc>
          <w:tcPr>
            <w:tcW w:w="1200" w:type="dxa"/>
            <w:vAlign w:val="bottom"/>
            <w:tcBorders>
              <w:bottom w:val="single" w:sz="8" w:color="auto"/>
              <w:right w:val="single" w:sz="8" w:color="auto"/>
            </w:tcBorders>
          </w:tcPr>
          <w:p>
            <w:pPr>
              <w:spacing w:after="0"/>
              <w:rPr>
                <w:sz w:val="9"/>
                <w:szCs w:val="9"/>
                <w:color w:val="auto"/>
              </w:rPr>
            </w:pPr>
          </w:p>
        </w:tc>
        <w:tc>
          <w:tcPr>
            <w:tcW w:w="706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1640" w:type="dxa"/>
            <w:vAlign w:val="bottom"/>
            <w:tcBorders>
              <w:left w:val="single" w:sz="8" w:color="auto"/>
              <w:right w:val="single" w:sz="8" w:color="auto"/>
            </w:tcBorders>
            <w:vMerge w:val="continue"/>
          </w:tcPr>
          <w:p>
            <w:pPr>
              <w:spacing w:after="0"/>
              <w:rPr>
                <w:sz w:val="9"/>
                <w:szCs w:val="9"/>
                <w:color w:val="auto"/>
              </w:rPr>
            </w:pPr>
          </w:p>
        </w:tc>
        <w:tc>
          <w:tcPr>
            <w:tcW w:w="12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9</w:t>
            </w:r>
          </w:p>
        </w:tc>
        <w:tc>
          <w:tcPr>
            <w:tcW w:w="70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SOLE DISPOSITIVE POWER</w:t>
            </w: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16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EACH</w:t>
            </w:r>
          </w:p>
        </w:tc>
        <w:tc>
          <w:tcPr>
            <w:tcW w:w="1200" w:type="dxa"/>
            <w:vAlign w:val="bottom"/>
            <w:tcBorders>
              <w:right w:val="single" w:sz="8" w:color="auto"/>
            </w:tcBorders>
            <w:vMerge w:val="continue"/>
          </w:tcPr>
          <w:p>
            <w:pPr>
              <w:spacing w:after="0"/>
              <w:rPr>
                <w:sz w:val="12"/>
                <w:szCs w:val="12"/>
                <w:color w:val="auto"/>
              </w:rPr>
            </w:pPr>
          </w:p>
        </w:tc>
        <w:tc>
          <w:tcPr>
            <w:tcW w:w="70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1640" w:type="dxa"/>
            <w:vAlign w:val="bottom"/>
            <w:tcBorders>
              <w:left w:val="single" w:sz="8" w:color="auto"/>
              <w:right w:val="single" w:sz="8" w:color="auto"/>
            </w:tcBorders>
            <w:vMerge w:val="continue"/>
          </w:tcPr>
          <w:p>
            <w:pPr>
              <w:spacing w:after="0"/>
              <w:rPr>
                <w:sz w:val="7"/>
                <w:szCs w:val="7"/>
                <w:color w:val="auto"/>
              </w:rPr>
            </w:pPr>
          </w:p>
        </w:tc>
        <w:tc>
          <w:tcPr>
            <w:tcW w:w="1200" w:type="dxa"/>
            <w:vAlign w:val="bottom"/>
            <w:tcBorders>
              <w:right w:val="single" w:sz="8" w:color="auto"/>
            </w:tcBorders>
          </w:tcPr>
          <w:p>
            <w:pPr>
              <w:spacing w:after="0"/>
              <w:rPr>
                <w:sz w:val="7"/>
                <w:szCs w:val="7"/>
                <w:color w:val="auto"/>
              </w:rPr>
            </w:pPr>
          </w:p>
        </w:tc>
        <w:tc>
          <w:tcPr>
            <w:tcW w:w="706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6,721,645</w:t>
            </w: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16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7"/>
              </w:rPr>
              <w:t>REPORTING</w:t>
            </w:r>
          </w:p>
        </w:tc>
        <w:tc>
          <w:tcPr>
            <w:tcW w:w="1200" w:type="dxa"/>
            <w:vAlign w:val="bottom"/>
            <w:tcBorders>
              <w:right w:val="single" w:sz="8" w:color="auto"/>
            </w:tcBorders>
          </w:tcPr>
          <w:p>
            <w:pPr>
              <w:spacing w:after="0"/>
              <w:rPr>
                <w:sz w:val="15"/>
                <w:szCs w:val="15"/>
                <w:color w:val="auto"/>
              </w:rPr>
            </w:pPr>
          </w:p>
        </w:tc>
        <w:tc>
          <w:tcPr>
            <w:tcW w:w="70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1640" w:type="dxa"/>
            <w:vAlign w:val="bottom"/>
            <w:tcBorders>
              <w:left w:val="single" w:sz="8" w:color="auto"/>
              <w:right w:val="single" w:sz="8" w:color="auto"/>
            </w:tcBorders>
            <w:vMerge w:val="continue"/>
          </w:tcPr>
          <w:p>
            <w:pPr>
              <w:spacing w:after="0"/>
              <w:rPr>
                <w:sz w:val="4"/>
                <w:szCs w:val="4"/>
                <w:color w:val="auto"/>
              </w:rPr>
            </w:pPr>
          </w:p>
        </w:tc>
        <w:tc>
          <w:tcPr>
            <w:tcW w:w="1200" w:type="dxa"/>
            <w:vAlign w:val="bottom"/>
            <w:tcBorders>
              <w:right w:val="single" w:sz="8" w:color="auto"/>
            </w:tcBorders>
          </w:tcPr>
          <w:p>
            <w:pPr>
              <w:spacing w:after="0"/>
              <w:rPr>
                <w:sz w:val="4"/>
                <w:szCs w:val="4"/>
                <w:color w:val="auto"/>
              </w:rPr>
            </w:pPr>
          </w:p>
        </w:tc>
        <w:tc>
          <w:tcPr>
            <w:tcW w:w="70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50"/>
        </w:trPr>
        <w:tc>
          <w:tcPr>
            <w:tcW w:w="16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PERSON WITH:</w:t>
            </w:r>
          </w:p>
        </w:tc>
        <w:tc>
          <w:tcPr>
            <w:tcW w:w="1200" w:type="dxa"/>
            <w:vAlign w:val="bottom"/>
            <w:tcBorders>
              <w:bottom w:val="single" w:sz="8" w:color="auto"/>
              <w:right w:val="single" w:sz="8" w:color="auto"/>
            </w:tcBorders>
          </w:tcPr>
          <w:p>
            <w:pPr>
              <w:spacing w:after="0"/>
              <w:rPr>
                <w:sz w:val="4"/>
                <w:szCs w:val="4"/>
                <w:color w:val="auto"/>
              </w:rPr>
            </w:pPr>
          </w:p>
        </w:tc>
        <w:tc>
          <w:tcPr>
            <w:tcW w:w="70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640" w:type="dxa"/>
            <w:vAlign w:val="bottom"/>
            <w:tcBorders>
              <w:left w:val="single" w:sz="8" w:color="auto"/>
              <w:right w:val="single" w:sz="8" w:color="auto"/>
            </w:tcBorders>
            <w:vMerge w:val="continue"/>
          </w:tcPr>
          <w:p>
            <w:pPr>
              <w:spacing w:after="0"/>
              <w:rPr>
                <w:sz w:val="16"/>
                <w:szCs w:val="16"/>
                <w:color w:val="auto"/>
              </w:rPr>
            </w:pPr>
          </w:p>
        </w:tc>
        <w:tc>
          <w:tcPr>
            <w:tcW w:w="12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10</w:t>
            </w:r>
          </w:p>
        </w:tc>
        <w:tc>
          <w:tcPr>
            <w:tcW w:w="70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SHARED DISPOSITIVE POWER</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1640" w:type="dxa"/>
            <w:vAlign w:val="bottom"/>
            <w:tcBorders>
              <w:left w:val="single" w:sz="8" w:color="auto"/>
              <w:right w:val="single" w:sz="8" w:color="auto"/>
            </w:tcBorders>
          </w:tcPr>
          <w:p>
            <w:pPr>
              <w:spacing w:after="0"/>
              <w:rPr>
                <w:sz w:val="5"/>
                <w:szCs w:val="5"/>
                <w:color w:val="auto"/>
              </w:rPr>
            </w:pPr>
          </w:p>
        </w:tc>
        <w:tc>
          <w:tcPr>
            <w:tcW w:w="1200" w:type="dxa"/>
            <w:vAlign w:val="bottom"/>
            <w:tcBorders>
              <w:right w:val="single" w:sz="8" w:color="auto"/>
            </w:tcBorders>
            <w:vMerge w:val="continue"/>
          </w:tcPr>
          <w:p>
            <w:pPr>
              <w:spacing w:after="0"/>
              <w:rPr>
                <w:sz w:val="5"/>
                <w:szCs w:val="5"/>
                <w:color w:val="auto"/>
              </w:rPr>
            </w:pPr>
          </w:p>
        </w:tc>
        <w:tc>
          <w:tcPr>
            <w:tcW w:w="70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1640" w:type="dxa"/>
            <w:vAlign w:val="bottom"/>
            <w:tcBorders>
              <w:left w:val="single" w:sz="8" w:color="auto"/>
              <w:right w:val="single" w:sz="8" w:color="auto"/>
            </w:tcBorders>
          </w:tcPr>
          <w:p>
            <w:pPr>
              <w:spacing w:after="0"/>
              <w:rPr>
                <w:sz w:val="22"/>
                <w:szCs w:val="22"/>
                <w:color w:val="auto"/>
              </w:rPr>
            </w:pPr>
          </w:p>
        </w:tc>
        <w:tc>
          <w:tcPr>
            <w:tcW w:w="1200" w:type="dxa"/>
            <w:vAlign w:val="bottom"/>
            <w:tcBorders>
              <w:right w:val="single" w:sz="8" w:color="auto"/>
            </w:tcBorders>
          </w:tcPr>
          <w:p>
            <w:pPr>
              <w:spacing w:after="0"/>
              <w:rPr>
                <w:sz w:val="22"/>
                <w:szCs w:val="22"/>
                <w:color w:val="auto"/>
              </w:rPr>
            </w:pPr>
          </w:p>
        </w:tc>
        <w:tc>
          <w:tcPr>
            <w:tcW w:w="706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-0-</w:t>
            </w: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1640" w:type="dxa"/>
            <w:vAlign w:val="bottom"/>
            <w:tcBorders>
              <w:left w:val="single" w:sz="8" w:color="auto"/>
              <w:bottom w:val="single" w:sz="8" w:color="auto"/>
              <w:right w:val="single" w:sz="8" w:color="auto"/>
            </w:tcBorders>
          </w:tcPr>
          <w:p>
            <w:pPr>
              <w:spacing w:after="0"/>
              <w:rPr>
                <w:sz w:val="8"/>
                <w:szCs w:val="8"/>
                <w:color w:val="auto"/>
              </w:rPr>
            </w:pPr>
          </w:p>
        </w:tc>
        <w:tc>
          <w:tcPr>
            <w:tcW w:w="1200" w:type="dxa"/>
            <w:vAlign w:val="bottom"/>
            <w:tcBorders>
              <w:bottom w:val="single" w:sz="8" w:color="auto"/>
              <w:right w:val="single" w:sz="8" w:color="auto"/>
            </w:tcBorders>
          </w:tcPr>
          <w:p>
            <w:pPr>
              <w:spacing w:after="0"/>
              <w:rPr>
                <w:sz w:val="8"/>
                <w:szCs w:val="8"/>
                <w:color w:val="auto"/>
              </w:rPr>
            </w:pPr>
          </w:p>
        </w:tc>
        <w:tc>
          <w:tcPr>
            <w:tcW w:w="70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16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11</w:t>
            </w:r>
          </w:p>
        </w:tc>
        <w:tc>
          <w:tcPr>
            <w:tcW w:w="826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AGGREGATE AMOUNT BENEFICIALLY OWNED BY EACH PERSON</w:t>
            </w: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1640" w:type="dxa"/>
            <w:vAlign w:val="bottom"/>
            <w:tcBorders>
              <w:left w:val="single" w:sz="8" w:color="auto"/>
              <w:right w:val="single" w:sz="8" w:color="auto"/>
            </w:tcBorders>
          </w:tcPr>
          <w:p>
            <w:pPr>
              <w:spacing w:after="0"/>
              <w:rPr>
                <w:sz w:val="22"/>
                <w:szCs w:val="22"/>
                <w:color w:val="auto"/>
              </w:rPr>
            </w:pPr>
          </w:p>
        </w:tc>
        <w:tc>
          <w:tcPr>
            <w:tcW w:w="1200" w:type="dxa"/>
            <w:vAlign w:val="bottom"/>
          </w:tcPr>
          <w:p>
            <w:pPr>
              <w:ind w:left="400"/>
              <w:spacing w:after="0"/>
              <w:rPr>
                <w:sz w:val="20"/>
                <w:szCs w:val="20"/>
                <w:color w:val="auto"/>
              </w:rPr>
            </w:pPr>
            <w:r>
              <w:rPr>
                <w:rFonts w:ascii="Times New Roman" w:cs="Times New Roman" w:eastAsia="Times New Roman" w:hAnsi="Times New Roman"/>
                <w:sz w:val="20"/>
                <w:szCs w:val="20"/>
                <w:color w:val="auto"/>
                <w:w w:val="94"/>
              </w:rPr>
              <w:t>6,721,645</w:t>
            </w:r>
          </w:p>
        </w:tc>
        <w:tc>
          <w:tcPr>
            <w:tcW w:w="70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1640" w:type="dxa"/>
            <w:vAlign w:val="bottom"/>
            <w:tcBorders>
              <w:left w:val="single" w:sz="8" w:color="auto"/>
              <w:bottom w:val="single" w:sz="8" w:color="auto"/>
              <w:right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70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27"/>
        </w:trPr>
        <w:tc>
          <w:tcPr>
            <w:tcW w:w="16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12</w:t>
            </w:r>
          </w:p>
        </w:tc>
        <w:tc>
          <w:tcPr>
            <w:tcW w:w="826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CHECK IF THE AGGREGATE AMOUNT IN ROW (11) EXCLUDES CERTAIN SHARES</w:t>
            </w:r>
          </w:p>
        </w:tc>
        <w:tc>
          <w:tcPr>
            <w:tcW w:w="24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000" w:type="dxa"/>
            <w:vAlign w:val="bottom"/>
            <w:tcBorders>
              <w:right w:val="single" w:sz="8" w:color="auto"/>
            </w:tcBorders>
          </w:tcPr>
          <w:p>
            <w:pPr>
              <w:ind w:left="100"/>
              <w:spacing w:after="0" w:line="201" w:lineRule="exact"/>
              <w:rPr>
                <w:sz w:val="20"/>
                <w:szCs w:val="20"/>
                <w:color w:val="auto"/>
              </w:rPr>
            </w:pPr>
            <w:r>
              <w:rPr>
                <w:rFonts w:ascii="MS PGothic" w:cs="MS PGothic" w:eastAsia="MS PGothic" w:hAnsi="MS PGothic"/>
                <w:sz w:val="20"/>
                <w:szCs w:val="20"/>
                <w:color w:val="auto"/>
              </w:rPr>
              <w:t>☐</w:t>
            </w:r>
          </w:p>
        </w:tc>
        <w:tc>
          <w:tcPr>
            <w:tcW w:w="0" w:type="dxa"/>
            <w:vAlign w:val="bottom"/>
          </w:tcPr>
          <w:p>
            <w:pPr>
              <w:spacing w:after="0"/>
              <w:rPr>
                <w:sz w:val="1"/>
                <w:szCs w:val="1"/>
                <w:color w:val="auto"/>
              </w:rPr>
            </w:pPr>
          </w:p>
        </w:tc>
      </w:tr>
      <w:tr>
        <w:trPr>
          <w:trHeight w:val="71"/>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706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00" w:type="dxa"/>
            <w:vAlign w:val="bottom"/>
            <w:tcBorders>
              <w:bottom w:val="single" w:sz="8" w:color="auto"/>
              <w:right w:val="single" w:sz="8" w:color="auto"/>
            </w:tcBorders>
          </w:tcPr>
          <w:p>
            <w:pPr>
              <w:spacing w:after="0"/>
              <w:rPr>
                <w:sz w:val="6"/>
                <w:szCs w:val="6"/>
                <w:color w:val="auto"/>
              </w:rPr>
            </w:pPr>
          </w:p>
        </w:tc>
        <w:tc>
          <w:tcPr>
            <w:tcW w:w="10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4"/>
        </w:trPr>
        <w:tc>
          <w:tcPr>
            <w:tcW w:w="16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13</w:t>
            </w:r>
          </w:p>
        </w:tc>
        <w:tc>
          <w:tcPr>
            <w:tcW w:w="826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PERCENT OF CLASS REPRESENTED BY AMOUNT IN ROW (11)</w:t>
            </w: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1640" w:type="dxa"/>
            <w:vAlign w:val="bottom"/>
            <w:tcBorders>
              <w:left w:val="single" w:sz="8" w:color="auto"/>
              <w:right w:val="single" w:sz="8" w:color="auto"/>
            </w:tcBorders>
          </w:tcPr>
          <w:p>
            <w:pPr>
              <w:spacing w:after="0"/>
              <w:rPr>
                <w:sz w:val="22"/>
                <w:szCs w:val="22"/>
                <w:color w:val="auto"/>
              </w:rPr>
            </w:pPr>
          </w:p>
        </w:tc>
        <w:tc>
          <w:tcPr>
            <w:tcW w:w="120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9.9%</w:t>
            </w:r>
          </w:p>
        </w:tc>
        <w:tc>
          <w:tcPr>
            <w:tcW w:w="70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1640" w:type="dxa"/>
            <w:vAlign w:val="bottom"/>
            <w:tcBorders>
              <w:left w:val="single" w:sz="8" w:color="auto"/>
              <w:bottom w:val="single" w:sz="8" w:color="auto"/>
              <w:right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70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16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14</w:t>
            </w:r>
          </w:p>
        </w:tc>
        <w:tc>
          <w:tcPr>
            <w:tcW w:w="826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TYPE OF REPORTING PERSON</w:t>
            </w: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1640" w:type="dxa"/>
            <w:vAlign w:val="bottom"/>
            <w:tcBorders>
              <w:left w:val="single" w:sz="8" w:color="auto"/>
              <w:right w:val="single" w:sz="8" w:color="auto"/>
            </w:tcBorders>
          </w:tcPr>
          <w:p>
            <w:pPr>
              <w:spacing w:after="0"/>
              <w:rPr>
                <w:sz w:val="22"/>
                <w:szCs w:val="22"/>
                <w:color w:val="auto"/>
              </w:rPr>
            </w:pPr>
          </w:p>
        </w:tc>
        <w:tc>
          <w:tcPr>
            <w:tcW w:w="120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IN</w:t>
            </w:r>
          </w:p>
        </w:tc>
        <w:tc>
          <w:tcPr>
            <w:tcW w:w="70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1640" w:type="dxa"/>
            <w:vAlign w:val="bottom"/>
            <w:tcBorders>
              <w:left w:val="single" w:sz="8" w:color="auto"/>
              <w:bottom w:val="single" w:sz="8" w:color="auto"/>
              <w:right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70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5" w:right="339" w:bottom="1440" w:gutter="0" w:footer="0" w:header="0"/>
        </w:sectPr>
      </w:pPr>
    </w:p>
    <w:bookmarkStart w:id="2" w:name="page3"/>
    <w:bookmarkEnd w:id="2"/>
    <w:p>
      <w:pPr>
        <w:spacing w:after="0"/>
        <w:tabs>
          <w:tab w:leader="none" w:pos="484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 76010Y103</w:t>
      </w:r>
      <w:r>
        <w:rPr>
          <w:sz w:val="20"/>
          <w:szCs w:val="20"/>
          <w:color w:val="auto"/>
        </w:rPr>
        <w:tab/>
      </w:r>
      <w:r>
        <w:rPr>
          <w:rFonts w:ascii="Times New Roman" w:cs="Times New Roman" w:eastAsia="Times New Roman" w:hAnsi="Times New Roman"/>
          <w:sz w:val="18"/>
          <w:szCs w:val="18"/>
          <w:b w:val="1"/>
          <w:bCs w:val="1"/>
          <w:color w:val="auto"/>
        </w:rPr>
        <w:t>SCHEDULE 13D/A</w:t>
      </w:r>
      <w:r>
        <w:rPr>
          <w:sz w:val="20"/>
          <w:szCs w:val="20"/>
          <w:color w:val="auto"/>
        </w:rPr>
        <w:tab/>
      </w:r>
      <w:r>
        <w:rPr>
          <w:rFonts w:ascii="Times New Roman" w:cs="Times New Roman" w:eastAsia="Times New Roman" w:hAnsi="Times New Roman"/>
          <w:sz w:val="17"/>
          <w:szCs w:val="17"/>
          <w:b w:val="1"/>
          <w:bCs w:val="1"/>
          <w:color w:val="auto"/>
        </w:rPr>
        <w:t>Page 3 of 5 Pages</w:t>
      </w:r>
    </w:p>
    <w:p>
      <w:pPr>
        <w:spacing w:after="0" w:line="319"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20"/>
          <w:szCs w:val="20"/>
          <w:color w:val="auto"/>
        </w:rPr>
        <w:t>The following constitutes Amendment No. 2 to the Schedule 13D (“</w:t>
      </w:r>
      <w:r>
        <w:rPr>
          <w:rFonts w:ascii="Times New Roman" w:cs="Times New Roman" w:eastAsia="Times New Roman" w:hAnsi="Times New Roman"/>
          <w:sz w:val="20"/>
          <w:szCs w:val="20"/>
          <w:u w:val="single" w:color="auto"/>
          <w:color w:val="auto"/>
        </w:rPr>
        <w:t>Amendment No. 2</w:t>
      </w:r>
      <w:r>
        <w:rPr>
          <w:rFonts w:ascii="Times New Roman" w:cs="Times New Roman" w:eastAsia="Times New Roman" w:hAnsi="Times New Roman"/>
          <w:sz w:val="20"/>
          <w:szCs w:val="20"/>
          <w:color w:val="auto"/>
        </w:rPr>
        <w:t>”). This Amendment No. 2 amends the Schedule 13D as specifically set forth herein.</w:t>
      </w:r>
    </w:p>
    <w:p>
      <w:pPr>
        <w:spacing w:after="0" w:line="169" w:lineRule="exact"/>
        <w:rPr>
          <w:sz w:val="20"/>
          <w:szCs w:val="20"/>
          <w:color w:val="auto"/>
        </w:rPr>
      </w:pPr>
    </w:p>
    <w:p>
      <w:pPr>
        <w:ind w:left="100"/>
        <w:spacing w:after="0"/>
        <w:tabs>
          <w:tab w:leader="none" w:pos="1320" w:val="left"/>
        </w:tabs>
        <w:rPr>
          <w:sz w:val="20"/>
          <w:szCs w:val="20"/>
          <w:color w:val="auto"/>
        </w:rPr>
      </w:pPr>
      <w:r>
        <w:rPr>
          <w:rFonts w:ascii="Times New Roman" w:cs="Times New Roman" w:eastAsia="Times New Roman" w:hAnsi="Times New Roman"/>
          <w:sz w:val="20"/>
          <w:szCs w:val="20"/>
          <w:b w:val="1"/>
          <w:bCs w:val="1"/>
          <w:color w:val="auto"/>
        </w:rPr>
        <w:t>Item 3.</w:t>
      </w:r>
      <w:r>
        <w:rPr>
          <w:sz w:val="20"/>
          <w:szCs w:val="20"/>
          <w:color w:val="auto"/>
        </w:rPr>
        <w:tab/>
      </w:r>
      <w:r>
        <w:rPr>
          <w:rFonts w:ascii="Times New Roman" w:cs="Times New Roman" w:eastAsia="Times New Roman" w:hAnsi="Times New Roman"/>
          <w:sz w:val="19"/>
          <w:szCs w:val="19"/>
          <w:b w:val="1"/>
          <w:bCs w:val="1"/>
          <w:color w:val="auto"/>
        </w:rPr>
        <w:t>SOURCE AND AMOUNT OF FUNDS OR OTHER CONSIDERATION</w:t>
      </w:r>
    </w:p>
    <w:p>
      <w:pPr>
        <w:spacing w:after="0" w:line="23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0"/>
          <w:szCs w:val="20"/>
          <w:color w:val="auto"/>
        </w:rPr>
        <w:t>Item 3 is hereby amended and restated to read as follows:</w:t>
      </w:r>
    </w:p>
    <w:p>
      <w:pPr>
        <w:spacing w:after="0" w:line="229" w:lineRule="exact"/>
        <w:rPr>
          <w:sz w:val="20"/>
          <w:szCs w:val="20"/>
          <w:color w:val="auto"/>
        </w:rPr>
      </w:pPr>
    </w:p>
    <w:p>
      <w:pPr>
        <w:jc w:val="both"/>
        <w:ind w:left="1340" w:right="100"/>
        <w:spacing w:after="0" w:line="295" w:lineRule="auto"/>
        <w:rPr>
          <w:sz w:val="20"/>
          <w:szCs w:val="20"/>
          <w:color w:val="auto"/>
        </w:rPr>
      </w:pPr>
      <w:r>
        <w:rPr>
          <w:rFonts w:ascii="Times New Roman" w:cs="Times New Roman" w:eastAsia="Times New Roman" w:hAnsi="Times New Roman"/>
          <w:sz w:val="19"/>
          <w:szCs w:val="19"/>
          <w:color w:val="auto"/>
        </w:rPr>
        <w:t>The aggregate purchase price of the shares of Class A Common Stock (and options to purchase Class A Common Stock) reported herein was approximately $4,361,134. Such securities were acquired with personal funds of the Reporting Person.</w:t>
      </w:r>
    </w:p>
    <w:p>
      <w:pPr>
        <w:spacing w:after="0" w:line="151" w:lineRule="exact"/>
        <w:rPr>
          <w:sz w:val="20"/>
          <w:szCs w:val="20"/>
          <w:color w:val="auto"/>
        </w:rPr>
      </w:pPr>
    </w:p>
    <w:p>
      <w:pPr>
        <w:jc w:val="both"/>
        <w:ind w:left="1340" w:right="100"/>
        <w:spacing w:after="0" w:line="245" w:lineRule="auto"/>
        <w:rPr>
          <w:sz w:val="20"/>
          <w:szCs w:val="20"/>
          <w:color w:val="auto"/>
        </w:rPr>
      </w:pPr>
      <w:r>
        <w:rPr>
          <w:rFonts w:ascii="Times New Roman" w:cs="Times New Roman" w:eastAsia="Times New Roman" w:hAnsi="Times New Roman"/>
          <w:sz w:val="20"/>
          <w:szCs w:val="20"/>
          <w:color w:val="auto"/>
        </w:rPr>
        <w:t>The Reporting Person may effect purchases of shares of Class A Common Stock through margin accounts maintained for him with brokers, which extend margin credit as and when required to open or carry positions in his margin accounts, subject to applicable federal margin regulations, stock exchange rules and such firms’ credit policies. Positions in shares of Class A Common Stock may be held in margin accounts and may be pledged as collateral security for the repayment of debit balances in such accounts. Since other securities may be held in such margin accounts, it may not be possible to determine the amounts, if any, of margin used to purchase shares of Class A Common Stock.</w:t>
      </w:r>
    </w:p>
    <w:p>
      <w:pPr>
        <w:spacing w:after="0" w:line="180" w:lineRule="exact"/>
        <w:rPr>
          <w:sz w:val="20"/>
          <w:szCs w:val="20"/>
          <w:color w:val="auto"/>
        </w:rPr>
      </w:pPr>
    </w:p>
    <w:p>
      <w:pPr>
        <w:ind w:left="100"/>
        <w:spacing w:after="0"/>
        <w:tabs>
          <w:tab w:leader="none" w:pos="1320" w:val="left"/>
        </w:tabs>
        <w:rPr>
          <w:sz w:val="20"/>
          <w:szCs w:val="20"/>
          <w:color w:val="auto"/>
        </w:rPr>
      </w:pPr>
      <w:r>
        <w:rPr>
          <w:rFonts w:ascii="Times New Roman" w:cs="Times New Roman" w:eastAsia="Times New Roman" w:hAnsi="Times New Roman"/>
          <w:sz w:val="20"/>
          <w:szCs w:val="20"/>
          <w:b w:val="1"/>
          <w:bCs w:val="1"/>
          <w:color w:val="auto"/>
        </w:rPr>
        <w:t>Item 5.</w:t>
      </w:r>
      <w:r>
        <w:rPr>
          <w:sz w:val="20"/>
          <w:szCs w:val="20"/>
          <w:color w:val="auto"/>
        </w:rPr>
        <w:tab/>
      </w:r>
      <w:r>
        <w:rPr>
          <w:rFonts w:ascii="Times New Roman" w:cs="Times New Roman" w:eastAsia="Times New Roman" w:hAnsi="Times New Roman"/>
          <w:sz w:val="19"/>
          <w:szCs w:val="19"/>
          <w:b w:val="1"/>
          <w:bCs w:val="1"/>
          <w:color w:val="auto"/>
        </w:rPr>
        <w:t>INTEREST IN SECURITIES OF THE ISSUER</w:t>
      </w:r>
    </w:p>
    <w:p>
      <w:pPr>
        <w:spacing w:after="0" w:line="23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0"/>
          <w:szCs w:val="20"/>
          <w:color w:val="auto"/>
        </w:rPr>
        <w:t>Items 5(a)-(c) are hereby amended and restated to read as follows:</w:t>
      </w:r>
    </w:p>
    <w:p>
      <w:pPr>
        <w:spacing w:after="0" w:line="229" w:lineRule="exact"/>
        <w:rPr>
          <w:sz w:val="20"/>
          <w:szCs w:val="20"/>
          <w:color w:val="auto"/>
        </w:rPr>
      </w:pPr>
    </w:p>
    <w:p>
      <w:pPr>
        <w:jc w:val="both"/>
        <w:ind w:left="1340" w:right="100" w:hanging="1235"/>
        <w:spacing w:after="0" w:line="246" w:lineRule="auto"/>
        <w:tabs>
          <w:tab w:leader="none" w:pos="13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See rows (11) and (13) of the cover page to this Schedule 13D/A for the aggregate number of shares of Class A Common Stock and percentage of the shares of Class A Common Stock beneficially owned by the Reporting Person. The percentage used in this Schedule 13D/A is calculated based upon 67,812,037 shares of Class A Common Stock outstanding as of January 29, 2024, as reported in the Issuer’s Proxy Statement on Schedule 14A, filed with the Securities and Exchange Commission (the “</w:t>
      </w:r>
      <w:r>
        <w:rPr>
          <w:rFonts w:ascii="Times New Roman" w:cs="Times New Roman" w:eastAsia="Times New Roman" w:hAnsi="Times New Roman"/>
          <w:sz w:val="20"/>
          <w:szCs w:val="20"/>
          <w:u w:val="single" w:color="auto"/>
          <w:color w:val="auto"/>
        </w:rPr>
        <w:t>SEC</w:t>
      </w:r>
      <w:r>
        <w:rPr>
          <w:rFonts w:ascii="Times New Roman" w:cs="Times New Roman" w:eastAsia="Times New Roman" w:hAnsi="Times New Roman"/>
          <w:sz w:val="20"/>
          <w:szCs w:val="20"/>
          <w:color w:val="auto"/>
        </w:rPr>
        <w:t>”) on February 9, 2024.</w:t>
      </w:r>
    </w:p>
    <w:p>
      <w:pPr>
        <w:spacing w:after="0" w:line="198" w:lineRule="exact"/>
        <w:rPr>
          <w:rFonts w:ascii="Times New Roman" w:cs="Times New Roman" w:eastAsia="Times New Roman" w:hAnsi="Times New Roman"/>
          <w:sz w:val="20"/>
          <w:szCs w:val="20"/>
          <w:color w:val="auto"/>
        </w:rPr>
      </w:pPr>
    </w:p>
    <w:p>
      <w:pPr>
        <w:jc w:val="both"/>
        <w:ind w:left="1340" w:right="100" w:hanging="1235"/>
        <w:spacing w:after="0" w:line="254" w:lineRule="auto"/>
        <w:tabs>
          <w:tab w:leader="none" w:pos="13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See rows (7) through (10) of the cover page to this Schedule 13D/A for the number of shares of Class A Common Stock as to which the Reporting Person has the sole or shared power to vote or direct the vote and sole or shared power to dispose or to direct the disposition.</w:t>
      </w:r>
    </w:p>
    <w:p>
      <w:pPr>
        <w:spacing w:after="0" w:line="187" w:lineRule="exact"/>
        <w:rPr>
          <w:rFonts w:ascii="Times New Roman" w:cs="Times New Roman" w:eastAsia="Times New Roman" w:hAnsi="Times New Roman"/>
          <w:sz w:val="20"/>
          <w:szCs w:val="20"/>
          <w:color w:val="auto"/>
        </w:rPr>
      </w:pPr>
    </w:p>
    <w:p>
      <w:pPr>
        <w:ind w:left="1340" w:right="100" w:hanging="1235"/>
        <w:spacing w:after="0" w:line="269" w:lineRule="auto"/>
        <w:tabs>
          <w:tab w:leader="none" w:pos="13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transactions in the shares of Class A Common Stock since the filing of the Schedule 13D by the Reporting Person, which were all in the open market, are set forth in </w:t>
      </w:r>
      <w:r>
        <w:rPr>
          <w:rFonts w:ascii="Times New Roman" w:cs="Times New Roman" w:eastAsia="Times New Roman" w:hAnsi="Times New Roman"/>
          <w:sz w:val="20"/>
          <w:szCs w:val="20"/>
          <w:u w:val="single" w:color="auto"/>
          <w:color w:val="auto"/>
        </w:rPr>
        <w:t>Schedule A</w:t>
      </w:r>
      <w:r>
        <w:rPr>
          <w:rFonts w:ascii="Times New Roman" w:cs="Times New Roman" w:eastAsia="Times New Roman" w:hAnsi="Times New Roman"/>
          <w:sz w:val="20"/>
          <w:szCs w:val="20"/>
          <w:color w:val="auto"/>
        </w:rPr>
        <w:t>, and are incorporated herein by reference.</w:t>
      </w:r>
    </w:p>
    <w:p>
      <w:pPr>
        <w:sectPr>
          <w:pgSz w:w="11900" w:h="16838" w:orient="portrait"/>
          <w:cols w:equalWidth="0" w:num="1">
            <w:col w:w="11240"/>
          </w:cols>
          <w:pgMar w:left="320" w:top="225" w:right="339" w:bottom="1440" w:gutter="0" w:footer="0" w:header="0"/>
        </w:sectPr>
      </w:pPr>
    </w:p>
    <w:bookmarkStart w:id="3" w:name="page4"/>
    <w:bookmarkEnd w:id="3"/>
    <w:p>
      <w:pPr>
        <w:spacing w:after="0"/>
        <w:tabs>
          <w:tab w:leader="none" w:pos="484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 76010Y103</w:t>
      </w:r>
      <w:r>
        <w:rPr>
          <w:sz w:val="20"/>
          <w:szCs w:val="20"/>
          <w:color w:val="auto"/>
        </w:rPr>
        <w:tab/>
      </w:r>
      <w:r>
        <w:rPr>
          <w:rFonts w:ascii="Times New Roman" w:cs="Times New Roman" w:eastAsia="Times New Roman" w:hAnsi="Times New Roman"/>
          <w:sz w:val="18"/>
          <w:szCs w:val="18"/>
          <w:b w:val="1"/>
          <w:bCs w:val="1"/>
          <w:color w:val="auto"/>
        </w:rPr>
        <w:t>SCHEDULE 13D/A</w:t>
      </w:r>
      <w:r>
        <w:rPr>
          <w:sz w:val="20"/>
          <w:szCs w:val="20"/>
          <w:color w:val="auto"/>
        </w:rPr>
        <w:tab/>
      </w:r>
      <w:r>
        <w:rPr>
          <w:rFonts w:ascii="Times New Roman" w:cs="Times New Roman" w:eastAsia="Times New Roman" w:hAnsi="Times New Roman"/>
          <w:sz w:val="17"/>
          <w:szCs w:val="17"/>
          <w:b w:val="1"/>
          <w:bCs w:val="1"/>
          <w:color w:val="auto"/>
        </w:rPr>
        <w:t>Page 4 of 5 Pages</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20" w:lineRule="exact"/>
        <w:rPr>
          <w:sz w:val="20"/>
          <w:szCs w:val="20"/>
          <w:color w:val="auto"/>
        </w:rPr>
      </w:pPr>
    </w:p>
    <w:p>
      <w:pPr>
        <w:ind w:firstLine="1296"/>
        <w:spacing w:after="0" w:line="269" w:lineRule="auto"/>
        <w:rPr>
          <w:sz w:val="20"/>
          <w:szCs w:val="20"/>
          <w:color w:val="auto"/>
        </w:rPr>
      </w:pPr>
      <w:r>
        <w:rPr>
          <w:rFonts w:ascii="Times New Roman" w:cs="Times New Roman" w:eastAsia="Times New Roman" w:hAnsi="Times New Roman"/>
          <w:sz w:val="20"/>
          <w:szCs w:val="20"/>
          <w:color w:val="auto"/>
        </w:rPr>
        <w:t>After reasonable inquiry and to the best of his or its knowledge and belief, each of the undersigned certifies that the information set forth in this statement is true, complete and correct.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March 6, 2024</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 Yisroel Mordechai Goldstone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YISROEL MORDECHAI GOLDSTONE</w:t>
      </w:r>
    </w:p>
    <w:p>
      <w:pPr>
        <w:sectPr>
          <w:pgSz w:w="11900" w:h="16838" w:orient="portrait"/>
          <w:cols w:equalWidth="0" w:num="1">
            <w:col w:w="11240"/>
          </w:cols>
          <w:pgMar w:left="320" w:top="225" w:right="339" w:bottom="1440" w:gutter="0" w:footer="0" w:header="0"/>
        </w:sectPr>
      </w:pPr>
    </w:p>
    <w:bookmarkStart w:id="4" w:name="page5"/>
    <w:bookmarkEnd w:id="4"/>
    <w:p>
      <w:pPr>
        <w:spacing w:after="0"/>
        <w:tabs>
          <w:tab w:leader="none" w:pos="484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 76010Y103</w:t>
      </w:r>
      <w:r>
        <w:rPr>
          <w:sz w:val="20"/>
          <w:szCs w:val="20"/>
          <w:color w:val="auto"/>
        </w:rPr>
        <w:tab/>
      </w:r>
      <w:r>
        <w:rPr>
          <w:rFonts w:ascii="Times New Roman" w:cs="Times New Roman" w:eastAsia="Times New Roman" w:hAnsi="Times New Roman"/>
          <w:sz w:val="18"/>
          <w:szCs w:val="18"/>
          <w:b w:val="1"/>
          <w:bCs w:val="1"/>
          <w:color w:val="auto"/>
        </w:rPr>
        <w:t>SCHEDULE 13D/A</w:t>
      </w:r>
      <w:r>
        <w:rPr>
          <w:sz w:val="20"/>
          <w:szCs w:val="20"/>
          <w:color w:val="auto"/>
        </w:rPr>
        <w:tab/>
      </w:r>
      <w:r>
        <w:rPr>
          <w:rFonts w:ascii="Times New Roman" w:cs="Times New Roman" w:eastAsia="Times New Roman" w:hAnsi="Times New Roman"/>
          <w:sz w:val="17"/>
          <w:szCs w:val="17"/>
          <w:b w:val="1"/>
          <w:bCs w:val="1"/>
          <w:color w:val="auto"/>
        </w:rPr>
        <w:t>Page 5 of 5 Pages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SCHEDULE A</w:t>
      </w:r>
    </w:p>
    <w:p>
      <w:pPr>
        <w:spacing w:after="0" w:line="233"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This Schedule sets forth information with respect to each purchase and sale of shares of Class A Common Stock which were effectuated by the Reporting Person since the filing of the Schedule 13D. All transactions were effectuated in the open market through a broker and the price range per share excludes commissions. Where a price range is provided in the column titled “Price Range ($)”, the price reported in the column titled “Price Per Share ($)” is a weighted average price. These shares of Common Stock were sold or purchased in multiple transactions at prices between the price ranges indicated in the column titled “Price Range ($)”. The Reporting Persons will undertake to provide to the staff of the SEC, upon request, full information regarding the number of shares of Common Stock sold or purchased at each separate price.</w:t>
      </w:r>
    </w:p>
    <w:p>
      <w:pPr>
        <w:spacing w:after="0" w:line="195" w:lineRule="exact"/>
        <w:rPr>
          <w:sz w:val="20"/>
          <w:szCs w:val="20"/>
          <w:color w:val="auto"/>
        </w:rPr>
      </w:pPr>
    </w:p>
    <w:tbl>
      <w:tblPr>
        <w:tblLayout w:type="fixed"/>
        <w:tblInd w:w="940" w:type="dxa"/>
        <w:tblCellMar>
          <w:top w:w="0" w:type="dxa"/>
          <w:left w:w="0" w:type="dxa"/>
          <w:bottom w:w="0" w:type="dxa"/>
          <w:right w:w="0" w:type="dxa"/>
        </w:tblCellMar>
      </w:tblPr>
      <w:tr>
        <w:trPr>
          <w:trHeight w:val="230"/>
        </w:trPr>
        <w:tc>
          <w:tcPr>
            <w:tcW w:w="17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Trade Date</w:t>
            </w:r>
          </w:p>
        </w:tc>
        <w:tc>
          <w:tcPr>
            <w:tcW w:w="2920" w:type="dxa"/>
            <w:vAlign w:val="bottom"/>
          </w:tcPr>
          <w:p>
            <w:pPr>
              <w:jc w:val="center"/>
              <w:ind w:left="61"/>
              <w:spacing w:after="0"/>
              <w:rPr>
                <w:sz w:val="20"/>
                <w:szCs w:val="20"/>
                <w:color w:val="auto"/>
              </w:rPr>
            </w:pPr>
            <w:r>
              <w:rPr>
                <w:rFonts w:ascii="Times New Roman" w:cs="Times New Roman" w:eastAsia="Times New Roman" w:hAnsi="Times New Roman"/>
                <w:sz w:val="20"/>
                <w:szCs w:val="20"/>
                <w:b w:val="1"/>
                <w:bCs w:val="1"/>
                <w:color w:val="auto"/>
                <w:w w:val="99"/>
              </w:rPr>
              <w:t>Shares Purchased</w:t>
            </w:r>
          </w:p>
        </w:tc>
        <w:tc>
          <w:tcPr>
            <w:tcW w:w="29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Price Per Share ($)</w:t>
            </w:r>
          </w:p>
        </w:tc>
        <w:tc>
          <w:tcPr>
            <w:tcW w:w="1940" w:type="dxa"/>
            <w:vAlign w:val="bottom"/>
          </w:tcPr>
          <w:p>
            <w:pPr>
              <w:jc w:val="center"/>
              <w:ind w:left="601"/>
              <w:spacing w:after="0"/>
              <w:rPr>
                <w:sz w:val="20"/>
                <w:szCs w:val="20"/>
                <w:color w:val="auto"/>
              </w:rPr>
            </w:pPr>
            <w:r>
              <w:rPr>
                <w:rFonts w:ascii="Times New Roman" w:cs="Times New Roman" w:eastAsia="Times New Roman" w:hAnsi="Times New Roman"/>
                <w:sz w:val="20"/>
                <w:szCs w:val="20"/>
                <w:b w:val="1"/>
                <w:bCs w:val="1"/>
                <w:color w:val="auto"/>
                <w:w w:val="98"/>
              </w:rPr>
              <w:t>Price</w:t>
            </w:r>
          </w:p>
        </w:tc>
      </w:tr>
      <w:tr>
        <w:trPr>
          <w:trHeight w:val="233"/>
        </w:trPr>
        <w:tc>
          <w:tcPr>
            <w:tcW w:w="1740" w:type="dxa"/>
            <w:vAlign w:val="bottom"/>
          </w:tcPr>
          <w:p>
            <w:pPr>
              <w:spacing w:after="0"/>
              <w:rPr>
                <w:sz w:val="20"/>
                <w:szCs w:val="20"/>
                <w:color w:val="auto"/>
              </w:rPr>
            </w:pPr>
          </w:p>
        </w:tc>
        <w:tc>
          <w:tcPr>
            <w:tcW w:w="2920" w:type="dxa"/>
            <w:vAlign w:val="bottom"/>
          </w:tcPr>
          <w:p>
            <w:pPr>
              <w:jc w:val="center"/>
              <w:ind w:left="61"/>
              <w:spacing w:after="0"/>
              <w:rPr>
                <w:sz w:val="20"/>
                <w:szCs w:val="20"/>
                <w:color w:val="auto"/>
              </w:rPr>
            </w:pPr>
            <w:r>
              <w:rPr>
                <w:rFonts w:ascii="Times New Roman" w:cs="Times New Roman" w:eastAsia="Times New Roman" w:hAnsi="Times New Roman"/>
                <w:sz w:val="20"/>
                <w:szCs w:val="20"/>
                <w:b w:val="1"/>
                <w:bCs w:val="1"/>
                <w:color w:val="auto"/>
              </w:rPr>
              <w:t>(Sold)</w:t>
            </w:r>
          </w:p>
        </w:tc>
        <w:tc>
          <w:tcPr>
            <w:tcW w:w="2920" w:type="dxa"/>
            <w:vAlign w:val="bottom"/>
          </w:tcPr>
          <w:p>
            <w:pPr>
              <w:spacing w:after="0"/>
              <w:rPr>
                <w:sz w:val="20"/>
                <w:szCs w:val="20"/>
                <w:color w:val="auto"/>
              </w:rPr>
            </w:pPr>
          </w:p>
        </w:tc>
        <w:tc>
          <w:tcPr>
            <w:tcW w:w="1940" w:type="dxa"/>
            <w:vAlign w:val="bottom"/>
          </w:tcPr>
          <w:p>
            <w:pPr>
              <w:jc w:val="center"/>
              <w:ind w:left="581"/>
              <w:spacing w:after="0"/>
              <w:rPr>
                <w:sz w:val="20"/>
                <w:szCs w:val="20"/>
                <w:color w:val="auto"/>
              </w:rPr>
            </w:pPr>
            <w:r>
              <w:rPr>
                <w:rFonts w:ascii="Times New Roman" w:cs="Times New Roman" w:eastAsia="Times New Roman" w:hAnsi="Times New Roman"/>
                <w:sz w:val="20"/>
                <w:szCs w:val="20"/>
                <w:b w:val="1"/>
                <w:bCs w:val="1"/>
                <w:color w:val="auto"/>
                <w:w w:val="99"/>
              </w:rPr>
              <w:t>Range ($)</w:t>
            </w:r>
          </w:p>
        </w:tc>
      </w:tr>
      <w:tr>
        <w:trPr>
          <w:trHeight w:val="230"/>
        </w:trPr>
        <w:tc>
          <w:tcPr>
            <w:tcW w:w="17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01/24/2024</w:t>
            </w:r>
          </w:p>
        </w:tc>
        <w:tc>
          <w:tcPr>
            <w:tcW w:w="2920" w:type="dxa"/>
            <w:vAlign w:val="bottom"/>
          </w:tcPr>
          <w:p>
            <w:pPr>
              <w:jc w:val="center"/>
              <w:ind w:left="61"/>
              <w:spacing w:after="0"/>
              <w:rPr>
                <w:sz w:val="20"/>
                <w:szCs w:val="20"/>
                <w:color w:val="auto"/>
              </w:rPr>
            </w:pPr>
            <w:r>
              <w:rPr>
                <w:rFonts w:ascii="Times New Roman" w:cs="Times New Roman" w:eastAsia="Times New Roman" w:hAnsi="Times New Roman"/>
                <w:sz w:val="20"/>
                <w:szCs w:val="20"/>
                <w:color w:val="auto"/>
                <w:w w:val="98"/>
              </w:rPr>
              <w:t>421,645</w:t>
            </w:r>
          </w:p>
        </w:tc>
        <w:tc>
          <w:tcPr>
            <w:tcW w:w="29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0.6116</w:t>
            </w:r>
          </w:p>
        </w:tc>
        <w:tc>
          <w:tcPr>
            <w:tcW w:w="1940" w:type="dxa"/>
            <w:vAlign w:val="bottom"/>
          </w:tcPr>
          <w:p>
            <w:pPr>
              <w:jc w:val="center"/>
              <w:ind w:left="581"/>
              <w:spacing w:after="0"/>
              <w:rPr>
                <w:sz w:val="20"/>
                <w:szCs w:val="20"/>
                <w:color w:val="auto"/>
              </w:rPr>
            </w:pPr>
            <w:r>
              <w:rPr>
                <w:rFonts w:ascii="Times New Roman" w:cs="Times New Roman" w:eastAsia="Times New Roman" w:hAnsi="Times New Roman"/>
                <w:sz w:val="20"/>
                <w:szCs w:val="20"/>
                <w:color w:val="auto"/>
                <w:w w:val="99"/>
              </w:rPr>
              <w:t>0.5985 - 0.6248</w:t>
            </w:r>
          </w:p>
        </w:tc>
      </w:tr>
      <w:tr>
        <w:trPr>
          <w:trHeight w:val="229"/>
        </w:trPr>
        <w:tc>
          <w:tcPr>
            <w:tcW w:w="17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02/08/2024</w:t>
            </w:r>
          </w:p>
        </w:tc>
        <w:tc>
          <w:tcPr>
            <w:tcW w:w="2920" w:type="dxa"/>
            <w:vAlign w:val="bottom"/>
          </w:tcPr>
          <w:p>
            <w:pPr>
              <w:jc w:val="center"/>
              <w:ind w:left="61"/>
              <w:spacing w:after="0"/>
              <w:rPr>
                <w:sz w:val="20"/>
                <w:szCs w:val="20"/>
                <w:color w:val="auto"/>
              </w:rPr>
            </w:pPr>
            <w:r>
              <w:rPr>
                <w:rFonts w:ascii="Times New Roman" w:cs="Times New Roman" w:eastAsia="Times New Roman" w:hAnsi="Times New Roman"/>
                <w:sz w:val="20"/>
                <w:szCs w:val="20"/>
                <w:color w:val="auto"/>
                <w:w w:val="98"/>
              </w:rPr>
              <w:t>200,000</w:t>
            </w:r>
          </w:p>
        </w:tc>
        <w:tc>
          <w:tcPr>
            <w:tcW w:w="29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0.5530</w:t>
            </w:r>
          </w:p>
        </w:tc>
        <w:tc>
          <w:tcPr>
            <w:tcW w:w="1940" w:type="dxa"/>
            <w:vAlign w:val="bottom"/>
          </w:tcPr>
          <w:p>
            <w:pPr>
              <w:jc w:val="center"/>
              <w:ind w:left="581"/>
              <w:spacing w:after="0"/>
              <w:rPr>
                <w:sz w:val="20"/>
                <w:szCs w:val="20"/>
                <w:color w:val="auto"/>
              </w:rPr>
            </w:pPr>
            <w:r>
              <w:rPr>
                <w:rFonts w:ascii="Times New Roman" w:cs="Times New Roman" w:eastAsia="Times New Roman" w:hAnsi="Times New Roman"/>
                <w:sz w:val="20"/>
                <w:szCs w:val="20"/>
                <w:color w:val="auto"/>
                <w:w w:val="99"/>
              </w:rPr>
              <w:t>0.5376 - 0.5685</w:t>
            </w:r>
          </w:p>
        </w:tc>
      </w:tr>
      <w:tr>
        <w:trPr>
          <w:trHeight w:val="258"/>
        </w:trPr>
        <w:tc>
          <w:tcPr>
            <w:tcW w:w="17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03/06/2024</w:t>
            </w:r>
          </w:p>
        </w:tc>
        <w:tc>
          <w:tcPr>
            <w:tcW w:w="2920" w:type="dxa"/>
            <w:vAlign w:val="bottom"/>
          </w:tcPr>
          <w:p>
            <w:pPr>
              <w:jc w:val="center"/>
              <w:ind w:left="61"/>
              <w:spacing w:after="0"/>
              <w:rPr>
                <w:sz w:val="20"/>
                <w:szCs w:val="20"/>
                <w:color w:val="auto"/>
              </w:rPr>
            </w:pPr>
            <w:r>
              <w:rPr>
                <w:rFonts w:ascii="Times New Roman" w:cs="Times New Roman" w:eastAsia="Times New Roman" w:hAnsi="Times New Roman"/>
                <w:sz w:val="20"/>
                <w:szCs w:val="20"/>
                <w:color w:val="auto"/>
                <w:w w:val="98"/>
              </w:rPr>
              <w:t>300,000</w:t>
            </w:r>
          </w:p>
        </w:tc>
        <w:tc>
          <w:tcPr>
            <w:tcW w:w="29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0.3956</w:t>
            </w:r>
          </w:p>
        </w:tc>
        <w:tc>
          <w:tcPr>
            <w:tcW w:w="1940" w:type="dxa"/>
            <w:vAlign w:val="bottom"/>
          </w:tcPr>
          <w:p>
            <w:pPr>
              <w:jc w:val="center"/>
              <w:ind w:left="581"/>
              <w:spacing w:after="0"/>
              <w:rPr>
                <w:sz w:val="20"/>
                <w:szCs w:val="20"/>
                <w:color w:val="auto"/>
              </w:rPr>
            </w:pPr>
            <w:r>
              <w:rPr>
                <w:rFonts w:ascii="Times New Roman" w:cs="Times New Roman" w:eastAsia="Times New Roman" w:hAnsi="Times New Roman"/>
                <w:sz w:val="20"/>
                <w:szCs w:val="20"/>
                <w:color w:val="auto"/>
                <w:w w:val="99"/>
              </w:rPr>
              <w:t>0.3664 - 0.4191</w:t>
            </w:r>
          </w:p>
        </w:tc>
      </w:tr>
    </w:tbl>
    <w:p>
      <w:pPr>
        <w:spacing w:after="0" w:line="1" w:lineRule="exact"/>
        <w:rPr>
          <w:sz w:val="20"/>
          <w:szCs w:val="20"/>
          <w:color w:val="auto"/>
        </w:rPr>
      </w:pPr>
    </w:p>
    <w:sectPr>
      <w:pgSz w:w="11900" w:h="16838" w:orient="portrait"/>
      <w:cols w:equalWidth="0" w:num="1">
        <w:col w:w="11240"/>
      </w:cols>
      <w:pgMar w:left="320" w:top="2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2024-03-06T18:38:34Z</dcterms:created>
  <dcterms:modified xsi:type="dcterms:W3CDTF">2024-03-06T18:38:34Z</dcterms:modified>
</cp:coreProperties>
</file>