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11,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 Jay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Brooklyn, New York 11201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524-6860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56" w:type="dxa"/>
        <w:jc w:val="left"/>
        <w:tblInd w:w="0" w:type="dxa"/>
        <w:tblLayout w:type="fixed"/>
        <w:tblCellMar>
          <w:top w:w="28" w:type="dxa"/>
          <w:left w:w="28" w:type="dxa"/>
          <w:bottom w:w="28" w:type="dxa"/>
          <w:right w:w="28" w:type="dxa"/>
        </w:tblCellMar>
      </w:tblPr>
      <w:tblGrid>
        <w:gridCol w:w="332"/>
        <w:gridCol w:w="291"/>
        <w:gridCol w:w="293"/>
        <w:gridCol w:w="1912"/>
        <w:gridCol w:w="1912"/>
        <w:gridCol w:w="27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5.03</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Amendments to Articles of Incorporation or Bylaws; Change in Fiscal Year.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announced, following stockholder approval at the 2026 Annual Meeting of Stockholders, Rent the Runway (the “Company”) filed the Thirteenth Amended and Restated Certificate of Incorporation of the Company (the “Amended and Restated Certificate”) with the Secretary of State of the State of Delaware, which became effective upon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11, 2026, the Company’s Board of Directors (the “Board”) approved conforming amendments to the Company’s amended and restated bylaws (as amended, the “Third Amended &amp; Restated Bylaws”), effective immediately. Among other technical amendments, the conforming amendments align the Third Amended &amp; Restated Bylaws with the Amended and Restated Certificate with respect to (i) stockholders’ rights with to call special meetings, (ii) stockholder actions that can be taken by written consent, (iii) Board quorum requirements, (iv) director and officer indemnification rights, and (v) the ability to amend the Third Amended &amp; Restated Bylaws.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conforming amendments does not purport to be complete and is qualified in its entirety by reference to the full text of the Third Amended &amp; Restated Bylaws, which are attached hereto as Exhibit 3.1 and incorporated herein by reference.</w:t>
      </w:r>
    </w:p>
    <w:p>
      <w:pPr>
        <w:pStyle w:val="TextBody"/>
        <w:bidi w:val="0"/>
        <w:spacing w:before="0" w:after="0"/>
        <w:jc w:val="left"/>
        <w:rPr/>
      </w:pPr>
      <w:r>
        <w:rPr/>
      </w:r>
    </w:p>
    <w:tbl>
      <w:tblPr>
        <w:tblW w:w="4036" w:type="dxa"/>
        <w:jc w:val="left"/>
        <w:tblInd w:w="0" w:type="dxa"/>
        <w:tblLayout w:type="fixed"/>
        <w:tblCellMar>
          <w:top w:w="28" w:type="dxa"/>
          <w:left w:w="28" w:type="dxa"/>
          <w:bottom w:w="28" w:type="dxa"/>
          <w:right w:w="28" w:type="dxa"/>
        </w:tblCellMar>
      </w:tblPr>
      <w:tblGrid>
        <w:gridCol w:w="332"/>
        <w:gridCol w:w="291"/>
        <w:gridCol w:w="293"/>
        <w:gridCol w:w="913"/>
        <w:gridCol w:w="913"/>
        <w:gridCol w:w="129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60"/>
        <w:gridCol w:w="317"/>
        <w:gridCol w:w="318"/>
        <w:gridCol w:w="109"/>
        <w:gridCol w:w="109"/>
        <w:gridCol w:w="109"/>
        <w:gridCol w:w="2592"/>
        <w:gridCol w:w="2592"/>
        <w:gridCol w:w="3699"/>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hirdarbylaws1.htm">
              <w:r>
                <w:rPr>
                  <w:rStyle w:val="InternetLink"/>
                  <w:rFonts w:ascii="Times New Roman;serif" w:hAnsi="Times New Roman;serif"/>
                  <w:b w:val="false"/>
                  <w:color w:val="000080"/>
                  <w:sz w:val="20"/>
                </w:rPr>
                <w:t>Th</w:t>
              </w:r>
            </w:hyperlink>
            <w:hyperlink w:anchor="thirdarbylaws1.htm">
              <w:r>
                <w:rPr>
                  <w:rStyle w:val="InternetLink"/>
                  <w:rFonts w:ascii="Times New Roman;serif" w:hAnsi="Times New Roman;serif"/>
                  <w:b w:val="false"/>
                  <w:color w:val="000080"/>
                  <w:sz w:val="20"/>
                </w:rPr>
                <w:t>ird</w:t>
              </w:r>
            </w:hyperlink>
            <w:hyperlink w:anchor="thirdarbylaws1.htm">
              <w:r>
                <w:rPr>
                  <w:rStyle w:val="InternetLink"/>
                  <w:rFonts w:ascii="Times New Roman;serif" w:hAnsi="Times New Roman;serif"/>
                  <w:b w:val="false"/>
                  <w:color w:val="000080"/>
                  <w:sz w:val="20"/>
                </w:rPr>
                <w:t xml:space="preserve"> Amended &amp; Restated Bylaws</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051F2"/>
                <w:sz w:val="20"/>
              </w:rPr>
            </w:pPr>
            <w:r>
              <w:rPr>
                <w:rFonts w:ascii="Times New Roman;serif" w:hAnsi="Times New Roman;serif"/>
                <w:b w:val="false"/>
                <w:color w:val="3051F2"/>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91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270"/>
        <w:gridCol w:w="270"/>
        <w:gridCol w:w="270"/>
        <w:gridCol w:w="270"/>
        <w:gridCol w:w="270"/>
        <w:gridCol w:w="270"/>
        <w:gridCol w:w="1171"/>
        <w:gridCol w:w="1171"/>
        <w:gridCol w:w="167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 THE RUNWAY,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Cara Schembri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Cara Schembri </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Chief Legal &amp; Administrative Officer;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THIRD AMENDED AND RESTATED BYLAWS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OF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RENT THE RUNWAY, INC.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 DELAWARE CORPORATION)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Dated as of August 11,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p>
      <w:pPr>
        <w:pStyle w:val="TextBody"/>
        <w:bidi w:val="0"/>
        <w:spacing w:lineRule="auto" w:line="288" w:before="240" w:after="240"/>
        <w:jc w:val="center"/>
        <w:rPr/>
      </w:pPr>
      <w:hyperlink w:anchor="i6faa3829040e41b298bb37b7d9cd8df1_7">
        <w:r>
          <w:rPr>
            <w:rStyle w:val="InternetLink"/>
          </w:rPr>
          <w:t>ARTICLE 1</w:t>
        </w:r>
      </w:hyperlink>
      <w:hyperlink w:anchor="i6faa3829040e41b298bb37b7d9cd8df1_7">
        <w:r>
          <w:rPr>
            <w:rStyle w:val="InternetLink"/>
          </w:rPr>
          <w:br/>
        </w:r>
      </w:hyperlink>
      <w:hyperlink w:anchor="i6faa3829040e41b298bb37b7d9cd8df1_7">
        <w:r>
          <w:rPr>
            <w:rStyle w:val="InternetLink"/>
          </w:rPr>
          <w:t>CORPORATE OFFICES</w:t>
        </w:r>
      </w:hyperlink>
    </w:p>
    <w:p>
      <w:pPr>
        <w:pStyle w:val="TextBody"/>
        <w:bidi w:val="0"/>
        <w:spacing w:lineRule="auto" w:line="288" w:before="0" w:after="0"/>
        <w:ind w:left="0" w:right="0" w:hanging="1728"/>
        <w:jc w:val="left"/>
        <w:rPr/>
      </w:pPr>
      <w:hyperlink w:anchor="i6faa3829040e41b298bb37b7d9cd8df1_7">
        <w:r>
          <w:rPr>
            <w:rStyle w:val="InternetLink"/>
          </w:rPr>
          <w:t>Section 1.01.</w:t>
        </w:r>
      </w:hyperlink>
      <w:hyperlink w:anchor="i6faa3829040e41b298bb37b7d9cd8df1_7">
        <w:r>
          <w:rPr>
            <w:rStyle w:val="InternetLink"/>
          </w:rPr>
          <w:t>    </w:t>
        </w:r>
      </w:hyperlink>
      <w:hyperlink w:anchor="i6faa3829040e41b298bb37b7d9cd8df1_7">
        <w:r>
          <w:rPr>
            <w:rStyle w:val="InternetLink"/>
          </w:rPr>
          <w:t>Registered Office</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p>
    <w:p>
      <w:pPr>
        <w:pStyle w:val="TextBody"/>
        <w:bidi w:val="0"/>
        <w:spacing w:lineRule="auto" w:line="288" w:before="0" w:after="0"/>
        <w:ind w:left="0" w:right="0" w:hanging="1728"/>
        <w:jc w:val="left"/>
        <w:rPr/>
      </w:pPr>
      <w:hyperlink w:anchor="i6faa3829040e41b298bb37b7d9cd8df1_7">
        <w:r>
          <w:rPr>
            <w:rStyle w:val="InternetLink"/>
          </w:rPr>
          <w:t>Section 1.02.</w:t>
        </w:r>
      </w:hyperlink>
      <w:hyperlink w:anchor="i6faa3829040e41b298bb37b7d9cd8df1_7">
        <w:r>
          <w:rPr>
            <w:rStyle w:val="InternetLink"/>
          </w:rPr>
          <w:t>    </w:t>
        </w:r>
      </w:hyperlink>
      <w:hyperlink w:anchor="i6faa3829040e41b298bb37b7d9cd8df1_7">
        <w:r>
          <w:rPr>
            <w:rStyle w:val="InternetLink"/>
          </w:rPr>
          <w:t>Other Offices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p>
    <w:p>
      <w:pPr>
        <w:pStyle w:val="TextBody"/>
        <w:bidi w:val="0"/>
        <w:spacing w:lineRule="auto" w:line="288" w:before="240" w:after="240"/>
        <w:jc w:val="center"/>
        <w:rPr/>
      </w:pPr>
      <w:hyperlink w:anchor="i6faa3829040e41b298bb37b7d9cd8df1_7">
        <w:r>
          <w:rPr>
            <w:rStyle w:val="InternetLink"/>
          </w:rPr>
          <w:t>ARTICLE 2</w:t>
        </w:r>
      </w:hyperlink>
      <w:hyperlink w:anchor="i6faa3829040e41b298bb37b7d9cd8df1_7">
        <w:r>
          <w:rPr>
            <w:rStyle w:val="InternetLink"/>
          </w:rPr>
          <w:br/>
        </w:r>
      </w:hyperlink>
      <w:hyperlink w:anchor="i6faa3829040e41b298bb37b7d9cd8df1_7">
        <w:r>
          <w:rPr>
            <w:rStyle w:val="InternetLink"/>
          </w:rPr>
          <w:t>MEETINGS OF STOCKHOLDERS</w:t>
        </w:r>
      </w:hyperlink>
    </w:p>
    <w:p>
      <w:pPr>
        <w:pStyle w:val="TextBody"/>
        <w:bidi w:val="0"/>
        <w:spacing w:lineRule="auto" w:line="288" w:before="0" w:after="0"/>
        <w:ind w:left="0" w:right="0" w:hanging="1728"/>
        <w:jc w:val="left"/>
        <w:rPr/>
      </w:pPr>
      <w:hyperlink w:anchor="i6faa3829040e41b298bb37b7d9cd8df1_7">
        <w:r>
          <w:rPr>
            <w:rStyle w:val="InternetLink"/>
          </w:rPr>
          <w:t>Section 2.01.</w:t>
        </w:r>
      </w:hyperlink>
      <w:hyperlink w:anchor="i6faa3829040e41b298bb37b7d9cd8df1_7">
        <w:r>
          <w:rPr>
            <w:rStyle w:val="InternetLink"/>
          </w:rPr>
          <w:t>    </w:t>
        </w:r>
      </w:hyperlink>
      <w:hyperlink w:anchor="i6faa3829040e41b298bb37b7d9cd8df1_7">
        <w:r>
          <w:rPr>
            <w:rStyle w:val="InternetLink"/>
          </w:rPr>
          <w:t>Place of Meetings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p>
    <w:p>
      <w:pPr>
        <w:pStyle w:val="TextBody"/>
        <w:bidi w:val="0"/>
        <w:spacing w:lineRule="auto" w:line="288" w:before="0" w:after="0"/>
        <w:ind w:left="0" w:right="0" w:hanging="1728"/>
        <w:jc w:val="left"/>
        <w:rPr/>
      </w:pPr>
      <w:hyperlink w:anchor="i6faa3829040e41b298bb37b7d9cd8df1_7">
        <w:r>
          <w:rPr>
            <w:rStyle w:val="InternetLink"/>
          </w:rPr>
          <w:t>Section 2.02.</w:t>
        </w:r>
      </w:hyperlink>
      <w:hyperlink w:anchor="i6faa3829040e41b298bb37b7d9cd8df1_7">
        <w:r>
          <w:rPr>
            <w:rStyle w:val="InternetLink"/>
          </w:rPr>
          <w:t>    </w:t>
        </w:r>
      </w:hyperlink>
      <w:hyperlink w:anchor="i6faa3829040e41b298bb37b7d9cd8df1_7">
        <w:r>
          <w:rPr>
            <w:rStyle w:val="InternetLink"/>
          </w:rPr>
          <w:t>Annual Meetings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p>
    <w:p>
      <w:pPr>
        <w:pStyle w:val="TextBody"/>
        <w:bidi w:val="0"/>
        <w:spacing w:lineRule="auto" w:line="288" w:before="0" w:after="0"/>
        <w:ind w:left="0" w:right="0" w:hanging="1728"/>
        <w:jc w:val="left"/>
        <w:rPr/>
      </w:pPr>
      <w:hyperlink w:anchor="i6faa3829040e41b298bb37b7d9cd8df1_7">
        <w:r>
          <w:rPr>
            <w:rStyle w:val="InternetLink"/>
          </w:rPr>
          <w:t>Section 2.03.</w:t>
        </w:r>
      </w:hyperlink>
      <w:hyperlink w:anchor="i6faa3829040e41b298bb37b7d9cd8df1_7">
        <w:r>
          <w:rPr>
            <w:rStyle w:val="InternetLink"/>
          </w:rPr>
          <w:t>    </w:t>
        </w:r>
      </w:hyperlink>
      <w:hyperlink w:anchor="i6faa3829040e41b298bb37b7d9cd8df1_7">
        <w:r>
          <w:rPr>
            <w:rStyle w:val="InternetLink"/>
          </w:rPr>
          <w:t>Special Meetings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p>
    <w:p>
      <w:pPr>
        <w:pStyle w:val="TextBody"/>
        <w:bidi w:val="0"/>
        <w:spacing w:lineRule="auto" w:line="288" w:before="0" w:after="0"/>
        <w:ind w:left="0" w:right="0" w:hanging="1728"/>
        <w:jc w:val="left"/>
        <w:rPr/>
      </w:pPr>
      <w:hyperlink w:anchor="i6faa3829040e41b298bb37b7d9cd8df1_7">
        <w:r>
          <w:rPr>
            <w:rStyle w:val="InternetLink"/>
          </w:rPr>
          <w:t>Section 2.04.</w:t>
        </w:r>
      </w:hyperlink>
      <w:hyperlink w:anchor="i6faa3829040e41b298bb37b7d9cd8df1_7">
        <w:r>
          <w:rPr>
            <w:rStyle w:val="InternetLink"/>
          </w:rPr>
          <w:t>    </w:t>
        </w:r>
      </w:hyperlink>
      <w:hyperlink w:anchor="i6faa3829040e41b298bb37b7d9cd8df1_7">
        <w:r>
          <w:rPr>
            <w:rStyle w:val="InternetLink"/>
          </w:rPr>
          <w:t>Notice of Meetings</w:t>
        </w:r>
      </w:hyperlink>
      <w:hyperlink w:anchor="i6faa3829040e41b298bb37b7d9cd8df1_7">
        <w:r>
          <w:rPr>
            <w:rStyle w:val="InternetLink"/>
          </w:rPr>
          <w:t>    </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2.05.</w:t>
        </w:r>
      </w:hyperlink>
      <w:hyperlink w:anchor="i6faa3829040e41b298bb37b7d9cd8df1_7">
        <w:r>
          <w:rPr>
            <w:rStyle w:val="InternetLink"/>
          </w:rPr>
          <w:t>    </w:t>
        </w:r>
      </w:hyperlink>
      <w:hyperlink w:anchor="i6faa3829040e41b298bb37b7d9cd8df1_7">
        <w:r>
          <w:rPr>
            <w:rStyle w:val="InternetLink"/>
          </w:rPr>
          <w:t>Adjournments</w:t>
        </w:r>
      </w:hyperlink>
      <w:hyperlink w:anchor="i6faa3829040e41b298bb37b7d9cd8df1_7">
        <w:r>
          <w:rPr>
            <w:rStyle w:val="InternetLink"/>
          </w:rPr>
          <w:t>    </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2.06.</w:t>
        </w:r>
      </w:hyperlink>
      <w:hyperlink w:anchor="i6faa3829040e41b298bb37b7d9cd8df1_7">
        <w:r>
          <w:rPr>
            <w:rStyle w:val="InternetLink"/>
          </w:rPr>
          <w:t>    </w:t>
        </w:r>
      </w:hyperlink>
      <w:hyperlink w:anchor="i6faa3829040e41b298bb37b7d9cd8df1_7">
        <w:r>
          <w:rPr>
            <w:rStyle w:val="InternetLink"/>
          </w:rPr>
          <w:t>Quorum</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2</w:t>
        </w:r>
      </w:hyperlink>
    </w:p>
    <w:p>
      <w:pPr>
        <w:pStyle w:val="TextBody"/>
        <w:bidi w:val="0"/>
        <w:spacing w:lineRule="auto" w:line="288" w:before="0" w:after="0"/>
        <w:ind w:left="0" w:right="0" w:hanging="1728"/>
        <w:jc w:val="left"/>
        <w:rPr/>
      </w:pPr>
      <w:hyperlink w:anchor="i6faa3829040e41b298bb37b7d9cd8df1_7">
        <w:r>
          <w:rPr>
            <w:rStyle w:val="InternetLink"/>
          </w:rPr>
          <w:t>Section 2.07.</w:t>
        </w:r>
      </w:hyperlink>
      <w:hyperlink w:anchor="i6faa3829040e41b298bb37b7d9cd8df1_7">
        <w:r>
          <w:rPr>
            <w:rStyle w:val="InternetLink"/>
          </w:rPr>
          <w:t>    </w:t>
        </w:r>
      </w:hyperlink>
      <w:hyperlink w:anchor="i6faa3829040e41b298bb37b7d9cd8df1_7">
        <w:r>
          <w:rPr>
            <w:rStyle w:val="InternetLink"/>
          </w:rPr>
          <w:t>Organization</w:t>
        </w:r>
      </w:hyperlink>
      <w:hyperlink w:anchor="i6faa3829040e41b298bb37b7d9cd8df1_7">
        <w:r>
          <w:rPr>
            <w:rStyle w:val="InternetLink"/>
          </w:rPr>
          <w:t>    </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2.08.</w:t>
        </w:r>
      </w:hyperlink>
      <w:hyperlink w:anchor="i6faa3829040e41b298bb37b7d9cd8df1_7">
        <w:r>
          <w:rPr>
            <w:rStyle w:val="InternetLink"/>
          </w:rPr>
          <w:t>    </w:t>
        </w:r>
      </w:hyperlink>
      <w:hyperlink w:anchor="i6faa3829040e41b298bb37b7d9cd8df1_7">
        <w:r>
          <w:rPr>
            <w:rStyle w:val="InternetLink"/>
          </w:rPr>
          <w:t>Voting; Proxies</w:t>
        </w:r>
      </w:hyperlink>
      <w:hyperlink w:anchor="i6faa3829040e41b298bb37b7d9cd8df1_7">
        <w:r>
          <w:rPr>
            <w:rStyle w:val="InternetLink"/>
          </w:rPr>
          <w:t>    </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2.09.</w:t>
        </w:r>
      </w:hyperlink>
      <w:hyperlink w:anchor="i6faa3829040e41b298bb37b7d9cd8df1_7">
        <w:r>
          <w:rPr>
            <w:rStyle w:val="InternetLink"/>
          </w:rPr>
          <w:t>    </w:t>
        </w:r>
      </w:hyperlink>
      <w:hyperlink w:anchor="i6faa3829040e41b298bb37b7d9cd8df1_7">
        <w:r>
          <w:rPr>
            <w:rStyle w:val="InternetLink"/>
          </w:rPr>
          <w:t>Fixing Date for Determination of Stockholders of Record</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3</w:t>
        </w:r>
      </w:hyperlink>
    </w:p>
    <w:p>
      <w:pPr>
        <w:pStyle w:val="TextBody"/>
        <w:bidi w:val="0"/>
        <w:spacing w:lineRule="auto" w:line="288" w:before="0" w:after="0"/>
        <w:ind w:left="0" w:right="0" w:hanging="1728"/>
        <w:jc w:val="left"/>
        <w:rPr/>
      </w:pPr>
      <w:hyperlink w:anchor="i6faa3829040e41b298bb37b7d9cd8df1_7">
        <w:r>
          <w:rPr>
            <w:rStyle w:val="InternetLink"/>
          </w:rPr>
          <w:t>Section 2.10.</w:t>
        </w:r>
      </w:hyperlink>
      <w:hyperlink w:anchor="i6faa3829040e41b298bb37b7d9cd8df1_7">
        <w:r>
          <w:rPr>
            <w:rStyle w:val="InternetLink"/>
          </w:rPr>
          <w:t>    </w:t>
        </w:r>
      </w:hyperlink>
      <w:hyperlink w:anchor="i6faa3829040e41b298bb37b7d9cd8df1_7">
        <w:r>
          <w:rPr>
            <w:rStyle w:val="InternetLink"/>
          </w:rPr>
          <w:t>List of Stockholders Entitled to Vote</w:t>
        </w:r>
      </w:hyperlink>
      <w:hyperlink w:anchor="i6faa3829040e41b298bb37b7d9cd8df1_7">
        <w:r>
          <w:rPr>
            <w:rStyle w:val="InternetLink"/>
          </w:rPr>
          <w:t>    </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2.11.</w:t>
        </w:r>
      </w:hyperlink>
      <w:hyperlink w:anchor="i6faa3829040e41b298bb37b7d9cd8df1_7">
        <w:r>
          <w:rPr>
            <w:rStyle w:val="InternetLink"/>
          </w:rPr>
          <w:t>    </w:t>
        </w:r>
      </w:hyperlink>
      <w:hyperlink w:anchor="i6faa3829040e41b298bb37b7d9cd8df1_7">
        <w:r>
          <w:rPr>
            <w:rStyle w:val="InternetLink"/>
          </w:rPr>
          <w:t>Inspectors of Election</w:t>
        </w:r>
      </w:hyperlink>
      <w:hyperlink w:anchor="i6faa3829040e41b298bb37b7d9cd8df1_7">
        <w:r>
          <w:rPr>
            <w:rStyle w:val="InternetLink"/>
          </w:rPr>
          <w:t>    </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2.12.</w:t>
        </w:r>
      </w:hyperlink>
      <w:hyperlink w:anchor="i6faa3829040e41b298bb37b7d9cd8df1_7">
        <w:r>
          <w:rPr>
            <w:rStyle w:val="InternetLink"/>
          </w:rPr>
          <w:t>    </w:t>
        </w:r>
      </w:hyperlink>
      <w:hyperlink w:anchor="i6faa3829040e41b298bb37b7d9cd8df1_7">
        <w:r>
          <w:rPr>
            <w:rStyle w:val="InternetLink"/>
          </w:rPr>
          <w:t>Conduct of Meetings</w:t>
        </w:r>
      </w:hyperlink>
      <w:hyperlink w:anchor="i6faa3829040e41b298bb37b7d9cd8df1_7">
        <w:r>
          <w:rPr>
            <w:rStyle w:val="InternetLink"/>
          </w:rPr>
          <w:t>    </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2.13.</w:t>
        </w:r>
      </w:hyperlink>
      <w:hyperlink w:anchor="i6faa3829040e41b298bb37b7d9cd8df1_7">
        <w:r>
          <w:rPr>
            <w:rStyle w:val="InternetLink"/>
          </w:rPr>
          <w:t>    </w:t>
        </w:r>
      </w:hyperlink>
      <w:hyperlink w:anchor="i6faa3829040e41b298bb37b7d9cd8df1_7">
        <w:r>
          <w:rPr>
            <w:rStyle w:val="InternetLink"/>
          </w:rPr>
          <w:t>Advance Notice Procedures for Business Brought before a Meeting</w:t>
        </w:r>
      </w:hyperlink>
      <w:hyperlink w:anchor="i6faa3829040e41b298bb37b7d9cd8df1_7">
        <w:r>
          <w:rPr>
            <w:rStyle w:val="InternetLink"/>
          </w:rPr>
          <w:t>    </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2.14.</w:t>
        </w:r>
      </w:hyperlink>
      <w:hyperlink w:anchor="i6faa3829040e41b298bb37b7d9cd8df1_7">
        <w:r>
          <w:rPr>
            <w:rStyle w:val="InternetLink"/>
          </w:rPr>
          <w:t>    </w:t>
        </w:r>
      </w:hyperlink>
      <w:hyperlink w:anchor="i6faa3829040e41b298bb37b7d9cd8df1_7">
        <w:r>
          <w:rPr>
            <w:rStyle w:val="InternetLink"/>
          </w:rPr>
          <w:t>Advance Notice Procedures for Nominations of Directors</w:t>
        </w:r>
      </w:hyperlink>
      <w:hyperlink w:anchor="i6faa3829040e41b298bb37b7d9cd8df1_7">
        <w:r>
          <w:rPr>
            <w:rStyle w:val="InternetLink"/>
          </w:rPr>
          <w:t>    </w:t>
        </w:r>
      </w:hyperlink>
      <w:r>
        <w:rPr>
          <w:rFonts w:ascii="Times New Roman;serif" w:hAnsi="Times New Roman;serif"/>
          <w:b w:val="false"/>
          <w:color w:val="000000"/>
          <w:sz w:val="20"/>
        </w:rPr>
        <w:t>7</w:t>
      </w:r>
    </w:p>
    <w:p>
      <w:pPr>
        <w:pStyle w:val="TextBody"/>
        <w:bidi w:val="0"/>
        <w:spacing w:lineRule="auto" w:line="288" w:before="0" w:after="0"/>
        <w:ind w:left="0" w:right="0" w:hanging="1728"/>
        <w:jc w:val="left"/>
        <w:rPr/>
      </w:pPr>
      <w:hyperlink w:anchor="i6faa3829040e41b298bb37b7d9cd8df1_7">
        <w:r>
          <w:rPr>
            <w:rStyle w:val="InternetLink"/>
          </w:rPr>
          <w:t>Section 2.15.</w:t>
        </w:r>
      </w:hyperlink>
      <w:hyperlink w:anchor="i6faa3829040e41b298bb37b7d9cd8df1_7">
        <w:r>
          <w:rPr>
            <w:rStyle w:val="InternetLink"/>
          </w:rPr>
          <w:t>    </w:t>
        </w:r>
      </w:hyperlink>
      <w:hyperlink w:anchor="i6faa3829040e41b298bb37b7d9cd8df1_7">
        <w:r>
          <w:rPr>
            <w:rStyle w:val="InternetLink"/>
          </w:rPr>
          <w:t>Delivery to the Corporation</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r>
        <w:rPr>
          <w:rFonts w:ascii="Times New Roman;serif" w:hAnsi="Times New Roman;serif"/>
          <w:b w:val="false"/>
          <w:color w:val="000000"/>
          <w:sz w:val="20"/>
        </w:rPr>
        <w:t>Section 2.16    </w:t>
      </w:r>
      <w:r>
        <w:rPr>
          <w:rFonts w:ascii="Times New Roman;serif" w:hAnsi="Times New Roman;serif"/>
          <w:b w:val="false"/>
          <w:i/>
          <w:color w:val="000000"/>
          <w:sz w:val="20"/>
        </w:rPr>
        <w:t>Action by Written Consent    </w:t>
      </w:r>
      <w:r>
        <w:rPr>
          <w:rFonts w:ascii="Times New Roman;serif" w:hAnsi="Times New Roman;serif"/>
          <w:b w:val="false"/>
          <w:color w:val="000000"/>
          <w:sz w:val="20"/>
        </w:rPr>
        <w:t>11</w:t>
      </w:r>
    </w:p>
    <w:p>
      <w:pPr>
        <w:pStyle w:val="TextBody"/>
        <w:bidi w:val="0"/>
        <w:spacing w:lineRule="auto" w:line="288" w:before="240" w:after="240"/>
        <w:jc w:val="center"/>
        <w:rPr/>
      </w:pPr>
      <w:hyperlink w:anchor="i6faa3829040e41b298bb37b7d9cd8df1_7">
        <w:r>
          <w:rPr>
            <w:rStyle w:val="InternetLink"/>
          </w:rPr>
          <w:t>ARTICLE 3</w:t>
        </w:r>
      </w:hyperlink>
      <w:hyperlink w:anchor="i6faa3829040e41b298bb37b7d9cd8df1_7">
        <w:r>
          <w:rPr>
            <w:rStyle w:val="InternetLink"/>
          </w:rPr>
          <w:br/>
        </w:r>
      </w:hyperlink>
      <w:hyperlink w:anchor="i6faa3829040e41b298bb37b7d9cd8df1_7">
        <w:r>
          <w:rPr>
            <w:rStyle w:val="InternetLink"/>
          </w:rPr>
          <w:t>BOARD OF DIRECTORS</w:t>
        </w:r>
      </w:hyperlink>
    </w:p>
    <w:p>
      <w:pPr>
        <w:pStyle w:val="TextBody"/>
        <w:bidi w:val="0"/>
        <w:spacing w:lineRule="auto" w:line="288" w:before="0" w:after="0"/>
        <w:ind w:left="0" w:right="0" w:hanging="1728"/>
        <w:jc w:val="left"/>
        <w:rPr/>
      </w:pPr>
      <w:hyperlink w:anchor="i6faa3829040e41b298bb37b7d9cd8df1_7">
        <w:r>
          <w:rPr>
            <w:rStyle w:val="InternetLink"/>
          </w:rPr>
          <w:t>Section 3.01.</w:t>
        </w:r>
      </w:hyperlink>
      <w:hyperlink w:anchor="i6faa3829040e41b298bb37b7d9cd8df1_7">
        <w:r>
          <w:rPr>
            <w:rStyle w:val="InternetLink"/>
          </w:rPr>
          <w:t>    </w:t>
        </w:r>
      </w:hyperlink>
      <w:hyperlink w:anchor="i6faa3829040e41b298bb37b7d9cd8df1_7">
        <w:r>
          <w:rPr>
            <w:rStyle w:val="InternetLink"/>
          </w:rPr>
          <w:t>Number; Tenure; Qualifications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3.02.</w:t>
        </w:r>
      </w:hyperlink>
      <w:hyperlink w:anchor="i6faa3829040e41b298bb37b7d9cd8df1_7">
        <w:r>
          <w:rPr>
            <w:rStyle w:val="InternetLink"/>
          </w:rPr>
          <w:t>    </w:t>
        </w:r>
      </w:hyperlink>
      <w:hyperlink w:anchor="i6faa3829040e41b298bb37b7d9cd8df1_7">
        <w:r>
          <w:rPr>
            <w:rStyle w:val="InternetLink"/>
          </w:rPr>
          <w:t>Election; Resignation; Removal; Vacancies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3.03.</w:t>
        </w:r>
      </w:hyperlink>
      <w:hyperlink w:anchor="i6faa3829040e41b298bb37b7d9cd8df1_7">
        <w:r>
          <w:rPr>
            <w:rStyle w:val="InternetLink"/>
          </w:rPr>
          <w:t>    </w:t>
        </w:r>
      </w:hyperlink>
      <w:hyperlink w:anchor="i6faa3829040e41b298bb37b7d9cd8df1_7">
        <w:r>
          <w:rPr>
            <w:rStyle w:val="InternetLink"/>
          </w:rPr>
          <w:t>Regular Meetings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3.04.</w:t>
        </w:r>
      </w:hyperlink>
      <w:hyperlink w:anchor="i6faa3829040e41b298bb37b7d9cd8df1_7">
        <w:r>
          <w:rPr>
            <w:rStyle w:val="InternetLink"/>
          </w:rPr>
          <w:t>    </w:t>
        </w:r>
      </w:hyperlink>
      <w:hyperlink w:anchor="i6faa3829040e41b298bb37b7d9cd8df1_7">
        <w:r>
          <w:rPr>
            <w:rStyle w:val="InternetLink"/>
          </w:rPr>
          <w:t>Special Meetings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3.05.</w:t>
        </w:r>
      </w:hyperlink>
      <w:hyperlink w:anchor="i6faa3829040e41b298bb37b7d9cd8df1_7">
        <w:r>
          <w:rPr>
            <w:rStyle w:val="InternetLink"/>
          </w:rPr>
          <w:t>    </w:t>
        </w:r>
      </w:hyperlink>
      <w:hyperlink w:anchor="i6faa3829040e41b298bb37b7d9cd8df1_7">
        <w:r>
          <w:rPr>
            <w:rStyle w:val="InternetLink"/>
          </w:rPr>
          <w:t>Telephonic Meetings Permitted</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1</w:t>
      </w:r>
    </w:p>
    <w:p>
      <w:pPr>
        <w:pStyle w:val="TextBody"/>
        <w:bidi w:val="0"/>
        <w:spacing w:lineRule="auto" w:line="288" w:before="0" w:after="0"/>
        <w:ind w:left="0" w:right="0" w:hanging="1728"/>
        <w:jc w:val="left"/>
        <w:rPr/>
      </w:pPr>
      <w:hyperlink w:anchor="i6faa3829040e41b298bb37b7d9cd8df1_7">
        <w:r>
          <w:rPr>
            <w:rStyle w:val="InternetLink"/>
          </w:rPr>
          <w:t>Section 3.06.</w:t>
        </w:r>
      </w:hyperlink>
      <w:hyperlink w:anchor="i6faa3829040e41b298bb37b7d9cd8df1_7">
        <w:r>
          <w:rPr>
            <w:rStyle w:val="InternetLink"/>
          </w:rPr>
          <w:t>    </w:t>
        </w:r>
      </w:hyperlink>
      <w:hyperlink w:anchor="i6faa3829040e41b298bb37b7d9cd8df1_7">
        <w:r>
          <w:rPr>
            <w:rStyle w:val="InternetLink"/>
          </w:rPr>
          <w:t>Quorum; Vote Required for Action</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3.07.</w:t>
        </w:r>
      </w:hyperlink>
      <w:hyperlink w:anchor="i6faa3829040e41b298bb37b7d9cd8df1_7">
        <w:r>
          <w:rPr>
            <w:rStyle w:val="InternetLink"/>
          </w:rPr>
          <w:t>    </w:t>
        </w:r>
      </w:hyperlink>
      <w:hyperlink w:anchor="i6faa3829040e41b298bb37b7d9cd8df1_7">
        <w:r>
          <w:rPr>
            <w:rStyle w:val="InternetLink"/>
          </w:rPr>
          <w:t>Organization</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3.08.</w:t>
        </w:r>
      </w:hyperlink>
      <w:hyperlink w:anchor="i6faa3829040e41b298bb37b7d9cd8df1_7">
        <w:r>
          <w:rPr>
            <w:rStyle w:val="InternetLink"/>
          </w:rPr>
          <w:t>    </w:t>
        </w:r>
      </w:hyperlink>
      <w:hyperlink w:anchor="i6faa3829040e41b298bb37b7d9cd8df1_7">
        <w:r>
          <w:rPr>
            <w:rStyle w:val="InternetLink"/>
          </w:rPr>
          <w:t>Action by Unanimous Consent of Directors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3.09.</w:t>
        </w:r>
      </w:hyperlink>
      <w:hyperlink w:anchor="i6faa3829040e41b298bb37b7d9cd8df1_7">
        <w:r>
          <w:rPr>
            <w:rStyle w:val="InternetLink"/>
          </w:rPr>
          <w:t>    </w:t>
        </w:r>
      </w:hyperlink>
      <w:hyperlink w:anchor="i6faa3829040e41b298bb37b7d9cd8df1_7">
        <w:r>
          <w:rPr>
            <w:rStyle w:val="InternetLink"/>
          </w:rPr>
          <w:t>Compensation of Directors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2</w:t>
      </w:r>
    </w:p>
    <w:p>
      <w:pPr>
        <w:pStyle w:val="TextBody"/>
        <w:bidi w:val="0"/>
        <w:spacing w:lineRule="auto" w:line="288" w:before="240" w:after="240"/>
        <w:jc w:val="center"/>
        <w:rPr/>
      </w:pPr>
      <w:hyperlink w:anchor="i6faa3829040e41b298bb37b7d9cd8df1_7">
        <w:r>
          <w:rPr>
            <w:rStyle w:val="InternetLink"/>
          </w:rPr>
          <w:t>ARTICLE 4</w:t>
        </w:r>
      </w:hyperlink>
      <w:hyperlink w:anchor="i6faa3829040e41b298bb37b7d9cd8df1_7">
        <w:r>
          <w:rPr>
            <w:rStyle w:val="InternetLink"/>
          </w:rPr>
          <w:br/>
        </w:r>
      </w:hyperlink>
      <w:hyperlink w:anchor="i6faa3829040e41b298bb37b7d9cd8df1_7">
        <w:r>
          <w:rPr>
            <w:rStyle w:val="InternetLink"/>
          </w:rPr>
          <w:t>COMMITTEES</w:t>
        </w:r>
      </w:hyperlink>
    </w:p>
    <w:p>
      <w:pPr>
        <w:pStyle w:val="TextBody"/>
        <w:bidi w:val="0"/>
        <w:spacing w:lineRule="auto" w:line="288" w:before="0" w:after="0"/>
        <w:ind w:left="0" w:right="0" w:hanging="1728"/>
        <w:jc w:val="left"/>
        <w:rPr/>
      </w:pPr>
      <w:hyperlink w:anchor="i6faa3829040e41b298bb37b7d9cd8df1_7">
        <w:r>
          <w:rPr>
            <w:rStyle w:val="InternetLink"/>
          </w:rPr>
          <w:t>Section 4.01.</w:t>
        </w:r>
      </w:hyperlink>
      <w:hyperlink w:anchor="i6faa3829040e41b298bb37b7d9cd8df1_7">
        <w:r>
          <w:rPr>
            <w:rStyle w:val="InternetLink"/>
          </w:rPr>
          <w:t>    </w:t>
        </w:r>
      </w:hyperlink>
      <w:hyperlink w:anchor="i6faa3829040e41b298bb37b7d9cd8df1_7">
        <w:r>
          <w:rPr>
            <w:rStyle w:val="InternetLink"/>
          </w:rPr>
          <w:t>Committees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2</w:t>
      </w:r>
    </w:p>
    <w:p>
      <w:pPr>
        <w:pStyle w:val="TextBody"/>
        <w:bidi w:val="0"/>
        <w:spacing w:lineRule="auto" w:line="288" w:before="0" w:after="0"/>
        <w:ind w:left="0" w:right="0" w:hanging="1728"/>
        <w:jc w:val="left"/>
        <w:rPr/>
      </w:pPr>
      <w:hyperlink w:anchor="i6faa3829040e41b298bb37b7d9cd8df1_7">
        <w:r>
          <w:rPr>
            <w:rStyle w:val="InternetLink"/>
          </w:rPr>
          <w:t>Section 4.02.</w:t>
        </w:r>
      </w:hyperlink>
      <w:hyperlink w:anchor="i6faa3829040e41b298bb37b7d9cd8df1_7">
        <w:r>
          <w:rPr>
            <w:rStyle w:val="InternetLink"/>
          </w:rPr>
          <w:t>    </w:t>
        </w:r>
      </w:hyperlink>
      <w:hyperlink w:anchor="i6faa3829040e41b298bb37b7d9cd8df1_7">
        <w:r>
          <w:rPr>
            <w:rStyle w:val="InternetLink"/>
          </w:rPr>
          <w:t>Committee Minutes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ind w:left="0" w:right="0" w:hanging="1728"/>
        <w:jc w:val="left"/>
        <w:rPr/>
      </w:pPr>
      <w:hyperlink w:anchor="i6faa3829040e41b298bb37b7d9cd8df1_7">
        <w:r>
          <w:rPr>
            <w:rStyle w:val="InternetLink"/>
          </w:rPr>
          <w:t>Section 4.03.</w:t>
        </w:r>
      </w:hyperlink>
      <w:hyperlink w:anchor="i6faa3829040e41b298bb37b7d9cd8df1_7">
        <w:r>
          <w:rPr>
            <w:rStyle w:val="InternetLink"/>
          </w:rPr>
          <w:t>    </w:t>
        </w:r>
      </w:hyperlink>
      <w:hyperlink w:anchor="i6faa3829040e41b298bb37b7d9cd8df1_7">
        <w:r>
          <w:rPr>
            <w:rStyle w:val="InternetLink"/>
          </w:rPr>
          <w:t>Committee Rules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40"/>
        <w:jc w:val="center"/>
        <w:rPr/>
      </w:pPr>
      <w:hyperlink w:anchor="i6faa3829040e41b298bb37b7d9cd8df1_7">
        <w:r>
          <w:rPr>
            <w:rStyle w:val="InternetLink"/>
          </w:rPr>
          <w:t>ARTICLE 5</w:t>
        </w:r>
      </w:hyperlink>
      <w:hyperlink w:anchor="i6faa3829040e41b298bb37b7d9cd8df1_7">
        <w:r>
          <w:rPr>
            <w:rStyle w:val="InternetLink"/>
          </w:rPr>
          <w:br/>
        </w:r>
      </w:hyperlink>
      <w:hyperlink w:anchor="i6faa3829040e41b298bb37b7d9cd8df1_7">
        <w:r>
          <w:rPr>
            <w:rStyle w:val="InternetLink"/>
          </w:rPr>
          <w:t>OFFICERS</w:t>
        </w:r>
      </w:hyperlink>
    </w:p>
    <w:p>
      <w:pPr>
        <w:pStyle w:val="TextBody"/>
        <w:bidi w:val="0"/>
        <w:spacing w:lineRule="auto" w:line="288" w:before="0" w:after="0"/>
        <w:ind w:left="0" w:right="0" w:hanging="1728"/>
        <w:jc w:val="left"/>
        <w:rPr/>
      </w:pPr>
      <w:hyperlink w:anchor="i6faa3829040e41b298bb37b7d9cd8df1_7">
        <w:r>
          <w:rPr>
            <w:rStyle w:val="InternetLink"/>
          </w:rPr>
          <w:t>Section 5.01.</w:t>
        </w:r>
      </w:hyperlink>
      <w:hyperlink w:anchor="i6faa3829040e41b298bb37b7d9cd8df1_7">
        <w:r>
          <w:rPr>
            <w:rStyle w:val="InternetLink"/>
          </w:rPr>
          <w:t>    </w:t>
        </w:r>
      </w:hyperlink>
      <w:hyperlink w:anchor="i6faa3829040e41b298bb37b7d9cd8df1_7">
        <w:r>
          <w:rPr>
            <w:rStyle w:val="InternetLink"/>
          </w:rPr>
          <w:t>Officers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5.02.</w:t>
        </w:r>
      </w:hyperlink>
      <w:hyperlink w:anchor="i6faa3829040e41b298bb37b7d9cd8df1_7">
        <w:r>
          <w:rPr>
            <w:rStyle w:val="InternetLink"/>
          </w:rPr>
          <w:t>    </w:t>
        </w:r>
      </w:hyperlink>
      <w:hyperlink w:anchor="i6faa3829040e41b298bb37b7d9cd8df1_7">
        <w:r>
          <w:rPr>
            <w:rStyle w:val="InternetLink"/>
          </w:rPr>
          <w:t>Appointment of Officers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5.03.</w:t>
        </w:r>
      </w:hyperlink>
      <w:hyperlink w:anchor="i6faa3829040e41b298bb37b7d9cd8df1_7">
        <w:r>
          <w:rPr>
            <w:rStyle w:val="InternetLink"/>
          </w:rPr>
          <w:t>    </w:t>
        </w:r>
      </w:hyperlink>
      <w:hyperlink w:anchor="i6faa3829040e41b298bb37b7d9cd8df1_7">
        <w:r>
          <w:rPr>
            <w:rStyle w:val="InternetLink"/>
          </w:rPr>
          <w:t>Subordinate Officer</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5.04.</w:t>
        </w:r>
      </w:hyperlink>
      <w:hyperlink w:anchor="i6faa3829040e41b298bb37b7d9cd8df1_7">
        <w:r>
          <w:rPr>
            <w:rStyle w:val="InternetLink"/>
          </w:rPr>
          <w:t>    </w:t>
        </w:r>
      </w:hyperlink>
      <w:hyperlink w:anchor="i6faa3829040e41b298bb37b7d9cd8df1_7">
        <w:r>
          <w:rPr>
            <w:rStyle w:val="InternetLink"/>
          </w:rPr>
          <w:t>Removal and Resignation of Officers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5.05.</w:t>
        </w:r>
      </w:hyperlink>
      <w:hyperlink w:anchor="i6faa3829040e41b298bb37b7d9cd8df1_7">
        <w:r>
          <w:rPr>
            <w:rStyle w:val="InternetLink"/>
          </w:rPr>
          <w:t>    </w:t>
        </w:r>
      </w:hyperlink>
      <w:hyperlink w:anchor="i6faa3829040e41b298bb37b7d9cd8df1_7">
        <w:r>
          <w:rPr>
            <w:rStyle w:val="InternetLink"/>
          </w:rPr>
          <w:t>Vacancies in Offices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5.06.</w:t>
        </w:r>
      </w:hyperlink>
      <w:hyperlink w:anchor="i6faa3829040e41b298bb37b7d9cd8df1_7">
        <w:r>
          <w:rPr>
            <w:rStyle w:val="InternetLink"/>
          </w:rPr>
          <w:t>    </w:t>
        </w:r>
      </w:hyperlink>
      <w:hyperlink w:anchor="i6faa3829040e41b298bb37b7d9cd8df1_7">
        <w:r>
          <w:rPr>
            <w:rStyle w:val="InternetLink"/>
          </w:rPr>
          <w:t>Chief Executive Officer(s)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3</w:t>
      </w:r>
    </w:p>
    <w:p>
      <w:pPr>
        <w:pStyle w:val="TextBody"/>
        <w:bidi w:val="0"/>
        <w:spacing w:lineRule="auto" w:line="288" w:before="0" w:after="0"/>
        <w:ind w:left="0" w:right="0" w:hanging="1728"/>
        <w:jc w:val="left"/>
        <w:rPr/>
      </w:pPr>
      <w:hyperlink w:anchor="i6faa3829040e41b298bb37b7d9cd8df1_7">
        <w:r>
          <w:rPr>
            <w:rStyle w:val="InternetLink"/>
          </w:rPr>
          <w:t>Section 5.07.</w:t>
        </w:r>
      </w:hyperlink>
      <w:hyperlink w:anchor="i6faa3829040e41b298bb37b7d9cd8df1_7">
        <w:r>
          <w:rPr>
            <w:rStyle w:val="InternetLink"/>
          </w:rPr>
          <w:t>    </w:t>
        </w:r>
      </w:hyperlink>
      <w:hyperlink w:anchor="i6faa3829040e41b298bb37b7d9cd8df1_7">
        <w:r>
          <w:rPr>
            <w:rStyle w:val="InternetLink"/>
          </w:rPr>
          <w:t>President</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5.08.</w:t>
        </w:r>
      </w:hyperlink>
      <w:hyperlink w:anchor="i6faa3829040e41b298bb37b7d9cd8df1_7">
        <w:r>
          <w:rPr>
            <w:rStyle w:val="InternetLink"/>
          </w:rPr>
          <w:t>    </w:t>
        </w:r>
      </w:hyperlink>
      <w:hyperlink w:anchor="i6faa3829040e41b298bb37b7d9cd8df1_7">
        <w:r>
          <w:rPr>
            <w:rStyle w:val="InternetLink"/>
          </w:rPr>
          <w:t>Secretary</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5.09.</w:t>
        </w:r>
      </w:hyperlink>
      <w:hyperlink w:anchor="i6faa3829040e41b298bb37b7d9cd8df1_7">
        <w:r>
          <w:rPr>
            <w:rStyle w:val="InternetLink"/>
          </w:rPr>
          <w:t>    </w:t>
        </w:r>
      </w:hyperlink>
      <w:hyperlink w:anchor="i6faa3829040e41b298bb37b7d9cd8df1_7">
        <w:r>
          <w:rPr>
            <w:rStyle w:val="InternetLink"/>
          </w:rPr>
          <w:t>Chief Financial Officer</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5.10.</w:t>
        </w:r>
      </w:hyperlink>
      <w:hyperlink w:anchor="i6faa3829040e41b298bb37b7d9cd8df1_7">
        <w:r>
          <w:rPr>
            <w:rStyle w:val="InternetLink"/>
          </w:rPr>
          <w:t>    </w:t>
        </w:r>
      </w:hyperlink>
      <w:hyperlink w:anchor="i6faa3829040e41b298bb37b7d9cd8df1_7">
        <w:r>
          <w:rPr>
            <w:rStyle w:val="InternetLink"/>
          </w:rPr>
          <w:t>Representation of Equity Interests of Other Entities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5.11.</w:t>
        </w:r>
      </w:hyperlink>
      <w:hyperlink w:anchor="i6faa3829040e41b298bb37b7d9cd8df1_7">
        <w:r>
          <w:rPr>
            <w:rStyle w:val="InternetLink"/>
          </w:rPr>
          <w:t>    </w:t>
        </w:r>
      </w:hyperlink>
      <w:hyperlink w:anchor="i6faa3829040e41b298bb37b7d9cd8df1_7">
        <w:r>
          <w:rPr>
            <w:rStyle w:val="InternetLink"/>
          </w:rPr>
          <w:t>Authority and Duties of Officers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0" w:after="0"/>
        <w:ind w:left="0" w:right="0" w:hanging="1728"/>
        <w:jc w:val="left"/>
        <w:rPr/>
      </w:pPr>
      <w:hyperlink w:anchor="i6faa3829040e41b298bb37b7d9cd8df1_7">
        <w:r>
          <w:rPr>
            <w:rStyle w:val="InternetLink"/>
          </w:rPr>
          <w:t>Section 5.12.</w:t>
        </w:r>
      </w:hyperlink>
      <w:hyperlink w:anchor="i6faa3829040e41b298bb37b7d9cd8df1_7">
        <w:r>
          <w:rPr>
            <w:rStyle w:val="InternetLink"/>
          </w:rPr>
          <w:t>    </w:t>
        </w:r>
      </w:hyperlink>
      <w:hyperlink w:anchor="i6faa3829040e41b298bb37b7d9cd8df1_7">
        <w:r>
          <w:rPr>
            <w:rStyle w:val="InternetLink"/>
          </w:rPr>
          <w:t>Compensation</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4</w:t>
      </w:r>
    </w:p>
    <w:p>
      <w:pPr>
        <w:pStyle w:val="TextBody"/>
        <w:bidi w:val="0"/>
        <w:spacing w:lineRule="auto" w:line="288" w:before="240" w:after="240"/>
        <w:jc w:val="center"/>
        <w:rPr/>
      </w:pPr>
      <w:hyperlink w:anchor="i6faa3829040e41b298bb37b7d9cd8df1_7">
        <w:r>
          <w:rPr>
            <w:rStyle w:val="InternetLink"/>
          </w:rPr>
          <w:t>ARTICLE 6</w:t>
        </w:r>
      </w:hyperlink>
      <w:hyperlink w:anchor="i6faa3829040e41b298bb37b7d9cd8df1_7">
        <w:r>
          <w:rPr>
            <w:rStyle w:val="InternetLink"/>
          </w:rPr>
          <w:br/>
        </w:r>
      </w:hyperlink>
      <w:hyperlink w:anchor="i6faa3829040e41b298bb37b7d9cd8df1_7">
        <w:r>
          <w:rPr>
            <w:rStyle w:val="InternetLink"/>
          </w:rPr>
          <w:t>STOCK</w:t>
        </w:r>
      </w:hyperlink>
    </w:p>
    <w:p>
      <w:pPr>
        <w:pStyle w:val="TextBody"/>
        <w:bidi w:val="0"/>
        <w:spacing w:lineRule="auto" w:line="288" w:before="0" w:after="0"/>
        <w:ind w:left="0" w:right="0" w:hanging="1728"/>
        <w:jc w:val="left"/>
        <w:rPr/>
      </w:pPr>
      <w:hyperlink w:anchor="i6faa3829040e41b298bb37b7d9cd8df1_7">
        <w:r>
          <w:rPr>
            <w:rStyle w:val="InternetLink"/>
          </w:rPr>
          <w:t>Section 6.01.</w:t>
        </w:r>
      </w:hyperlink>
      <w:hyperlink w:anchor="i6faa3829040e41b298bb37b7d9cd8df1_7">
        <w:r>
          <w:rPr>
            <w:rStyle w:val="InternetLink"/>
          </w:rPr>
          <w:t>    </w:t>
        </w:r>
      </w:hyperlink>
      <w:hyperlink w:anchor="i6faa3829040e41b298bb37b7d9cd8df1_7">
        <w:r>
          <w:rPr>
            <w:rStyle w:val="InternetLink"/>
          </w:rPr>
          <w:t>Certificates</w:t>
        </w:r>
      </w:hyperlink>
      <w:hyperlink w:anchor="i6faa3829040e41b298bb37b7d9cd8df1_7">
        <w:r>
          <w:rPr>
            <w:rStyle w:val="InternetLink"/>
          </w:rPr>
          <w:t>    </w:t>
        </w:r>
      </w:hyperlink>
      <w:hyperlink w:anchor="i6faa3829040e41b298bb37b7d9cd8df1_7">
        <w:r>
          <w:rPr>
            <w:rStyle w:val="InternetLink"/>
            <w:rFonts w:ascii="Times New Roman;serif" w:hAnsi="Times New Roman;serif"/>
            <w:b w:val="false"/>
            <w:strike w:val="false"/>
            <w:dstrike w:val="false"/>
            <w:color w:val="000000"/>
            <w:sz w:val="20"/>
            <w:u w:val="none"/>
            <w:effect w:val="none"/>
          </w:rPr>
          <w:t>1</w:t>
        </w:r>
      </w:hyperlink>
      <w:r>
        <w:rPr>
          <w:rFonts w:ascii="Times New Roman;serif" w:hAnsi="Times New Roman;serif"/>
          <w:b w:val="false"/>
          <w:color w:val="000000"/>
          <w:sz w:val="20"/>
        </w:rPr>
        <w:t>5</w:t>
      </w:r>
    </w:p>
    <w:p>
      <w:pPr>
        <w:pStyle w:val="TextBody"/>
        <w:bidi w:val="0"/>
        <w:spacing w:lineRule="auto" w:line="288" w:before="0" w:after="0"/>
        <w:ind w:left="0" w:right="0" w:hanging="1728"/>
        <w:jc w:val="left"/>
        <w:rPr/>
      </w:pPr>
      <w:hyperlink w:anchor="i6faa3829040e41b298bb37b7d9cd8df1_7">
        <w:r>
          <w:rPr>
            <w:rStyle w:val="InternetLink"/>
          </w:rPr>
          <w:t>Section 6.02.</w:t>
        </w:r>
      </w:hyperlink>
      <w:hyperlink w:anchor="i6faa3829040e41b298bb37b7d9cd8df1_7">
        <w:r>
          <w:rPr>
            <w:rStyle w:val="InternetLink"/>
          </w:rPr>
          <w:t>    </w:t>
        </w:r>
      </w:hyperlink>
      <w:hyperlink w:anchor="i6faa3829040e41b298bb37b7d9cd8df1_7">
        <w:r>
          <w:rPr>
            <w:rStyle w:val="InternetLink"/>
          </w:rPr>
          <w:t>Lost, Stolen or Destroyed Stock Certificates; Issuance of New Certificates</w:t>
        </w:r>
      </w:hyperlink>
      <w:hyperlink w:anchor="i6faa3829040e41b298bb37b7d9cd8df1_7">
        <w:r>
          <w:rPr>
            <w:rStyle w:val="InternetLink"/>
          </w:rPr>
          <w:t>    </w:t>
        </w:r>
      </w:hyperlink>
      <w:r>
        <w:rPr>
          <w:rFonts w:ascii="Times New Roman;serif" w:hAnsi="Times New Roman;serif"/>
          <w:b w:val="false"/>
          <w:color w:val="000000"/>
          <w:sz w:val="20"/>
        </w:rPr>
        <w:t>15</w:t>
      </w:r>
    </w:p>
    <w:p>
      <w:pPr>
        <w:pStyle w:val="TextBody"/>
        <w:bidi w:val="0"/>
        <w:spacing w:lineRule="auto" w:line="288" w:before="0" w:after="0"/>
        <w:ind w:left="0" w:right="0" w:hanging="1728"/>
        <w:jc w:val="left"/>
        <w:rPr/>
      </w:pPr>
      <w:hyperlink w:anchor="i6faa3829040e41b298bb37b7d9cd8df1_7">
        <w:r>
          <w:rPr>
            <w:rStyle w:val="InternetLink"/>
          </w:rPr>
          <w:t>Section 6.03.</w:t>
        </w:r>
      </w:hyperlink>
      <w:hyperlink w:anchor="i6faa3829040e41b298bb37b7d9cd8df1_7">
        <w:r>
          <w:rPr>
            <w:rStyle w:val="InternetLink"/>
          </w:rPr>
          <w:t>    </w:t>
        </w:r>
      </w:hyperlink>
      <w:hyperlink w:anchor="i6faa3829040e41b298bb37b7d9cd8df1_7">
        <w:r>
          <w:rPr>
            <w:rStyle w:val="InternetLink"/>
          </w:rPr>
          <w:t>Shares Without Certificates</w:t>
        </w:r>
      </w:hyperlink>
      <w:hyperlink w:anchor="i6faa3829040e41b298bb37b7d9cd8df1_7">
        <w:r>
          <w:rPr>
            <w:rStyle w:val="InternetLink"/>
          </w:rPr>
          <w:t>    </w:t>
        </w:r>
      </w:hyperlink>
      <w:r>
        <w:rPr>
          <w:rFonts w:ascii="Times New Roman;serif" w:hAnsi="Times New Roman;serif"/>
          <w:b w:val="false"/>
          <w:color w:val="000000"/>
          <w:sz w:val="20"/>
        </w:rPr>
        <w:t>15</w:t>
      </w:r>
    </w:p>
    <w:p>
      <w:pPr>
        <w:pStyle w:val="TextBody"/>
        <w:bidi w:val="0"/>
        <w:spacing w:lineRule="auto" w:line="288" w:before="240" w:after="240"/>
        <w:jc w:val="center"/>
        <w:rPr/>
      </w:pPr>
      <w:hyperlink w:anchor="i6faa3829040e41b298bb37b7d9cd8df1_7">
        <w:r>
          <w:rPr>
            <w:rStyle w:val="InternetLink"/>
          </w:rPr>
          <w:t>ARTICLE 7</w:t>
        </w:r>
      </w:hyperlink>
      <w:hyperlink w:anchor="i6faa3829040e41b298bb37b7d9cd8df1_7">
        <w:r>
          <w:rPr>
            <w:rStyle w:val="InternetLink"/>
          </w:rPr>
          <w:br/>
        </w:r>
      </w:hyperlink>
      <w:hyperlink w:anchor="i6faa3829040e41b298bb37b7d9cd8df1_7">
        <w:r>
          <w:rPr>
            <w:rStyle w:val="InternetLink"/>
          </w:rPr>
          <w:t>INDEMNIFICATION AND ADVANCEMENT OF EXPENSES</w:t>
        </w:r>
      </w:hyperlink>
    </w:p>
    <w:p>
      <w:pPr>
        <w:pStyle w:val="TextBody"/>
        <w:bidi w:val="0"/>
        <w:spacing w:lineRule="auto" w:line="288" w:before="0" w:after="0"/>
        <w:ind w:left="0" w:right="0" w:hanging="1728"/>
        <w:jc w:val="left"/>
        <w:rPr/>
      </w:pPr>
      <w:hyperlink w:anchor="i6faa3829040e41b298bb37b7d9cd8df1_7">
        <w:r>
          <w:rPr>
            <w:rStyle w:val="InternetLink"/>
          </w:rPr>
          <w:t>Section 7.01.</w:t>
        </w:r>
      </w:hyperlink>
      <w:hyperlink w:anchor="i6faa3829040e41b298bb37b7d9cd8df1_7">
        <w:r>
          <w:rPr>
            <w:rStyle w:val="InternetLink"/>
          </w:rPr>
          <w:t>    </w:t>
        </w:r>
      </w:hyperlink>
      <w:hyperlink w:anchor="i6faa3829040e41b298bb37b7d9cd8df1_7">
        <w:r>
          <w:rPr>
            <w:rStyle w:val="InternetLink"/>
          </w:rPr>
          <w:t>Right to Indemnification</w:t>
        </w:r>
      </w:hyperlink>
      <w:hyperlink w:anchor="i6faa3829040e41b298bb37b7d9cd8df1_7">
        <w:r>
          <w:rPr>
            <w:rStyle w:val="InternetLink"/>
          </w:rPr>
          <w:t>    </w:t>
        </w:r>
      </w:hyperlink>
      <w:r>
        <w:rPr>
          <w:rFonts w:ascii="Times New Roman;serif" w:hAnsi="Times New Roman;serif"/>
          <w:b w:val="false"/>
          <w:color w:val="000000"/>
          <w:sz w:val="20"/>
        </w:rPr>
        <w:t>15</w:t>
      </w:r>
    </w:p>
    <w:p>
      <w:pPr>
        <w:pStyle w:val="TextBody"/>
        <w:bidi w:val="0"/>
        <w:spacing w:lineRule="auto" w:line="288" w:before="0" w:after="0"/>
        <w:ind w:left="0" w:right="0" w:hanging="1728"/>
        <w:jc w:val="left"/>
        <w:rPr/>
      </w:pPr>
      <w:hyperlink w:anchor="i6faa3829040e41b298bb37b7d9cd8df1_7">
        <w:r>
          <w:rPr>
            <w:rStyle w:val="InternetLink"/>
          </w:rPr>
          <w:t>Section 7.02.</w:t>
        </w:r>
      </w:hyperlink>
      <w:hyperlink w:anchor="i6faa3829040e41b298bb37b7d9cd8df1_7">
        <w:r>
          <w:rPr>
            <w:rStyle w:val="InternetLink"/>
          </w:rPr>
          <w:t>    </w:t>
        </w:r>
      </w:hyperlink>
      <w:hyperlink w:anchor="i6faa3829040e41b298bb37b7d9cd8df1_7">
        <w:r>
          <w:rPr>
            <w:rStyle w:val="InternetLink"/>
          </w:rPr>
          <w:t>Indemnification of Others</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7.03.</w:t>
        </w:r>
      </w:hyperlink>
      <w:hyperlink w:anchor="i6faa3829040e41b298bb37b7d9cd8df1_7">
        <w:r>
          <w:rPr>
            <w:rStyle w:val="InternetLink"/>
          </w:rPr>
          <w:t>    </w:t>
        </w:r>
      </w:hyperlink>
      <w:hyperlink w:anchor="i6faa3829040e41b298bb37b7d9cd8df1_7">
        <w:r>
          <w:rPr>
            <w:rStyle w:val="InternetLink"/>
          </w:rPr>
          <w:t>Advancement of Expenses</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7.04.</w:t>
        </w:r>
      </w:hyperlink>
      <w:hyperlink w:anchor="i6faa3829040e41b298bb37b7d9cd8df1_7">
        <w:r>
          <w:rPr>
            <w:rStyle w:val="InternetLink"/>
          </w:rPr>
          <w:t>    </w:t>
        </w:r>
      </w:hyperlink>
      <w:hyperlink w:anchor="i6faa3829040e41b298bb37b7d9cd8df1_7">
        <w:r>
          <w:rPr>
            <w:rStyle w:val="InternetLink"/>
          </w:rPr>
          <w:t>Claims</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7.05.</w:t>
        </w:r>
      </w:hyperlink>
      <w:hyperlink w:anchor="i6faa3829040e41b298bb37b7d9cd8df1_7">
        <w:r>
          <w:rPr>
            <w:rStyle w:val="InternetLink"/>
          </w:rPr>
          <w:t>    </w:t>
        </w:r>
      </w:hyperlink>
      <w:hyperlink w:anchor="i6faa3829040e41b298bb37b7d9cd8df1_7">
        <w:r>
          <w:rPr>
            <w:rStyle w:val="InternetLink"/>
          </w:rPr>
          <w:t>Non-exclusivity of Rights</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7.06.</w:t>
        </w:r>
      </w:hyperlink>
      <w:hyperlink w:anchor="i6faa3829040e41b298bb37b7d9cd8df1_7">
        <w:r>
          <w:rPr>
            <w:rStyle w:val="InternetLink"/>
          </w:rPr>
          <w:t>    </w:t>
        </w:r>
      </w:hyperlink>
      <w:hyperlink w:anchor="i6faa3829040e41b298bb37b7d9cd8df1_7">
        <w:r>
          <w:rPr>
            <w:rStyle w:val="InternetLink"/>
          </w:rPr>
          <w:t>Insurance</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7.07.</w:t>
        </w:r>
      </w:hyperlink>
      <w:hyperlink w:anchor="i6faa3829040e41b298bb37b7d9cd8df1_7">
        <w:r>
          <w:rPr>
            <w:rStyle w:val="InternetLink"/>
          </w:rPr>
          <w:t>    </w:t>
        </w:r>
      </w:hyperlink>
      <w:hyperlink w:anchor="i6faa3829040e41b298bb37b7d9cd8df1_7">
        <w:r>
          <w:rPr>
            <w:rStyle w:val="InternetLink"/>
          </w:rPr>
          <w:t>Other Sources</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7.08.</w:t>
        </w:r>
      </w:hyperlink>
      <w:hyperlink w:anchor="i6faa3829040e41b298bb37b7d9cd8df1_7">
        <w:r>
          <w:rPr>
            <w:rStyle w:val="InternetLink"/>
          </w:rPr>
          <w:t>    </w:t>
        </w:r>
      </w:hyperlink>
      <w:hyperlink w:anchor="i6faa3829040e41b298bb37b7d9cd8df1_7">
        <w:r>
          <w:rPr>
            <w:rStyle w:val="InternetLink"/>
          </w:rPr>
          <w:t>Continuation of Indemnification</w:t>
        </w:r>
      </w:hyperlink>
      <w:hyperlink w:anchor="i6faa3829040e41b298bb37b7d9cd8df1_7">
        <w:r>
          <w:rPr>
            <w:rStyle w:val="InternetLink"/>
          </w:rPr>
          <w:t>    </w:t>
        </w:r>
      </w:hyperlink>
      <w:r>
        <w:rPr>
          <w:rFonts w:ascii="Times New Roman;serif" w:hAnsi="Times New Roman;serif"/>
          <w:b w:val="false"/>
          <w:color w:val="000000"/>
          <w:sz w:val="20"/>
        </w:rPr>
        <w:t>16</w:t>
      </w:r>
    </w:p>
    <w:p>
      <w:pPr>
        <w:pStyle w:val="TextBody"/>
        <w:bidi w:val="0"/>
        <w:spacing w:lineRule="auto" w:line="288" w:before="0" w:after="0"/>
        <w:ind w:left="0" w:right="0" w:hanging="1728"/>
        <w:jc w:val="left"/>
        <w:rPr/>
      </w:pPr>
      <w:hyperlink w:anchor="i6faa3829040e41b298bb37b7d9cd8df1_7">
        <w:r>
          <w:rPr>
            <w:rStyle w:val="InternetLink"/>
          </w:rPr>
          <w:t>Section 7.09.</w:t>
        </w:r>
      </w:hyperlink>
      <w:hyperlink w:anchor="i6faa3829040e41b298bb37b7d9cd8df1_7">
        <w:r>
          <w:rPr>
            <w:rStyle w:val="InternetLink"/>
          </w:rPr>
          <w:t>    </w:t>
        </w:r>
      </w:hyperlink>
      <w:hyperlink w:anchor="i6faa3829040e41b298bb37b7d9cd8df1_7">
        <w:r>
          <w:rPr>
            <w:rStyle w:val="InternetLink"/>
          </w:rPr>
          <w:t>Amendment or Repeal</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7.10.</w:t>
        </w:r>
      </w:hyperlink>
      <w:hyperlink w:anchor="i6faa3829040e41b298bb37b7d9cd8df1_7">
        <w:r>
          <w:rPr>
            <w:rStyle w:val="InternetLink"/>
          </w:rPr>
          <w:t>    </w:t>
        </w:r>
      </w:hyperlink>
      <w:hyperlink w:anchor="i6faa3829040e41b298bb37b7d9cd8df1_7">
        <w:r>
          <w:rPr>
            <w:rStyle w:val="InternetLink"/>
          </w:rPr>
          <w:t>Other Indemnification and Advancement of Expenses</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240" w:after="240"/>
        <w:jc w:val="center"/>
        <w:rPr/>
      </w:pPr>
      <w:hyperlink w:anchor="i6faa3829040e41b298bb37b7d9cd8df1_7">
        <w:r>
          <w:rPr>
            <w:rStyle w:val="InternetLink"/>
          </w:rPr>
          <w:t>ARTICLE 8</w:t>
        </w:r>
      </w:hyperlink>
      <w:hyperlink w:anchor="i6faa3829040e41b298bb37b7d9cd8df1_7">
        <w:r>
          <w:rPr>
            <w:rStyle w:val="InternetLink"/>
          </w:rPr>
          <w:br/>
        </w:r>
      </w:hyperlink>
      <w:hyperlink w:anchor="i6faa3829040e41b298bb37b7d9cd8df1_7">
        <w:r>
          <w:rPr>
            <w:rStyle w:val="InternetLink"/>
          </w:rPr>
          <w:t>MISCELLANEOUS</w:t>
        </w:r>
      </w:hyperlink>
    </w:p>
    <w:p>
      <w:pPr>
        <w:pStyle w:val="TextBody"/>
        <w:bidi w:val="0"/>
        <w:spacing w:lineRule="auto" w:line="288" w:before="0" w:after="0"/>
        <w:ind w:left="0" w:right="0" w:hanging="1728"/>
        <w:jc w:val="left"/>
        <w:rPr/>
      </w:pPr>
      <w:hyperlink w:anchor="i6faa3829040e41b298bb37b7d9cd8df1_7">
        <w:r>
          <w:rPr>
            <w:rStyle w:val="InternetLink"/>
          </w:rPr>
          <w:t>Section 8.01.</w:t>
        </w:r>
      </w:hyperlink>
      <w:hyperlink w:anchor="i6faa3829040e41b298bb37b7d9cd8df1_7">
        <w:r>
          <w:rPr>
            <w:rStyle w:val="InternetLink"/>
          </w:rPr>
          <w:t>    </w:t>
        </w:r>
      </w:hyperlink>
      <w:hyperlink w:anchor="i6faa3829040e41b298bb37b7d9cd8df1_7">
        <w:r>
          <w:rPr>
            <w:rStyle w:val="InternetLink"/>
          </w:rPr>
          <w:t>Fiscal Year</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8.02.</w:t>
        </w:r>
      </w:hyperlink>
      <w:hyperlink w:anchor="i6faa3829040e41b298bb37b7d9cd8df1_7">
        <w:r>
          <w:rPr>
            <w:rStyle w:val="InternetLink"/>
          </w:rPr>
          <w:t>    </w:t>
        </w:r>
      </w:hyperlink>
      <w:hyperlink w:anchor="i6faa3829040e41b298bb37b7d9cd8df1_7">
        <w:r>
          <w:rPr>
            <w:rStyle w:val="InternetLink"/>
          </w:rPr>
          <w:t>Execution of Corporate Contracts and Instruments</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8.03.</w:t>
        </w:r>
      </w:hyperlink>
      <w:hyperlink w:anchor="i6faa3829040e41b298bb37b7d9cd8df1_7">
        <w:r>
          <w:rPr>
            <w:rStyle w:val="InternetLink"/>
          </w:rPr>
          <w:t>    </w:t>
        </w:r>
      </w:hyperlink>
      <w:hyperlink w:anchor="i6faa3829040e41b298bb37b7d9cd8df1_7">
        <w:r>
          <w:rPr>
            <w:rStyle w:val="InternetLink"/>
          </w:rPr>
          <w:t>Dividends</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8.04.</w:t>
        </w:r>
      </w:hyperlink>
      <w:hyperlink w:anchor="i6faa3829040e41b298bb37b7d9cd8df1_7">
        <w:r>
          <w:rPr>
            <w:rStyle w:val="InternetLink"/>
          </w:rPr>
          <w:t>    </w:t>
        </w:r>
      </w:hyperlink>
      <w:hyperlink w:anchor="i6faa3829040e41b298bb37b7d9cd8df1_7">
        <w:r>
          <w:rPr>
            <w:rStyle w:val="InternetLink"/>
          </w:rPr>
          <w:t>Registered Stockholders</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8.05.</w:t>
        </w:r>
      </w:hyperlink>
      <w:hyperlink w:anchor="i6faa3829040e41b298bb37b7d9cd8df1_7">
        <w:r>
          <w:rPr>
            <w:rStyle w:val="InternetLink"/>
          </w:rPr>
          <w:t>    </w:t>
        </w:r>
      </w:hyperlink>
      <w:hyperlink w:anchor="i6faa3829040e41b298bb37b7d9cd8df1_7">
        <w:r>
          <w:rPr>
            <w:rStyle w:val="InternetLink"/>
          </w:rPr>
          <w:t>Corporate Seal</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8.06.</w:t>
        </w:r>
      </w:hyperlink>
      <w:hyperlink w:anchor="i6faa3829040e41b298bb37b7d9cd8df1_7">
        <w:r>
          <w:rPr>
            <w:rStyle w:val="InternetLink"/>
          </w:rPr>
          <w:t>    </w:t>
        </w:r>
      </w:hyperlink>
      <w:hyperlink w:anchor="i6faa3829040e41b298bb37b7d9cd8df1_7">
        <w:r>
          <w:rPr>
            <w:rStyle w:val="InternetLink"/>
          </w:rPr>
          <w:t>Construction; Definitions</w:t>
        </w:r>
      </w:hyperlink>
      <w:hyperlink w:anchor="i6faa3829040e41b298bb37b7d9cd8df1_7">
        <w:r>
          <w:rPr>
            <w:rStyle w:val="InternetLink"/>
          </w:rPr>
          <w:t>    </w:t>
        </w:r>
      </w:hyperlink>
      <w:r>
        <w:rPr>
          <w:rFonts w:ascii="Times New Roman;serif" w:hAnsi="Times New Roman;serif"/>
          <w:b w:val="false"/>
          <w:color w:val="000000"/>
          <w:sz w:val="20"/>
        </w:rPr>
        <w:t>17</w:t>
      </w:r>
    </w:p>
    <w:p>
      <w:pPr>
        <w:pStyle w:val="TextBody"/>
        <w:bidi w:val="0"/>
        <w:spacing w:lineRule="auto" w:line="288" w:before="0" w:after="0"/>
        <w:ind w:left="0" w:right="0" w:hanging="1728"/>
        <w:jc w:val="left"/>
        <w:rPr/>
      </w:pPr>
      <w:hyperlink w:anchor="i6faa3829040e41b298bb37b7d9cd8df1_7">
        <w:r>
          <w:rPr>
            <w:rStyle w:val="InternetLink"/>
          </w:rPr>
          <w:t>Section 8.07.</w:t>
        </w:r>
      </w:hyperlink>
      <w:hyperlink w:anchor="i6faa3829040e41b298bb37b7d9cd8df1_7">
        <w:r>
          <w:rPr>
            <w:rStyle w:val="InternetLink"/>
          </w:rPr>
          <w:t>    </w:t>
        </w:r>
      </w:hyperlink>
      <w:hyperlink w:anchor="i6faa3829040e41b298bb37b7d9cd8df1_7">
        <w:r>
          <w:rPr>
            <w:rStyle w:val="InternetLink"/>
          </w:rPr>
          <w:t>Manner of Notice</w:t>
        </w:r>
      </w:hyperlink>
      <w:hyperlink w:anchor="i6faa3829040e41b298bb37b7d9cd8df1_7">
        <w:r>
          <w:rPr>
            <w:rStyle w:val="InternetLink"/>
          </w:rPr>
          <w:t>    </w:t>
        </w:r>
      </w:hyperlink>
      <w:r>
        <w:rPr>
          <w:rFonts w:ascii="Times New Roman;serif" w:hAnsi="Times New Roman;serif"/>
          <w:b w:val="false"/>
          <w:color w:val="000000"/>
          <w:sz w:val="20"/>
        </w:rPr>
        <w:t>18</w:t>
      </w:r>
    </w:p>
    <w:p>
      <w:pPr>
        <w:pStyle w:val="TextBody"/>
        <w:bidi w:val="0"/>
        <w:spacing w:lineRule="auto" w:line="288" w:before="0" w:after="0"/>
        <w:ind w:left="0" w:right="0" w:hanging="1728"/>
        <w:jc w:val="left"/>
        <w:rPr/>
      </w:pPr>
      <w:hyperlink w:anchor="i6faa3829040e41b298bb37b7d9cd8df1_7">
        <w:r>
          <w:rPr>
            <w:rStyle w:val="InternetLink"/>
          </w:rPr>
          <w:t>Section 8.08.</w:t>
        </w:r>
      </w:hyperlink>
      <w:hyperlink w:anchor="i6faa3829040e41b298bb37b7d9cd8df1_7">
        <w:r>
          <w:rPr>
            <w:rStyle w:val="InternetLink"/>
          </w:rPr>
          <w:t>    </w:t>
        </w:r>
      </w:hyperlink>
      <w:hyperlink w:anchor="i6faa3829040e41b298bb37b7d9cd8df1_7">
        <w:r>
          <w:rPr>
            <w:rStyle w:val="InternetLink"/>
          </w:rPr>
          <w:t>Waiver of Notice of Meetings of Stockholders, Directors and Committees</w:t>
        </w:r>
      </w:hyperlink>
      <w:hyperlink w:anchor="i6faa3829040e41b298bb37b7d9cd8df1_7">
        <w:r>
          <w:rPr>
            <w:rStyle w:val="InternetLink"/>
          </w:rPr>
          <w:t>    </w:t>
        </w:r>
      </w:hyperlink>
      <w:r>
        <w:rPr>
          <w:rFonts w:ascii="Times New Roman;serif" w:hAnsi="Times New Roman;serif"/>
          <w:b w:val="false"/>
          <w:color w:val="000000"/>
          <w:sz w:val="20"/>
        </w:rPr>
        <w:t>18</w:t>
      </w:r>
    </w:p>
    <w:p>
      <w:pPr>
        <w:pStyle w:val="TextBody"/>
        <w:bidi w:val="0"/>
        <w:spacing w:lineRule="auto" w:line="288" w:before="0" w:after="0"/>
        <w:ind w:left="0" w:right="0" w:hanging="1728"/>
        <w:jc w:val="left"/>
        <w:rPr/>
      </w:pPr>
      <w:hyperlink w:anchor="i6faa3829040e41b298bb37b7d9cd8df1_7">
        <w:r>
          <w:rPr>
            <w:rStyle w:val="InternetLink"/>
          </w:rPr>
          <w:t>Section 8.09.</w:t>
        </w:r>
      </w:hyperlink>
      <w:hyperlink w:anchor="i6faa3829040e41b298bb37b7d9cd8df1_7">
        <w:r>
          <w:rPr>
            <w:rStyle w:val="InternetLink"/>
          </w:rPr>
          <w:t>    </w:t>
        </w:r>
      </w:hyperlink>
      <w:hyperlink w:anchor="i6faa3829040e41b298bb37b7d9cd8df1_7">
        <w:r>
          <w:rPr>
            <w:rStyle w:val="InternetLink"/>
          </w:rPr>
          <w:t>Form of Records</w:t>
        </w:r>
      </w:hyperlink>
      <w:hyperlink w:anchor="i6faa3829040e41b298bb37b7d9cd8df1_7">
        <w:r>
          <w:rPr>
            <w:rStyle w:val="InternetLink"/>
          </w:rPr>
          <w:t>    </w:t>
        </w:r>
      </w:hyperlink>
      <w:r>
        <w:rPr>
          <w:rFonts w:ascii="Times New Roman;serif" w:hAnsi="Times New Roman;serif"/>
          <w:b w:val="false"/>
          <w:color w:val="000000"/>
          <w:sz w:val="20"/>
        </w:rPr>
        <w:t>18</w:t>
      </w:r>
    </w:p>
    <w:p>
      <w:pPr>
        <w:pStyle w:val="TextBody"/>
        <w:bidi w:val="0"/>
        <w:spacing w:lineRule="auto" w:line="288" w:before="0" w:after="0"/>
        <w:ind w:left="0" w:right="0" w:hanging="1728"/>
        <w:jc w:val="left"/>
        <w:rPr/>
      </w:pPr>
      <w:hyperlink w:anchor="i6faa3829040e41b298bb37b7d9cd8df1_7">
        <w:r>
          <w:rPr>
            <w:rStyle w:val="InternetLink"/>
          </w:rPr>
          <w:t>Section 8.10.</w:t>
        </w:r>
      </w:hyperlink>
      <w:hyperlink w:anchor="i6faa3829040e41b298bb37b7d9cd8df1_7">
        <w:r>
          <w:rPr>
            <w:rStyle w:val="InternetLink"/>
          </w:rPr>
          <w:t>    </w:t>
        </w:r>
      </w:hyperlink>
      <w:hyperlink w:anchor="i6faa3829040e41b298bb37b7d9cd8df1_7">
        <w:r>
          <w:rPr>
            <w:rStyle w:val="InternetLink"/>
          </w:rPr>
          <w:t>Amendment of Bylaws</w:t>
        </w:r>
      </w:hyperlink>
      <w:hyperlink w:anchor="i6faa3829040e41b298bb37b7d9cd8df1_7">
        <w:r>
          <w:rPr>
            <w:rStyle w:val="InternetLink"/>
          </w:rPr>
          <w:t>    </w:t>
        </w:r>
      </w:hyperlink>
      <w:r>
        <w:rPr>
          <w:rFonts w:ascii="Times New Roman;serif" w:hAnsi="Times New Roman;serif"/>
          <w:b w:val="false"/>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240"/>
        <w:jc w:val="center"/>
        <w:rPr/>
      </w:pPr>
      <w:r>
        <w:rPr>
          <w:rFonts w:ascii="Times New Roman;serif" w:hAnsi="Times New Roman;serif"/>
          <w:b w:val="false"/>
          <w:color w:val="000000"/>
          <w:sz w:val="20"/>
        </w:rPr>
        <w:t>Article 1</w:t>
      </w:r>
      <w:r>
        <w:rPr>
          <w:rFonts w:ascii="Times New Roman;serif" w:hAnsi="Times New Roman;serif"/>
          <w:b w:val="false"/>
          <w:color w:val="000000"/>
          <w:sz w:val="20"/>
        </w:rPr>
        <w:br/>
        <w:t xml:space="preserve">CORPORATE OFFICES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1.01.</w:t>
      </w:r>
      <w:r>
        <w:rPr>
          <w:rFonts w:ascii="Times New Roman;serif" w:hAnsi="Times New Roman;serif"/>
          <w:b w:val="false"/>
          <w:i/>
          <w:color w:val="000000"/>
          <w:sz w:val="20"/>
        </w:rPr>
        <w:t>Registered Office</w:t>
      </w:r>
      <w:r>
        <w:rPr>
          <w:rFonts w:ascii="Times New Roman;serif" w:hAnsi="Times New Roman;serif"/>
          <w:b w:val="false"/>
          <w:color w:val="000000"/>
          <w:sz w:val="20"/>
        </w:rPr>
        <w:t>. The address of the registered office of Rent the Runway, Inc., a Delaware corporation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in the State of Delaware, and the name of its registered agent at such address, shall be as set forth in the Amended and Restated Certificate of Incorporation of the Corporation (as the same may be further amended, restated, amended and restated or otherwise modified from time to time, the “</w:t>
      </w:r>
      <w:r>
        <w:rPr>
          <w:rFonts w:ascii="Times New Roman;serif" w:hAnsi="Times New Roman;serif"/>
          <w:b/>
          <w:color w:val="000000"/>
          <w:sz w:val="20"/>
        </w:rPr>
        <w:t>Certificate of Incorporation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1.02.</w:t>
      </w:r>
      <w:r>
        <w:rPr>
          <w:rFonts w:ascii="Times New Roman;serif" w:hAnsi="Times New Roman;serif"/>
          <w:b w:val="false"/>
          <w:i/>
          <w:color w:val="000000"/>
          <w:sz w:val="20"/>
        </w:rPr>
        <w:t>Other Offices</w:t>
      </w:r>
      <w:r>
        <w:rPr>
          <w:rFonts w:ascii="Times New Roman;serif" w:hAnsi="Times New Roman;serif"/>
          <w:b w:val="false"/>
          <w:color w:val="000000"/>
          <w:sz w:val="20"/>
        </w:rPr>
        <w:t>. The Corporation may have additional offices at any place or places, within or without the State of Delaware, as the Corporation’s Board of Directors (the “</w:t>
      </w:r>
      <w:r>
        <w:rPr>
          <w:rFonts w:ascii="Times New Roman;serif" w:hAnsi="Times New Roman;serif"/>
          <w:b/>
          <w:color w:val="000000"/>
          <w:sz w:val="20"/>
        </w:rPr>
        <w:t>Board of Directors</w:t>
      </w:r>
      <w:r>
        <w:rPr>
          <w:color w:val="000000"/>
        </w:rPr>
        <w:t>”</w:t>
      </w:r>
      <w:r>
        <w:rPr>
          <w:rFonts w:ascii="Times New Roman;serif" w:hAnsi="Times New Roman;serif"/>
          <w:b w:val="false"/>
          <w:color w:val="000000"/>
          <w:sz w:val="20"/>
        </w:rPr>
        <w:t xml:space="preserve">) may from time to time establish or as the business of the Corporation may require. </w:t>
      </w:r>
    </w:p>
    <w:p>
      <w:pPr>
        <w:pStyle w:val="TextBody"/>
        <w:bidi w:val="0"/>
        <w:spacing w:lineRule="auto" w:line="319" w:before="0" w:after="240"/>
        <w:jc w:val="center"/>
        <w:rPr/>
      </w:pPr>
      <w:r>
        <w:rPr>
          <w:rFonts w:ascii="Times New Roman;serif" w:hAnsi="Times New Roman;serif"/>
          <w:b w:val="false"/>
          <w:color w:val="000000"/>
          <w:sz w:val="20"/>
        </w:rPr>
        <w:t>Article 2</w:t>
      </w:r>
      <w:r>
        <w:rPr>
          <w:rFonts w:ascii="Times New Roman;serif" w:hAnsi="Times New Roman;serif"/>
          <w:b w:val="false"/>
          <w:color w:val="000000"/>
          <w:sz w:val="20"/>
        </w:rPr>
        <w:br/>
        <w:t xml:space="preserve">MEETINGS OF STOCKHOLDERS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2.01.</w:t>
      </w:r>
      <w:r>
        <w:rPr>
          <w:rFonts w:ascii="Times New Roman;serif" w:hAnsi="Times New Roman;serif"/>
          <w:b w:val="false"/>
          <w:i/>
          <w:color w:val="000000"/>
          <w:sz w:val="20"/>
        </w:rPr>
        <w:t>Place of Meetings</w:t>
      </w:r>
      <w:r>
        <w:rPr>
          <w:rFonts w:ascii="Times New Roman;serif" w:hAnsi="Times New Roman;serif"/>
          <w:b w:val="false"/>
          <w:color w:val="000000"/>
          <w:sz w:val="20"/>
        </w:rPr>
        <w:t>. Meetings of stockholders of the Corporation (the “</w:t>
      </w:r>
      <w:r>
        <w:rPr>
          <w:rFonts w:ascii="Times New Roman;serif" w:hAnsi="Times New Roman;serif"/>
          <w:b/>
          <w:color w:val="000000"/>
          <w:sz w:val="20"/>
        </w:rPr>
        <w:t>Stockholders</w:t>
      </w:r>
      <w:r>
        <w:rPr>
          <w:color w:val="000000"/>
        </w:rPr>
        <w:t>”</w:t>
      </w:r>
      <w:r>
        <w:rPr>
          <w:rFonts w:ascii="Times New Roman;serif" w:hAnsi="Times New Roman;serif"/>
          <w:b w:val="false"/>
          <w:color w:val="000000"/>
          <w:sz w:val="20"/>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Times New Roman;serif" w:hAnsi="Times New Roman;serif"/>
          <w:b/>
          <w:color w:val="000000"/>
          <w:sz w:val="20"/>
        </w:rPr>
        <w:t>DGCL</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2.02.</w:t>
      </w:r>
      <w:r>
        <w:rPr>
          <w:rFonts w:ascii="Times New Roman;serif" w:hAnsi="Times New Roman;serif"/>
          <w:b w:val="false"/>
          <w:i/>
          <w:color w:val="000000"/>
          <w:sz w:val="20"/>
        </w:rPr>
        <w:t>Annual Meetings</w:t>
      </w:r>
      <w:r>
        <w:rPr>
          <w:rFonts w:ascii="Times New Roman;serif" w:hAnsi="Times New Roman;serif"/>
          <w:b w:val="false"/>
          <w:color w:val="000000"/>
          <w:sz w:val="20"/>
        </w:rPr>
        <w:t xml:space="preserve">.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recess, reschedule or cancel any annual meeting of Stockholders previously scheduled by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2.03.</w:t>
      </w:r>
      <w:r>
        <w:rPr>
          <w:rFonts w:ascii="Times New Roman;serif" w:hAnsi="Times New Roman;serif"/>
          <w:b w:val="false"/>
          <w:i/>
          <w:color w:val="000000"/>
          <w:sz w:val="20"/>
        </w:rPr>
        <w:t>Special Meetings</w:t>
      </w:r>
      <w:r>
        <w:rPr>
          <w:rFonts w:ascii="Times New Roman;serif" w:hAnsi="Times New Roman;serif"/>
          <w:b w:val="false"/>
          <w:color w:val="000000"/>
          <w:sz w:val="20"/>
        </w:rPr>
        <w:t>. Special meetings of Stockholders may only be called in the manner provided in the Certificate of Incorporation. For purposes of these Bylaws, the term “</w:t>
      </w:r>
      <w:r>
        <w:rPr>
          <w:rFonts w:ascii="Times New Roman;serif" w:hAnsi="Times New Roman;serif"/>
          <w:b/>
          <w:color w:val="000000"/>
          <w:sz w:val="20"/>
        </w:rPr>
        <w:t>Whole Board of Directors</w:t>
      </w:r>
      <w:r>
        <w:rPr>
          <w:color w:val="000000"/>
        </w:rPr>
        <w:t xml:space="preserve">” </w:t>
      </w:r>
      <w:r>
        <w:rPr>
          <w:rFonts w:ascii="Times New Roman;serif" w:hAnsi="Times New Roman;serif"/>
          <w:b w:val="false"/>
          <w:color w:val="000000"/>
          <w:sz w:val="20"/>
        </w:rPr>
        <w:t>shall mean the total number of authorized directors (from time to time) whether or not there exist any vacancies in previously authorized directorships. Special meetings validly called in accordance with this Section 2.03 of these amended and restated bylaws (as the same may be further amended, restated, amended and restated or otherwise modified from time to time, these “</w:t>
      </w:r>
      <w:r>
        <w:rPr>
          <w:rFonts w:ascii="Times New Roman;serif" w:hAnsi="Times New Roman;serif"/>
          <w:b/>
          <w:color w:val="000000"/>
          <w:sz w:val="20"/>
        </w:rPr>
        <w:t>Bylaws</w:t>
      </w:r>
      <w:r>
        <w:rPr>
          <w:color w:val="000000"/>
        </w:rPr>
        <w:t>”</w:t>
      </w:r>
      <w:r>
        <w:rPr>
          <w:rFonts w:ascii="Times New Roman;serif" w:hAnsi="Times New Roman;serif"/>
          <w:b w:val="false"/>
          <w:color w:val="000000"/>
          <w:sz w:val="20"/>
        </w:rPr>
        <w:t xml:space="preserve">)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recess, reschedule or cancel any special meeting of Stockholders previously scheduled by a Chairperson or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2.04.</w:t>
      </w:r>
      <w:r>
        <w:rPr>
          <w:rFonts w:ascii="Times New Roman;serif" w:hAnsi="Times New Roman;serif"/>
          <w:b w:val="false"/>
          <w:i/>
          <w:color w:val="000000"/>
          <w:sz w:val="20"/>
        </w:rPr>
        <w:t>Notice of Meetings</w:t>
      </w:r>
      <w:r>
        <w:rPr>
          <w:rFonts w:ascii="Times New Roman;serif" w:hAnsi="Times New Roman;serif"/>
          <w:b w:val="false"/>
          <w:color w:val="000000"/>
          <w:sz w:val="20"/>
        </w:rPr>
        <w:t xml:space="preserve">.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2.05.</w:t>
      </w:r>
      <w:r>
        <w:rPr>
          <w:rFonts w:ascii="Times New Roman;serif" w:hAnsi="Times New Roman;serif"/>
          <w:b w:val="false"/>
          <w:i/>
          <w:color w:val="000000"/>
          <w:sz w:val="20"/>
        </w:rPr>
        <w:t>Adjournments</w:t>
      </w:r>
      <w:r>
        <w:rPr>
          <w:rFonts w:ascii="Times New Roman;serif" w:hAnsi="Times New Roman;serif"/>
          <w:b w:val="false"/>
          <w:color w:val="000000"/>
          <w:sz w:val="20"/>
        </w:rPr>
        <w:t xml:space="preserve">. Any meeting of Stockholders, annual or special, may be adjourned from time to time by the chairperson of the meeting, whether or not there is a quorum (or, in the absence of a quorum, by the Stockholders in accordance with </w:t>
      </w:r>
      <w:r>
        <w:rPr>
          <w:rFonts w:ascii="Times New Roman;serif" w:hAnsi="Times New Roman;serif"/>
          <w:b w:val="false"/>
          <w:color w:val="000000"/>
          <w:sz w:val="20"/>
          <w:u w:val="single"/>
        </w:rPr>
        <w:t>Section 2.06</w:t>
      </w:r>
      <w:r>
        <w:rPr>
          <w:rFonts w:ascii="Times New Roman;serif" w:hAnsi="Times New Roman;serif"/>
          <w:b w:val="false"/>
          <w:color w:val="000000"/>
          <w:sz w:val="20"/>
        </w:rPr>
        <w:t xml:space="preserve">),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in accordance with Section 222(c) of the DGCL,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w:t>
      </w:r>
      <w:r>
        <w:rPr>
          <w:rFonts w:ascii="Times New Roman;serif" w:hAnsi="Times New Roman;serif"/>
          <w:b w:val="false"/>
          <w:color w:val="000000"/>
          <w:sz w:val="20"/>
          <w:u w:val="single"/>
        </w:rPr>
        <w:t>Section 2.04</w:t>
      </w:r>
      <w:r>
        <w:rPr>
          <w:color w:val="000000"/>
        </w:rPr>
        <w:t xml:space="preserve"> </w:t>
      </w:r>
      <w:r>
        <w:rPr>
          <w:rFonts w:ascii="Times New Roman;serif" w:hAnsi="Times New Roman;serif"/>
          <w:b w:val="false"/>
          <w:color w:val="000000"/>
          <w:sz w:val="20"/>
        </w:rPr>
        <w:t xml:space="preserve">of these Bylaws.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 </w:t>
      </w:r>
      <w:r>
        <w:rPr>
          <w:rFonts w:ascii="Times New Roman;serif" w:hAnsi="Times New Roman;serif"/>
          <w:b w:val="false"/>
          <w:color w:val="000000"/>
          <w:sz w:val="20"/>
          <w:u w:val="single"/>
        </w:rPr>
        <w:t>Section 2.09(a)</w:t>
      </w:r>
      <w:r>
        <w:rPr>
          <w:color w:val="000000"/>
        </w:rPr>
        <w:t xml:space="preserve"> </w:t>
      </w:r>
      <w:r>
        <w:rPr>
          <w:rFonts w:ascii="Times New Roman;serif" w:hAnsi="Times New Roman;serif"/>
          <w:b w:val="false"/>
          <w:color w:val="000000"/>
          <w:sz w:val="20"/>
        </w:rPr>
        <w:t xml:space="preserve">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2.06.</w:t>
      </w:r>
      <w:r>
        <w:rPr>
          <w:rFonts w:ascii="Times New Roman;serif" w:hAnsi="Times New Roman;serif"/>
          <w:b w:val="false"/>
          <w:i/>
          <w:color w:val="000000"/>
          <w:sz w:val="20"/>
        </w:rPr>
        <w:t xml:space="preserve">Quorum. </w:t>
      </w:r>
      <w:r>
        <w:rPr>
          <w:rFonts w:ascii="Times New Roman;serif" w:hAnsi="Times New Roman;serif"/>
          <w:b w:val="false"/>
          <w:color w:val="000000"/>
          <w:sz w:val="20"/>
        </w:rPr>
        <w:t>At any meeting of the Stockholders, the holders of a majority of the voting power of the outstanding shares of capital stock of the Corporation (“</w:t>
      </w:r>
      <w:r>
        <w:rPr>
          <w:rFonts w:ascii="Times New Roman;serif" w:hAnsi="Times New Roman;serif"/>
          <w:b/>
          <w:color w:val="000000"/>
          <w:sz w:val="20"/>
        </w:rPr>
        <w:t>Stock</w:t>
      </w:r>
      <w:r>
        <w:rPr>
          <w:color w:val="000000"/>
        </w:rPr>
        <w:t>”</w:t>
      </w:r>
      <w:r>
        <w:rPr>
          <w:rFonts w:ascii="Times New Roman;serif" w:hAnsi="Times New Roman;serif"/>
          <w:b w:val="false"/>
          <w:color w:val="000000"/>
          <w:sz w:val="20"/>
        </w:rPr>
        <w:t xml:space="preserve">) entitled to vote at the meeting, present in person or represented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Stock entitled to vote thereon, present in person or represented by proxy, shall have the power to adjourn the meeting from time to time in the manner provided in </w:t>
      </w:r>
      <w:r>
        <w:rPr>
          <w:rFonts w:ascii="Times New Roman;serif" w:hAnsi="Times New Roman;serif"/>
          <w:b w:val="false"/>
          <w:color w:val="000000"/>
          <w:sz w:val="20"/>
          <w:u w:val="single"/>
        </w:rPr>
        <w:t>Section 2.05</w:t>
      </w:r>
      <w:r>
        <w:rPr>
          <w:color w:val="000000"/>
        </w:rPr>
        <w:t xml:space="preserve"> </w:t>
      </w:r>
      <w:r>
        <w:rPr>
          <w:rFonts w:ascii="Times New Roman;serif" w:hAnsi="Times New Roman;serif"/>
          <w:b w:val="false"/>
          <w:color w:val="000000"/>
          <w:sz w:val="20"/>
        </w:rPr>
        <w:t xml:space="preserve">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2.07.</w:t>
      </w:r>
      <w:r>
        <w:rPr>
          <w:rFonts w:ascii="Times New Roman;serif" w:hAnsi="Times New Roman;serif"/>
          <w:b w:val="false"/>
          <w:i/>
          <w:color w:val="000000"/>
          <w:sz w:val="20"/>
        </w:rPr>
        <w:t>Organization</w:t>
      </w:r>
      <w:r>
        <w:rPr>
          <w:rFonts w:ascii="Times New Roman;serif" w:hAnsi="Times New Roman;serif"/>
          <w:b w:val="false"/>
          <w:color w:val="000000"/>
          <w:sz w:val="20"/>
        </w:rPr>
        <w:t xml:space="preserve">.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2.08.</w:t>
      </w:r>
      <w:r>
        <w:rPr>
          <w:rFonts w:ascii="Times New Roman;serif" w:hAnsi="Times New Roman;serif"/>
          <w:b w:val="false"/>
          <w:i/>
          <w:color w:val="000000"/>
          <w:sz w:val="20"/>
        </w:rPr>
        <w:t>Voting; Proxies</w:t>
      </w:r>
      <w:r>
        <w:rPr>
          <w:rFonts w:ascii="Times New Roman;serif" w:hAnsi="Times New Roman;serif"/>
          <w:b w:val="false"/>
          <w:color w:val="000000"/>
          <w:sz w:val="20"/>
        </w:rPr>
        <w:t xml:space="preserve">.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required on the matter.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2.09.</w:t>
      </w:r>
      <w:r>
        <w:rPr>
          <w:rFonts w:ascii="Times New Roman;serif" w:hAnsi="Times New Roman;serif"/>
          <w:b w:val="false"/>
          <w:i/>
          <w:color w:val="000000"/>
          <w:sz w:val="20"/>
        </w:rPr>
        <w:t>Fixing Date for Determination of Stockholders of Record</w:t>
      </w:r>
      <w:r>
        <w:rPr>
          <w:rFonts w:ascii="Times New Roman;serif" w:hAnsi="Times New Roman;serif"/>
          <w:b w:val="false"/>
          <w:color w:val="000000"/>
          <w:sz w:val="20"/>
        </w:rPr>
        <w:t xml:space="preserve">. </w:t>
      </w:r>
    </w:p>
    <w:p>
      <w:pPr>
        <w:pStyle w:val="TextBody"/>
        <w:bidi w:val="0"/>
        <w:spacing w:lineRule="auto" w:line="288" w:before="0" w:after="240"/>
        <w:ind w:left="0" w:right="0" w:firstLine="936"/>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serif" w:hAnsi="Times New Roman;serif"/>
          <w:b w:val="false"/>
          <w:color w:val="000000"/>
          <w:sz w:val="20"/>
          <w:u w:val="single"/>
        </w:rPr>
        <w:t>Section 2.09(a)</w:t>
      </w:r>
      <w:r>
        <w:rPr>
          <w:color w:val="000000"/>
        </w:rPr>
        <w:t xml:space="preserve"> </w:t>
      </w:r>
      <w:r>
        <w:rPr>
          <w:rFonts w:ascii="Times New Roman;serif" w:hAnsi="Times New Roman;serif"/>
          <w:b w:val="false"/>
          <w:color w:val="000000"/>
          <w:sz w:val="20"/>
        </w:rPr>
        <w:t xml:space="preserve">at the adjourned meeting. </w:t>
      </w:r>
    </w:p>
    <w:p>
      <w:pPr>
        <w:pStyle w:val="TextBody"/>
        <w:bidi w:val="0"/>
        <w:spacing w:lineRule="auto" w:line="288" w:before="0" w:after="240"/>
        <w:ind w:left="0" w:right="0" w:firstLine="936"/>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 </w:t>
      </w:r>
    </w:p>
    <w:p>
      <w:pPr>
        <w:pStyle w:val="TextBody"/>
        <w:bidi w:val="0"/>
        <w:spacing w:lineRule="auto" w:line="288" w:before="0" w:after="240"/>
        <w:ind w:left="0" w:right="0" w:firstLine="936"/>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without a meeting is fixed by the Board of Directors, (i) when no prior action of the Board of Directors is required by law or the Certificate of Incorporation, the record date for such purpose shall be the first date on which a signed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2.10.</w:t>
      </w:r>
      <w:r>
        <w:rPr>
          <w:rFonts w:ascii="Times New Roman;serif" w:hAnsi="Times New Roman;serif"/>
          <w:b w:val="false"/>
          <w:i/>
          <w:color w:val="000000"/>
          <w:sz w:val="20"/>
        </w:rPr>
        <w:t>List of Stockholders Entitled to Vote</w:t>
      </w:r>
      <w:r>
        <w:rPr>
          <w:rFonts w:ascii="Times New Roman;serif" w:hAnsi="Times New Roman;serif"/>
          <w:b w:val="false"/>
          <w:color w:val="000000"/>
          <w:sz w:val="20"/>
        </w:rPr>
        <w:t>. The Corporation shall prepare, at least ten (10) days before every meeting of Stockholders, a complete list of the Stockholders entitled to vote at the meeting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purpose germane to the meeting at least ten (10) days prior to the meeting (i) on a reasonably accessible electronic network,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Except as otherwise provided by law, the “stock ledger” shall be the only evidence as to who are the Stockholders entitled to examine the list of Stockholders required by this </w:t>
      </w:r>
      <w:r>
        <w:rPr>
          <w:rFonts w:ascii="Times New Roman;serif" w:hAnsi="Times New Roman;serif"/>
          <w:b w:val="false"/>
          <w:color w:val="000000"/>
          <w:sz w:val="20"/>
          <w:u w:val="single"/>
        </w:rPr>
        <w:t>Section 2.10</w:t>
      </w:r>
      <w:r>
        <w:rPr>
          <w:color w:val="000000"/>
        </w:rPr>
        <w:t xml:space="preserve"> </w:t>
      </w:r>
      <w:r>
        <w:rPr>
          <w:rFonts w:ascii="Times New Roman;serif" w:hAnsi="Times New Roman;serif"/>
          <w:b w:val="false"/>
          <w:color w:val="000000"/>
          <w:sz w:val="20"/>
        </w:rPr>
        <w:t xml:space="preserve">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2.11.</w:t>
      </w:r>
      <w:r>
        <w:rPr>
          <w:rFonts w:ascii="Times New Roman;serif" w:hAnsi="Times New Roman;serif"/>
          <w:b w:val="false"/>
          <w:i/>
          <w:color w:val="000000"/>
          <w:sz w:val="20"/>
        </w:rPr>
        <w:t>Inspectors of Election</w:t>
      </w:r>
      <w:r>
        <w:rPr>
          <w:rFonts w:ascii="Times New Roman;serif" w:hAnsi="Times New Roman;serif"/>
          <w:b w:val="false"/>
          <w:color w:val="000000"/>
          <w:sz w:val="20"/>
        </w:rPr>
        <w:t xml:space="preserve">.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2.12.</w:t>
      </w:r>
      <w:r>
        <w:rPr>
          <w:rFonts w:ascii="Times New Roman;serif" w:hAnsi="Times New Roman;serif"/>
          <w:b w:val="false"/>
          <w:i/>
          <w:color w:val="000000"/>
          <w:sz w:val="20"/>
        </w:rPr>
        <w:t>Conduct of Meetings</w:t>
      </w:r>
      <w:r>
        <w:rPr>
          <w:rFonts w:ascii="Times New Roman;serif" w:hAnsi="Times New Roman;serif"/>
          <w:b w:val="false"/>
          <w:color w:val="000000"/>
          <w:sz w:val="20"/>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Times New Roman;serif" w:hAnsi="Times New Roman;serif"/>
          <w:b w:val="false"/>
          <w:color w:val="000000"/>
          <w:sz w:val="20"/>
          <w:u w:val="single"/>
        </w:rPr>
        <w:t>Section 2.07</w:t>
      </w:r>
      <w:r>
        <w:rPr>
          <w:color w:val="000000"/>
        </w:rPr>
        <w:t xml:space="preserve"> </w:t>
      </w:r>
      <w:r>
        <w:rPr>
          <w:rFonts w:ascii="Times New Roman;serif" w:hAnsi="Times New Roman;serif"/>
          <w:b w:val="false"/>
          <w:color w:val="000000"/>
          <w:sz w:val="20"/>
        </w:rPr>
        <w:t xml:space="preserve">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2.13.</w:t>
      </w:r>
      <w:r>
        <w:rPr>
          <w:rFonts w:ascii="Times New Roman;serif" w:hAnsi="Times New Roman;serif"/>
          <w:b w:val="false"/>
          <w:i/>
          <w:color w:val="000000"/>
          <w:sz w:val="20"/>
        </w:rPr>
        <w:t>Advance Notice Procedures for Business Brought before a Meeting</w:t>
      </w:r>
      <w:r>
        <w:rPr>
          <w:rFonts w:ascii="Times New Roman;serif" w:hAnsi="Times New Roman;serif"/>
          <w:b w:val="false"/>
          <w:color w:val="000000"/>
          <w:sz w:val="20"/>
        </w:rPr>
        <w:t xml:space="preserve">.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shall apply to any business that may be brought before an annual meeting of Stockholders other than nominations for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election to the Board of Directors at such a meeting, which shall be governed by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of these Bylaws. Stockholders seeking to nominate Persons for election to the Board of Directors must comply with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of these Bylaws, and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shall not be applicable to nominations for election to the Board of Directors except as expressly provided in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of these Bylaws.</w:t>
      </w:r>
    </w:p>
    <w:p>
      <w:pPr>
        <w:pStyle w:val="TextBody"/>
        <w:bidi w:val="0"/>
        <w:spacing w:lineRule="auto" w:line="288" w:before="0" w:after="240"/>
        <w:ind w:left="0" w:right="0" w:firstLine="936"/>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At an annual meeting of the Stockholders, only such business shall be conducted as shall have been properly brought before the meeting. To be properly brought before an annual meeting, business must be (a) specified in a notice of meeting (or any supplement thereto)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and at the time of the meeting, (2) is entitled to vote at the meeting and (3) has complied with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or (B) properly made such proposal in accordance with Rule 14a-8 under the Securities Exchange Act of 1934, as amended, and the rules and regulations thereunder (as so amended and inclusive of such rules and regulations,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of these Bylaws. For purposes of these Bylaws, “</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 xml:space="preserve">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of these Bylaws, “present in person” shall mean that the Stockholder proposing that the business be brought before the meeting or a qualified representative of such proposing Stockholder, appear at such annual meeting,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lineRule="auto" w:line="288" w:before="0" w:after="240"/>
        <w:ind w:left="0" w:right="0" w:firstLine="936"/>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Without qualification, for business to be properly brought before an annual meeting by a Stockholder, the business must constitute a proper matter for stockholder action and the Stockholder must (a) provide Timely Notice (as defined below) thereof in writing and in proper form to the Secretary of the Corporation and (b) provide any updates or supplements to such notice at the times and in the forms required by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(in the case of the first annual meeting of Stockholders following the listing of the Corporation’s Class A Common Stock, the date of the preceding year’s annual meeting shall be deemed to be July 6, 2021);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the date of the annual meeting is more than thirty (30) days before or more than sixty (60) days after such anniversary date, notice by the Stockholder to be timely must be so delivered, or mailed and received, not later than the ninetieth (90th) day prior to such annual meeting or, if later, the tenth (10th) day following the day on which public disclosure (as defined in </w:t>
      </w:r>
      <w:r>
        <w:rPr>
          <w:rFonts w:ascii="Times New Roman;serif" w:hAnsi="Times New Roman;serif"/>
          <w:b w:val="false"/>
          <w:color w:val="000000"/>
          <w:sz w:val="20"/>
          <w:u w:val="single"/>
        </w:rPr>
        <w:t>Section 2.13(h)</w:t>
      </w:r>
      <w:r>
        <w:rPr>
          <w:rFonts w:ascii="Times New Roman;serif" w:hAnsi="Times New Roman;serif"/>
          <w:b w:val="false"/>
          <w:color w:val="000000"/>
          <w:sz w:val="20"/>
        </w:rPr>
        <w:t>) of the date of such annual meeting was first made (such notice within such time periods, “</w:t>
      </w:r>
      <w:r>
        <w:rPr>
          <w:rFonts w:ascii="Times New Roman;serif" w:hAnsi="Times New Roman;serif"/>
          <w:b/>
          <w:color w:val="000000"/>
          <w:sz w:val="20"/>
        </w:rPr>
        <w:t>Timely Notice</w:t>
      </w:r>
      <w:r>
        <w:rPr>
          <w:color w:val="000000"/>
        </w:rPr>
        <w:t>”</w:t>
      </w:r>
      <w:r>
        <w:rPr>
          <w:rFonts w:ascii="Times New Roman;serif" w:hAnsi="Times New Roman;serif"/>
          <w:b w:val="false"/>
          <w:color w:val="000000"/>
          <w:sz w:val="20"/>
        </w:rPr>
        <w:t xml:space="preserve">). In no event shall any adjournment, recess or postponement of an annual meeting or the announcement thereof commence a new time period (or extend any time period) for the giving of Timely Notice as described above. </w:t>
      </w:r>
    </w:p>
    <w:p>
      <w:pPr>
        <w:pStyle w:val="TextBody"/>
        <w:bidi w:val="0"/>
        <w:spacing w:lineRule="auto" w:line="288" w:before="0" w:after="240"/>
        <w:ind w:left="0" w:right="0" w:firstLine="936"/>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To be in proper form for purposes of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a Stockholder’s notice to the Secretary shall set forth: </w:t>
      </w:r>
    </w:p>
    <w:p>
      <w:pPr>
        <w:pStyle w:val="TextBody"/>
        <w:bidi w:val="0"/>
        <w:spacing w:lineRule="auto" w:line="288" w:before="0" w:after="24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(i)As to each Proposing Person (as defined below), (A) the name and address of such Proposing Person (including, if applicable, the name and address that appear on the Corporation’s books and records); and (B) the number of shares of each class or series of Stock that are, directly or indirectly, owned of record or beneficially owned (within the meaning of Rule 13d-3 under the Exchange Act) by such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Proposing Person, except that such Proposing Person shall in all events be deemed to beneficially own any shares of any class or series of Stock as to which such Proposing Person has a right to acquire beneficial ownership at any time in the future (the disclosures to be made pursuant to the foregoing clauses (A) and (B) are referred to as “</w:t>
      </w:r>
      <w:r>
        <w:rPr>
          <w:rFonts w:ascii="Times New Roman;serif" w:hAnsi="Times New Roman;serif"/>
          <w:b/>
          <w:color w:val="000000"/>
          <w:sz w:val="20"/>
        </w:rPr>
        <w:t>Stockholder Information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(ii)As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Stock;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p>
      <w:pPr>
        <w:pStyle w:val="TextBody"/>
        <w:bidi w:val="0"/>
        <w:spacing w:lineRule="auto" w:line="288" w:before="0" w:after="24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(iii)As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 xml:space="preserve">brought before the meeting pursuant to Section 14(a) of the Exchange Act; provided, however, that the disclosures required by this </w:t>
      </w:r>
      <w:r>
        <w:rPr>
          <w:rFonts w:ascii="Times New Roman;serif" w:hAnsi="Times New Roman;serif"/>
          <w:b w:val="false"/>
          <w:color w:val="000000"/>
          <w:sz w:val="20"/>
          <w:u w:val="single"/>
        </w:rPr>
        <w:t>Section 2.13(c)</w:t>
      </w:r>
      <w:r>
        <w:rPr>
          <w:color w:val="000000"/>
        </w:rPr>
        <w:t xml:space="preserve"> </w:t>
      </w:r>
      <w:r>
        <w:rPr>
          <w:rFonts w:ascii="Times New Roman;serif" w:hAnsi="Times New Roman;serif"/>
          <w:b w:val="false"/>
          <w:color w:val="000000"/>
          <w:sz w:val="20"/>
        </w:rPr>
        <w:t xml:space="preserve">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w:t>
      </w:r>
    </w:p>
    <w:p>
      <w:pPr>
        <w:pStyle w:val="TextBody"/>
        <w:bidi w:val="0"/>
        <w:spacing w:lineRule="auto" w:line="288" w:before="0" w:after="240"/>
        <w:ind w:left="0" w:right="0" w:firstLine="936"/>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For purposes of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the term “</w:t>
      </w:r>
      <w:r>
        <w:rPr>
          <w:rFonts w:ascii="Times New Roman;serif" w:hAnsi="Times New Roman;serif"/>
          <w:b/>
          <w:color w:val="000000"/>
          <w:sz w:val="20"/>
        </w:rPr>
        <w:t>Proposing Person</w:t>
      </w:r>
      <w:r>
        <w:rPr>
          <w:color w:val="000000"/>
        </w:rPr>
        <w:t xml:space="preserve">” </w:t>
      </w:r>
      <w:r>
        <w:rPr>
          <w:rFonts w:ascii="Times New Roman;serif" w:hAnsi="Times New Roman;serif"/>
          <w:b w:val="false"/>
          <w:color w:val="000000"/>
          <w:sz w:val="20"/>
        </w:rPr>
        <w:t xml:space="preserve">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(e)</w:t>
      </w:r>
      <w:r>
        <w:rPr>
          <w:rFonts w:ascii="Times New Roman;serif" w:hAnsi="Times New Roman;serif"/>
          <w:b w:val="false"/>
          <w:color w:val="000000"/>
          <w:sz w:val="20"/>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spacing w:lineRule="auto" w:line="288" w:before="0" w:after="240"/>
        <w:ind w:left="0" w:right="0" w:firstLine="936"/>
        <w:jc w:val="left"/>
        <w:rPr/>
      </w:pPr>
      <w:r>
        <w:rPr>
          <w:rFonts w:ascii="Times New Roman;serif" w:hAnsi="Times New Roman;serif"/>
          <w:b w:val="false"/>
          <w:color w:val="000000"/>
          <w:sz w:val="20"/>
        </w:rPr>
        <w:t>(f)</w:t>
      </w:r>
      <w:r>
        <w:rPr>
          <w:rFonts w:ascii="Times New Roman;serif" w:hAnsi="Times New Roman;serif"/>
          <w:b w:val="false"/>
          <w:color w:val="000000"/>
          <w:sz w:val="20"/>
        </w:rPr>
        <w:t xml:space="preserve">Notwithstanding anything in these Bylaws to the contrary, no business shall be conducted at an annual meeting that is not properly brought before the meeting in accordance with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The presiding officer of the meeting shall, if the facts warrant, determine that the business was not properly brought before the meeting in accordance with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and if he or she should so determine, he or she shall so declare to the meeting and any such business not properly brought before the meeting shall not be transacted. </w:t>
      </w:r>
    </w:p>
    <w:p>
      <w:pPr>
        <w:pStyle w:val="TextBody"/>
        <w:bidi w:val="0"/>
        <w:spacing w:lineRule="auto" w:line="288" w:before="0" w:after="240"/>
        <w:ind w:left="0" w:right="0" w:firstLine="936"/>
        <w:jc w:val="left"/>
        <w:rPr/>
      </w:pPr>
      <w:r>
        <w:rPr>
          <w:rFonts w:ascii="Times New Roman;serif" w:hAnsi="Times New Roman;serif"/>
          <w:b w:val="false"/>
          <w:color w:val="000000"/>
          <w:sz w:val="20"/>
        </w:rPr>
        <w:t>(g)</w:t>
      </w:r>
      <w:r>
        <w:rPr>
          <w:rFonts w:ascii="Times New Roman;serif" w:hAnsi="Times New Roman;serif"/>
          <w:b w:val="false"/>
          <w:color w:val="000000"/>
          <w:sz w:val="20"/>
        </w:rPr>
        <w:t xml:space="preserve">In addition to the requirements of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with respect to any business proposed to be brought before an annual meeting, each Proposing Person shall comply with all applicable requirements of the Exchange Act with respect to any such business. Nothing in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shall be deemed to affect the rights of Stockholders to request inclusion of proposals in the Corporation’s proxy statement pursuant to Rule 14a-8 under the Exchange Act. </w:t>
      </w:r>
    </w:p>
    <w:p>
      <w:pPr>
        <w:pStyle w:val="TextBody"/>
        <w:bidi w:val="0"/>
        <w:spacing w:lineRule="auto" w:line="288" w:before="0" w:after="240"/>
        <w:ind w:left="0" w:right="0" w:firstLine="936"/>
        <w:jc w:val="left"/>
        <w:rPr/>
      </w:pPr>
      <w:r>
        <w:rPr>
          <w:rFonts w:ascii="Times New Roman;serif" w:hAnsi="Times New Roman;serif"/>
          <w:b w:val="false"/>
          <w:color w:val="000000"/>
          <w:sz w:val="20"/>
        </w:rPr>
        <w:t>(h)</w:t>
      </w:r>
      <w:r>
        <w:rPr>
          <w:rFonts w:ascii="Times New Roman;serif" w:hAnsi="Times New Roman;serif"/>
          <w:b w:val="false"/>
          <w:color w:val="000000"/>
          <w:sz w:val="20"/>
        </w:rPr>
        <w:t xml:space="preserve">For purposes of these Bylaws, “public disclosure” shall mean disclosure in a press release reported by a national news service or in a document publicly filed by the Corporation with the Securities and Exchange Commission pursuant to Sections 13, 14 or 15(d) of the Exchange Act. </w:t>
      </w:r>
    </w:p>
    <w:p>
      <w:pPr>
        <w:pStyle w:val="TextBody"/>
        <w:bidi w:val="0"/>
        <w:spacing w:lineRule="auto" w:line="288" w:before="0" w:after="240"/>
        <w:ind w:left="0" w:right="0" w:firstLine="936"/>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serif" w:hAnsi="Times New Roman;serif"/>
          <w:b w:val="false"/>
          <w:color w:val="000000"/>
          <w:sz w:val="20"/>
          <w:u w:val="single"/>
        </w:rPr>
        <w:t>Section 2.13</w:t>
      </w:r>
      <w:r>
        <w:rPr>
          <w:rFonts w:ascii="Times New Roman;serif" w:hAnsi="Times New Roman;serif"/>
          <w:b w:val="false"/>
          <w:color w:val="000000"/>
          <w:sz w:val="20"/>
        </w:rPr>
        <w:t>. For purposes of these Bylaws, “</w:t>
      </w:r>
      <w:r>
        <w:rPr>
          <w:rFonts w:ascii="Times New Roman;serif" w:hAnsi="Times New Roman;serif"/>
          <w:b/>
          <w:color w:val="000000"/>
          <w:sz w:val="20"/>
        </w:rPr>
        <w:t>CHS</w:t>
      </w:r>
      <w:r>
        <w:rPr>
          <w:color w:val="000000"/>
        </w:rPr>
        <w:t xml:space="preserve">” </w:t>
      </w:r>
      <w:r>
        <w:rPr>
          <w:rFonts w:ascii="Times New Roman;serif" w:hAnsi="Times New Roman;serif"/>
          <w:b w:val="false"/>
          <w:color w:val="000000"/>
          <w:sz w:val="20"/>
        </w:rPr>
        <w:t>shall mean CHS US Investments LLC, a Cayman limited liability company, together with its affiliates, and the “</w:t>
      </w:r>
      <w:r>
        <w:rPr>
          <w:rFonts w:ascii="Times New Roman;serif" w:hAnsi="Times New Roman;serif"/>
          <w:b/>
          <w:color w:val="000000"/>
          <w:sz w:val="20"/>
        </w:rPr>
        <w:t>Investor Rights Agreement</w:t>
      </w:r>
      <w:r>
        <w:rPr>
          <w:color w:val="000000"/>
        </w:rPr>
        <w:t xml:space="preserve">” </w:t>
      </w:r>
      <w:r>
        <w:rPr>
          <w:rFonts w:ascii="Times New Roman;serif" w:hAnsi="Times New Roman;serif"/>
          <w:b w:val="false"/>
          <w:color w:val="000000"/>
          <w:sz w:val="20"/>
        </w:rPr>
        <w:t>shall mean that certain Investor Rights Agreement, dated as of August 20, 2025 (as it may be amended from time to time in accordance with its terms), by and among the Corporation, CHS and the other parties thereto.</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2.14.</w:t>
      </w:r>
      <w:r>
        <w:rPr>
          <w:rFonts w:ascii="Times New Roman;serif" w:hAnsi="Times New Roman;serif"/>
          <w:b w:val="false"/>
          <w:i/>
          <w:color w:val="000000"/>
          <w:sz w:val="20"/>
        </w:rPr>
        <w:t>Advance Notice Procedures for Nominations of Directors</w:t>
      </w:r>
      <w:r>
        <w:rPr>
          <w:rFonts w:ascii="Times New Roman;serif" w:hAnsi="Times New Roman;serif"/>
          <w:b w:val="false"/>
          <w:color w:val="000000"/>
          <w:sz w:val="2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936"/>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or at the direction of the Board of Directors, including by any committee authorized to do so by the Board of Directors or these Bylaws, or (b) by a Stockholder present in person (as defined in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(1) who was a Stockholder of record of the Corporation both at the time of giving the notice provided for in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and at the time of the meeting, (2) is entitled to vote at the meeting and (3) has complied with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as to such notice and nomination. The foregoing clause (b) shall be the exclusive means for a Stockholder to make any nomination of a person or persons for election to the Board of Directors at any annual meeting or special meeting of Stockholders. </w: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(i)Without qualification, for a Stockholder to make any nomination of a person or persons for election to the Board of Directors at an annual meeting, the Stockholder must (a) provide Timely Notice (as defined in </w:t>
      </w:r>
      <w:r>
        <w:rPr>
          <w:rFonts w:ascii="Times New Roman;serif" w:hAnsi="Times New Roman;serif"/>
          <w:b w:val="false"/>
          <w:color w:val="000000"/>
          <w:sz w:val="20"/>
          <w:u w:val="single"/>
        </w:rPr>
        <w:t>Section 2.13(b)</w:t>
      </w:r>
      <w:r>
        <w:rPr>
          <w:color w:val="000000"/>
        </w:rPr>
        <w:t xml:space="preserve"> </w:t>
      </w:r>
      <w:r>
        <w:rPr>
          <w:rFonts w:ascii="Times New Roman;serif" w:hAnsi="Times New Roman;serif"/>
          <w:b w:val="false"/>
          <w:color w:val="000000"/>
          <w:sz w:val="20"/>
        </w:rPr>
        <w:t xml:space="preserve">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and (c) provide any updates or supplements to such notice at the times and in the forms required by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w: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(ii)Without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and (c) provide any updates or supplements to such notice at the times and in the forms required by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To be timely for purposes of this </w:t>
      </w:r>
      <w:r>
        <w:rPr>
          <w:rFonts w:ascii="Times New Roman;serif" w:hAnsi="Times New Roman;serif"/>
          <w:b w:val="false"/>
          <w:color w:val="000000"/>
          <w:sz w:val="20"/>
          <w:u w:val="single"/>
        </w:rPr>
        <w:t>Section 2.14(b)(ii)</w:t>
      </w:r>
      <w:r>
        <w:rPr>
          <w:rFonts w:ascii="Times New Roman;serif" w:hAnsi="Times New Roman;serif"/>
          <w:b w:val="false"/>
          <w:color w:val="000000"/>
          <w:sz w:val="20"/>
        </w:rPr>
        <w:t xml:space="preserve">, a Stockholder’s notice for nominations to be made at a special meeting must be delivered to, or mailed to and received by the Secretary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serif" w:hAnsi="Times New Roman;serif"/>
          <w:b w:val="false"/>
          <w:color w:val="000000"/>
          <w:sz w:val="20"/>
          <w:u w:val="single"/>
        </w:rPr>
        <w:t>Section 2.13(h)</w:t>
      </w:r>
      <w:r>
        <w:rPr>
          <w:rFonts w:ascii="Times New Roman;serif" w:hAnsi="Times New Roman;serif"/>
          <w:b w:val="false"/>
          <w:color w:val="000000"/>
          <w:sz w:val="20"/>
        </w:rPr>
        <w:t xml:space="preserve">) of the date of such special meeting at which directors are to be elected was first made. </w:t>
      </w:r>
    </w:p>
    <w:p>
      <w:pPr>
        <w:pStyle w:val="TextBody"/>
        <w:bidi w:val="0"/>
        <w:spacing w:lineRule="auto" w:line="288" w:before="0" w:after="24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(iii)In no event shall any adjournment, recess or postponement of an annual meeting or special meeting or the announcement thereof commence a new time period (or extent any time period) for the giving of a Stockholder’s notice as described above. </w: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(iv)In no event may a Nominating Person (as defined below) provide notice under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or otherwise with respect to a greater number of director candidates than are subject to election by Stockholders at the applicable meeting. Notwithstanding anything in </w:t>
      </w:r>
      <w:r>
        <w:rPr>
          <w:rFonts w:ascii="Times New Roman;serif" w:hAnsi="Times New Roman;serif"/>
          <w:b w:val="false"/>
          <w:color w:val="000000"/>
          <w:sz w:val="20"/>
          <w:u w:val="single"/>
        </w:rPr>
        <w:t>Section 2.14(b)(i)(a)</w:t>
      </w:r>
      <w:r>
        <w:rPr>
          <w:color w:val="000000"/>
        </w:rPr>
        <w:t xml:space="preserve"> </w:t>
      </w:r>
      <w:r>
        <w:rPr>
          <w:rFonts w:ascii="Times New Roman;serif" w:hAnsi="Times New Roman;serif"/>
          <w:b w:val="false"/>
          <w:color w:val="000000"/>
          <w:sz w:val="20"/>
        </w:rPr>
        <w:t xml:space="preserve">to the contrary, if the number of directors subject to election at an annual meeting is increased effective after the time period for which nominations would otherwise be due under </w:t>
      </w:r>
      <w:r>
        <w:rPr>
          <w:rFonts w:ascii="Times New Roman;serif" w:hAnsi="Times New Roman;serif"/>
          <w:b w:val="false"/>
          <w:color w:val="000000"/>
          <w:sz w:val="20"/>
          <w:u w:val="single"/>
        </w:rPr>
        <w:t>Section 2.14(b)(i)(a)</w:t>
      </w:r>
      <w:r>
        <w:rPr>
          <w:color w:val="000000"/>
        </w:rPr>
        <w:t xml:space="preserve"> </w:t>
      </w:r>
      <w:r>
        <w:rPr>
          <w:rFonts w:ascii="Times New Roman;serif" w:hAnsi="Times New Roman;serif"/>
          <w:b w:val="false"/>
          <w:color w:val="000000"/>
          <w:sz w:val="20"/>
        </w:rPr>
        <w:t xml:space="preserve">and there is no public announcement by the Corporation naming the nominees for the additional directorships at least one hundred (100) days prior to the one-year anniversary of the preceding year’s annual meeting, a Stockholder’s notice required by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shall also be considered timely, but only with respect to nominees for the additional directorships, if it shall be delivered to the Secretary of the Corporation not later than the tenth (10th) day following the date on which public disclosure (as defined in </w:t>
      </w:r>
      <w:r>
        <w:rPr>
          <w:rFonts w:ascii="Times New Roman;serif" w:hAnsi="Times New Roman;serif"/>
          <w:b w:val="false"/>
          <w:color w:val="000000"/>
          <w:sz w:val="20"/>
          <w:u w:val="single"/>
        </w:rPr>
        <w:t>Section 2.13(h)</w:t>
      </w:r>
      <w:r>
        <w:rPr>
          <w:rFonts w:ascii="Times New Roman;serif" w:hAnsi="Times New Roman;serif"/>
          <w:b w:val="false"/>
          <w:color w:val="000000"/>
          <w:sz w:val="20"/>
        </w:rPr>
        <w:t xml:space="preserve">) is first made by the Corporation.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To be in proper form for purposes of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a Stockholder’s notice to the Secretary shall set forth: </w: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(i)As to each Nominating Person, the Stockholder Information (as defined in </w:t>
      </w:r>
      <w:r>
        <w:rPr>
          <w:rFonts w:ascii="Times New Roman;serif" w:hAnsi="Times New Roman;serif"/>
          <w:b w:val="false"/>
          <w:color w:val="000000"/>
          <w:sz w:val="20"/>
          <w:u w:val="single"/>
        </w:rPr>
        <w:t>Section 2.13(c)(i)</w:t>
      </w:r>
      <w:r>
        <w:rPr>
          <w:color w:val="000000"/>
        </w:rPr>
        <w:t xml:space="preserve"> </w:t>
      </w:r>
      <w:r>
        <w:rPr>
          <w:rFonts w:ascii="Times New Roman;serif" w:hAnsi="Times New Roman;serif"/>
          <w:b w:val="false"/>
          <w:color w:val="000000"/>
          <w:sz w:val="20"/>
        </w:rPr>
        <w:t xml:space="preserve">of these Bylaws) except that for purposes of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the term “Nominating Person” shall be substituted for the term “Proposing Person” in all places it appears in </w:t>
      </w:r>
      <w:r>
        <w:rPr>
          <w:rFonts w:ascii="Times New Roman;serif" w:hAnsi="Times New Roman;serif"/>
          <w:b w:val="false"/>
          <w:color w:val="000000"/>
          <w:sz w:val="20"/>
          <w:u w:val="single"/>
        </w:rPr>
        <w:t>Section 2.13(c)(i)</w:t>
      </w:r>
      <w:r>
        <w:rPr>
          <w:rFonts w:ascii="Times New Roman;serif" w:hAnsi="Times New Roman;serif"/>
          <w:b w:val="false"/>
          <w:color w:val="000000"/>
          <w:sz w:val="2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(ii)As to each Nominating Person, any Disclosable Interests (as defined in </w:t>
      </w:r>
      <w:r>
        <w:rPr>
          <w:rFonts w:ascii="Times New Roman;serif" w:hAnsi="Times New Roman;serif"/>
          <w:b w:val="false"/>
          <w:color w:val="000000"/>
          <w:sz w:val="20"/>
          <w:u w:val="single"/>
        </w:rPr>
        <w:t>Section 2.13(c)(ii)</w:t>
      </w:r>
      <w:r>
        <w:rPr>
          <w:rFonts w:ascii="Times New Roman;serif" w:hAnsi="Times New Roman;serif"/>
          <w:b w:val="false"/>
          <w:color w:val="000000"/>
          <w:sz w:val="20"/>
        </w:rPr>
        <w:t xml:space="preserve">, except that for purposes of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the term “Nominating Person” shall be substituted for the term “Proposing Person” in all places it appears in </w:t>
      </w:r>
      <w:r>
        <w:rPr>
          <w:rFonts w:ascii="Times New Roman;serif" w:hAnsi="Times New Roman;serif"/>
          <w:b w:val="false"/>
          <w:color w:val="000000"/>
          <w:sz w:val="20"/>
          <w:u w:val="single"/>
        </w:rPr>
        <w:t>Section 2.13(c)(ii)</w:t>
      </w:r>
      <w:r>
        <w:rPr>
          <w:color w:val="000000"/>
        </w:rPr>
        <w:t xml:space="preserve"> </w:t>
      </w:r>
      <w:r>
        <w:rPr>
          <w:rFonts w:ascii="Times New Roman;serif" w:hAnsi="Times New Roman;serif"/>
          <w:b w:val="false"/>
          <w:color w:val="000000"/>
          <w:sz w:val="20"/>
        </w:rPr>
        <w:t xml:space="preserve">and the disclosure with respect to the business to be brought before the meeting in </w:t>
      </w:r>
      <w:r>
        <w:rPr>
          <w:rFonts w:ascii="Times New Roman;serif" w:hAnsi="Times New Roman;serif"/>
          <w:b w:val="false"/>
          <w:color w:val="000000"/>
          <w:sz w:val="20"/>
          <w:u w:val="single"/>
        </w:rPr>
        <w:t>Section 2.13(c)(iii)</w:t>
      </w:r>
      <w:r>
        <w:rPr>
          <w:color w:val="000000"/>
        </w:rPr>
        <w:t xml:space="preserve"> </w:t>
      </w:r>
      <w:r>
        <w:rPr>
          <w:rFonts w:ascii="Times New Roman;serif" w:hAnsi="Times New Roman;serif"/>
          <w:b w:val="false"/>
          <w:color w:val="000000"/>
          <w:sz w:val="20"/>
        </w:rPr>
        <w:t xml:space="preserve">shall be made with respect to nomination of each Person for election as a director at the meeting); and </w:t>
      </w:r>
    </w:p>
    <w:p>
      <w:pPr>
        <w:pStyle w:val="TextBody"/>
        <w:bidi w:val="0"/>
        <w:spacing w:lineRule="auto" w:line="288" w:before="0" w:after="240"/>
        <w:ind w:left="0" w:right="0" w:firstLine="1080"/>
        <w:jc w:val="left"/>
        <w:rPr/>
      </w:pPr>
      <w:r>
        <w:rPr>
          <w:rFonts w:ascii="Times New Roman;serif" w:hAnsi="Times New Roman;serif"/>
          <w:b w:val="false"/>
          <w:color w:val="000000"/>
          <w:sz w:val="20"/>
        </w:rPr>
        <w:t xml:space="preserve">(iii)As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of the Nominating Person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serif" w:hAnsi="Times New Roman;serif"/>
          <w:b/>
          <w:color w:val="000000"/>
          <w:sz w:val="20"/>
        </w:rPr>
        <w:t>Nominee Information</w:t>
      </w:r>
      <w:r>
        <w:rPr>
          <w:color w:val="000000"/>
        </w:rPr>
        <w:t>”</w:t>
      </w:r>
      <w:r>
        <w:rPr>
          <w:rFonts w:ascii="Times New Roman;serif" w:hAnsi="Times New Roman;serif"/>
          <w:b w:val="false"/>
          <w:color w:val="000000"/>
          <w:sz w:val="20"/>
        </w:rPr>
        <w:t xml:space="preserve">), and (D) a completed and signed questionnaire, representation and agreement as provided in </w:t>
      </w:r>
      <w:r>
        <w:rPr>
          <w:rFonts w:ascii="Times New Roman;serif" w:hAnsi="Times New Roman;serif"/>
          <w:b w:val="false"/>
          <w:color w:val="000000"/>
          <w:sz w:val="20"/>
          <w:u w:val="single"/>
        </w:rPr>
        <w:t>Section 2.14(f)</w:t>
      </w:r>
      <w:r>
        <w:rPr>
          <w:rFonts w:ascii="Times New Roman;serif" w:hAnsi="Times New Roman;serif"/>
          <w:b w:val="false"/>
          <w:color w:val="000000"/>
          <w:sz w:val="20"/>
        </w:rPr>
        <w:t xml:space="preserve">. </w:t>
      </w:r>
    </w:p>
    <w:p>
      <w:pPr>
        <w:pStyle w:val="TextBody"/>
        <w:bidi w:val="0"/>
        <w:spacing w:lineRule="auto" w:line="288" w:before="0" w:after="240"/>
        <w:ind w:left="0" w:right="0" w:firstLine="936"/>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For purposes of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the term “</w:t>
      </w:r>
      <w:r>
        <w:rPr>
          <w:rFonts w:ascii="Times New Roman;serif" w:hAnsi="Times New Roman;serif"/>
          <w:b/>
          <w:color w:val="000000"/>
          <w:sz w:val="20"/>
        </w:rPr>
        <w:t>Nominating Person</w:t>
      </w:r>
      <w:r>
        <w:rPr>
          <w:color w:val="000000"/>
        </w:rPr>
        <w:t xml:space="preserve">” </w:t>
      </w:r>
      <w:r>
        <w:rPr>
          <w:rFonts w:ascii="Times New Roman;serif" w:hAnsi="Times New Roman;serif"/>
          <w:b w:val="false"/>
          <w:color w:val="000000"/>
          <w:sz w:val="20"/>
        </w:rPr>
        <w:t xml:space="preserve">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(e)</w:t>
      </w:r>
      <w:r>
        <w:rPr>
          <w:rFonts w:ascii="Times New Roman;serif" w:hAnsi="Times New Roman;serif"/>
          <w:b w:val="false"/>
          <w:color w:val="000000"/>
          <w:sz w:val="20"/>
        </w:rPr>
        <w:t xml:space="preserve">To be eligible to be a candidate for election as a director of the Corporation at an annual or special meeting, a candidate must be nominated in the manner prescribed in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and the candidate for nomination, whether nominated by the Board of Directors or by a Stockholder of record, must have previously delivered (with respect to candidates nominated by a Stockholder,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with respect to the background, qualifications, stock ownership and independence of such candidate for nomination and (ii) a written representation and agreement (in the form provided by the Corporation upon written request therefor) that such candidate for nomination (A) is not, and will not become a party to, any agreement, arrangement or understanding with any Person or entity other than the Corporation with respect to any direct or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rPr>
        <w:t>indirect compensation or reimbursement for service as a director of the Corporation that has not been disclosed in such written questionnaire, (B) has not given and will not (1) give any commitment or assurance to, any person or entity as to how such proposed nominee, if elected as a director of the Corporation, will act or vote on any issue or question that has not been disclosed to the Corporation (a “</w:t>
      </w:r>
      <w:r>
        <w:rPr>
          <w:rFonts w:ascii="Times New Roman;serif" w:hAnsi="Times New Roman;serif"/>
          <w:b/>
          <w:color w:val="000000"/>
          <w:sz w:val="20"/>
        </w:rPr>
        <w:t>Voting Commitment</w:t>
      </w:r>
      <w:r>
        <w:rPr>
          <w:color w:val="000000"/>
        </w:rPr>
        <w:t>”</w:t>
      </w:r>
      <w:r>
        <w:rPr>
          <w:rFonts w:ascii="Times New Roman;serif" w:hAnsi="Times New Roman;serif"/>
          <w:b w:val="false"/>
          <w:color w:val="000000"/>
          <w:sz w:val="20"/>
        </w:rPr>
        <w:t xml:space="preserve">) or (2) enter into any Voting Commitment that could limit or interfere with such proposed nominee’s ability to comply, if elected as a director of the Corporation, with such proposed nominee’s fiduciary duties under applicable law and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 </w:t>
      </w:r>
    </w:p>
    <w:p>
      <w:pPr>
        <w:pStyle w:val="TextBody"/>
        <w:bidi w:val="0"/>
        <w:spacing w:lineRule="auto" w:line="288" w:before="0" w:after="240"/>
        <w:ind w:left="0" w:right="0" w:firstLine="936"/>
        <w:jc w:val="left"/>
        <w:rPr/>
      </w:pPr>
      <w:r>
        <w:rPr>
          <w:rFonts w:ascii="Times New Roman;serif" w:hAnsi="Times New Roman;serif"/>
          <w:b w:val="false"/>
          <w:color w:val="000000"/>
          <w:sz w:val="20"/>
        </w:rPr>
        <w:t>(f)</w:t>
      </w:r>
      <w:r>
        <w:rPr>
          <w:rFonts w:ascii="Times New Roman;serif" w:hAnsi="Times New Roman;serif"/>
          <w:b w:val="false"/>
          <w:color w:val="000000"/>
          <w:sz w:val="20"/>
        </w:rPr>
        <w:t xml:space="preserve">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(g)</w:t>
      </w:r>
      <w:r>
        <w:rPr>
          <w:rFonts w:ascii="Times New Roman;serif" w:hAnsi="Times New Roman;serif"/>
          <w:b w:val="false"/>
          <w:color w:val="000000"/>
          <w:sz w:val="20"/>
        </w:rPr>
        <w:t xml:space="preserve">A candidate for nomination as a director shall further update and supplement the materials delivered pursuant to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if necessary, so that the information provided or required to be provided pursuant to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 </w:t>
      </w:r>
    </w:p>
    <w:p>
      <w:pPr>
        <w:pStyle w:val="TextBody"/>
        <w:bidi w:val="0"/>
        <w:spacing w:lineRule="auto" w:line="288" w:before="0" w:after="240"/>
        <w:ind w:left="0" w:right="0" w:firstLine="936"/>
        <w:jc w:val="left"/>
        <w:rPr/>
      </w:pPr>
      <w:r>
        <w:rPr>
          <w:rFonts w:ascii="Times New Roman;serif" w:hAnsi="Times New Roman;serif"/>
          <w:b w:val="false"/>
          <w:color w:val="000000"/>
          <w:sz w:val="20"/>
        </w:rPr>
        <w:t>(h)</w:t>
      </w:r>
      <w:r>
        <w:rPr>
          <w:rFonts w:ascii="Times New Roman;serif" w:hAnsi="Times New Roman;serif"/>
          <w:b w:val="false"/>
          <w:color w:val="000000"/>
          <w:sz w:val="20"/>
        </w:rPr>
        <w:t xml:space="preserve">In addition to the requirements of this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 xml:space="preserve">with respect to any nomination proposed to be made at a meeting, each Proposing Person shall comply with all applicable requirements of the Exchange Act with respect to any such nominations. </w:t>
      </w:r>
    </w:p>
    <w:p>
      <w:pPr>
        <w:pStyle w:val="TextBody"/>
        <w:bidi w:val="0"/>
        <w:spacing w:lineRule="auto" w:line="288" w:before="0" w:after="240"/>
        <w:ind w:left="0" w:right="0" w:firstLine="936"/>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No candidate proposed by a Nominating Person shall be eligible for nomination as a director of the Corporation unless such candidate for nomination and the Nominating Person seeking to place such candidate’s name in nomination has complied with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as applicable. The presiding officer at the meeting shall, if the facts warrant, determine that a nomination was not properly made in accordance with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 </w:t>
      </w:r>
    </w:p>
    <w:p>
      <w:pPr>
        <w:pStyle w:val="TextBody"/>
        <w:bidi w:val="0"/>
        <w:spacing w:lineRule="auto" w:line="288" w:before="0" w:after="240"/>
        <w:ind w:left="0" w:right="0" w:firstLine="936"/>
        <w:jc w:val="left"/>
        <w:rPr/>
      </w:pPr>
      <w:r>
        <w:rPr>
          <w:rFonts w:ascii="Times New Roman;serif" w:hAnsi="Times New Roman;serif"/>
          <w:b w:val="false"/>
          <w:color w:val="000000"/>
          <w:sz w:val="20"/>
        </w:rPr>
        <w:t>(j)</w:t>
      </w:r>
      <w:r>
        <w:rPr>
          <w:rFonts w:ascii="Times New Roman;serif" w:hAnsi="Times New Roman;serif"/>
          <w:b w:val="false"/>
          <w:color w:val="000000"/>
          <w:sz w:val="20"/>
        </w:rPr>
        <w:t xml:space="preserve">Notwithstanding anything in these Bylaws to the contrary, no candidate proposed by a Nominating Person for nomination at an annual or special meeting shall be eligible to be seated as a director of the Corporation unless nominated and elected in accordance with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 xml:space="preserve">. </w:t>
      </w:r>
    </w:p>
    <w:p>
      <w:pPr>
        <w:pStyle w:val="TextBody"/>
        <w:bidi w:val="0"/>
        <w:spacing w:lineRule="auto" w:line="288" w:before="0" w:after="240"/>
        <w:ind w:left="0" w:right="0" w:firstLine="936"/>
        <w:jc w:val="left"/>
        <w:rPr/>
      </w:pPr>
      <w:r>
        <w:rPr>
          <w:rFonts w:ascii="Times New Roman;serif" w:hAnsi="Times New Roman;serif"/>
          <w:b w:val="false"/>
          <w:color w:val="000000"/>
          <w:sz w:val="20"/>
        </w:rPr>
        <w:t>(k)</w:t>
      </w:r>
      <w:r>
        <w:rPr>
          <w:rFonts w:ascii="Times New Roman;serif" w:hAnsi="Times New Roman;serif"/>
          <w:b w:val="false"/>
          <w:color w:val="000000"/>
          <w:sz w:val="20"/>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serif" w:hAnsi="Times New Roman;serif"/>
          <w:b w:val="false"/>
          <w:color w:val="000000"/>
          <w:sz w:val="20"/>
          <w:u w:val="single"/>
        </w:rPr>
        <w:t>Section 2.14</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2.15.</w:t>
      </w:r>
      <w:r>
        <w:rPr>
          <w:rFonts w:ascii="Times New Roman;serif" w:hAnsi="Times New Roman;serif"/>
          <w:b w:val="false"/>
          <w:i/>
          <w:color w:val="000000"/>
          <w:sz w:val="20"/>
        </w:rPr>
        <w:t>Delivery to the Corporation</w:t>
      </w:r>
      <w:r>
        <w:rPr>
          <w:rFonts w:ascii="Times New Roman;serif" w:hAnsi="Times New Roman;serif"/>
          <w:b w:val="false"/>
          <w:color w:val="000000"/>
          <w:sz w:val="20"/>
        </w:rPr>
        <w:t xml:space="preserve">. Whenever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2.14</w:t>
      </w:r>
      <w:r>
        <w:rPr>
          <w:color w:val="000000"/>
        </w:rPr>
        <w:t xml:space="preserve"> </w:t>
      </w:r>
      <w:r>
        <w:rPr>
          <w:rFonts w:ascii="Times New Roman;serif" w:hAnsi="Times New Roman;serif"/>
          <w:b w:val="false"/>
          <w:color w:val="000000"/>
          <w:sz w:val="20"/>
        </w:rPr>
        <w:t xml:space="preserve">of this Article II requires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2.14</w:t>
      </w:r>
      <w:r>
        <w:rPr>
          <w:color w:val="000000"/>
        </w:rPr>
        <w:t xml:space="preserve"> </w:t>
      </w:r>
      <w:r>
        <w:rPr>
          <w:rFonts w:ascii="Times New Roman;serif" w:hAnsi="Times New Roman;serif"/>
          <w:b w:val="false"/>
          <w:color w:val="000000"/>
          <w:sz w:val="20"/>
        </w:rPr>
        <w:t xml:space="preserve">of this Article II, to the fullest extent permitted by law, the Corporation expressly opts out of Section 116 of the DGCL.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2.16.</w:t>
      </w:r>
      <w:r>
        <w:rPr>
          <w:rFonts w:ascii="Times New Roman;serif" w:hAnsi="Times New Roman;serif"/>
          <w:b w:val="false"/>
          <w:i/>
          <w:color w:val="000000"/>
          <w:sz w:val="20"/>
        </w:rPr>
        <w:t>Action by Written Consent</w:t>
      </w:r>
      <w:r>
        <w:rPr>
          <w:rFonts w:ascii="Times New Roman;serif" w:hAnsi="Times New Roman;serif"/>
          <w:b w:val="false"/>
          <w:color w:val="000000"/>
          <w:sz w:val="20"/>
        </w:rPr>
        <w:t xml:space="preserve">. Any action of the Stockholders required or permitted to be taken at any meeting may be taken without a meeting only in the manner provided in the Certificate of Incorporation. </w:t>
      </w:r>
    </w:p>
    <w:p>
      <w:pPr>
        <w:pStyle w:val="TextBody"/>
        <w:bidi w:val="0"/>
        <w:spacing w:lineRule="auto" w:line="319" w:before="0" w:after="240"/>
        <w:jc w:val="center"/>
        <w:rPr/>
      </w:pPr>
      <w:r>
        <w:rPr>
          <w:rFonts w:ascii="Times New Roman;serif" w:hAnsi="Times New Roman;serif"/>
          <w:b w:val="false"/>
          <w:color w:val="000000"/>
          <w:sz w:val="20"/>
        </w:rPr>
        <w:t>Article 3</w:t>
      </w:r>
      <w:r>
        <w:rPr>
          <w:rFonts w:ascii="Times New Roman;serif" w:hAnsi="Times New Roman;serif"/>
          <w:b w:val="false"/>
          <w:color w:val="000000"/>
          <w:sz w:val="20"/>
        </w:rPr>
        <w:br/>
        <w:t xml:space="preserve">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3.01.</w:t>
      </w:r>
      <w:r>
        <w:rPr>
          <w:rFonts w:ascii="Times New Roman;serif" w:hAnsi="Times New Roman;serif"/>
          <w:b w:val="false"/>
          <w:i/>
          <w:color w:val="000000"/>
          <w:sz w:val="20"/>
        </w:rPr>
        <w:t>Number; Tenure; Qualifications</w:t>
      </w:r>
      <w:r>
        <w:rPr>
          <w:rFonts w:ascii="Times New Roman;serif" w:hAnsi="Times New Roman;serif"/>
          <w:b w:val="false"/>
          <w:color w:val="000000"/>
          <w:sz w:val="20"/>
        </w:rPr>
        <w:t xml:space="preserve">. Subject to the Certificate of Incorporation, the total number of directors constituting the entire Board of Directors shall be fixed from time to time exclusively by resolution adopted by a majority of the Whole Board of Directors. Each director shall hold office until his or her death, resignation, disqualification or removal, or as otherwise set forth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3.02.</w:t>
      </w:r>
      <w:r>
        <w:rPr>
          <w:rFonts w:ascii="Times New Roman;serif" w:hAnsi="Times New Roman;serif"/>
          <w:b w:val="false"/>
          <w:i/>
          <w:color w:val="000000"/>
          <w:sz w:val="20"/>
        </w:rPr>
        <w:t>Election; Resignation; Removal; Vacancies</w:t>
      </w:r>
      <w:r>
        <w:rPr>
          <w:rFonts w:ascii="Times New Roman;serif" w:hAnsi="Times New Roman;serif"/>
          <w:b w:val="false"/>
          <w:color w:val="000000"/>
          <w:sz w:val="20"/>
        </w:rPr>
        <w:t xml:space="preserve">.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his or her successor shall be elected and qualified.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3.03.</w:t>
      </w:r>
      <w:r>
        <w:rPr>
          <w:rFonts w:ascii="Times New Roman;serif" w:hAnsi="Times New Roman;serif"/>
          <w:b w:val="false"/>
          <w:i/>
          <w:color w:val="000000"/>
          <w:sz w:val="20"/>
        </w:rPr>
        <w:t>Regular Meetings</w:t>
      </w:r>
      <w:r>
        <w:rPr>
          <w:rFonts w:ascii="Times New Roman;serif" w:hAnsi="Times New Roman;serif"/>
          <w:b w:val="false"/>
          <w:color w:val="000000"/>
          <w:sz w:val="20"/>
        </w:rPr>
        <w:t xml:space="preserve">. Regular meetings of the Board of Directors may be held at such places, if any, within or without the State of Delaware, and at such times as the Board of Directors may from time to time determine. A notice of regular meetings shall not be required.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3.04.</w:t>
      </w:r>
      <w:r>
        <w:rPr>
          <w:rFonts w:ascii="Times New Roman;serif" w:hAnsi="Times New Roman;serif"/>
          <w:b w:val="false"/>
          <w:i/>
          <w:color w:val="000000"/>
          <w:sz w:val="20"/>
        </w:rPr>
        <w:t>Special Meetings</w:t>
      </w:r>
      <w:r>
        <w:rPr>
          <w:rFonts w:ascii="Times New Roman;serif" w:hAnsi="Times New Roman;serif"/>
          <w:b w:val="false"/>
          <w:color w:val="000000"/>
          <w:sz w:val="20"/>
        </w:rPr>
        <w:t xml:space="preserve">.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3.05.</w:t>
      </w:r>
      <w:r>
        <w:rPr>
          <w:rFonts w:ascii="Times New Roman;serif" w:hAnsi="Times New Roman;serif"/>
          <w:b w:val="false"/>
          <w:i/>
          <w:color w:val="000000"/>
          <w:sz w:val="20"/>
        </w:rPr>
        <w:t>Telephonic Meetings Permitted</w:t>
      </w:r>
      <w:r>
        <w:rPr>
          <w:rFonts w:ascii="Times New Roman;serif" w:hAnsi="Times New Roman;serif"/>
          <w:b w:val="false"/>
          <w:color w:val="000000"/>
          <w:sz w:val="20"/>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Times New Roman;serif" w:hAnsi="Times New Roman;serif"/>
          <w:b w:val="false"/>
          <w:color w:val="000000"/>
          <w:sz w:val="20"/>
          <w:u w:val="single"/>
        </w:rPr>
        <w:t>Section 3.05</w:t>
      </w:r>
      <w:r>
        <w:rPr>
          <w:color w:val="000000"/>
        </w:rPr>
        <w:t xml:space="preserve"> </w:t>
      </w:r>
      <w:r>
        <w:rPr>
          <w:rFonts w:ascii="Times New Roman;serif" w:hAnsi="Times New Roman;serif"/>
          <w:b w:val="false"/>
          <w:color w:val="000000"/>
          <w:sz w:val="20"/>
        </w:rPr>
        <w:t xml:space="preserve">shall constitute presence in person at such meeting.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3.06.</w:t>
      </w:r>
      <w:r>
        <w:rPr>
          <w:rFonts w:ascii="Times New Roman;serif" w:hAnsi="Times New Roman;serif"/>
          <w:b w:val="false"/>
          <w:i/>
          <w:color w:val="000000"/>
          <w:sz w:val="20"/>
        </w:rPr>
        <w:t>Quorum; Vote Required for Action</w:t>
      </w:r>
      <w:r>
        <w:rPr>
          <w:rFonts w:ascii="Times New Roman;serif" w:hAnsi="Times New Roman;serif"/>
          <w:b w:val="false"/>
          <w:color w:val="000000"/>
          <w:sz w:val="20"/>
        </w:rPr>
        <w:t xml:space="preserve">. Subject to the Certificate of Incorporation, at all meetings of the Board of Directors a majority of the Whole Board of Directors shall constitute a quorum for the transaction of business; provided that, solely for the purposes of filling vacancies pursuant to </w:t>
      </w:r>
      <w:r>
        <w:rPr>
          <w:rFonts w:ascii="Times New Roman;serif" w:hAnsi="Times New Roman;serif"/>
          <w:b w:val="false"/>
          <w:color w:val="000000"/>
          <w:sz w:val="20"/>
          <w:u w:val="single"/>
        </w:rPr>
        <w:t>Section 3.02</w:t>
      </w:r>
      <w:r>
        <w:rPr>
          <w:color w:val="000000"/>
        </w:rPr>
        <w:t xml:space="preserve"> </w:t>
      </w:r>
      <w:r>
        <w:rPr>
          <w:rFonts w:ascii="Times New Roman;serif" w:hAnsi="Times New Roman;serif"/>
          <w:b w:val="false"/>
          <w:color w:val="000000"/>
          <w:sz w:val="20"/>
        </w:rPr>
        <w:t xml:space="preserve">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3.07.</w:t>
      </w:r>
      <w:r>
        <w:rPr>
          <w:rFonts w:ascii="Times New Roman;serif" w:hAnsi="Times New Roman;serif"/>
          <w:b w:val="false"/>
          <w:i/>
          <w:color w:val="000000"/>
          <w:sz w:val="20"/>
        </w:rPr>
        <w:t>Organization</w:t>
      </w:r>
      <w:r>
        <w:rPr>
          <w:rFonts w:ascii="Times New Roman;serif" w:hAnsi="Times New Roman;serif"/>
          <w:b w:val="false"/>
          <w:color w:val="000000"/>
          <w:sz w:val="20"/>
        </w:rPr>
        <w:t xml:space="preserve">.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3.08.</w:t>
      </w:r>
      <w:r>
        <w:rPr>
          <w:rFonts w:ascii="Times New Roman;serif" w:hAnsi="Times New Roman;serif"/>
          <w:b w:val="false"/>
          <w:i/>
          <w:color w:val="000000"/>
          <w:sz w:val="20"/>
        </w:rPr>
        <w:t>Action by Unanimous Consent of Directors</w:t>
      </w:r>
      <w:r>
        <w:rPr>
          <w:rFonts w:ascii="Times New Roman;serif" w:hAnsi="Times New Roman;serif"/>
          <w:b w:val="false"/>
          <w:color w:val="000000"/>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3.09.</w:t>
      </w:r>
      <w:r>
        <w:rPr>
          <w:rFonts w:ascii="Times New Roman;serif" w:hAnsi="Times New Roman;serif"/>
          <w:b w:val="false"/>
          <w:i/>
          <w:color w:val="000000"/>
          <w:sz w:val="20"/>
        </w:rPr>
        <w:t>Compensation of Directors</w:t>
      </w:r>
      <w:r>
        <w:rPr>
          <w:rFonts w:ascii="Times New Roman;serif" w:hAnsi="Times New Roman;serif"/>
          <w:b w:val="false"/>
          <w:color w:val="000000"/>
          <w:sz w:val="20"/>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 </w:t>
      </w:r>
    </w:p>
    <w:p>
      <w:pPr>
        <w:pStyle w:val="TextBody"/>
        <w:bidi w:val="0"/>
        <w:spacing w:lineRule="auto" w:line="319" w:before="0" w:after="240"/>
        <w:jc w:val="center"/>
        <w:rPr/>
      </w:pPr>
      <w:r>
        <w:rPr>
          <w:rFonts w:ascii="Times New Roman;serif" w:hAnsi="Times New Roman;serif"/>
          <w:b w:val="false"/>
          <w:color w:val="000000"/>
          <w:sz w:val="20"/>
        </w:rPr>
        <w:t>Article 4</w:t>
      </w:r>
      <w:r>
        <w:rPr>
          <w:rFonts w:ascii="Times New Roman;serif" w:hAnsi="Times New Roman;serif"/>
          <w:b w:val="false"/>
          <w:color w:val="000000"/>
          <w:sz w:val="20"/>
        </w:rPr>
        <w:br/>
        <w:t xml:space="preserve">COMMITTEES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4.01.</w:t>
      </w:r>
      <w:r>
        <w:rPr>
          <w:rFonts w:ascii="Times New Roman;serif" w:hAnsi="Times New Roman;serif"/>
          <w:b w:val="false"/>
          <w:i/>
          <w:color w:val="000000"/>
          <w:sz w:val="20"/>
        </w:rPr>
        <w:t>Committees</w:t>
      </w:r>
      <w:r>
        <w:rPr>
          <w:rFonts w:ascii="Times New Roman;serif" w:hAnsi="Times New Roman;serif"/>
          <w:b w:val="false"/>
          <w:color w:val="000000"/>
          <w:sz w:val="20"/>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time or place, if any, within or without the State of Delaware whenever called by the Chairperson of such committee or a majority of the members of such committee.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4.02.</w:t>
      </w:r>
      <w:r>
        <w:rPr>
          <w:rFonts w:ascii="Times New Roman;serif" w:hAnsi="Times New Roman;serif"/>
          <w:b w:val="false"/>
          <w:i/>
          <w:color w:val="000000"/>
          <w:sz w:val="20"/>
        </w:rPr>
        <w:t>Committee Minutes</w:t>
      </w:r>
      <w:r>
        <w:rPr>
          <w:rFonts w:ascii="Times New Roman;serif" w:hAnsi="Times New Roman;serif"/>
          <w:b w:val="false"/>
          <w:color w:val="000000"/>
          <w:sz w:val="20"/>
        </w:rPr>
        <w:t xml:space="preserve">. Each committee shall keep regular minutes of its meetings and report the same to the Board of Directors when required.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4.03.</w:t>
      </w:r>
      <w:r>
        <w:rPr>
          <w:rFonts w:ascii="Times New Roman;serif" w:hAnsi="Times New Roman;serif"/>
          <w:b w:val="false"/>
          <w:i/>
          <w:color w:val="000000"/>
          <w:sz w:val="20"/>
        </w:rPr>
        <w:t>Committee Rules</w:t>
      </w:r>
      <w:r>
        <w:rPr>
          <w:rFonts w:ascii="Times New Roman;serif" w:hAnsi="Times New Roman;serif"/>
          <w:b w:val="false"/>
          <w:color w:val="000000"/>
          <w:sz w:val="20"/>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 </w:t>
      </w:r>
    </w:p>
    <w:p>
      <w:pPr>
        <w:pStyle w:val="TextBody"/>
        <w:bidi w:val="0"/>
        <w:spacing w:lineRule="auto" w:line="319" w:before="0" w:after="240"/>
        <w:jc w:val="center"/>
        <w:rPr/>
      </w:pPr>
      <w:r>
        <w:rPr>
          <w:rFonts w:ascii="Times New Roman;serif" w:hAnsi="Times New Roman;serif"/>
          <w:b w:val="false"/>
          <w:color w:val="000000"/>
          <w:sz w:val="20"/>
        </w:rPr>
        <w:t>Article 5</w:t>
      </w:r>
      <w:r>
        <w:rPr>
          <w:rFonts w:ascii="Times New Roman;serif" w:hAnsi="Times New Roman;serif"/>
          <w:b w:val="false"/>
          <w:color w:val="000000"/>
          <w:sz w:val="20"/>
        </w:rPr>
        <w:br/>
        <w:t xml:space="preserve">OFFICERS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5.01.</w:t>
      </w:r>
      <w:r>
        <w:rPr>
          <w:rFonts w:ascii="Times New Roman;serif" w:hAnsi="Times New Roman;serif"/>
          <w:b w:val="false"/>
          <w:i/>
          <w:color w:val="000000"/>
          <w:sz w:val="20"/>
        </w:rPr>
        <w:t>Officers</w:t>
      </w:r>
      <w:r>
        <w:rPr>
          <w:rFonts w:ascii="Times New Roman;serif" w:hAnsi="Times New Roman;serif"/>
          <w:b w:val="false"/>
          <w:color w:val="000000"/>
          <w:sz w:val="20"/>
        </w:rPr>
        <w:t xml:space="preserve">. The officers of the Corporation shall be one (1) or more Chief Executive Officers, a President and a Secretary. The Corporation may also have, at the discretion of the Board of Directors, a Chairperson or Chairpersons of the Board of Directors a President, a Chief Financial Officer, a Treasurer, a General Counsel, one (1) or more Assistant Secretaries, one (1) or more Assistant Treasurers,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5.02.</w:t>
      </w:r>
      <w:r>
        <w:rPr>
          <w:rFonts w:ascii="Times New Roman;serif" w:hAnsi="Times New Roman;serif"/>
          <w:b w:val="false"/>
          <w:i/>
          <w:color w:val="000000"/>
          <w:sz w:val="20"/>
        </w:rPr>
        <w:t>Appointment of Officers</w:t>
      </w:r>
      <w:r>
        <w:rPr>
          <w:rFonts w:ascii="Times New Roman;serif" w:hAnsi="Times New Roman;serif"/>
          <w:b w:val="false"/>
          <w:color w:val="000000"/>
          <w:sz w:val="20"/>
        </w:rPr>
        <w:t xml:space="preserve">. The Board of Directors shall appoint the officers of the Corporation, except such officers as may be appointed in accordance with the provisions of </w:t>
      </w:r>
      <w:r>
        <w:rPr>
          <w:rFonts w:ascii="Times New Roman;serif" w:hAnsi="Times New Roman;serif"/>
          <w:b w:val="false"/>
          <w:color w:val="000000"/>
          <w:sz w:val="20"/>
          <w:u w:val="single"/>
        </w:rPr>
        <w:t>Section 5.03</w:t>
      </w:r>
      <w:r>
        <w:rPr>
          <w:color w:val="000000"/>
        </w:rPr>
        <w:t xml:space="preserve"> </w:t>
      </w:r>
      <w:r>
        <w:rPr>
          <w:rFonts w:ascii="Times New Roman;serif" w:hAnsi="Times New Roman;serif"/>
          <w:b w:val="false"/>
          <w:color w:val="000000"/>
          <w:sz w:val="20"/>
        </w:rPr>
        <w:t xml:space="preserve">of these Bylaws.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5.03.</w:t>
      </w:r>
      <w:r>
        <w:rPr>
          <w:rFonts w:ascii="Times New Roman;serif" w:hAnsi="Times New Roman;serif"/>
          <w:b w:val="false"/>
          <w:i/>
          <w:color w:val="000000"/>
          <w:sz w:val="20"/>
        </w:rPr>
        <w:t>Subordinate Officer</w:t>
      </w:r>
      <w:r>
        <w:rPr>
          <w:rFonts w:ascii="Times New Roman;serif" w:hAnsi="Times New Roman;serif"/>
          <w:b w:val="false"/>
          <w:color w:val="000000"/>
          <w:sz w:val="20"/>
        </w:rPr>
        <w:t xml:space="preserve">. The Board of Directors may appoint, or empower a Chief Executive Officer or, in the absence of a Chief Executive Officer, a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subject in each case to the control of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5.04.</w:t>
      </w:r>
      <w:r>
        <w:rPr>
          <w:rFonts w:ascii="Times New Roman;serif" w:hAnsi="Times New Roman;serif"/>
          <w:b w:val="false"/>
          <w:i/>
          <w:color w:val="000000"/>
          <w:sz w:val="20"/>
        </w:rPr>
        <w:t>Removal and Resignation of Officers</w:t>
      </w:r>
      <w:r>
        <w:rPr>
          <w:rFonts w:ascii="Times New Roman;serif" w:hAnsi="Times New Roman;serif"/>
          <w:b w:val="false"/>
          <w:color w:val="000000"/>
          <w:sz w:val="20"/>
        </w:rPr>
        <w:t xml:space="preserve">. Any officer may be removed, either with or without cause, by an affirmative vote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5.05.</w:t>
      </w:r>
      <w:r>
        <w:rPr>
          <w:rFonts w:ascii="Times New Roman;serif" w:hAnsi="Times New Roman;serif"/>
          <w:b w:val="false"/>
          <w:i/>
          <w:color w:val="000000"/>
          <w:sz w:val="20"/>
        </w:rPr>
        <w:t>Vacancies in Offices</w:t>
      </w:r>
      <w:r>
        <w:rPr>
          <w:rFonts w:ascii="Times New Roman;serif" w:hAnsi="Times New Roman;serif"/>
          <w:b w:val="false"/>
          <w:color w:val="000000"/>
          <w:sz w:val="20"/>
        </w:rPr>
        <w:t xml:space="preserve">. Any vacancy occurring in any office of the Corporation shall be filled by the Board of Directors or as provided in </w:t>
      </w:r>
      <w:r>
        <w:rPr>
          <w:rFonts w:ascii="Times New Roman;serif" w:hAnsi="Times New Roman;serif"/>
          <w:b w:val="false"/>
          <w:color w:val="000000"/>
          <w:sz w:val="20"/>
          <w:u w:val="single"/>
        </w:rPr>
        <w:t>Section 5.03</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5.06.</w:t>
      </w:r>
      <w:r>
        <w:rPr>
          <w:rFonts w:ascii="Times New Roman;serif" w:hAnsi="Times New Roman;serif"/>
          <w:b w:val="false"/>
          <w:i/>
          <w:color w:val="000000"/>
          <w:sz w:val="20"/>
        </w:rPr>
        <w:t>Chief Executive Officer(s)</w:t>
      </w:r>
      <w:r>
        <w:rPr>
          <w:rFonts w:ascii="Times New Roman;serif" w:hAnsi="Times New Roman;serif"/>
          <w:b w:val="false"/>
          <w:color w:val="000000"/>
          <w:sz w:val="20"/>
        </w:rPr>
        <w:t xml:space="preserve">. Subject to such supervisory powers, if any, as may be given by the Board of Directors to a Chairperson, if any, the Chief Executive Officer (if such officer or officers are appointed) shall, subject to the control of the Board of Directors, have general supervision, direction, and control of the business and the officers of the Corporation. In the absence or nonexistence of a Chairperson or the Chief Executive Officer (if he, she or they are also directors) shall preside at all meetings of the Board of Directors at which he, she or they, as applicable, are present and shall have the general powers and duties of management usually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vested in the office of chief executive officer of a corporation and shall have such other powers and duties as may be prescribed by the Board of Directors or these Bylaws.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5.07.</w:t>
      </w:r>
      <w:r>
        <w:rPr>
          <w:rFonts w:ascii="Times New Roman;serif" w:hAnsi="Times New Roman;serif"/>
          <w:b w:val="false"/>
          <w:i/>
          <w:color w:val="000000"/>
          <w:sz w:val="20"/>
        </w:rPr>
        <w:t>President</w:t>
      </w:r>
      <w:r>
        <w:rPr>
          <w:rFonts w:ascii="Times New Roman;serif" w:hAnsi="Times New Roman;serif"/>
          <w:b w:val="false"/>
          <w:color w:val="000000"/>
          <w:sz w:val="20"/>
        </w:rPr>
        <w:t xml:space="preserve">. The Board of Directors may appoint a President. Subject to such supervisory powers, if any, as may be given by the Board of Directors to a Chairperson (if any), the Chief Executive Officer,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5.08.</w:t>
      </w:r>
      <w:r>
        <w:rPr>
          <w:rFonts w:ascii="Times New Roman;serif" w:hAnsi="Times New Roman;serif"/>
          <w:b w:val="false"/>
          <w:i/>
          <w:color w:val="000000"/>
          <w:sz w:val="20"/>
        </w:rPr>
        <w:t>Secretary</w:t>
      </w:r>
      <w:r>
        <w:rPr>
          <w:rFonts w:ascii="Times New Roman;serif" w:hAnsi="Times New Roman;serif"/>
          <w:b w:val="false"/>
          <w:color w:val="000000"/>
          <w:sz w:val="20"/>
        </w:rPr>
        <w:t xml:space="preserve">.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stock ledger, or a duplicate stock ledger, showing the names of all Stockholders and their addresses, the number and classes of shares held by each, the number and date of certificates evidencing such shares (if such shares are to be certificated),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5.09.</w:t>
      </w:r>
      <w:r>
        <w:rPr>
          <w:rFonts w:ascii="Times New Roman;serif" w:hAnsi="Times New Roman;serif"/>
          <w:b w:val="false"/>
          <w:i/>
          <w:color w:val="000000"/>
          <w:sz w:val="20"/>
        </w:rPr>
        <w:t>Chief Financial Officer</w:t>
      </w:r>
      <w:r>
        <w:rPr>
          <w:rFonts w:ascii="Times New Roman;serif" w:hAnsi="Times New Roman;serif"/>
          <w:b w:val="false"/>
          <w:color w:val="000000"/>
          <w:sz w:val="20"/>
        </w:rPr>
        <w:t>. The Chief Financial Officer (the “</w:t>
      </w:r>
      <w:r>
        <w:rPr>
          <w:rFonts w:ascii="Times New Roman;serif" w:hAnsi="Times New Roman;serif"/>
          <w:b/>
          <w:color w:val="000000"/>
          <w:sz w:val="20"/>
        </w:rPr>
        <w:t>CFO</w:t>
      </w:r>
      <w:r>
        <w:rPr>
          <w:color w:val="000000"/>
        </w:rPr>
        <w:t>”</w:t>
      </w:r>
      <w:r>
        <w:rPr>
          <w:rFonts w:ascii="Times New Roman;serif" w:hAnsi="Times New Roman;serif"/>
          <w:b w:val="false"/>
          <w:color w:val="000000"/>
          <w:sz w:val="20"/>
        </w:rPr>
        <w:t xml:space="preserve">)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Chief Executive Officer, or the directors, upon request, an account of all his or her transactions as CFO and of the financial condition of the Corporation, and shall have other powers and perform such other duties as may be prescribed by the Board of Directors or these Bylaws.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5.10.</w:t>
      </w:r>
      <w:r>
        <w:rPr>
          <w:rFonts w:ascii="Times New Roman;serif" w:hAnsi="Times New Roman;serif"/>
          <w:b w:val="false"/>
          <w:i/>
          <w:color w:val="000000"/>
          <w:sz w:val="20"/>
        </w:rPr>
        <w:t>Representation of Equity Interests of Other Entities</w:t>
      </w:r>
      <w:r>
        <w:rPr>
          <w:rFonts w:ascii="Times New Roman;serif" w:hAnsi="Times New Roman;serif"/>
          <w:b w:val="false"/>
          <w:color w:val="000000"/>
          <w:sz w:val="20"/>
        </w:rPr>
        <w:t xml:space="preserve">. Unless otherwise directed by the Board of Directors, the Chief Executive Officer, as applicable, or the President or any other person authorized by the Board of Directors, the Chief Executive Officer,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5.11.</w:t>
      </w:r>
      <w:r>
        <w:rPr>
          <w:rFonts w:ascii="Times New Roman;serif" w:hAnsi="Times New Roman;serif"/>
          <w:b w:val="false"/>
          <w:i/>
          <w:color w:val="000000"/>
          <w:sz w:val="20"/>
        </w:rPr>
        <w:t>Authority and Duties of Officers</w:t>
      </w:r>
      <w:r>
        <w:rPr>
          <w:rFonts w:ascii="Times New Roman;serif" w:hAnsi="Times New Roman;serif"/>
          <w:b w:val="false"/>
          <w:color w:val="000000"/>
          <w:sz w:val="20"/>
        </w:rPr>
        <w:t xml:space="preserve">.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5.12.</w:t>
      </w:r>
      <w:r>
        <w:rPr>
          <w:rFonts w:ascii="Times New Roman;serif" w:hAnsi="Times New Roman;serif"/>
          <w:b w:val="false"/>
          <w:i/>
          <w:color w:val="000000"/>
          <w:sz w:val="20"/>
        </w:rPr>
        <w:t>Compensation</w:t>
      </w:r>
      <w:r>
        <w:rPr>
          <w:rFonts w:ascii="Times New Roman;serif" w:hAnsi="Times New Roman;serif"/>
          <w:b w:val="false"/>
          <w:color w:val="000000"/>
          <w:sz w:val="20"/>
        </w:rPr>
        <w:t xml:space="preserve">.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240"/>
        <w:jc w:val="center"/>
        <w:rPr/>
      </w:pPr>
      <w:r>
        <w:rPr>
          <w:rFonts w:ascii="Times New Roman;serif" w:hAnsi="Times New Roman;serif"/>
          <w:b w:val="false"/>
          <w:color w:val="000000"/>
          <w:sz w:val="20"/>
        </w:rPr>
        <w:t>Article 6</w:t>
      </w:r>
      <w:r>
        <w:rPr>
          <w:rFonts w:ascii="Times New Roman;serif" w:hAnsi="Times New Roman;serif"/>
          <w:b w:val="false"/>
          <w:color w:val="000000"/>
          <w:sz w:val="20"/>
        </w:rPr>
        <w:br/>
        <w:t xml:space="preserve">STOCK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6.01.</w:t>
      </w:r>
      <w:r>
        <w:rPr>
          <w:rFonts w:ascii="Times New Roman;serif" w:hAnsi="Times New Roman;serif"/>
          <w:b w:val="false"/>
          <w:i/>
          <w:color w:val="000000"/>
          <w:sz w:val="20"/>
        </w:rPr>
        <w:t>Certificates</w:t>
      </w:r>
      <w:r>
        <w:rPr>
          <w:rFonts w:ascii="Times New Roman;serif" w:hAnsi="Times New Roman;serif"/>
          <w:b w:val="false"/>
          <w:color w:val="000000"/>
          <w:sz w:val="20"/>
        </w:rPr>
        <w:t xml:space="preserve">. The shares of the Corporation shall be represented by certificates, provided that the Board of Directors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of the Board, the Chief Executive Officer, a President, Vice President, Chief Financial Officer, the Treasurer, any Assistant Treasurer, the General Counsel,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6.02.</w:t>
      </w:r>
      <w:r>
        <w:rPr>
          <w:rFonts w:ascii="Times New Roman;serif" w:hAnsi="Times New Roman;serif"/>
          <w:b w:val="false"/>
          <w:i/>
          <w:color w:val="000000"/>
          <w:sz w:val="20"/>
        </w:rPr>
        <w:t>Lost, Stolen or Destroyed Stock Certificates; Issuance of New Certificates</w:t>
      </w:r>
      <w:r>
        <w:rPr>
          <w:rFonts w:ascii="Times New Roman;serif" w:hAnsi="Times New Roman;serif"/>
          <w:b w:val="false"/>
          <w:color w:val="000000"/>
          <w:sz w:val="20"/>
        </w:rPr>
        <w:t xml:space="preserve">. The Corporation may issue a new certificate for shares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The Board of Directors may establish regulations, rules or procedures concerning the proof required for adequately alleging the loss, theft or destruction of any Stock certificate and concerning the giving of a satisfactory bond or bonds of indemnity.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6.03.</w:t>
      </w:r>
      <w:r>
        <w:rPr>
          <w:rFonts w:ascii="Times New Roman;serif" w:hAnsi="Times New Roman;serif"/>
          <w:b w:val="false"/>
          <w:i/>
          <w:color w:val="000000"/>
          <w:sz w:val="20"/>
        </w:rPr>
        <w:t>Shares Without Certificates</w:t>
      </w:r>
      <w:r>
        <w:rPr>
          <w:rFonts w:ascii="Times New Roman;serif" w:hAnsi="Times New Roman;serif"/>
          <w:b w:val="false"/>
          <w:color w:val="000000"/>
          <w:sz w:val="20"/>
        </w:rPr>
        <w:t xml:space="preserve">. 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lineRule="auto" w:line="319" w:before="0" w:after="240"/>
        <w:jc w:val="center"/>
        <w:rPr/>
      </w:pPr>
      <w:r>
        <w:rPr>
          <w:rFonts w:ascii="Times New Roman;serif" w:hAnsi="Times New Roman;serif"/>
          <w:b w:val="false"/>
          <w:color w:val="000000"/>
          <w:sz w:val="20"/>
        </w:rPr>
        <w:t>Article 7</w:t>
      </w:r>
      <w:r>
        <w:rPr>
          <w:rFonts w:ascii="Times New Roman;serif" w:hAnsi="Times New Roman;serif"/>
          <w:b w:val="false"/>
          <w:color w:val="000000"/>
          <w:sz w:val="20"/>
        </w:rPr>
        <w:br/>
        <w:t xml:space="preserve">INDEMNIFICATION AND ADVANCEMENT OF EXPENSES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7.01.</w:t>
      </w:r>
      <w:r>
        <w:rPr>
          <w:rFonts w:ascii="Times New Roman;serif" w:hAnsi="Times New Roman;serif"/>
          <w:b w:val="false"/>
          <w:i/>
          <w:color w:val="000000"/>
          <w:sz w:val="20"/>
        </w:rPr>
        <w:t>Right to Indemnification</w:t>
      </w:r>
      <w:r>
        <w:rPr>
          <w:rFonts w:ascii="Times New Roman;serif" w:hAnsi="Times New Roman;serif"/>
          <w:b w:val="false"/>
          <w:color w:val="000000"/>
          <w:sz w:val="20"/>
        </w:rPr>
        <w:t>. Subject to the Certificate of Incorporation,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Times New Roman;serif" w:hAnsi="Times New Roman;serif"/>
          <w:b/>
          <w:color w:val="000000"/>
          <w:sz w:val="20"/>
        </w:rPr>
        <w:t>Covered Person</w:t>
      </w:r>
      <w:r>
        <w:rPr>
          <w:color w:val="000000"/>
        </w:rPr>
        <w:t>”</w:t>
      </w:r>
      <w:r>
        <w:rPr>
          <w:rFonts w:ascii="Times New Roman;serif" w:hAnsi="Times New Roman;serif"/>
          <w:b w:val="false"/>
          <w:color w:val="000000"/>
          <w:sz w:val="20"/>
        </w:rPr>
        <w:t>) who was or is made or is threatened to be made a party or is otherwise involved in any action, suit or proceeding, whether civil, criminal, administrative or investigative (any such action, suit or proceeding, a “</w:t>
      </w:r>
      <w:r>
        <w:rPr>
          <w:rFonts w:ascii="Times New Roman;serif" w:hAnsi="Times New Roman;serif"/>
          <w:b/>
          <w:color w:val="000000"/>
          <w:sz w:val="20"/>
        </w:rPr>
        <w:t>proceeding</w:t>
      </w:r>
      <w:r>
        <w:rPr>
          <w:color w:val="000000"/>
        </w:rPr>
        <w:t>”</w:t>
      </w:r>
      <w:r>
        <w:rPr>
          <w:rFonts w:ascii="Times New Roman;serif" w:hAnsi="Times New Roman;serif"/>
          <w:b w:val="false"/>
          <w:color w:val="000000"/>
          <w:sz w:val="20"/>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Times New Roman;serif" w:hAnsi="Times New Roman;serif"/>
          <w:b w:val="false"/>
          <w:color w:val="000000"/>
          <w:sz w:val="20"/>
          <w:u w:val="single"/>
        </w:rPr>
        <w:t>Section 7.04</w:t>
      </w:r>
      <w:r>
        <w:rPr>
          <w:color w:val="000000"/>
        </w:rPr>
        <w:t xml:space="preserve"> </w:t>
      </w:r>
      <w:r>
        <w:rPr>
          <w:rFonts w:ascii="Times New Roman;serif" w:hAnsi="Times New Roman;serif"/>
          <w:b w:val="false"/>
          <w:color w:val="000000"/>
          <w:sz w:val="20"/>
        </w:rPr>
        <w:t xml:space="preserve">of these Bylaws, the Corporation shall be required to indemnify a Covered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Person in connection with a proceeding (or part thereof) commenced by such Covered Person only if the commencement of such proceeding (or part thereof) by the Covered Person was authorized in the specific case by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7.02.</w:t>
      </w:r>
      <w:r>
        <w:rPr>
          <w:rFonts w:ascii="Times New Roman;serif" w:hAnsi="Times New Roman;serif"/>
          <w:b w:val="false"/>
          <w:i/>
          <w:color w:val="000000"/>
          <w:sz w:val="20"/>
        </w:rPr>
        <w:t>Indemnification of Others</w:t>
      </w:r>
      <w:r>
        <w:rPr>
          <w:rFonts w:ascii="Times New Roman;serif" w:hAnsi="Times New Roman;serif"/>
          <w:b w:val="false"/>
          <w:color w:val="000000"/>
          <w:sz w:val="20"/>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The ultimate determination of entitlement to indemnification of persons who are employees or agents of the Corporation shall be made in such manner as is determined by the Board of Directors in its sole discretion.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7.03.</w:t>
      </w:r>
      <w:r>
        <w:rPr>
          <w:rFonts w:ascii="Times New Roman;serif" w:hAnsi="Times New Roman;serif"/>
          <w:b w:val="false"/>
          <w:i/>
          <w:color w:val="000000"/>
          <w:sz w:val="20"/>
        </w:rPr>
        <w:t>Advancement of Expenses</w:t>
      </w:r>
      <w:r>
        <w:rPr>
          <w:rFonts w:ascii="Times New Roman;serif" w:hAnsi="Times New Roman;serif"/>
          <w:b w:val="false"/>
          <w:color w:val="000000"/>
          <w:sz w:val="20"/>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 or otherwise.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7.04.</w:t>
      </w:r>
      <w:r>
        <w:rPr>
          <w:rFonts w:ascii="Times New Roman;serif" w:hAnsi="Times New Roman;serif"/>
          <w:b w:val="false"/>
          <w:i/>
          <w:color w:val="000000"/>
          <w:sz w:val="20"/>
        </w:rPr>
        <w:t>Claims</w:t>
      </w:r>
      <w:r>
        <w:rPr>
          <w:rFonts w:ascii="Times New Roman;serif" w:hAnsi="Times New Roman;serif"/>
          <w:b w:val="false"/>
          <w:color w:val="000000"/>
          <w:sz w:val="20"/>
        </w:rPr>
        <w:t xml:space="preserve">. If a claim for indemnification under this Article VII (following the final disposition of such proceeding) is not paid in full within sixty (60) days after the Corporation has received a written claim therefor by the Covered Person, or if a claim for any advancement of expenses under this Article VII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7.05.</w:t>
      </w:r>
      <w:r>
        <w:rPr>
          <w:rFonts w:ascii="Times New Roman;serif" w:hAnsi="Times New Roman;serif"/>
          <w:b w:val="false"/>
          <w:i/>
          <w:color w:val="000000"/>
          <w:sz w:val="20"/>
        </w:rPr>
        <w:t>Non-exclusivity of Rights</w:t>
      </w:r>
      <w:r>
        <w:rPr>
          <w:rFonts w:ascii="Times New Roman;serif" w:hAnsi="Times New Roman;serif"/>
          <w:b w:val="false"/>
          <w:color w:val="000000"/>
          <w:sz w:val="20"/>
        </w:rPr>
        <w:t>. The rights conferred on any Covered Person by this Article VII shall not be exclusive of any other rights which such Covered Person may have or hereafter acquires under any statute, provision of the Certificate of Incorporation, these Bylaws, agreement, vote of Stockholders or disinterested directors or otherwise. The Corporation is specifically authorized to enter into individual contracts with any or all of its directors, officers, employees or agents respecting indemnification and advances, to the fullest extent not prohibited by the DGCL, or by any other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7.06.</w:t>
      </w:r>
      <w:r>
        <w:rPr>
          <w:rFonts w:ascii="Times New Roman;serif" w:hAnsi="Times New Roman;serif"/>
          <w:b w:val="false"/>
          <w:i/>
          <w:color w:val="000000"/>
          <w:sz w:val="20"/>
        </w:rPr>
        <w:t>Insurance</w:t>
      </w:r>
      <w:r>
        <w:rPr>
          <w:rFonts w:ascii="Times New Roman;serif" w:hAnsi="Times New Roman;serif"/>
          <w:b w:val="false"/>
          <w:color w:val="000000"/>
          <w:sz w:val="20"/>
        </w:rPr>
        <w:t xml:space="preserv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7.07.</w:t>
      </w:r>
      <w:r>
        <w:rPr>
          <w:rFonts w:ascii="Times New Roman;serif" w:hAnsi="Times New Roman;serif"/>
          <w:b w:val="false"/>
          <w:i/>
          <w:color w:val="000000"/>
          <w:sz w:val="20"/>
        </w:rPr>
        <w:t>Other Sources</w:t>
      </w:r>
      <w:r>
        <w:rPr>
          <w:rFonts w:ascii="Times New Roman;serif" w:hAnsi="Times New Roman;serif"/>
          <w:b w:val="false"/>
          <w:color w:val="000000"/>
          <w:sz w:val="20"/>
        </w:rPr>
        <w:t xml:space="preserve">.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7.08.</w:t>
      </w:r>
      <w:r>
        <w:rPr>
          <w:rFonts w:ascii="Times New Roman;serif" w:hAnsi="Times New Roman;serif"/>
          <w:b w:val="false"/>
          <w:i/>
          <w:color w:val="000000"/>
          <w:sz w:val="20"/>
        </w:rPr>
        <w:t>Continuation of Indemnification</w:t>
      </w:r>
      <w:r>
        <w:rPr>
          <w:rFonts w:ascii="Times New Roman;serif" w:hAnsi="Times New Roman;serif"/>
          <w:b w:val="false"/>
          <w:color w:val="000000"/>
          <w:sz w:val="20"/>
        </w:rPr>
        <w:t xml:space="preserve">. The rights to indemnification and to advancement of expenses provided by, or granted pursuant to, this Article VII shall continue as to a Person who has ceased to be a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director or officer of the Corporation and shall inure to the benefit of the estate, heirs, executors, administrators, legatees and distributees of such Person.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7.09.</w:t>
      </w:r>
      <w:r>
        <w:rPr>
          <w:rFonts w:ascii="Times New Roman;serif" w:hAnsi="Times New Roman;serif"/>
          <w:b w:val="false"/>
          <w:i/>
          <w:color w:val="000000"/>
          <w:sz w:val="20"/>
        </w:rPr>
        <w:t>Amendment or Repeal</w:t>
      </w:r>
      <w:r>
        <w:rPr>
          <w:rFonts w:ascii="Times New Roman;serif" w:hAnsi="Times New Roman;serif"/>
          <w:b w:val="false"/>
          <w:color w:val="000000"/>
          <w:sz w:val="20"/>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7.10.</w:t>
      </w:r>
      <w:r>
        <w:rPr>
          <w:rFonts w:ascii="Times New Roman;serif" w:hAnsi="Times New Roman;serif"/>
          <w:b w:val="false"/>
          <w:i/>
          <w:color w:val="000000"/>
          <w:sz w:val="20"/>
        </w:rPr>
        <w:t>Other Indemnification and Advancement of Expenses</w:t>
      </w:r>
      <w:r>
        <w:rPr>
          <w:rFonts w:ascii="Times New Roman;serif" w:hAnsi="Times New Roman;serif"/>
          <w:b w:val="false"/>
          <w:color w:val="000000"/>
          <w:sz w:val="20"/>
        </w:rPr>
        <w:t xml:space="preserve">. This Article VII shall not limit the right of the Corporation, to the extent and in the manner permitted by law, to indemnify and to advance expenses to persons other than Covered Persons when and as authorized by appropriate corporate action. </w:t>
      </w:r>
    </w:p>
    <w:p>
      <w:pPr>
        <w:pStyle w:val="TextBody"/>
        <w:bidi w:val="0"/>
        <w:spacing w:lineRule="auto" w:line="319" w:before="0" w:after="240"/>
        <w:jc w:val="center"/>
        <w:rPr/>
      </w:pPr>
      <w:r>
        <w:rPr>
          <w:rFonts w:ascii="Times New Roman;serif" w:hAnsi="Times New Roman;serif"/>
          <w:b w:val="false"/>
          <w:color w:val="000000"/>
          <w:sz w:val="20"/>
        </w:rPr>
        <w:t>Article 8</w:t>
      </w:r>
      <w:r>
        <w:rPr>
          <w:rFonts w:ascii="Times New Roman;serif" w:hAnsi="Times New Roman;serif"/>
          <w:b w:val="false"/>
          <w:color w:val="000000"/>
          <w:sz w:val="20"/>
        </w:rPr>
        <w:br/>
        <w:t xml:space="preserve">MISCELLANEOUS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8.01.</w:t>
      </w:r>
      <w:r>
        <w:rPr>
          <w:rFonts w:ascii="Times New Roman;serif" w:hAnsi="Times New Roman;serif"/>
          <w:b w:val="false"/>
          <w:i/>
          <w:color w:val="000000"/>
          <w:sz w:val="20"/>
        </w:rPr>
        <w:t>Fiscal Year</w:t>
      </w:r>
      <w:r>
        <w:rPr>
          <w:rFonts w:ascii="Times New Roman;serif" w:hAnsi="Times New Roman;serif"/>
          <w:b w:val="false"/>
          <w:color w:val="000000"/>
          <w:sz w:val="20"/>
        </w:rPr>
        <w:t xml:space="preserve">. The fiscal year of the Corporation shall be determined by resolution of the Board of Directors.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8.02.</w:t>
      </w:r>
      <w:r>
        <w:rPr>
          <w:rFonts w:ascii="Times New Roman;serif" w:hAnsi="Times New Roman;serif"/>
          <w:b w:val="false"/>
          <w:i/>
          <w:color w:val="000000"/>
          <w:sz w:val="20"/>
        </w:rPr>
        <w:t>Execution of Corporate Contracts and Instruments</w:t>
      </w:r>
      <w:r>
        <w:rPr>
          <w:rFonts w:ascii="Times New Roman;serif" w:hAnsi="Times New Roman;serif"/>
          <w:b w:val="false"/>
          <w:color w:val="000000"/>
          <w:sz w:val="20"/>
        </w:rPr>
        <w:t xml:space="preserve">.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8.03.</w:t>
      </w:r>
      <w:r>
        <w:rPr>
          <w:rFonts w:ascii="Times New Roman;serif" w:hAnsi="Times New Roman;serif"/>
          <w:b w:val="false"/>
          <w:i/>
          <w:color w:val="000000"/>
          <w:sz w:val="20"/>
        </w:rPr>
        <w:t>Dividends</w:t>
      </w:r>
      <w:r>
        <w:rPr>
          <w:rFonts w:ascii="Times New Roman;serif" w:hAnsi="Times New Roman;serif"/>
          <w:b w:val="false"/>
          <w:color w:val="000000"/>
          <w:sz w:val="20"/>
        </w:rPr>
        <w:t xml:space="preserve">. The Board of Directors, subject to any restrictions contained in either (i) the DGCL or (ii) the Certificate of Incorporation, may declare and pay dividends out of funds legally available therefor upon the shares of its Stock. Dividends may be paid in cash, in property or in shares of the Corporation’s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8.04.</w:t>
      </w:r>
      <w:r>
        <w:rPr>
          <w:rFonts w:ascii="Times New Roman;serif" w:hAnsi="Times New Roman;serif"/>
          <w:b w:val="false"/>
          <w:i/>
          <w:color w:val="000000"/>
          <w:sz w:val="20"/>
        </w:rPr>
        <w:t>Registered Stockholders</w:t>
      </w:r>
      <w:r>
        <w:rPr>
          <w:rFonts w:ascii="Times New Roman;serif" w:hAnsi="Times New Roman;serif"/>
          <w:b w:val="false"/>
          <w:color w:val="000000"/>
          <w:sz w:val="20"/>
        </w:rPr>
        <w:t xml:space="preserve">.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8.05.</w:t>
      </w:r>
      <w:r>
        <w:rPr>
          <w:rFonts w:ascii="Times New Roman;serif" w:hAnsi="Times New Roman;serif"/>
          <w:b w:val="false"/>
          <w:i/>
          <w:color w:val="000000"/>
          <w:sz w:val="20"/>
        </w:rPr>
        <w:t>Corporate Seal</w:t>
      </w:r>
      <w:r>
        <w:rPr>
          <w:rFonts w:ascii="Times New Roman;serif" w:hAnsi="Times New Roman;serif"/>
          <w:b w:val="false"/>
          <w:color w:val="000000"/>
          <w:sz w:val="20"/>
        </w:rPr>
        <w:t xml:space="preserve">. The Corporation may adopt a corporate seal, which shall be adopted and which may be altered by the Board of Directors. The Corporation may use the corporate seal by causing it or a facsimile thereof to be impressed or affixed or in any other manner reproduced.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8.06.</w:t>
      </w:r>
      <w:r>
        <w:rPr>
          <w:rFonts w:ascii="Times New Roman;serif" w:hAnsi="Times New Roman;serif"/>
          <w:b w:val="false"/>
          <w:i/>
          <w:color w:val="000000"/>
          <w:sz w:val="20"/>
        </w:rPr>
        <w:t>Construction; Definitions</w:t>
      </w:r>
      <w:r>
        <w:rPr>
          <w:rFonts w:ascii="Times New Roman;serif" w:hAnsi="Times New Roman;serif"/>
          <w:b w:val="false"/>
          <w:color w:val="000000"/>
          <w:sz w:val="20"/>
        </w:rPr>
        <w:t xml:space="preserve">.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8.07.</w:t>
      </w:r>
      <w:r>
        <w:rPr>
          <w:rFonts w:ascii="Times New Roman;serif" w:hAnsi="Times New Roman;serif"/>
          <w:b w:val="false"/>
          <w:i/>
          <w:color w:val="000000"/>
          <w:sz w:val="20"/>
        </w:rPr>
        <w:t>Manner of Notice</w:t>
      </w:r>
      <w:r>
        <w:rPr>
          <w:rFonts w:ascii="Times New Roman;serif" w:hAnsi="Times New Roman;serif"/>
          <w:b w:val="false"/>
          <w:color w:val="000000"/>
          <w:sz w:val="20"/>
        </w:rPr>
        <w:t xml:space="preserve">. </w:t>
      </w:r>
    </w:p>
    <w:p>
      <w:pPr>
        <w:pStyle w:val="TextBody"/>
        <w:bidi w:val="0"/>
        <w:spacing w:lineRule="auto" w:line="288" w:before="0" w:after="240"/>
        <w:ind w:left="0" w:right="0" w:firstLine="936"/>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Notice by Electronic Transmission</w:t>
      </w:r>
      <w:r>
        <w:rPr>
          <w:rFonts w:ascii="Times New Roman;serif" w:hAnsi="Times New Roman;serif"/>
          <w:b w:val="false"/>
          <w:color w:val="000000"/>
          <w:sz w:val="20"/>
        </w:rPr>
        <w:t xml:space="preserve">.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lineRule="auto" w:line="288" w:before="0" w:after="240"/>
        <w:ind w:left="0" w:right="0" w:firstLine="936"/>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Notice to Stockholders Sharing an Address</w:t>
      </w:r>
      <w:r>
        <w:rPr>
          <w:rFonts w:ascii="Times New Roman;serif" w:hAnsi="Times New Roman;serif"/>
          <w:b w:val="false"/>
          <w:color w:val="000000"/>
          <w:sz w:val="20"/>
        </w:rPr>
        <w:t xml:space="preserve">.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Times New Roman;serif" w:hAnsi="Times New Roman;serif"/>
          <w:b w:val="false"/>
          <w:color w:val="000000"/>
          <w:sz w:val="20"/>
          <w:u w:val="single"/>
        </w:rPr>
        <w:t>Section 8.07</w:t>
      </w:r>
      <w:r>
        <w:rPr>
          <w:rFonts w:ascii="Times New Roman;serif" w:hAnsi="Times New Roman;serif"/>
          <w:b w:val="false"/>
          <w:color w:val="000000"/>
          <w:sz w:val="20"/>
        </w:rPr>
        <w:t xml:space="preserve">, shall be deemed to have consented to receiving such single written notice. </w:t>
      </w:r>
    </w:p>
    <w:p>
      <w:pPr>
        <w:pStyle w:val="TextBody"/>
        <w:bidi w:val="0"/>
        <w:spacing w:lineRule="auto" w:line="288" w:before="0" w:after="240"/>
        <w:ind w:left="0" w:right="0" w:firstLine="936"/>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Notice to Directors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8.08.</w:t>
      </w:r>
      <w:r>
        <w:rPr>
          <w:rFonts w:ascii="Times New Roman;serif" w:hAnsi="Times New Roman;serif"/>
          <w:b w:val="false"/>
          <w:i/>
          <w:color w:val="000000"/>
          <w:sz w:val="20"/>
        </w:rPr>
        <w:t>Waiver of Notice of Meetings of Stockholders, Directors and Committees</w:t>
      </w:r>
      <w:r>
        <w:rPr>
          <w:rFonts w:ascii="Times New Roman;serif" w:hAnsi="Times New Roman;serif"/>
          <w:b w:val="false"/>
          <w:color w:val="000000"/>
          <w:sz w:val="20"/>
        </w:rPr>
        <w:t xml:space="preserve">.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 </w: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8.09.</w:t>
      </w:r>
      <w:r>
        <w:rPr>
          <w:rFonts w:ascii="Times New Roman;serif" w:hAnsi="Times New Roman;serif"/>
          <w:b w:val="false"/>
          <w:i/>
          <w:color w:val="000000"/>
          <w:sz w:val="20"/>
        </w:rPr>
        <w:t>Form of Records</w:t>
      </w:r>
      <w:r>
        <w:rPr>
          <w:rFonts w:ascii="Times New Roman;serif" w:hAnsi="Times New Roman;serif"/>
          <w:b w:val="false"/>
          <w:color w:val="000000"/>
          <w:sz w:val="20"/>
        </w:rPr>
        <w:t xml:space="preserve">.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0"/>
        </w:rPr>
        <w:t>Section 8.10.</w:t>
      </w:r>
      <w:r>
        <w:rPr>
          <w:rFonts w:ascii="Times New Roman;serif" w:hAnsi="Times New Roman;serif"/>
          <w:b w:val="false"/>
          <w:i/>
          <w:color w:val="000000"/>
          <w:sz w:val="20"/>
        </w:rPr>
        <w:t>Amendment of Bylaws</w:t>
      </w:r>
      <w:r>
        <w:rPr>
          <w:rFonts w:ascii="Times New Roman;serif" w:hAnsi="Times New Roman;serif"/>
          <w:b w:val="false"/>
          <w:color w:val="000000"/>
          <w:sz w:val="20"/>
        </w:rPr>
        <w:t xml:space="preserve">. Subject to any additional vote required by the Certificate of Incorporation, in furtherance and not in limitation of the powers conferred by statute, the Board of Directors is expressly authorized to adopt, repeal, alter, amend or rescind these Bylaws. The affirmative vote of at least a majority of the Whole Board of Directors shall be required in order for the Board of Directors to adopt, repeal, alter, amend or rescind these Bylaws. The Stockholders shall also have power to adopt, repeal, alter, amend or rescind these Bylaws. In addition to any vote of the holders of any class or series of stock of the Corporation required by applicable law or by the Certificate of Incorporation, any adoption, repeal, alteration, amendment or rescission of these Bylaws by the Stockholders shall require the affirmative vote of the holders of a majority of the voting power of the then outstanding shares of capital stock of the Corporation entitled to vote thereon, voting together as a single class.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15889</Words>
  <Characters>81279</Characters>
  <CharactersWithSpaces>97509</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