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15, 2026</w:t>
      </w:r>
    </w:p>
    <w:p>
      <w:pPr>
        <w:spacing w:after="0" w:line="2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30"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001-40958</w:t>
            </w:r>
          </w:p>
        </w:tc>
        <w:tc>
          <w:tcPr>
            <w:tcW w:w="20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221"/>
        </w:trPr>
        <w:tc>
          <w:tcPr>
            <w:tcW w:w="2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0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0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228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2080" w:type="dxa"/>
            <w:vAlign w:val="bottom"/>
          </w:tcPr>
          <w:p>
            <w:pPr>
              <w:spacing w:after="0"/>
              <w:rPr>
                <w:sz w:val="24"/>
                <w:szCs w:val="24"/>
                <w:color w:val="auto"/>
              </w:rPr>
            </w:pPr>
          </w:p>
        </w:tc>
      </w:tr>
      <w:tr>
        <w:trPr>
          <w:trHeight w:val="216"/>
        </w:trPr>
        <w:tc>
          <w:tcPr>
            <w:tcW w:w="228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208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2080" w:type="dxa"/>
            <w:vAlign w:val="bottom"/>
          </w:tcPr>
          <w:p>
            <w:pPr>
              <w:spacing w:after="0"/>
              <w:rPr>
                <w:sz w:val="18"/>
                <w:szCs w:val="18"/>
                <w:color w:val="auto"/>
              </w:rPr>
            </w:pPr>
          </w:p>
        </w:tc>
      </w:tr>
      <w:tr>
        <w:trPr>
          <w:trHeight w:val="238"/>
        </w:trPr>
        <w:tc>
          <w:tcPr>
            <w:tcW w:w="22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0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524-6860</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1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Class A common stock, $0.001 par</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RENT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value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April 15, 2026, Rent the Runway, Inc. (the “Company”) entered into an At-the-Market Sales Agreement (the “Agreement”) with BTIG, LLC, as agent and/or principal (the “Agent”), under which the Company may issue and sell through the agent, from time to time, shares of its Class A common stock, par value $0.001 per share (the “Common Stock”), having an aggregate offering price of up to $40,000,000 (the “Offering”), pursuant to an effective shelf registration statement on Form S-3 (Registration No. 333-279757), filed with the Securities and Exchange Commission (the “SEC”) on May 28, 2024. The Company filed a prospectus supplement with the SEC on April 15, 2025 in connection with the Offering. Pursuant to General Instruction I.B.6 of Form S-3, in no event will the Company sell the Common Stock in a public primary offering with a value exceeding more than one-third (1/3) of the aggregate market value of the Company’s Common Stock held by non-affiliates in any twelve (12)-month period, or $9,964,551, so long as the aggregate market value of the Company’s outstanding common stock held by non-affiliates remains below $75,000,000.</w:t>
      </w:r>
    </w:p>
    <w:p>
      <w:pPr>
        <w:spacing w:after="0" w:line="19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Sales of the Common Stock, if any, will be made by any method that is deemed to be an “at the market offering” as defined in Rule 415(a)(4) under the Securities Act of 1933, as amended. Subject to the terms of the Agreement, the Agent is not required to sell any specific amount, but will act as the Company’s agent using commercially reasonable efforts consistent with its normal trading and sales practices. The Company will pay the Agent a commission rate of up to 3.0% of the gross sales price of any share of Common Stock sold under the Agreement.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Agreement contains customary representations, warranties and agreements by the Company and the Agent, indemnification rights and obligations of the Company and the Agent, other obligations of the parties and termination provisions. The representations, warranties and agreements contained in the Agreement were made only for purposes of such agreement and as of specific dates, were solely for the benefit of the parties thereto and may be subject to limitations agreed upon by the contracting parties to such agreement.</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the full text of the Agreement, a copy of which is filed as Exhibit 1.1 hereto and is incorporated herein by reference.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any securities of the Company, which is being made only by means of a written prospectus meeting the requirements of Section 10 of the Securities Act of 1933, as amended, nor shall there be any sale of the Company’s securities in any state or jurisdiction in which such offer, solicitation or sale would be unlawful prior to registration or qualification under the securities laws of such jurisdiction.</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copy of the opinion of Davis Polk &amp; Wardwell LLP regarding the validity of the shares of the Common Stock that may be issued and sold in the Offering is filed as Exhibit 5.1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29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53"/>
        </w:trPr>
        <w:tc>
          <w:tcPr>
            <w:tcW w:w="12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920" w:type="dxa"/>
            <w:vAlign w:val="bottom"/>
          </w:tcPr>
          <w:p>
            <w:pPr>
              <w:spacing w:after="0"/>
              <w:rPr>
                <w:sz w:val="24"/>
                <w:szCs w:val="24"/>
                <w:color w:val="auto"/>
              </w:rPr>
            </w:pPr>
          </w:p>
        </w:tc>
        <w:tc>
          <w:tcPr>
            <w:tcW w:w="7080" w:type="dxa"/>
            <w:vAlign w:val="bottom"/>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26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tcBorders>
              <w:top w:val="single" w:sz="8" w:color="auto"/>
            </w:tcBorders>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EE"/>
              </w:rPr>
              <w:t>At-the-Market Sales Agreement, date as of April 15, 2026, by and between Rent the Runway, Inc. and BTIG, LLC</w:t>
            </w:r>
          </w:p>
        </w:tc>
      </w:tr>
      <w:tr>
        <w:trPr>
          <w:trHeight w:val="223"/>
        </w:trPr>
        <w:tc>
          <w:tcPr>
            <w:tcW w:w="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60" w:type="dxa"/>
            <w:vAlign w:val="bottom"/>
            <w:tcBorders>
              <w:top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rPr>
              <w:t>Opinion of Davis Polk &amp; Wardwell LLP</w:t>
            </w:r>
          </w:p>
        </w:tc>
        <w:tc>
          <w:tcPr>
            <w:tcW w:w="1740" w:type="dxa"/>
            <w:vAlign w:val="bottom"/>
          </w:tcPr>
          <w:p>
            <w:pPr>
              <w:spacing w:after="0"/>
              <w:rPr>
                <w:sz w:val="19"/>
                <w:szCs w:val="19"/>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9"/>
                <w:szCs w:val="19"/>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Consent of Davis Polk &amp; Wardwell LLP (included in Exhibit 5.1)</w:t>
            </w:r>
          </w:p>
        </w:tc>
      </w:tr>
      <w:tr>
        <w:trPr>
          <w:trHeight w:val="20"/>
        </w:trPr>
        <w:tc>
          <w:tcPr>
            <w:tcW w:w="32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gridSpan w:val="2"/>
            <w:shd w:val="clear" w:color="auto" w:fill="0000EE"/>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r>
      <w:tr>
        <w:trPr>
          <w:trHeight w:val="264"/>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567"/>
        </w:trPr>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RENT THE RUNWAY,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Siddharth Thacker</w:t>
            </w:r>
          </w:p>
        </w:tc>
      </w:tr>
      <w:tr>
        <w:trPr>
          <w:trHeight w:val="191"/>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Siddharth Thacker</w:t>
            </w:r>
          </w:p>
        </w:tc>
      </w:tr>
      <w:tr>
        <w:trPr>
          <w:trHeight w:val="234"/>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53"/>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$40,000,000 OF CLASS A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 VALUE $0.001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AT-THE-MARKET SALES AGREEMENT</w:t>
      </w:r>
    </w:p>
    <w:p>
      <w:pPr>
        <w:spacing w:after="0" w:line="229"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BTIG,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 East 55th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Rent the Runway,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BTIG, LLC (“</w:t>
      </w:r>
      <w:r>
        <w:rPr>
          <w:rFonts w:ascii="Times New Roman" w:cs="Times New Roman" w:eastAsia="Times New Roman" w:hAnsi="Times New Roman"/>
          <w:sz w:val="18"/>
          <w:szCs w:val="18"/>
          <w:b w:val="1"/>
          <w:bCs w:val="1"/>
          <w:u w:val="single" w:color="auto"/>
          <w:color w:val="auto"/>
        </w:rPr>
        <w:t>BTIG</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 as follows:</w:t>
      </w:r>
    </w:p>
    <w:p>
      <w:pPr>
        <w:spacing w:after="0" w:line="159" w:lineRule="exact"/>
        <w:rPr>
          <w:sz w:val="20"/>
          <w:szCs w:val="20"/>
          <w:color w:val="auto"/>
        </w:rPr>
      </w:pPr>
    </w:p>
    <w:p>
      <w:pPr>
        <w:jc w:val="both"/>
        <w:ind w:firstLine="656"/>
        <w:spacing w:after="0" w:line="252" w:lineRule="auto"/>
        <w:tabs>
          <w:tab w:leader="none" w:pos="9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to or through BTIG, as sales agent and/or principal, up to that number of shares of the Company’s Class A common stock, par value $0.001 per share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having an aggregate offering price of $40,000,000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the Company issue or sell to or through BTIG such number of Shares that would (a) cause the Company not to satisfy the eligibility requirements for use of Form S-3 (including, if and so long as applicable, General Instruction I.B.6. of Form S-3), (b) exceed the number or amount of shares of Common Stock then available for offer and sale under the currently effective Registration Statement (as defined below) pursuant to which the offering hereunder and under any Terms Agreement is being made or (c) exceed the number of authorized but unissued shares of the Common Stock (the lesser of (a), (b) and (c), the “</w:t>
      </w:r>
      <w:r>
        <w:rPr>
          <w:rFonts w:ascii="Times New Roman" w:cs="Times New Roman" w:eastAsia="Times New Roman" w:hAnsi="Times New Roman"/>
          <w:sz w:val="18"/>
          <w:szCs w:val="18"/>
          <w:b w:val="1"/>
          <w:bCs w:val="1"/>
          <w:u w:val="single" w:color="auto"/>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acknowledge and agree that compliance with the limitations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Maximum Amount of Shares that may be issued and sold under this Agreement and any Terms Agreement (as defined below) shall be the sole responsibility of the Company, and that BTIG shall have no obligation in connection with such compliance. The Company agrees that whenever it determines to sell Shares directly to BTIG, as principal, it will enter into a separate agreement (each, a “</w:t>
      </w:r>
      <w:r>
        <w:rPr>
          <w:rFonts w:ascii="Times New Roman" w:cs="Times New Roman" w:eastAsia="Times New Roman" w:hAnsi="Times New Roman"/>
          <w:sz w:val="18"/>
          <w:szCs w:val="18"/>
          <w:b w:val="1"/>
          <w:bCs w:val="1"/>
          <w:u w:val="single" w:color="auto"/>
          <w:color w:val="auto"/>
        </w:rPr>
        <w:t>Terms Agreement</w:t>
      </w:r>
      <w:r>
        <w:rPr>
          <w:rFonts w:ascii="Times New Roman" w:cs="Times New Roman" w:eastAsia="Times New Roman" w:hAnsi="Times New Roman"/>
          <w:sz w:val="18"/>
          <w:szCs w:val="18"/>
          <w:color w:val="auto"/>
        </w:rPr>
        <w:t xml:space="preserve">”) in a form to be agreed upon by the Company and BTIG relating to such sale in accordance with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of this Agreement (each such transaction being referred to as a “</w:t>
      </w:r>
      <w:r>
        <w:rPr>
          <w:rFonts w:ascii="Times New Roman" w:cs="Times New Roman" w:eastAsia="Times New Roman" w:hAnsi="Times New Roman"/>
          <w:sz w:val="18"/>
          <w:szCs w:val="18"/>
          <w:b w:val="1"/>
          <w:bCs w:val="1"/>
          <w:u w:val="single" w:color="auto"/>
          <w:color w:val="auto"/>
        </w:rPr>
        <w:t>Principal Transaction</w:t>
      </w:r>
      <w:r>
        <w:rPr>
          <w:rFonts w:ascii="Times New Roman" w:cs="Times New Roman" w:eastAsia="Times New Roman" w:hAnsi="Times New Roman"/>
          <w:sz w:val="18"/>
          <w:szCs w:val="18"/>
          <w:color w:val="auto"/>
        </w:rPr>
        <w:t>”). Each transaction pursuant to this Agreement in which the Company determines to sell Shares through BTIG, as sales agent, is hereinafter referred to as an “</w:t>
      </w:r>
      <w:r>
        <w:rPr>
          <w:rFonts w:ascii="Times New Roman" w:cs="Times New Roman" w:eastAsia="Times New Roman" w:hAnsi="Times New Roman"/>
          <w:sz w:val="18"/>
          <w:szCs w:val="18"/>
          <w:b w:val="1"/>
          <w:bCs w:val="1"/>
          <w:u w:val="single" w:color="auto"/>
          <w:color w:val="auto"/>
        </w:rPr>
        <w:t>Agency Transaction</w:t>
      </w:r>
      <w:r>
        <w:rPr>
          <w:rFonts w:ascii="Times New Roman" w:cs="Times New Roman" w:eastAsia="Times New Roman" w:hAnsi="Times New Roman"/>
          <w:sz w:val="18"/>
          <w:szCs w:val="18"/>
          <w:color w:val="auto"/>
        </w:rPr>
        <w:t>”. The issuance and sale of Shares to or through BTIG will be effected pursuant to the Registration Statement (as defined below) filed by the Company and which was declared effective under the Securities Act (as defined below) by the U.S.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prepared and filed, in accordance with the provisions of the Securities Act of 1933, as amended, and the rules and regulations promulgated thereunder (collectively,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with the Commission, not earlier than three years prior to the date hereof, a shelf registration statement on Form S-3 (File No. 333-279757), including a base prospectus, with respect to offerings of certain securities of the Company, including the Shares, and which incorporates by reference documents that the Company has filed or will file in accordance with the provisions of the Securities Exchange Act of 1934, as amended, and the rules and regulations promulgated thereunder (collectively,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The Company has prepared a prospectus supplement to the base prospectus included as part of such registration statement at the time it became effective specifically relating to the offering of the Shares pursuant to this Agreement (the “</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The Company will furnish to BTIG, for use by BTIG, copies of the base prospectus included as part of such registration statement at the time it became effective, as supplemented by the Prospectus Supplement. Except where the context otherwise requires, such registration statement, as declared effective by the Commission, including the information, if any, deemed pursuant to Rule 430B under the Securities Act to be part of the registration statement at the time of its effectiveness and all documents filed as part thereof or incorporated by reference therein, and including any information contained in the Prospectus (as defined below) subsequently filed with the Commission pursuant to Rule 424(b) under the Securities Act, collectively, are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and the base prospectus included in the Registration Statement at the time it was declared effective by the Commission, including all documents incorporated therein by reference to the extent such information has not been superseded or modified in accordance with Rule 412 under the Securities Act (as qualified by Rule 430B(g) of the Securities Act), as it may be supplemented by the Prospectus Supplement, in the form filed by the Company with the Commission pursuant to Rule 424(b) under the Securities Act, together with any “issuer free writing prospectus”, as defined in Rule 433 under the Securities Act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relating to the Shares (to the extent that the Company is able under Rule 433 to issue any issuer free writing prospectus during the term of this Agreement)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(such documents incorporated or deemed to be incorporated by reference are herein called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For purposes of this Agreement, all references to the Registration Statement, the Prospectus or to any amendment or supplement thereto shall be deemed to include any copy filed with the Commission pursuant to its Electronic Data Gathering Analysis and Retrieval system, or if applicable, the Interactive Data Electronic Applications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 Principal Transactions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7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that the Company wishes to issue and sell Shares hereunder in an Agency Transaction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BTIG by email notice (or other method mutually agreed to in writing by the Parties) of the amount of Shares requested to be sold or the gross proceeds to be raised in a given time period, the time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18"/>
          <w:szCs w:val="18"/>
          <w:color w:val="auto"/>
        </w:rPr>
        <w:t>period during which sales are requested to be made, any limitation on the amount of Shares that may be sold in any single day, any minimum price below which sales may not be made or any minimum price requested for sales in a given time period and any other instructions relevant to such requested sales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the form of which is attached hereto as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A Placement Notice shall originate from any of the individual representatives of the Company set forth on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and shall be addressed to each of the individual representatives of BTIG set forth on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may be amended from time to time. Provided the Company is otherwise in compliance with the terms of this Agreement, the Placement Notice shall be effective unless and until (i) BTIG, in accordance with the notice requirements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declines to accept the terms contained therein for any reason, in its sole discretion (which shall not be deemed a breach of BTIG’s agreement herein), (ii) the entire amount of the Shares thereunder have been sold or the aggregate Shares sold under this Agreement and all Terms Agreements equals the Maximum Amount, whichever occurs first, (iii) the Company, in accordance with the notice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suspends or terminates the Placement Notice or sales thereunder, (iv) BTIG, in accordance with the notice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suspends sales under the Placement Notice, (v) the Company issues a subsequent Placement Notice with parameters superseding those on the earlier dated Placement Notice or (vi) this Agreement has been terminated under the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The amount of any commission to be paid by the Company to BTIG in connection with the sale of the Shares effected through BTIG, as agent, in an Agency Transaction shall be calculated in accordance with the terms set forth in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It is expressly acknowledged and agreed that neither the Company nor BTIG will have any obligation whatsoever with respect to a Placement or any Shares unless and until the Company delivers a Placement Notice to BTIG and BTIG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92" w:lineRule="exact"/>
        <w:rPr>
          <w:sz w:val="20"/>
          <w:szCs w:val="20"/>
          <w:color w:val="auto"/>
        </w:rPr>
      </w:pPr>
    </w:p>
    <w:p>
      <w:pPr>
        <w:jc w:val="both"/>
        <w:ind w:firstLine="644"/>
        <w:spacing w:after="0" w:line="253" w:lineRule="auto"/>
        <w:tabs>
          <w:tab w:leader="none" w:pos="10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wishes to issue and sell Shares hereunder in a Principal Transaction, it will notify BTIG by email notice (or other method mutually agreed to in writing by the Parties) of the proposed terms of the Principal Transaction. If BTIG, acting as principal, wishes to accept such proposed terms (which it may decline to do for any reason in its sole discretion) or, following discussions with the Company, wishes to accept amended terms, the Company and BTIG shall enter into a Terms Agreement setting forth the terms of such Principal Transaction. Neither the Company nor BTIG shall have any obligation to enter into a Principal Transaction. The terms set forth in a Terms Agreement shall not be binding on the Company or BTIG, unless and until the Company and BTIG have each executed such Terms Agreement accepting all of the terms of such Terms Agreement. Any such Terms Agreement shall specify the number or amount of Shares to be sold by the Company to and purchased by BTIG pursuant thereto, the per share purchase price to be paid to the Company for such Shares (specifying and giving effect to all market price discounts applicable to such Principal Transaction), all other compensation and/or other fees or expenses payable by the Company to or for the benefit of BTIG in connection with such Principal Transaction, the Net Proceeds (as defined below) payable to the Company, the time, date and place of delivery of and</w:t>
      </w:r>
    </w:p>
    <w:p>
      <w:pPr>
        <w:spacing w:after="0" w:line="3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6" w:name="page7"/>
    <w:bookmarkEnd w:id="6"/>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payment for such Shares (to the extent the settlement terms for sales of such Shares are intended to differ from those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the other terms upon which such sale is to occur. A Terms Agreement may also specify certain provisions relating to the reoffering of such Shares by BTIG. Each of the Parties acknowledges and agrees that such Principal Transaction shall be based on compensation that is mutually agreeable to both the Company and BTIG. In the event of a conflict between the terms of this Agreement and the terms of a Terms Agreement, the terms of the Terms Agreement will control. The commitment of BTIG to purchase the Shares as principal pursuant to any Terms Agreement shall be deemed to have been made on the basis of the representations, warranties and agreements of the Company contained in this Agreement and shall be subject to the terms and conditions herein set forth. Each of the Parties acknowledges and agrees that, notwithstanding anything to the contrary contained in this Agreement or any Terms Agreement, BTIG may engage in sales and other transactions in respect of a number of shares of Common Stock equal to the number of Shares deliverable to BTIG pursuant to a Terms Agreement, whether or not BTIG has taken possession of such Shares at the time of such sales or other transactions, and nothing contained in this Agreement or any Terms Agreement shall limit or be deemed to limit BTIG’s ability to engage in such sales or other transactions.</w:t>
      </w:r>
    </w:p>
    <w:p>
      <w:pPr>
        <w:spacing w:after="0" w:line="192" w:lineRule="exact"/>
        <w:rPr>
          <w:sz w:val="20"/>
          <w:szCs w:val="20"/>
          <w:color w:val="auto"/>
        </w:rPr>
      </w:pPr>
    </w:p>
    <w:p>
      <w:pPr>
        <w:jc w:val="both"/>
        <w:ind w:firstLine="656"/>
        <w:spacing w:after="0" w:line="252" w:lineRule="auto"/>
        <w:tabs>
          <w:tab w:leader="none" w:pos="9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Shares by BTIG</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upon the Company’s issuance of a Placement Notice in an Agency Transaction, and unless the sale of the Shares described therein has been declined, suspended or otherwise terminated in accordance with the terms of this Agreement, BTIG, as sales agent for the Company, will use its commercially reasonable efforts, consistent with its normal trading and sales practices and applicable state and federal laws, rules and regulations and the rules of The Nasdaq Stock Market LLC (the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xml:space="preserve">”), for the period specified in the Placement Notice to sell such Shares up to the amount specified by the Company in, and otherwise in accordance with the terms of, such Placement Notice. If acting as sales agent in an Agency Transaction, BTIG will provide written confirmation to the Company no later than the opening of the Trading Day (as defined below) next following the Trading Day on which it has made sales of Shares hereunder, setting forth the number of Shares sold on such day, the compensation payable by the Company to BTIG with respect to such sales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(it being hereby acknowledged and agreed that such compensation shall not apply when BTIG acts as principal, in which case such compensation, discounts or other fees shall be set forth in the applicable Terms Agreement), and the Net Proceeds (as defined below) payable to the Company, with an itemization of the deductions made by BTIG (as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from the gross proceeds for the Shares that it receives from such sales. BTIG may sell Shares, as sales agent in an Agency Transaction, by any method permitted by law deemed to be an “at-the-market” offering as defined in Rule 415 under the Securities Act, including, without limitation, sales made directly on the Exchange, on any other existing trading market for the Common Stock or to or through a market maker or through an electronic communications network. After consultation with the Company and subject to the terms of a Placement Notice, BTIG may also sell Shares, as sales agent in an Agency Transaction, in privately negotiated transactions. During the term of this Agreement and notwithstanding anything to the contrary herein, BTIG agrees that in no event will it or any of its affiliates engage in any market making, bidding, stabilization or other trading activity with regard to the Common Stock if such activity would be prohibited under Regulation M or other anti-manipulation rules under the Exchange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Act. The Company acknowledges and agrees that (i) there can be no assurance that BTIG will be successful in selling Shares in any Agency Transaction hereunder, (ii) BTIG will incur no liability or obligation to the Company or any other person or entity if it does not sell Shares in any Agency Transaction for any reason other than a failure by BTIG to use its commercially reasonable efforts consistent with its normal trading and sales practices to sell such Shares as required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and (iii) BTIG shall be under no obligation to purchase Shares on a principal basis pursuant to this Agreement, except as may otherwise be specifically agreed by each of BTIG and the Company pursuant to a Terms Agreement, and then only to the extent permitted by applicable law and the rules and regulations of the Exchange.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Common Stock is purchased and sold on the principal market on which the Common Stock is listed or quoted.</w:t>
      </w:r>
    </w:p>
    <w:p>
      <w:pPr>
        <w:spacing w:after="0" w:line="189"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70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BTIG may, upon notice to the other party in writing (including by email correspondence to each of the individual representatives of the other party set forth on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email correspondence to each of the individual representatives of the other party set forth on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u w:val="single" w:color="auto"/>
          <w:color w:val="auto"/>
        </w:rPr>
        <w:t>Suspension Notice</w:t>
      </w:r>
      <w:r>
        <w:rPr>
          <w:rFonts w:ascii="Times New Roman" w:cs="Times New Roman" w:eastAsia="Times New Roman" w:hAnsi="Times New Roman"/>
          <w:sz w:val="18"/>
          <w:szCs w:val="18"/>
          <w:color w:val="auto"/>
        </w:rPr>
        <w:t>”), suspend this offering and any sale of Shares in an Agency Transaction for a period of time (a “</w:t>
      </w:r>
      <w:r>
        <w:rPr>
          <w:rFonts w:ascii="Times New Roman" w:cs="Times New Roman" w:eastAsia="Times New Roman" w:hAnsi="Times New Roman"/>
          <w:sz w:val="18"/>
          <w:szCs w:val="18"/>
          <w:b w:val="1"/>
          <w:bCs w:val="1"/>
          <w:u w:val="single" w:color="auto"/>
          <w:color w:val="auto"/>
        </w:rPr>
        <w:t>Suspension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suspension shall not affect or impair either party’s obligations with respect to any Shares sold hereunder prior to the receipt of such notice.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the other unless it is made to one of the individuals named on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hereto, as such Schedule may be amended from time to time. During a Suspension Period, the Company shall not issue any Placement Notices and BTIG shall not sell any Shares hereunder. The party that issued a Suspension Notice shall notify the other party in writing of the Trading Day on which the Suspension Period shall expire no later than twenty-four (24) hours prior to such Trading Day.</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9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Agreement or any Terms Agreement, the Company shall not offer or sell, or request the offer or sale of, any Shares and, by notice to BTIG given by telephone (confirmed promptly by email), shall cancel any instructions for the offer or sale of any Shares, and BTIG shall not be obligated to offer or sell any Shares, (i) during any period in which the Company is, or may be deemed to be, in possession of material non-public information or (ii) except as expressly provided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below, at any time from and including the date (each, an “</w:t>
      </w:r>
      <w:r>
        <w:rPr>
          <w:rFonts w:ascii="Times New Roman" w:cs="Times New Roman" w:eastAsia="Times New Roman" w:hAnsi="Times New Roman"/>
          <w:sz w:val="18"/>
          <w:szCs w:val="18"/>
          <w:b w:val="1"/>
          <w:bCs w:val="1"/>
          <w:u w:val="single" w:color="auto"/>
          <w:color w:val="auto"/>
        </w:rPr>
        <w:t>Announcement Date</w:t>
      </w:r>
      <w:r>
        <w:rPr>
          <w:rFonts w:ascii="Times New Roman" w:cs="Times New Roman" w:eastAsia="Times New Roman" w:hAnsi="Times New Roman"/>
          <w:sz w:val="18"/>
          <w:szCs w:val="18"/>
          <w:color w:val="auto"/>
        </w:rPr>
        <w:t>”) on which the Company shall issue a press release containing, or shall otherwise publicly announce, its earnings, revenues or other results of operations (each, an “</w:t>
      </w:r>
      <w:r>
        <w:rPr>
          <w:rFonts w:ascii="Times New Roman" w:cs="Times New Roman" w:eastAsia="Times New Roman" w:hAnsi="Times New Roman"/>
          <w:sz w:val="18"/>
          <w:szCs w:val="18"/>
          <w:b w:val="1"/>
          <w:bCs w:val="1"/>
          <w:u w:val="single" w:color="auto"/>
          <w:color w:val="auto"/>
        </w:rPr>
        <w:t>Earnings Release</w:t>
      </w:r>
      <w:r>
        <w:rPr>
          <w:rFonts w:ascii="Times New Roman" w:cs="Times New Roman" w:eastAsia="Times New Roman" w:hAnsi="Times New Roman"/>
          <w:sz w:val="18"/>
          <w:szCs w:val="18"/>
          <w:color w:val="auto"/>
        </w:rPr>
        <w:t>”) through and including the time that is 24 hours after the time that the Company files a quarterly report on Form 10-Q or an annual report on Form 10-K (a “</w:t>
      </w:r>
      <w:r>
        <w:rPr>
          <w:rFonts w:ascii="Times New Roman" w:cs="Times New Roman" w:eastAsia="Times New Roman" w:hAnsi="Times New Roman"/>
          <w:sz w:val="18"/>
          <w:szCs w:val="18"/>
          <w:b w:val="1"/>
          <w:bCs w:val="1"/>
          <w:u w:val="single" w:color="auto"/>
          <w:color w:val="auto"/>
        </w:rPr>
        <w:t>Filing Time</w:t>
      </w:r>
      <w:r>
        <w:rPr>
          <w:rFonts w:ascii="Times New Roman" w:cs="Times New Roman" w:eastAsia="Times New Roman" w:hAnsi="Times New Roman"/>
          <w:sz w:val="18"/>
          <w:szCs w:val="18"/>
          <w:color w:val="auto"/>
        </w:rPr>
        <w:t>”) that includes consolidated financial statements as of and for the same period or periods, as the case may be, covered by such Earnings Release.</w:t>
      </w:r>
    </w:p>
    <w:p>
      <w:pPr>
        <w:spacing w:after="0" w:line="191" w:lineRule="exact"/>
        <w:rPr>
          <w:rFonts w:ascii="Times New Roman" w:cs="Times New Roman" w:eastAsia="Times New Roman" w:hAnsi="Times New Roman"/>
          <w:sz w:val="18"/>
          <w:szCs w:val="18"/>
          <w:color w:val="auto"/>
        </w:rPr>
      </w:pPr>
    </w:p>
    <w:p>
      <w:pPr>
        <w:ind w:left="660" w:firstLine="644"/>
        <w:spacing w:after="0" w:line="282" w:lineRule="auto"/>
        <w:tabs>
          <w:tab w:leader="none" w:pos="17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wishes to offer, sell or deliver Shares at any time during the period from and including an Announcement Date through and including the time that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 w:name="page9"/>
    <w:bookmarkEnd w:id="8"/>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is 24 hours after the corresponding Filing Time, the Company shall, as conditions to the giving or continuation of any Placement Notice with respect to an Agency Transaction or the execution by BTIG of any Terms Agreement with respect to a Principal Transaction, (i) prepare and deliver to BTIG (with a copy to counsel to BTIG) a Current Report on Form 8-K which shall include substantially the same financial and related information as was set forth in the relevant Earnings Release (other than any earnings or other projections, similar forward-looking data and officers’ quotations) (each, an “</w:t>
      </w:r>
      <w:r>
        <w:rPr>
          <w:rFonts w:ascii="Times New Roman" w:cs="Times New Roman" w:eastAsia="Times New Roman" w:hAnsi="Times New Roman"/>
          <w:sz w:val="18"/>
          <w:szCs w:val="18"/>
          <w:b w:val="1"/>
          <w:bCs w:val="1"/>
          <w:u w:val="single" w:color="auto"/>
          <w:color w:val="auto"/>
        </w:rPr>
        <w:t>Earnings 8-K</w:t>
      </w:r>
      <w:r>
        <w:rPr>
          <w:rFonts w:ascii="Times New Roman" w:cs="Times New Roman" w:eastAsia="Times New Roman" w:hAnsi="Times New Roman"/>
          <w:sz w:val="18"/>
          <w:szCs w:val="18"/>
          <w:color w:val="auto"/>
        </w:rPr>
        <w:t xml:space="preserve">”), in form and substance reasonably satisfactory to BTIG and its counsel, (ii) provide BTIG with the officer’s certificate called for by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dated the date of the Placement Notice for such Agency Transaction or the Settlement Date of such Principal Transaction, as applicable, which certificate shall be deemed to remain in effect during the applicable period unless withdrawn by the Company, and the opinion of Company Counsel (or Reliance Letter, as applicable) and Comfort Letter called for by </w:t>
      </w:r>
      <w:r>
        <w:rPr>
          <w:rFonts w:ascii="Times New Roman" w:cs="Times New Roman" w:eastAsia="Times New Roman" w:hAnsi="Times New Roman"/>
          <w:sz w:val="18"/>
          <w:szCs w:val="18"/>
          <w:u w:val="single" w:color="auto"/>
          <w:color w:val="auto"/>
        </w:rPr>
        <w:t>Sections 7(n)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7(o)</w:t>
      </w:r>
      <w:r>
        <w:rPr>
          <w:rFonts w:ascii="Times New Roman" w:cs="Times New Roman" w:eastAsia="Times New Roman" w:hAnsi="Times New Roman"/>
          <w:sz w:val="18"/>
          <w:szCs w:val="18"/>
          <w:color w:val="auto"/>
        </w:rPr>
        <w:t xml:space="preserve">, respectively, dated the date of the Placement Notice for such Agency Transaction or the Settlement Date of such Principal Transaction, as applicable, (iii) afford BTIG the opportunity to conduct a due diligence review in accordance with </w:t>
      </w:r>
      <w:r>
        <w:rPr>
          <w:rFonts w:ascii="Times New Roman" w:cs="Times New Roman" w:eastAsia="Times New Roman" w:hAnsi="Times New Roman"/>
          <w:sz w:val="18"/>
          <w:szCs w:val="18"/>
          <w:u w:val="single" w:color="auto"/>
          <w:color w:val="auto"/>
        </w:rPr>
        <w:t>Section 7(k)</w:t>
      </w:r>
      <w:r>
        <w:rPr>
          <w:rFonts w:ascii="Times New Roman" w:cs="Times New Roman" w:eastAsia="Times New Roman" w:hAnsi="Times New Roman"/>
          <w:sz w:val="18"/>
          <w:szCs w:val="18"/>
          <w:color w:val="auto"/>
        </w:rPr>
        <w:t xml:space="preserve"> hereof and (iv) file such Earnings 8-K with the Commission (so that it is deemed “filed” for purposes of Section 18 of the Exchange Act). The provisions of clause (ii)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4(b)</w:t>
      </w:r>
      <w:r>
        <w:rPr>
          <w:rFonts w:ascii="Times New Roman" w:cs="Times New Roman" w:eastAsia="Times New Roman" w:hAnsi="Times New Roman"/>
          <w:sz w:val="18"/>
          <w:szCs w:val="18"/>
          <w:color w:val="auto"/>
        </w:rPr>
        <w:t xml:space="preserve"> shall not be applicable for the period from and after the time at which the conditions set forth in the immediately preceding sentence shall have been satisfied (or, if later, the time that is 24 hours after the time that the relevant Earnings Release was first publicly released) through and including the time that is 24 hours after the Filing Time of the relevant Quarterly Report on Form 10-Q or Annual Report on Form 10-K, as the case may be. For purposes of clarity, the Parties agree that (A) the delivery of any officers’ certificate, opinion of Company Counsel (or Reliance Letter, as applicable) and Comfort Letter pursuant to this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shall not relieve the Company from any of its obligations under this Agreement with respect to any quarterly report on Form 10-Q, annual report on Form 10-K, or report on Form 8-K, as the case may be, including, without limitation, the obligation to deliver the officers’ certificate, opinion of Company Counsel (or Reliance Letter, as applicable) and Comfort Letter called for by </w:t>
      </w:r>
      <w:r>
        <w:rPr>
          <w:rFonts w:ascii="Times New Roman" w:cs="Times New Roman" w:eastAsia="Times New Roman" w:hAnsi="Times New Roman"/>
          <w:sz w:val="18"/>
          <w:szCs w:val="18"/>
          <w:u w:val="single" w:color="auto"/>
          <w:color w:val="auto"/>
        </w:rPr>
        <w:t>Sections 7(m)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7(o)</w:t>
      </w:r>
      <w:r>
        <w:rPr>
          <w:rFonts w:ascii="Times New Roman" w:cs="Times New Roman" w:eastAsia="Times New Roman" w:hAnsi="Times New Roman"/>
          <w:sz w:val="18"/>
          <w:szCs w:val="18"/>
          <w:color w:val="auto"/>
        </w:rPr>
        <w:t xml:space="preserve">, respectively, which Sections shall have independent application, and (B) this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shall in no way affect or limit the operation of the provisions of clause (i) of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which shall have independent application.</w:t>
      </w:r>
    </w:p>
    <w:p>
      <w:pPr>
        <w:spacing w:after="0" w:line="189" w:lineRule="exact"/>
        <w:rPr>
          <w:sz w:val="20"/>
          <w:szCs w:val="20"/>
          <w:color w:val="auto"/>
        </w:rPr>
      </w:pPr>
    </w:p>
    <w:p>
      <w:pPr>
        <w:jc w:val="both"/>
        <w:ind w:left="4" w:firstLine="644"/>
        <w:spacing w:after="0" w:line="261" w:lineRule="auto"/>
        <w:tabs>
          <w:tab w:leader="none" w:pos="11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BTIG or the Company believes that the exemptive provisions set forth in Rule 101(c)(1) of Regulation M under the Exchange Act are not satisfied with respect to the Company or the Shares, such party shall promptly notify the other party thereof, and sales of the Shares under this Agreement and any Placement Notice or Terms Agreement shall be suspended until such exemptive provisions or such other applicable exemptive provisions have been satisfied in the judgment of each party.</w:t>
      </w:r>
    </w:p>
    <w:p>
      <w:pPr>
        <w:spacing w:after="0" w:line="17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03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Shares</w:t>
      </w:r>
      <w:r>
        <w:rPr>
          <w:rFonts w:ascii="Times New Roman" w:cs="Times New Roman" w:eastAsia="Times New Roman" w:hAnsi="Times New Roman"/>
          <w:sz w:val="18"/>
          <w:szCs w:val="18"/>
          <w:color w:val="auto"/>
        </w:rPr>
        <w:t>. Unless otherwise specified in the applicable Placement Notice or Terms Agreement (as applicable), settlement for sales of Shares will occur on the first (1st) Trading Day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The amount of proceeds to be delivered to the Company on</w:t>
      </w:r>
    </w:p>
    <w:p>
      <w:pPr>
        <w:spacing w:after="0" w:line="28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40" w:right="339" w:bottom="1440" w:gutter="0" w:footer="0" w:header="0"/>
        </w:sectPr>
      </w:pPr>
    </w:p>
    <w:bookmarkStart w:id="9" w:name="page10"/>
    <w:bookmarkEnd w:id="9"/>
    <w:p>
      <w:pPr>
        <w:jc w:val="both"/>
        <w:spacing w:after="0" w:line="257" w:lineRule="auto"/>
        <w:rPr>
          <w:sz w:val="20"/>
          <w:szCs w:val="20"/>
          <w:color w:val="auto"/>
        </w:rPr>
      </w:pPr>
      <w:r>
        <w:rPr>
          <w:rFonts w:ascii="Times New Roman" w:cs="Times New Roman" w:eastAsia="Times New Roman" w:hAnsi="Times New Roman"/>
          <w:sz w:val="18"/>
          <w:szCs w:val="18"/>
          <w:color w:val="auto"/>
        </w:rPr>
        <w:t>a Settlement Date against receipt of the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BTIG for the Shares, after deduction for (i) BTIG’s commission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in an Agency Transaction, or BTIG’s compensation, discounts or other fees pursuant to the terms of the applicable Terms Agreement in a Principal Transaction, as applicable, (ii) any other amounts due and payable by the Company to BTIG hereunder and under any Terms Agreement, as applicable, pursuant to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(Expenses) hereof and (iii) any transaction fees imposed by any governmental or self-regulatory organization in respect of such sales.</w:t>
      </w:r>
    </w:p>
    <w:p>
      <w:pPr>
        <w:spacing w:after="0" w:line="186" w:lineRule="exact"/>
        <w:rPr>
          <w:sz w:val="20"/>
          <w:szCs w:val="20"/>
          <w:color w:val="auto"/>
        </w:rPr>
      </w:pPr>
    </w:p>
    <w:p>
      <w:pPr>
        <w:jc w:val="both"/>
        <w:ind w:firstLine="644"/>
        <w:spacing w:after="0" w:line="252" w:lineRule="auto"/>
        <w:tabs>
          <w:tab w:leader="none" w:pos="10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xml:space="preserve">. On or before each Settlement Date, the Company will, or will cause its transfer agent to, issue and electronically transfer the Shares being sold by crediting BTIG’s or its designee’s (provided BTIG shall have given the Company written notice of such designee prior to the Settlement Date) account at The Depository Trust Company through its Deposit and Withdrawal at Custodian System or by such other means of delivery as may be mutually agreed upon by the Parties, which Shares in all cases shall be freely tradeable, transferable, registered shares in good deliverable form. On each Settlement Date, BTIG will deliver the related Net Proceeds in same day funds to an account designated by the Company prior to the Settlement Date. The Company agrees that if the Company, or its transfer agent, defaults in its obligation to deliver Shares on a Settlement Date pursuant to the terms of any Agency Transaction or Terms Agreement, in addition to and in no way limiting the rights and obligations set forth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(Indemnification by the Company), the Company will (i) hold BTIG, its directors, officers, members, partners, employees and agents of BTIG and each person, if any, who (A) controls BTIG within the meaning of Section 15 of the Securities Act or Section 20 of the Exchange Act or (B) is controlled by or is under common control with BTIG (other than the Company and its Subsidiaries (as defined below)) (a “</w:t>
      </w:r>
      <w:r>
        <w:rPr>
          <w:rFonts w:ascii="Times New Roman" w:cs="Times New Roman" w:eastAsia="Times New Roman" w:hAnsi="Times New Roman"/>
          <w:sz w:val="18"/>
          <w:szCs w:val="18"/>
          <w:b w:val="1"/>
          <w:bCs w:val="1"/>
          <w:u w:val="single" w:color="auto"/>
          <w:color w:val="auto"/>
        </w:rPr>
        <w:t>BTIG Affiliate</w:t>
      </w:r>
      <w:r>
        <w:rPr>
          <w:rFonts w:ascii="Times New Roman" w:cs="Times New Roman" w:eastAsia="Times New Roman" w:hAnsi="Times New Roman"/>
          <w:sz w:val="18"/>
          <w:szCs w:val="18"/>
          <w:color w:val="auto"/>
        </w:rPr>
        <w:t>”), harmless against any loss, claim, damage, or expense (including reasonable legal fees and expenses), as incurred, arising out of or in connection with such default by the Company or its transfer agent (if applicable) and (ii) pay to BTIG any commission or other compensation (including the value of any market price discounts in any applicable Principal Transaction) to which it would otherwise have been entitled absent such default.</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10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Shares pursuant to this Agreement or any Terms Agreement (i) if, after giving effect to the sale of such Shares, the aggregate number of Shares sold pursuant to this Agreement and all Terms Agreements would exceed the lesser of (A) the Maximum Amount and (B) the number or amount authorized from time to time to be issued and sold under this Agreement by the Company’s board of directors, a duly authorized committee thereof or a duly authorized executive committee, and notified to BTIG in writing, or (ii) at a price lower than the minimum price therefor authorized from time to time by the Company’s board of directors, a duly authorized committee thereof or a duly authorized executive committee, and notified to BTIG in writing. Under no circumstances shall the Company cause or request the offer or sale of any Shares in any Agency Transaction pursuant to this Agreement or cause the offer or sale to BTIG of any Shares in any Principal Transaction pursuant to this Agreement and</w:t>
      </w:r>
    </w:p>
    <w:p>
      <w:pPr>
        <w:spacing w:after="0" w:line="3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36" w:right="339" w:bottom="1440" w:gutter="0" w:footer="0" w:header="0"/>
        </w:sectPr>
      </w:pPr>
    </w:p>
    <w:bookmarkStart w:id="10" w:name="page11"/>
    <w:bookmarkEnd w:id="10"/>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any Terms Agreement, in each case, at a price lower than the minimum price therefor authorized from time to time by the Company’s board of directors, a duly authorized committee thereof or a duly authorized executive committee, and notified to BTIG in writing. Under no circumstances shall the aggregate number of Shares sold pursuant to this Agreement and all Terms Agreements exceed the Maximum Amount. Notwithstanding anything to the contrary contained herein, the Parties acknowledge and agree that compliance with the limitations set forth in this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on the number or amount of Shares that may be issued and sold under this Agreement and any Terms Agreement shall be the sole responsibility of the Company, and that BTIG shall have no obligation in connection with such compliance.</w:t>
      </w:r>
    </w:p>
    <w:p>
      <w:pPr>
        <w:spacing w:after="0" w:line="187" w:lineRule="exact"/>
        <w:rPr>
          <w:sz w:val="20"/>
          <w:szCs w:val="20"/>
          <w:color w:val="auto"/>
        </w:rPr>
      </w:pPr>
    </w:p>
    <w:p>
      <w:pPr>
        <w:jc w:val="both"/>
        <w:ind w:firstLine="656"/>
        <w:spacing w:after="0" w:line="258" w:lineRule="auto"/>
        <w:tabs>
          <w:tab w:leader="none" w:pos="10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The Company represents and warrants to, and agrees with, BTIG that as of (i) the date of this Agreement, (ii) each Representation Date (as defined in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which a certificate is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(iii) the date on which any Placement Notice is delivered by the Company hereunder, (iv) the date on which any Terms Agreement is executed by the Company and BTIG and (v) each time of sale of Shares pursuant to this Agreement or any Terms Agreement (each such time of sale, an “</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as the case may be:</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71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All of the conditions to the use of Form S-3 in connection with the offering and sale of the Shares as contemplated hereby have been satisfied. The Registration Statement meets, and the offering and sale of Shares as contemplated hereby comply with, the requirements of Rule 415(a)(1)(x) under the Securities Act. The Registration Statement was declared effective under the Securities Act by the Commission on June 6, 2024, and any post-effective amendment thereto has also been declared effective or became effective upon filing. The Company has not received from the Commission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have been instituted or are pending or, to the Company’s knowledge, are contemplated by the Commission. At the time of the initial filing of the Registration Statement, the Company paid the required Commission filing fees relating to the Shares in accordance with Rules 456(a) and 457(o) under the Securities Act. Copies of the Registration Statement, the Prospectus, and any such amendments or supplements and all documents incorporated by reference therein were filed with the Commission on or prior to the date of this Agreement.</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Misstatement or Omission</w:t>
      </w:r>
      <w:r>
        <w:rPr>
          <w:rFonts w:ascii="Times New Roman" w:cs="Times New Roman" w:eastAsia="Times New Roman" w:hAnsi="Times New Roman"/>
          <w:sz w:val="18"/>
          <w:szCs w:val="18"/>
          <w:color w:val="auto"/>
        </w:rPr>
        <w:t>. At the respective times the Registration Statement and each amendment thereto became effective, at each deemed effective date with respect to BTIG pursuant to Rule 430B(f)(2) under the Securities Act, and at each Settlement Date, as the case may be, the Registration Statement complied, complies and will comply in all material respects with the requirements of the Securities Act (including Rule 415(a)(1)(x) under the Securities Act), and did not and will not contain an untrue statement of a material fact or omit to state a material fact required to be stated therein or necessary to make the statements therein not misleading. The Prospectus, when so filed with the Commission under Rule 424(b) under the Securities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Act, complied, complies and will comply in all material respects with the requirements of the Securities Act, and each Prospectus furnished to BTIG for use in connection with the offering of the Shares was identical to the electronically transmitted copies thereof filed with the Commission pursuant to EDGAR, except to the extent permitted by Regulation S-T. Neither the Prospectus nor any amendments or supplements thereto, at the time the Prospectus or any such amendment or supplement was issued, as of the date hereof, at each Representation Date, and at each Applicable Time, as the case may be, included, includes or will include an untrue statement of a material fact or omitted or will omit to state a material fact necessary in order to make the statements therein, in the light of the circumstances under which they were made, not misleading. The representations and warranties in this subsection shall not apply to statements in or omissions from the Registration Statement, the Prospectus or any amendments or supplements thereto made in reliance upon and in conformity with written information furnished to the Company by BTIG expressly for use therein.</w:t>
      </w:r>
    </w:p>
    <w:p>
      <w:pPr>
        <w:spacing w:after="0" w:line="188" w:lineRule="exact"/>
        <w:rPr>
          <w:sz w:val="20"/>
          <w:szCs w:val="20"/>
          <w:color w:val="auto"/>
        </w:rPr>
      </w:pPr>
    </w:p>
    <w:p>
      <w:pPr>
        <w:jc w:val="both"/>
        <w:ind w:firstLine="644"/>
        <w:spacing w:after="0" w:line="254" w:lineRule="auto"/>
        <w:tabs>
          <w:tab w:leader="none" w:pos="10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Each Incorporated Document heretofore filed, when it was filed (or, if any amendment with respect to any such document was filed, when such amendment was filed), conformed in all material respects with the requirements of the Exchange Act, and any further Incorporated Documents so filed and incorporated after the date of this Agreement will, when they are filed,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jc w:val="both"/>
        <w:ind w:firstLine="644"/>
        <w:spacing w:after="0" w:line="253" w:lineRule="auto"/>
        <w:tabs>
          <w:tab w:leader="none" w:pos="10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The Company has not distributed and will not distribute any “prospectus” (within the meaning of the Securities Act) or offering material in connection with the offering or sale of the Shares other than the then most recent Prospectus Supplement and any “issuer free writing prospectus” (as defined in Rule 433) reviewed and consented to by BTIG, in each case accompanied by the then most recent base prospectus. Each issuer free writing prospectus (as defined in Rule 433), as of its issue date and as of each Applicable Time, did not, does not and will not include any information that conflicted, conflicts or will conflict with the information contained in the Registration Statement or the Prospectus. The foregoing sentence does not apply to any statements in or omissions from any issuer free writing prospectus made in reliance upon and in conformity with written information furnished to the Company by BTIG expressly for use in such issuer free writing prospectus. The Company is not disqualified, by reason of subsection (f) or (g) of Rule 164 under the Securities Act, from using, in connection with the offer and sale of the Shares, issuer free writing prospectuses pursuant to Rules 164 and 433 under the Securities Act. Any issuer free writing prospectus that the Company is required to file pursuant to Rule 433 has been, or will be, timely filed with the Commission in accordance with the requirements of Rule 433. Each issuer free</w:t>
      </w:r>
    </w:p>
    <w:p>
      <w:pPr>
        <w:spacing w:after="0" w:line="3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12" w:name="page13"/>
    <w:bookmarkEnd w:id="12"/>
    <w:p>
      <w:pPr>
        <w:ind w:left="4"/>
        <w:spacing w:after="0" w:line="282" w:lineRule="auto"/>
        <w:rPr>
          <w:sz w:val="20"/>
          <w:szCs w:val="20"/>
          <w:color w:val="auto"/>
        </w:rPr>
      </w:pPr>
      <w:r>
        <w:rPr>
          <w:rFonts w:ascii="Times New Roman" w:cs="Times New Roman" w:eastAsia="Times New Roman" w:hAnsi="Times New Roman"/>
          <w:sz w:val="18"/>
          <w:szCs w:val="18"/>
          <w:color w:val="auto"/>
        </w:rPr>
        <w:t>writing prospectus that the Company has filed, or is required to file, pursuant to Rule 433 or that was prepared by or on behalf of or used by the Company complies or will comply in all material respects with the requirements of the Securities Act.</w:t>
      </w:r>
    </w:p>
    <w:p>
      <w:pPr>
        <w:spacing w:after="0" w:line="162" w:lineRule="exact"/>
        <w:rPr>
          <w:sz w:val="20"/>
          <w:szCs w:val="20"/>
          <w:color w:val="auto"/>
        </w:rPr>
      </w:pPr>
    </w:p>
    <w:p>
      <w:pPr>
        <w:jc w:val="both"/>
        <w:ind w:left="4" w:firstLine="644"/>
        <w:spacing w:after="0" w:line="267" w:lineRule="auto"/>
        <w:tabs>
          <w:tab w:leader="none" w:pos="109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17"/>
          <w:szCs w:val="17"/>
          <w:color w:val="auto"/>
        </w:rPr>
        <w:t>. The Company has an authorized and outstanding capitalization as set forth in the Registration Statement and the Prospectus as of the dates referred to therein (subject, in each case, to the issuance of shares of Common Stock under this Agreement or any Terms Agreement, the issuance of shares of Common Stock upon exercise of stock options and warrants disclosed as outstanding in the Registration Statement and the Prospectus, the grant of options under existing employee incentive and stock option plans described in the Registration Statement and the Prospectus and the issuance of Common Stock pursuant to the Company’s employee stock purchase plan described in the Registration Statement and Prospectus). All of the issued and outstanding shares of capital stock, including the Common Stock, of the Company have been duly authorized and validly issued and are fully paid and non-assessable, have been issued in compliance, in all material respects, with all federal and state securities laws and were not issued in violation of any preemptive right or similar right. Except as disclosed in the Registration Statement and the Prospectus, there are no outstanding (i) securities or obligations of the Company or any of its Subsidiaries (as defined below) convertible into or exchangeable for any equity interests of the Company or any such Subsidiary, (ii) warrants, rights or options to subscribe for or purchase from the Company or any such Subsidiary any such equity interests or any such convertible or exchangeable securities or obligations or</w:t>
      </w:r>
    </w:p>
    <w:p>
      <w:pPr>
        <w:spacing w:after="0" w:line="2" w:lineRule="exact"/>
        <w:rPr>
          <w:rFonts w:ascii="Times New Roman" w:cs="Times New Roman" w:eastAsia="Times New Roman" w:hAnsi="Times New Roman"/>
          <w:sz w:val="17"/>
          <w:szCs w:val="17"/>
          <w:color w:val="auto"/>
        </w:rPr>
      </w:pPr>
    </w:p>
    <w:p>
      <w:pPr>
        <w:jc w:val="both"/>
        <w:ind w:left="4" w:hanging="4"/>
        <w:spacing w:after="0" w:line="252" w:lineRule="auto"/>
        <w:tabs>
          <w:tab w:leader="none" w:pos="3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the Company or any such Subsidiary to issue any equity interests, any such convertible or exchangeable securities or obligation, or any such warrants, rights or options. The Company’s Common Stock has been registered pursuant to Section 12(b) of the Exchange Act and is authorized for trading on the Exchange, and the Company has taken no action designed to, or likely to have the effect of, terminating the registration of the Common Stock from the Exchange, nor has the Company received any notification that the Commission or the Exchange is contemplating terminating such registration or listing. The Company has submitted a Notification of Listing of Additional Shares with the Exchange with respect to the Shares.</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0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of the Company</w:t>
      </w:r>
      <w:r>
        <w:rPr>
          <w:rFonts w:ascii="Times New Roman" w:cs="Times New Roman" w:eastAsia="Times New Roman" w:hAnsi="Times New Roman"/>
          <w:sz w:val="18"/>
          <w:szCs w:val="18"/>
          <w:color w:val="auto"/>
        </w:rPr>
        <w:t>. The Company has been duly incorporated and is validly existing as a corporation in good standing under the laws of the State of Delaware, with the corporate power and authority to acquire, own, lease and operate its properties, and to lease the same to others, and to conduct its business as described in the Registration Statement and the Prospectus, to execute and deliver this Agreement and each Terms Agreement and to issue and sell the Shares as contemplated herein and therein; and the Company is in compliance in all respects with the laws, orders, rules, regulations and directives issued or administered by such jurisdictions, except where the failure to be in compliance would not, individually or in the aggregate, have a Material Adverse Effect (as defined below).</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1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Qualification of the Company</w:t>
      </w:r>
      <w:r>
        <w:rPr>
          <w:rFonts w:ascii="Times New Roman" w:cs="Times New Roman" w:eastAsia="Times New Roman" w:hAnsi="Times New Roman"/>
          <w:sz w:val="18"/>
          <w:szCs w:val="18"/>
          <w:color w:val="auto"/>
        </w:rPr>
        <w:t>. 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w:t>
      </w:r>
    </w:p>
    <w:p>
      <w:pPr>
        <w:spacing w:after="0" w:line="28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40"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individually or in the aggregate, either (i) have or reasonably be expected to have a material adverse effect on the business, operations, properties, financial condition, results of operations or prospects of the Company and its Subsidiaries, taken as a whole, or (ii) prevent the transactions contemplated hereby or in any Terms Agreement (the effects described in the foregoing clauses (i) and (ii) being herein referred to as a “</w:t>
      </w:r>
      <w:r>
        <w:rPr>
          <w:rFonts w:ascii="Times New Roman" w:cs="Times New Roman" w:eastAsia="Times New Roman" w:hAnsi="Times New Roman"/>
          <w:sz w:val="18"/>
          <w:szCs w:val="18"/>
          <w:b w:val="1"/>
          <w:bCs w:val="1"/>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Adverse Effect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4"/>
        <w:spacing w:after="0" w:line="254" w:lineRule="auto"/>
        <w:tabs>
          <w:tab w:leader="none" w:pos="11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subsidiary of the Company (each a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that is a significant subsidiary, as defined in Rule 1-02(w) of Regulation S-X of the Exchange Act (each a “</w:t>
      </w:r>
      <w:r>
        <w:rPr>
          <w:rFonts w:ascii="Times New Roman" w:cs="Times New Roman" w:eastAsia="Times New Roman" w:hAnsi="Times New Roman"/>
          <w:sz w:val="18"/>
          <w:szCs w:val="18"/>
          <w:b w:val="1"/>
          <w:bCs w:val="1"/>
          <w:u w:val="single" w:color="auto"/>
          <w:color w:val="auto"/>
        </w:rPr>
        <w:t>Significant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has been duly incorporated or organized and is validly existing as a corporation, limited liability company or limited partnership,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the case may be, in good standing under the laws of the jurisdiction of its incorporation or organization, has corporate power and authority to own, lease and operate its properties and conduct its business as described in the Prospectus and is duly qualified as a foreign corporation, limited liability company or limited partnership, as the case may be, to transact business and is in good standing in each jurisdiction in which such qualification is required, whether by reason of the ownership or leasing of property or the conduct of business, except where the failure to so qualify would not have a Material Adverse Effect. All of the issued and outstanding capital stock of, or other ownership interests in, each such Significant Subsidiary has been duly authorized and validly issued, is fully paid and non-assessable and, except for directors’ qualifying shares, is owned by the Company, directly or through any Subsidiaries, free and clear of any security interest, mortgage, pledge, lien, encumbrance, claim or equity; and attached hereto as </w:t>
      </w:r>
      <w:r>
        <w:rPr>
          <w:rFonts w:ascii="Times New Roman" w:cs="Times New Roman" w:eastAsia="Times New Roman" w:hAnsi="Times New Roman"/>
          <w:sz w:val="18"/>
          <w:szCs w:val="18"/>
          <w:b w:val="1"/>
          <w:bCs w:val="1"/>
          <w:u w:val="single" w:color="auto"/>
          <w:color w:val="auto"/>
        </w:rPr>
        <w:t>Schedule 4</w:t>
      </w:r>
      <w:r>
        <w:rPr>
          <w:rFonts w:ascii="Times New Roman" w:cs="Times New Roman" w:eastAsia="Times New Roman" w:hAnsi="Times New Roman"/>
          <w:sz w:val="18"/>
          <w:szCs w:val="18"/>
          <w:color w:val="auto"/>
        </w:rPr>
        <w:t xml:space="preserve"> is an accurate and complete list of the Significant Subsidiaries.</w:t>
      </w:r>
    </w:p>
    <w:p>
      <w:pPr>
        <w:spacing w:after="0" w:line="186" w:lineRule="exact"/>
        <w:rPr>
          <w:rFonts w:ascii="Times New Roman" w:cs="Times New Roman" w:eastAsia="Times New Roman" w:hAnsi="Times New Roman"/>
          <w:sz w:val="18"/>
          <w:szCs w:val="18"/>
          <w:color w:val="auto"/>
        </w:rPr>
      </w:pPr>
    </w:p>
    <w:p>
      <w:pPr>
        <w:ind w:firstLine="644"/>
        <w:spacing w:after="0" w:line="282" w:lineRule="auto"/>
        <w:tabs>
          <w:tab w:leader="none" w:pos="10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of Shares</w:t>
      </w:r>
      <w:r>
        <w:rPr>
          <w:rFonts w:ascii="Times New Roman" w:cs="Times New Roman" w:eastAsia="Times New Roman" w:hAnsi="Times New Roman"/>
          <w:sz w:val="18"/>
          <w:szCs w:val="18"/>
          <w:color w:val="auto"/>
        </w:rPr>
        <w:t>. The Shares have been duly and validly authorized and, when issued and delivered against payment therefor as provided herein, will be duly and validly issued, fully paid and non-assessable and free of preemptive rights and similar rights.</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0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Shares</w:t>
      </w:r>
      <w:r>
        <w:rPr>
          <w:rFonts w:ascii="Times New Roman" w:cs="Times New Roman" w:eastAsia="Times New Roman" w:hAnsi="Times New Roman"/>
          <w:sz w:val="18"/>
          <w:szCs w:val="18"/>
          <w:color w:val="auto"/>
        </w:rPr>
        <w:t>. The capital stock of the Company, including the Shares, conforms in all material respects to the description thereof contained in the Registration Statement and the Prospectus.</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11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This Agreement has, and each Terms Agreement, if any, will be, duly authorized, executed and delivered by the Company and constitutes a valid and legally binding obligation of the Company, enforceable against the Company in accordance with its terms, except as enforceability may be limited by bankruptcy, insolvency, fraudulent conveyance, reorganization, moratorium and other similar laws relating to or affecting creditors’ rights generally and by general principles of equity.</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11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Defaults and Conflicts</w:t>
      </w:r>
      <w:r>
        <w:rPr>
          <w:rFonts w:ascii="Times New Roman" w:cs="Times New Roman" w:eastAsia="Times New Roman" w:hAnsi="Times New Roman"/>
          <w:sz w:val="18"/>
          <w:szCs w:val="18"/>
          <w:color w:val="auto"/>
        </w:rPr>
        <w:t>. The Company’s execution, delivery and performance of this Agreement and each Terms Agreement and consummation of the transactions contemplated hereby or thereby or by the Registration Statement and the Prospectus (including the issuance and sale of the Shares and the use of the proceeds from the sale of the Shares as described in the Prospectus under the caption “Use of</w:t>
      </w:r>
    </w:p>
    <w:p>
      <w:pPr>
        <w:spacing w:after="0" w:line="2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14" w:name="page15"/>
    <w:bookmarkEnd w:id="14"/>
    <w:p>
      <w:pPr>
        <w:jc w:val="both"/>
        <w:spacing w:after="0" w:line="252" w:lineRule="auto"/>
        <w:rPr>
          <w:sz w:val="20"/>
          <w:szCs w:val="20"/>
          <w:color w:val="auto"/>
        </w:rPr>
      </w:pPr>
      <w:r>
        <w:rPr>
          <w:rFonts w:ascii="Times New Roman" w:cs="Times New Roman" w:eastAsia="Times New Roman" w:hAnsi="Times New Roman"/>
          <w:sz w:val="18"/>
          <w:szCs w:val="18"/>
          <w:color w:val="auto"/>
        </w:rPr>
        <w:t>Proceeds”) (i) will not result in any breach or violation of the certificate or articles of incorporation, charter, bylaws, limited liability company agreement, certificate or agreement of limited or general partnership, memorandum and articles of association, or other similar organizational documents, as the case may be, of the Company or any of its Significant Subsidiaries, (ii) will not conflict with or constitute a breach of, or a default (or, with the giving of notice or lapse of time or both, would be in default) (“</w:t>
      </w: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color w:val="auto"/>
        </w:rPr>
        <w:t>”) or a Debt Repayment Triggering Event (as defined below) under, or result in the creation or imposition of any lien, charge, claim or encumbrance upon any property or assets of the Company or any of its Significant Subsidiaries pursuant to, or require the consent of any other party to, any indenture, mortgage, loan or credit agreement, deed of trust, note, contract, franchise, lease or other agreement, obligation, condition, covenant or instrument to which the Company or any of its Significant Subsidiaries is a party, and (iii) will not result in any violation of any statute, law, rule, regulation, judgment, order or decree applicable to the Company or any of its Significant Subsidiaries of any court, regulatory body, administrative agency, governmental body, arbitrator or other authority having jurisdiction over the Company or any of its Significant Subsidiaries or any of its or their properties, as applicable, except, with respect to clauses (ii) and (iii) only, for such conflicts, breaches, Defaults, Debt Repayment Triggering Events or violations that would not, individually or in the aggregate, have a Material Adverse Effect. As used herein, a “</w:t>
      </w:r>
      <w:r>
        <w:rPr>
          <w:rFonts w:ascii="Times New Roman" w:cs="Times New Roman" w:eastAsia="Times New Roman" w:hAnsi="Times New Roman"/>
          <w:sz w:val="18"/>
          <w:szCs w:val="18"/>
          <w:b w:val="1"/>
          <w:bCs w:val="1"/>
          <w:u w:val="single" w:color="auto"/>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or both would give, the holder of any note, debenture or other evidence of indebtedness (or any person acting on such holder’s behalf), issued by the Company, the right to require the repurchase, redemption or repayment of all or a portion of such indebtedness by the Company or any of its Significant Subsidiaries.</w:t>
      </w:r>
    </w:p>
    <w:p>
      <w:pPr>
        <w:spacing w:after="0" w:line="196" w:lineRule="exact"/>
        <w:rPr>
          <w:sz w:val="20"/>
          <w:szCs w:val="20"/>
          <w:color w:val="auto"/>
        </w:rPr>
      </w:pPr>
    </w:p>
    <w:p>
      <w:pPr>
        <w:jc w:val="both"/>
        <w:ind w:firstLine="644"/>
        <w:spacing w:after="0" w:line="256" w:lineRule="auto"/>
        <w:tabs>
          <w:tab w:leader="none" w:pos="11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consent, approval, license, permit, qualification, authorization or other order or decree of, or registration or filing with, any court or other governmental or regulatory authority or agency is required for the Company’s execution, delivery and performance of this Agreement and each Terms Agreement or consummation of the transactions contemplated hereby or thereby or by the Registration Statement and the Prospectus (including the issuance and sale of the Shares hereunder or under any Terms Agreement), except such as have been already obtained or made or as may be required under the Securities Act, applicable state securities or Blue Sky laws, the rules of the Exchange, or the rules and regulations of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44"/>
        <w:spacing w:after="0" w:line="255" w:lineRule="auto"/>
        <w:tabs>
          <w:tab w:leader="none" w:pos="10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To the best of the Company’s knowledge, except as set forth in the Registration Statement and the Prospectus, the Company or its Significant Subsidiaries own or possess a valid right to use all material patents, trademarks, service marks, trade names, copyrights, patentable inventions, trade secrets, know-how and other intellectual property (collectively, the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used by the Company or its Significant Subsidiaries in, and material to, the conduct of the Company’s or its Significant Subsidiaries’ business as now conducted or as proposed in the Registration Statement and the Prospectus to be conducted. To the best of the Company’s knowledge, except as set forth in the Registration Statement and the Prospectus, no claim has been made to the Company that any part of such Intellectual Property violates the rights of any</w:t>
      </w:r>
    </w:p>
    <w:p>
      <w:pPr>
        <w:spacing w:after="0" w:line="2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third party except to the extent such claim would not reasonably be expected to cause a Material Adverse Effect.</w:t>
      </w:r>
    </w:p>
    <w:p>
      <w:pPr>
        <w:spacing w:after="0" w:line="225" w:lineRule="exact"/>
        <w:rPr>
          <w:sz w:val="20"/>
          <w:szCs w:val="20"/>
          <w:color w:val="auto"/>
        </w:rPr>
      </w:pPr>
    </w:p>
    <w:p>
      <w:pPr>
        <w:jc w:val="both"/>
        <w:ind w:firstLine="644"/>
        <w:spacing w:after="0" w:line="252" w:lineRule="auto"/>
        <w:tabs>
          <w:tab w:leader="none" w:pos="10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Each of the Company and its Significant Subsidiaries possess, maintain and are in compliance with all necessary licenses, authorizations, consents and approvals and has made all necessary filings required under any federal, state, local or foreign law, regulation or rule, and has obtained all necessary licenses, certificates, authorizations, orders, permits, consents and approvals from other persons, in order to acquire and own, lease or sublease, lease to others and conduct its respective business as described in the Registration Statement or Prospectus, except where the failure to have or obtain such licenses, permits, authorizations, consents and approvals and to make such filings would not be reasonably expected, individually or in the aggregate, to have a Material Adverse Effect. All of such license, permit, authorization, consent or approval are valid and in full force and effect, except where the invalidity of such license, permit, authorization, consent or approval to be in full force and effect would not be reasonably expected to have a Material Adverse Effect. To the best of the Company’s knowledge, neither the Company nor any of its Significant Subsidiaries is in violation of, or in default under, or has received written notice of any proceedings relating to revocation or modification of, any such license, permit, authorization, consent or approval (or has any reason to believe that any such license, permit, authorization, consent or approval will not be renewed in the ordinary course) or any federal, state, local or foreign law, regulation or rule or any decree, order or judgment applicable to the Company or any of its Significant Subsidiaries, except where such violation, default, revocation or modification would not be reasonably expected, individually or in the aggregate, to have a Material Adverse Effect.</w:t>
      </w:r>
    </w:p>
    <w:p>
      <w:pPr>
        <w:spacing w:after="0" w:line="197" w:lineRule="exact"/>
        <w:rPr>
          <w:rFonts w:ascii="Times New Roman" w:cs="Times New Roman" w:eastAsia="Times New Roman" w:hAnsi="Times New Roman"/>
          <w:sz w:val="18"/>
          <w:szCs w:val="18"/>
          <w:color w:val="auto"/>
        </w:rPr>
      </w:pPr>
    </w:p>
    <w:p>
      <w:pPr>
        <w:jc w:val="both"/>
        <w:ind w:firstLine="644"/>
        <w:spacing w:after="0" w:line="253" w:lineRule="auto"/>
        <w:tabs>
          <w:tab w:leader="none" w:pos="11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Contracts and Agreements</w:t>
      </w:r>
      <w:r>
        <w:rPr>
          <w:rFonts w:ascii="Times New Roman" w:cs="Times New Roman" w:eastAsia="Times New Roman" w:hAnsi="Times New Roman"/>
          <w:sz w:val="18"/>
          <w:szCs w:val="18"/>
          <w:color w:val="auto"/>
        </w:rPr>
        <w:t>. There are no material contracts, agreements, instruments or other documents that are required to be described in the Registration Statement or the Prospectus or any Incorporated Documents or to be filed as exhibits thereto which have not been so described in all material respects and filed as required by Item 601(b) of Regulation S-K under the Securities Act. The copies of all contracts, agreements, instruments and other documents (including governmental licenses, authorizations, permits, consents and approvals and all amendments or waivers relating to any of the foregoing) that have been furnished to BTIG or its counsel are complete in all material respects and genuine and include all material collateral and supplemental agreements thereto. All material contracts and agreements between the Company and third parties expressly referenced in the Registration Statement or the Prospectus are legal, valid and binding obligations of the Company, enforceable against the Company in accordance with their respective terms, except as enforceability may be limited by bankruptcy, insolvency, fraudulent conveyance, reorganization, moratorium and other similar laws relating to or affecting creditors’ rights generally and by general principles of equity.</w:t>
      </w:r>
    </w:p>
    <w:p>
      <w:pPr>
        <w:spacing w:after="0" w:line="194" w:lineRule="exact"/>
        <w:rPr>
          <w:rFonts w:ascii="Times New Roman" w:cs="Times New Roman" w:eastAsia="Times New Roman" w:hAnsi="Times New Roman"/>
          <w:sz w:val="18"/>
          <w:szCs w:val="18"/>
          <w:color w:val="auto"/>
        </w:rPr>
      </w:pPr>
    </w:p>
    <w:p>
      <w:pPr>
        <w:jc w:val="both"/>
        <w:ind w:firstLine="644"/>
        <w:spacing w:after="0" w:line="266" w:lineRule="auto"/>
        <w:tabs>
          <w:tab w:leader="none" w:pos="11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and Prospectus, there are no actions, suits, claims, investigations or proceedings pending or, to the Company’s knowledge, threatened to which the Company or any of the Subsidiaries is or would be a party, or of which any of the respective properties or assets</w:t>
      </w:r>
    </w:p>
    <w:p>
      <w:pPr>
        <w:spacing w:after="0" w:line="2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of the Company and the Subsidiaries is or would be subject, at law or in equity, before any court or arbitral body or by or before any federal, state, local or foreign governmental or regulatory commission, board, body, authority or agency, which are required to be disclosed in the Registration Statement or Prospectus that (i) are required to be described in the Registration Statement or the Prospectus and are not so described or (ii) would reasonably be expected to have a material adverse effect on the ability of the Company to perform its obligations under this Agreement or on the consummation of any of the transactions contemplated hereby.</w:t>
      </w:r>
    </w:p>
    <w:p>
      <w:pPr>
        <w:spacing w:after="0" w:line="183" w:lineRule="exact"/>
        <w:rPr>
          <w:sz w:val="20"/>
          <w:szCs w:val="20"/>
          <w:color w:val="auto"/>
        </w:rPr>
      </w:pPr>
    </w:p>
    <w:p>
      <w:pPr>
        <w:jc w:val="both"/>
        <w:ind w:firstLine="644"/>
        <w:spacing w:after="0" w:line="258" w:lineRule="auto"/>
        <w:tabs>
          <w:tab w:leader="none" w:pos="10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PricewaterhouseCoopers LLP, whose report on the consolidated financial statements of the Company and the Subsidiaries is incorporated by reference in the Registration Statement and the Prospectus, is an independent registered public accounting firm with respect to the Company as required by the Securities Act, the Exchange Act and the Public Company Accounting Oversight Board (United States) (the “</w:t>
      </w:r>
      <w:r>
        <w:rPr>
          <w:rFonts w:ascii="Times New Roman" w:cs="Times New Roman" w:eastAsia="Times New Roman" w:hAnsi="Times New Roman"/>
          <w:sz w:val="18"/>
          <w:szCs w:val="18"/>
          <w:b w:val="1"/>
          <w:bCs w:val="1"/>
          <w:u w:val="single" w:color="auto"/>
          <w:color w:val="auto"/>
        </w:rPr>
        <w:t>PCAOB</w:t>
      </w:r>
      <w:r>
        <w:rPr>
          <w:rFonts w:ascii="Times New Roman" w:cs="Times New Roman" w:eastAsia="Times New Roman" w:hAnsi="Times New Roman"/>
          <w:sz w:val="18"/>
          <w:szCs w:val="18"/>
          <w:color w:val="auto"/>
        </w:rPr>
        <w:t>”). PricewaterhouseCoopers LLP has not been engaged by the Company to perform any “prohibited activities” (as defined in Section 10A of the Exchange Act).</w:t>
      </w:r>
    </w:p>
    <w:p>
      <w:pPr>
        <w:spacing w:after="0" w:line="183" w:lineRule="exact"/>
        <w:rPr>
          <w:rFonts w:ascii="Times New Roman" w:cs="Times New Roman" w:eastAsia="Times New Roman" w:hAnsi="Times New Roman"/>
          <w:sz w:val="18"/>
          <w:szCs w:val="18"/>
          <w:color w:val="auto"/>
        </w:rPr>
      </w:pPr>
    </w:p>
    <w:p>
      <w:pPr>
        <w:jc w:val="both"/>
        <w:ind w:firstLine="644"/>
        <w:spacing w:after="0" w:line="252" w:lineRule="auto"/>
        <w:tabs>
          <w:tab w:leader="none" w:pos="11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included or incorporated by reference in the Registration Statement and the Prospectus, together with the related notes and schedules, present fairly the consolidated financial position of the Company and the Subsidiaries as of the dates indicated and the consolidated results of operations and cash flows of the Company and the Subsidiaries for the periods specified and have been prepared in compliance with the requirements of the Securities Act and Exchange Act and in conformity with United States generally accepted accounting principles (“</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xml:space="preserve">”) applied on a consistent basis during the periods involved. The selected financial data and the summary financial information included in the Registration Statement and the Prospectus present fairly, or will present fairly, the information shown therein and have been compiled on a basis consistent with that of the financial statements included or incorporated by reference in the Registration Statement and the Prospectus, as of and at the dates indicated. Any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statements or data included or incorporated by reference in the Registration Statement and the Prospectus comply with the requirements of Regulation S-X of the Securities Act, including, without limitation, Article 11 thereof, and the assumptions used in the preparation of such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statements and data are reasonable,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used therein are appropriate to give effect to the circumstances referred to therein and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have been properly applied to the historical amounts in the compilation of those statements and data. The other financial data set forth or incorporated by reference in the Registration Statement and the Prospectus is accurately presented and prepared on a basis consistent with the financial statements and books and records of the Company. The Company and the Subsidiaries do not have any material liabilities or obligations, direct or contingent (including any off-balance sheet obligations or any “variable interest entities” as that term is used in Accounting Standards Codification Paragraph 810-10-25-20), not disclosed in the Registration Statement and the Prospectus. All disclosures contained in the Registration Statement or the Prospectus, including the Incorporated Documents, that contain “non-GAAP financial measures” (as such term is defined by the rules and regulations of the Commission) comply, in all material respects, with</w:t>
      </w:r>
    </w:p>
    <w:p>
      <w:pPr>
        <w:spacing w:after="0" w:line="3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Regulation G under the Exchange Act and Item 10 of Regulation S-K under the Securities Act, to the extent applicable.</w:t>
      </w:r>
    </w:p>
    <w:p>
      <w:pPr>
        <w:spacing w:after="0" w:line="225" w:lineRule="exact"/>
        <w:rPr>
          <w:sz w:val="20"/>
          <w:szCs w:val="20"/>
          <w:color w:val="auto"/>
        </w:rPr>
      </w:pPr>
    </w:p>
    <w:p>
      <w:pPr>
        <w:jc w:val="both"/>
        <w:ind w:firstLine="644"/>
        <w:spacing w:after="0" w:line="258" w:lineRule="auto"/>
        <w:tabs>
          <w:tab w:leader="none" w:pos="10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Subsequent to the respective dates as of which information is given in the Registration Statement and the Prospectus, there has not been any material adverse change in (i) the business, operations, properties, financial condition, results of operations or prospects of the Company and its Subsidiaries, taken as a whole, (ii) any obligation, direct or contingent (including any off-balance sheet obligations), incurred by the Company or any Subsidiary, which is material to the Company and the Subsidiaries, taken as a whole or (iii) any change in the authorized capital stock of the Company.</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11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after receipt of payment for the Shares and the application of the proceeds thereof as contemplated under the caption “Use of Proceeds” in the Registration Statement and the Prospectus will not be, required to be registered as an “investment company” under the Investment Company Act of 1940, as amended, and the rules and regulations promulgated thereunder (collectively,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44"/>
        <w:spacing w:after="0" w:line="255" w:lineRule="auto"/>
        <w:tabs>
          <w:tab w:leader="none" w:pos="10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xml:space="preserve">. Except as set forth in the Registration Statement and the Prospectus, the Company and each of its Significant Subsidiaries have good and marketable title to all of the properties and assets reflected as owned in the financial statements referred to in </w:t>
      </w:r>
      <w:r>
        <w:rPr>
          <w:rFonts w:ascii="Times New Roman" w:cs="Times New Roman" w:eastAsia="Times New Roman" w:hAnsi="Times New Roman"/>
          <w:sz w:val="18"/>
          <w:szCs w:val="18"/>
          <w:u w:val="single" w:color="auto"/>
          <w:color w:val="auto"/>
        </w:rPr>
        <w:t>Section 6(r)</w:t>
      </w:r>
      <w:r>
        <w:rPr>
          <w:rFonts w:ascii="Times New Roman" w:cs="Times New Roman" w:eastAsia="Times New Roman" w:hAnsi="Times New Roman"/>
          <w:sz w:val="18"/>
          <w:szCs w:val="18"/>
          <w:color w:val="auto"/>
        </w:rPr>
        <w:t xml:space="preserve"> above, in each case free and clear of all liens, encumbrances and defects except such as do not materially and adversely affect the value of such property and do not materially interfere with the use made and proposed to be made of such property by the Company or any Significant Subsidiary; and any real property and buildings held under lease by the Company and its Significant Subsidiaries are held by them under valid, subsisting and enforceable leases with such exceptions as are not material and do not materially interfere with the use made and proposed to be made of such property and buildings by the Company and its Significant Subsidiaries.</w:t>
      </w:r>
    </w:p>
    <w:p>
      <w:pPr>
        <w:spacing w:after="0" w:line="188" w:lineRule="exact"/>
        <w:rPr>
          <w:rFonts w:ascii="Times New Roman" w:cs="Times New Roman" w:eastAsia="Times New Roman" w:hAnsi="Times New Roman"/>
          <w:sz w:val="18"/>
          <w:szCs w:val="18"/>
          <w:color w:val="auto"/>
        </w:rPr>
      </w:pPr>
    </w:p>
    <w:p>
      <w:pPr>
        <w:jc w:val="both"/>
        <w:ind w:firstLine="644"/>
        <w:spacing w:after="0" w:line="253" w:lineRule="auto"/>
        <w:tabs>
          <w:tab w:leader="none" w:pos="11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To the best knowledge of the Company, except as otherwise disclosed in the Registration Statement and Prospectus, neither the Company nor any of its Subsidiaries has been in violation of, in connection with the ownership, use, maintenance or operation of its properties and assets, any applicable federal, state, municipal, local or foreign laws, rules, regulations, decisions, orders, policies, permits, licenses, certificates or approvals having force of law, domestic or foreign, relating to environmental, health, or safety matters or hazardous or toxic substances or wastes, pollutants or contaminants (collectively,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except where such violation would not, individually or in the aggregate, be reasonably expected to have a Material Adverse Effect. To the best knowledge of the Company, without limiting the generality of the foregoing and except as otherwise described in the Registration Statement and Prospectus: (i) there are no orders, rulings or directives issued, pending or, to the knowledge of the Company, threatened against the Company or any of its Subsidiaries under or pursuant to any Environmental Laws requiring any work, repairs, construction or capital expenditures with respect to any properties or assets of the Company or any of its Subsidiaries, which would reasonably be expected to have a</w:t>
      </w:r>
    </w:p>
    <w:p>
      <w:pPr>
        <w:spacing w:after="0" w:line="3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18" w:name="page19"/>
    <w:bookmarkEnd w:id="18"/>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 xml:space="preserve">Material Adverse Effect; and (ii) no notice with respect to any of the matters referred to in this </w:t>
      </w:r>
      <w:r>
        <w:rPr>
          <w:rFonts w:ascii="Times New Roman" w:cs="Times New Roman" w:eastAsia="Times New Roman" w:hAnsi="Times New Roman"/>
          <w:sz w:val="18"/>
          <w:szCs w:val="18"/>
          <w:u w:val="single" w:color="auto"/>
          <w:color w:val="auto"/>
        </w:rPr>
        <w:t>Section 6(w)</w:t>
      </w:r>
      <w:r>
        <w:rPr>
          <w:rFonts w:ascii="Times New Roman" w:cs="Times New Roman" w:eastAsia="Times New Roman" w:hAnsi="Times New Roman"/>
          <w:sz w:val="18"/>
          <w:szCs w:val="18"/>
          <w:color w:val="auto"/>
        </w:rPr>
        <w:t>, including any alleged violations by the Company or any of the Subsidiaries with respect thereto has been received by the Company or any of its Subsidiaries, and no writ, injunction, order or judgment is outstanding, and no legal proceeding under or pursuant to any Environmental Laws or relating to the ownership, use, maintenance or operation of the properties and assets of the Company or any of its Subsidiaries is in progress, pending or threatened, which would reasonably be expected to have a Material Adverse Effect.</w:t>
      </w:r>
    </w:p>
    <w:p>
      <w:pPr>
        <w:spacing w:after="0" w:line="183" w:lineRule="exact"/>
        <w:rPr>
          <w:sz w:val="20"/>
          <w:szCs w:val="20"/>
          <w:color w:val="auto"/>
        </w:rPr>
      </w:pPr>
    </w:p>
    <w:p>
      <w:pPr>
        <w:jc w:val="both"/>
        <w:ind w:left="4" w:firstLine="644"/>
        <w:spacing w:after="0" w:line="258" w:lineRule="auto"/>
        <w:tabs>
          <w:tab w:leader="none" w:pos="110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are prudent and customary in their reasonable judgment for the businesses in which they are engaged.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have a Material Adverse Effect.</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106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 and Disclosure Controls</w:t>
      </w:r>
      <w:r>
        <w:rPr>
          <w:rFonts w:ascii="Times New Roman" w:cs="Times New Roman" w:eastAsia="Times New Roman" w:hAnsi="Times New Roman"/>
          <w:sz w:val="18"/>
          <w:szCs w:val="18"/>
          <w:color w:val="auto"/>
        </w:rPr>
        <w:t>. The Company and each of its Subsidiaries maintain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receipts and expenditures are being made only in accordance with management’s general or specific authorization;</w:t>
      </w:r>
    </w:p>
    <w:p>
      <w:pPr>
        <w:spacing w:after="0" w:line="2"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and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 and its Subsidiaries, considered as one enterprise, have established and currently maintain disclosure controls and procedures that comply with Rule 13a-15 under the Exchange Act, and the Company has determined that such disclosure controls and procedures are effective in compliance with Rule 13a-15 under the Exchange Act.</w:t>
      </w:r>
    </w:p>
    <w:p>
      <w:pPr>
        <w:spacing w:after="0" w:line="193"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08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the Sarbanes-Oxley Act</w:t>
      </w:r>
      <w:r>
        <w:rPr>
          <w:rFonts w:ascii="Times New Roman" w:cs="Times New Roman" w:eastAsia="Times New Roman" w:hAnsi="Times New Roman"/>
          <w:sz w:val="18"/>
          <w:szCs w:val="18"/>
          <w:color w:val="auto"/>
        </w:rPr>
        <w:t>. Except as disclosed in the Registration Statement and the Prospectus,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(the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28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40" w:right="339" w:bottom="1440" w:gutter="0" w:footer="0" w:header="0"/>
        </w:sectPr>
      </w:pPr>
    </w:p>
    <w:bookmarkStart w:id="19" w:name="page20"/>
    <w:bookmarkEnd w:id="19"/>
    <w:p>
      <w:pPr>
        <w:ind w:left="4" w:firstLine="644"/>
        <w:spacing w:after="0" w:line="282" w:lineRule="auto"/>
        <w:tabs>
          <w:tab w:leader="none" w:pos="117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Actively-Traded Security</w:t>
      </w:r>
      <w:r>
        <w:rPr>
          <w:rFonts w:ascii="Times New Roman" w:cs="Times New Roman" w:eastAsia="Times New Roman" w:hAnsi="Times New Roman"/>
          <w:sz w:val="18"/>
          <w:szCs w:val="18"/>
          <w:color w:val="auto"/>
        </w:rPr>
        <w:t>. The Common Stock is an “actively-traded security” exempted from the requirements of Rule 101 of Regulation M under the Exchange Act by subsection (c)(1) of such rule.</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14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All tax returns of the Company and its Subsidiaries required by law to be filed have been filed or extensions of the time to file such returns have been requested and all taxes shown by such returns or otherwise assessed, which are due and payable, have been paid, except (i) assessments against which appeals have been or will be promptly taken and as to which adequate reserves have been provided or</w:t>
      </w:r>
    </w:p>
    <w:p>
      <w:pPr>
        <w:spacing w:after="0" w:line="1"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failure to do so would not reasonably be expected to have a Material Adverse Effect. No tax deficiency has been determined adversely to the Company or any of its Subsidiaries which, singly or in the aggregate, has had (nor does the Company nor any of its Subsidiaries have any notice or knowledge of any tax deficiency which would reasonably be expected to be determined adversely to the Company or its Subsidiaries and which would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left="4" w:right="20" w:firstLine="644"/>
        <w:spacing w:after="0" w:line="266" w:lineRule="auto"/>
        <w:tabs>
          <w:tab w:leader="none" w:pos="128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The statistical and market-related data included or incorporated by reference in the Registration Statement and the Prospectus are based on or derived from sources that the Company believes to be reliable and accurate, and the Company has obtained the written consent to the use of such data from such sources to the extent required.</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15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None of the Company, any Subsidiary 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(collectively, the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Company and the Subsidiaries have for the past five years conducted their respective businesses in material compliance with the FCPA and have instituted and maintain policies and procedures designed to ensure, and which are reasonably expected to continue to ensure, continued compliance therewith. The Company will not directly or indirectly use the proceeds of the offering, or lend, contribute or otherwise make available such proceeds to any subsidiary, joint venture partner or other person or entity, for the purpose of financing the activities of any person in violation of the FCPA.</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1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for the past five years have been in material compliance with applicable financial recordkeeping and reporting requirements of the Currency and Foreign Transactions Reporting Act of 1970, as amended, the money laundering statutes of all applicable jurisdictions, the rules and regulations thereunder and any related or</w:t>
      </w:r>
    </w:p>
    <w:p>
      <w:pPr>
        <w:spacing w:after="0" w:line="28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40" w:right="339" w:bottom="1440" w:gutter="0" w:footer="0" w:header="0"/>
        </w:sectPr>
      </w:pPr>
    </w:p>
    <w:bookmarkStart w:id="20" w:name="page21"/>
    <w:bookmarkEnd w:id="20"/>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similar rules, regulations or guidelines, issued, administered or enforced by any applicable governmental agency (collectively, the “</w:t>
      </w:r>
      <w:r>
        <w:rPr>
          <w:rFonts w:ascii="Times New Roman" w:cs="Times New Roman" w:eastAsia="Times New Roman" w:hAnsi="Times New Roman"/>
          <w:sz w:val="18"/>
          <w:szCs w:val="18"/>
          <w:b w:val="1"/>
          <w:bCs w:val="1"/>
          <w:u w:val="single" w:color="auto"/>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involving the Company or any of its Subsidiaries with respect to the Money Laundering Laws is pending or, to the knowledge of the Company, threatened.</w:t>
      </w:r>
    </w:p>
    <w:p>
      <w:pPr>
        <w:spacing w:after="0" w:line="180" w:lineRule="exact"/>
        <w:rPr>
          <w:sz w:val="20"/>
          <w:szCs w:val="20"/>
          <w:color w:val="auto"/>
        </w:rPr>
      </w:pPr>
    </w:p>
    <w:p>
      <w:pPr>
        <w:jc w:val="both"/>
        <w:ind w:left="4" w:firstLine="644"/>
        <w:spacing w:after="0" w:line="258" w:lineRule="auto"/>
        <w:tabs>
          <w:tab w:leader="none" w:pos="108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Company, any Subsidiary or, to the knowledge of the Company, any director, officer, agent, employee, affiliate or person acting on behalf of the Company or any of its Subsidiaries is currently subject to any U.S. sanctions administered by the Office of Foreign Assets Control of the U.S. Treasury Department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114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with Sanction Laws</w:t>
      </w:r>
      <w:r>
        <w:rPr>
          <w:rFonts w:ascii="Times New Roman" w:cs="Times New Roman" w:eastAsia="Times New Roman" w:hAnsi="Times New Roman"/>
          <w:sz w:val="18"/>
          <w:szCs w:val="18"/>
          <w:color w:val="auto"/>
        </w:rPr>
        <w:t>. Neither the Company nor any of its Subsidiaries nor any director, officer of the Company or its Subsidiaries, nor, to the knowledge of the Company, any employee, agent or affiliate or other person acting on behalf of the Company or its Subsidiaries, in each case acting on behalf of the Company or any of its Subsidiaries, is currently the subject or the target of any sanctions administered or enforced by the U.S. Government, (including, without limitation, the Office of Foreign Assets Control of the U.S. Treasury Department or the U.S. Department of State and including, without limitation, the designation as a “specially designated national” or “blocked person”), the United Nations Security Council, the European Union, His Majesty’s Treasury, or other applicable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comprehensive Sanctions, including, without limitation, the Crimea, Zaporizhzhia and Kherson Regions of Ukraine, the so-called Donetsk People’s Republic, the so-called Luhansk People’s Republic, Cuba, Iran and North Korea (each, a “</w:t>
      </w:r>
      <w:r>
        <w:rPr>
          <w:rFonts w:ascii="Times New Roman" w:cs="Times New Roman" w:eastAsia="Times New Roman" w:hAnsi="Times New Roman"/>
          <w:sz w:val="18"/>
          <w:szCs w:val="18"/>
          <w:b w:val="1"/>
          <w:bCs w:val="1"/>
          <w:u w:val="single" w:color="auto"/>
          <w:color w:val="auto"/>
        </w:rPr>
        <w:t>Sanctioned Country</w:t>
      </w:r>
      <w:r>
        <w:rPr>
          <w:rFonts w:ascii="Times New Roman" w:cs="Times New Roman" w:eastAsia="Times New Roman" w:hAnsi="Times New Roman"/>
          <w:sz w:val="18"/>
          <w:szCs w:val="18"/>
          <w:color w:val="auto"/>
        </w:rPr>
        <w:t>”); and the Company will not directly or indirectly use any of the proceeds of the offering, or lend, contribute or otherwise make available such proceeds to any subsidiary, joint venture partner or other person or entity (i) to fund or facilitate any activities of or business with any person that, at the time of such funding or facilitation, is the subject or the target of any Sanctions, (ii) to fund or facilitate any activities of or any business in any Sanctioned Country or</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by any person (including any person participating in the transaction, whether as underwriter, advisor, investor or otherwise) of any applicable Sanctions. For the past five years, the Company and its Subsidiaries have not knowingly engaged in, and are not now knowingly engaged in, any prohibited dealings or transactions with any person that violates any applicable Sanctions.</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1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relationship, direct or indirect, exists between or among the Company or any of its Subsidiaries on the one hand, and the directors, officers, trustees, managers, stockholders, partners, customers or suppliers of the Company or any of the Subsidiaries on the other hand, which would be required by</w:t>
      </w:r>
    </w:p>
    <w:p>
      <w:pPr>
        <w:spacing w:after="0" w:line="28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3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Securities Act to be disclosed in the Registration Statement and the Prospectus, which is not so disclosed.</w:t>
      </w:r>
    </w:p>
    <w:p>
      <w:pPr>
        <w:spacing w:after="0" w:line="225" w:lineRule="exact"/>
        <w:rPr>
          <w:sz w:val="20"/>
          <w:szCs w:val="20"/>
          <w:color w:val="auto"/>
        </w:rPr>
      </w:pPr>
    </w:p>
    <w:p>
      <w:pPr>
        <w:jc w:val="both"/>
        <w:ind w:firstLine="644"/>
        <w:spacing w:after="0" w:line="252" w:lineRule="auto"/>
        <w:tabs>
          <w:tab w:leader="none" w:pos="11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Except as would not be reasonably expected to have a Material Adverse Effect, (i) The Company and its Significant Subsidiaries and any “employee benefit plan” (as defined in Section 3(3) of the Employee Retirement Income Security Act of 1974, as amended, and the regulations thereunder (collectively,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established or maintained by the Company, its Significant Subsidiaries or their ERISA Affiliates (as defined below) are in compliance in all material respects with ERISA and the Code; (ii) no “reportable event” (as defined under ERISA), other than an event for which the reporting requirement has been waived under regulations issued by the Pension Benefit Guaranty Corporation, has occurred with respect to any pension plan subject to Title IV of ERISA that is established or maintained by the Company, its Significant Subsidiaries or any of their ERISA Affiliates (“</w:t>
      </w:r>
      <w:r>
        <w:rPr>
          <w:rFonts w:ascii="Times New Roman" w:cs="Times New Roman" w:eastAsia="Times New Roman" w:hAnsi="Times New Roman"/>
          <w:sz w:val="18"/>
          <w:szCs w:val="18"/>
          <w:b w:val="1"/>
          <w:bCs w:val="1"/>
          <w:u w:val="single" w:color="auto"/>
          <w:color w:val="auto"/>
        </w:rPr>
        <w:t>Pension Plan</w:t>
      </w:r>
      <w:r>
        <w:rPr>
          <w:rFonts w:ascii="Times New Roman" w:cs="Times New Roman" w:eastAsia="Times New Roman" w:hAnsi="Times New Roman"/>
          <w:sz w:val="18"/>
          <w:szCs w:val="18"/>
          <w:color w:val="auto"/>
        </w:rPr>
        <w:t>”); (iii) no Pension Plan’s benefit liabilities under Section 4001(a)(16) of ERISA exceed the current value of that Pension Plan’s assets, all as determined as of the most recent valuation date for the Pension Plan in accordance with the assumptions used for funding the Pension Plan pursuant to Section 412 of ERISA; (iv) none of the Company, its Significant Subsidiaries or any of their ERISA Affiliates has incurred or reasonably expects to incur any liability under (A) Title IV of ERISA with respect to termination of, or withdrawal from, any “employee benefit plan,” (B) Sections 4971 or 4975 of the Code, (C) Section 412 of the Code as a result of a failure to satisfy the minimum funding standard, or (D) Section 4980B of the Code with respect to the excise tax imposed thereunder; and (v) each “employee benefit plan” established or maintained by the Company, its Significant Subsidiaries or any of their ERISA Affiliates that is intended to be qualified under Section 401(a) of the Code has received a favorable determination letter from the Internal Revenue Service and nothing has occurred, whether by action or failure to act, which is reasonably likely to cause disqualification of any such employee benefit plan under Section 401(a) of the Code. “</w:t>
      </w:r>
      <w:r>
        <w:rPr>
          <w:rFonts w:ascii="Times New Roman" w:cs="Times New Roman" w:eastAsia="Times New Roman" w:hAnsi="Times New Roman"/>
          <w:sz w:val="18"/>
          <w:szCs w:val="18"/>
          <w:b w:val="1"/>
          <w:bCs w:val="1"/>
          <w:u w:val="single" w:color="auto"/>
          <w:color w:val="auto"/>
        </w:rPr>
        <w:t>ERISA Affiliate</w:t>
      </w:r>
      <w:r>
        <w:rPr>
          <w:rFonts w:ascii="Times New Roman" w:cs="Times New Roman" w:eastAsia="Times New Roman" w:hAnsi="Times New Roman"/>
          <w:sz w:val="18"/>
          <w:szCs w:val="18"/>
          <w:color w:val="auto"/>
        </w:rPr>
        <w:t>” means, with respect to the Company or a Significant Subsidiary, any member of any group of organizations described in Section 414(b), (c), (m) or (o) of the Code, of which the Company or such Significant Subsidiary is a member.</w:t>
      </w:r>
    </w:p>
    <w:p>
      <w:pPr>
        <w:spacing w:after="0" w:line="193" w:lineRule="exact"/>
        <w:rPr>
          <w:rFonts w:ascii="Times New Roman" w:cs="Times New Roman" w:eastAsia="Times New Roman" w:hAnsi="Times New Roman"/>
          <w:sz w:val="18"/>
          <w:szCs w:val="18"/>
          <w:color w:val="auto"/>
        </w:rPr>
      </w:pPr>
    </w:p>
    <w:p>
      <w:pPr>
        <w:jc w:val="both"/>
        <w:ind w:firstLine="644"/>
        <w:spacing w:after="0" w:line="266" w:lineRule="auto"/>
        <w:tabs>
          <w:tab w:leader="none" w:pos="10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No material labor dispute with the employees of the Company or any of its Subsidiaries exists, or, to the knowledge of the Company, is imminent; and the Company is not aware of any existing, imminent labor disturbance by the employees of any of its principal suppliers, manufacturers or contractors that would, singly or in the aggregate, result in a Material Adverse Effect.</w:t>
      </w:r>
    </w:p>
    <w:p>
      <w:pPr>
        <w:spacing w:after="0" w:line="175" w:lineRule="exact"/>
        <w:rPr>
          <w:rFonts w:ascii="Times New Roman" w:cs="Times New Roman" w:eastAsia="Times New Roman" w:hAnsi="Times New Roman"/>
          <w:sz w:val="18"/>
          <w:szCs w:val="18"/>
          <w:color w:val="auto"/>
        </w:rPr>
      </w:pPr>
    </w:p>
    <w:p>
      <w:pPr>
        <w:jc w:val="both"/>
        <w:ind w:firstLine="644"/>
        <w:spacing w:after="0" w:line="258" w:lineRule="auto"/>
        <w:tabs>
          <w:tab w:leader="none" w:pos="122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Capitalization</w:t>
      </w:r>
      <w:r>
        <w:rPr>
          <w:rFonts w:ascii="Times New Roman" w:cs="Times New Roman" w:eastAsia="Times New Roman" w:hAnsi="Times New Roman"/>
          <w:sz w:val="18"/>
          <w:szCs w:val="18"/>
          <w:color w:val="auto"/>
        </w:rPr>
        <w:t>. As of the close of trading on the Exchange on the Trading Day immediately prior to the date of this Agreement, the aggregate market value of the outstanding voting and non-voting common equity (as defined in Securities Act Rule 405) of the Company held by persons other than affiliates of the Company (within the meaning of Securities Act Rule 144) (the “</w:t>
      </w:r>
      <w:r>
        <w:rPr>
          <w:rFonts w:ascii="Times New Roman" w:cs="Times New Roman" w:eastAsia="Times New Roman" w:hAnsi="Times New Roman"/>
          <w:sz w:val="18"/>
          <w:szCs w:val="18"/>
          <w:b w:val="1"/>
          <w:bCs w:val="1"/>
          <w:u w:val="single" w:color="auto"/>
          <w:color w:val="auto"/>
        </w:rPr>
        <w:t>Non-Affiliate Shares</w:t>
      </w:r>
      <w:r>
        <w:rPr>
          <w:rFonts w:ascii="Times New Roman" w:cs="Times New Roman" w:eastAsia="Times New Roman" w:hAnsi="Times New Roman"/>
          <w:sz w:val="18"/>
          <w:szCs w:val="18"/>
          <w:color w:val="auto"/>
        </w:rPr>
        <w:t>”), was approximately $29.89 million (calculated by multiplying (x) the highest price at which the common equity of the Company was last sold on the Exchange on a Trading Day within 60 days prior to the date of this Agreement times (y) the number of Non-Affiliate</w:t>
      </w:r>
    </w:p>
    <w:p>
      <w:pPr>
        <w:spacing w:after="0" w:line="2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Shares). For as long as the Company is subject to General Instruction I.B.6. of Form S-3 during the term of this Agreement, the aggregate market value of all securities sold by or on behalf of the Company pursuant to and in reliance on General Instruction I.B.6. of Form S-3 during the period of 12 calendar months immediately prior to, and including, any offering of Shares pursuant to this Agreement or any Terms Agreement pursuant to and in reliance on General Instruction I.B.6. of Form S-3 shall not be more than one-third of the aggregate market value of the Non-Affiliate Shares, calculated in accordance with Instructions 1 and 2 to General Instruction I.B.6 of Form S-3.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4 to General Instruction I.B.6. of Form S-3) with the Commission at least 12 calendar months previously reflecting its status as an entity that is not a shell company.</w:t>
      </w:r>
    </w:p>
    <w:p>
      <w:pPr>
        <w:spacing w:after="0" w:line="192" w:lineRule="exact"/>
        <w:rPr>
          <w:sz w:val="20"/>
          <w:szCs w:val="20"/>
          <w:color w:val="auto"/>
        </w:rPr>
      </w:pPr>
    </w:p>
    <w:p>
      <w:pPr>
        <w:jc w:val="both"/>
        <w:ind w:firstLine="644"/>
        <w:spacing w:after="0" w:line="261" w:lineRule="auto"/>
        <w:tabs>
          <w:tab w:leader="none" w:pos="10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Neither the Company, nor any of its Subsidiaries, nor any of its or their respective directors, officers or, to the knowledge of the Company, controlling persons has taken, directly or indirectly, any action designed to stabilize or manipulate, or which has constituted or might reasonably be expected to cause or result in, the stabilization or manipulation of, the price of any security of the Company to facilitate the sale or resale of the Shares.</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12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Broker-Dealer Status; FINRA Matters</w:t>
      </w:r>
      <w:r>
        <w:rPr>
          <w:rFonts w:ascii="Times New Roman" w:cs="Times New Roman" w:eastAsia="Times New Roman" w:hAnsi="Times New Roman"/>
          <w:sz w:val="18"/>
          <w:szCs w:val="18"/>
          <w:color w:val="auto"/>
        </w:rPr>
        <w:t>. 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stockholders of the Company, on the other hand, which is required by the rules of FINRA to be described in the Registration Statement and the Prospectus, which is not so described. The offering of the Shares pursuant to this Agreement qualifies for the exemption from the filing requirements of FINRA Rule 5110 afforded by FINRA Rule 5110(h)(1)(C).</w:t>
      </w:r>
    </w:p>
    <w:p>
      <w:pPr>
        <w:spacing w:after="0" w:line="187" w:lineRule="exact"/>
        <w:rPr>
          <w:rFonts w:ascii="Times New Roman" w:cs="Times New Roman" w:eastAsia="Times New Roman" w:hAnsi="Times New Roman"/>
          <w:sz w:val="18"/>
          <w:szCs w:val="18"/>
          <w:color w:val="auto"/>
        </w:rPr>
      </w:pPr>
    </w:p>
    <w:p>
      <w:pPr>
        <w:jc w:val="both"/>
        <w:ind w:firstLine="644"/>
        <w:spacing w:after="0" w:line="266" w:lineRule="auto"/>
        <w:tabs>
          <w:tab w:leader="none" w:pos="11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18"/>
          <w:szCs w:val="18"/>
          <w:color w:val="auto"/>
        </w:rPr>
      </w:pPr>
    </w:p>
    <w:p>
      <w:pPr>
        <w:jc w:val="both"/>
        <w:ind w:firstLine="644"/>
        <w:spacing w:after="0" w:line="256" w:lineRule="auto"/>
        <w:tabs>
          <w:tab w:leader="none" w:pos="122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 Security</w:t>
      </w:r>
      <w:r>
        <w:rPr>
          <w:rFonts w:ascii="Times New Roman" w:cs="Times New Roman" w:eastAsia="Times New Roman" w:hAnsi="Times New Roman"/>
          <w:sz w:val="18"/>
          <w:szCs w:val="18"/>
          <w:color w:val="auto"/>
        </w:rPr>
        <w:t>. There has been no security breach or incident, unauthorized access or disclosure, or other compromise of or relating to any of the Company’s and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w:t>
      </w:r>
      <w:r>
        <w:rPr>
          <w:rFonts w:ascii="Times New Roman" w:cs="Times New Roman" w:eastAsia="Times New Roman" w:hAnsi="Times New Roman"/>
          <w:sz w:val="18"/>
          <w:szCs w:val="18"/>
          <w:b w:val="1"/>
          <w:bCs w:val="1"/>
          <w:u w:val="single" w:color="auto"/>
          <w:color w:val="auto"/>
        </w:rPr>
        <w:t>IT Systems and Data</w:t>
      </w:r>
      <w:r>
        <w:rPr>
          <w:rFonts w:ascii="Times New Roman" w:cs="Times New Roman" w:eastAsia="Times New Roman" w:hAnsi="Times New Roman"/>
          <w:sz w:val="18"/>
          <w:szCs w:val="18"/>
          <w:color w:val="auto"/>
        </w:rPr>
        <w:t>”) and the Company and its Subsidiaries have not been notified of, and have no knowledge of any such event or</w:t>
      </w:r>
    </w:p>
    <w:p>
      <w:pPr>
        <w:spacing w:after="0" w:line="29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23" w:name="page24"/>
    <w:bookmarkEnd w:id="23"/>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condition that would reasonably be expected to result in, any security breach or incident, unauthorized access or disclosure or other compromise to their IT Systems and Data, except in each case, for any breach, incident, access, compromise, event or condition that would not reasonably be expected individually or in the aggregate, to result in a Material Adverse Effect.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for any failure to comply that would not reasonably be expected, individually or in the aggregate, to result in a Material Adverse Effect. The Company and its subsidiaries have implemented appropriate controls, policies, procedures, and technological safeguards designed to maintain and protect the integrity, continuous operation, redundancy and security of their IT Systems and Data reasonably consistent with industry standards and practices, or as required by applicable regulatory standards.</w:t>
      </w:r>
    </w:p>
    <w:p>
      <w:pPr>
        <w:spacing w:after="0" w:line="194" w:lineRule="exact"/>
        <w:rPr>
          <w:sz w:val="20"/>
          <w:szCs w:val="20"/>
          <w:color w:val="auto"/>
        </w:rPr>
      </w:pPr>
    </w:p>
    <w:p>
      <w:pPr>
        <w:jc w:val="both"/>
        <w:ind w:left="660" w:firstLine="644"/>
        <w:spacing w:after="0" w:line="261" w:lineRule="auto"/>
        <w:tabs>
          <w:tab w:leader="none" w:pos="17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have been validly waived or complied with in connection with the issuance and sale of the Shares contemplated hereby.</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7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Underwriter Agreements</w:t>
      </w:r>
      <w:r>
        <w:rPr>
          <w:rFonts w:ascii="Times New Roman" w:cs="Times New Roman" w:eastAsia="Times New Roman" w:hAnsi="Times New Roman"/>
          <w:sz w:val="18"/>
          <w:szCs w:val="18"/>
          <w:color w:val="auto"/>
        </w:rPr>
        <w:t>. The Company is not a party to any agreement with an agent or underwriter for any other “at-the-market” or continuous equity transaction or any “equity line” transaction.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Registration Statement and the Prospectus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7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BTIG or its legal counsel for any legal, tax or accounting advice in connection with the offering and sale of the Shares.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Integration</w:t>
      </w:r>
      <w:r>
        <w:rPr>
          <w:rFonts w:ascii="Times New Roman" w:cs="Times New Roman" w:eastAsia="Times New Roman" w:hAnsi="Times New Roman"/>
          <w:sz w:val="18"/>
          <w:szCs w:val="18"/>
          <w:color w:val="auto"/>
        </w:rPr>
        <w:t>. Neither the Company nor, to the Company’s knowledge, any of its affiliates (within the meaning of Securities Act Rule 144) has, prior to the date hereof, made any offer or sale of any securities which could be “integrated” (within the meaning of the Securities Act) with the offer and sale of the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BTIG or to counsel for BTIG pursuant to or in connection with this Agreement or any Terms Agreement shall be deemed to be a representation and warranty by the Company to BTIG as to the matters set forth therein as of the date or dates indicated therein.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ind w:left="324" w:hanging="324"/>
        <w:spacing w:after="0"/>
        <w:tabs>
          <w:tab w:leader="none" w:pos="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BTIG that: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10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Shares is required to be delivered by BTIG under the Securities Act (without regard to the effects of Rules 153, 172 and 173 under the Securities Act) (the “</w:t>
      </w:r>
      <w:r>
        <w:rPr>
          <w:rFonts w:ascii="Times New Roman" w:cs="Times New Roman" w:eastAsia="Times New Roman" w:hAnsi="Times New Roman"/>
          <w:sz w:val="18"/>
          <w:szCs w:val="18"/>
          <w:b w:val="1"/>
          <w:bCs w:val="1"/>
          <w:u w:val="single" w:color="auto"/>
          <w:color w:val="auto"/>
        </w:rPr>
        <w:t>Prospectus Delivery Period</w:t>
      </w:r>
      <w:r>
        <w:rPr>
          <w:rFonts w:ascii="Times New Roman" w:cs="Times New Roman" w:eastAsia="Times New Roman" w:hAnsi="Times New Roman"/>
          <w:sz w:val="18"/>
          <w:szCs w:val="18"/>
          <w:color w:val="auto"/>
        </w:rPr>
        <w:t>”), (i) the Company will notify BTIG promptly of the time when any subsequent amendment to the Registration Statement, other than the Incorporated Documents,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BTIG’s request, any amendments or supplements to the Registration Statement or Prospectus that, in BTIG’s reasonable judgment, may be necessary or advisable in connection with the distribution of the Shares by BTIG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failure of BTIG to make such request shall not relieve the Company of any obligation or liability hereunder and under any Terms Agreement, as applicable, or affect BTIG’s right to rely on the representations and warranties made by the Company in this Agreement); (iii) the Company will not file any amendment or supplement to the Registration Statement or Prospectus relating to the Shares (except for the Incorporated Documents) unless a copy thereof has been submitted to BTIG a reasonable period of time before the filing and BTIG has not reasonably objected thereto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(A) that the failure of BTIG to make such objection shall not relieve the Company of any obligation or liability hereunder and under any Terms Agreement, as applicable, or affect BTIG’s right to rely on the representations and warranties made by the Company in this Agreement, (B) that, if BTIG objects thereto, BTIG may cease making sales of Shares pursuant to this Agreement and/or may terminate any Terms Agreement and (C) that the Company has no obligation to provide BTIG any advance copy of such filing or to provide BTIG an opportunity to object to such filing if such filing does not name BTIG or does not relate to the transactions contemplated hereunder or under any Terms Agreement); (iv) the Company will furnish to BTIG at the time of filing thereof a copy of any document that upon filing is deemed to be incorporated by reference into the Registration Statement or Prospectus, except for those documents available via EDGAR; and (v) the Company will cause each amendment or supplement to the Prospectus to be filed with the Commission as required pursuant to the applicable paragraph of Rule 424(b) of the Securities Act (without reliance on Rule 424(b)(8) of the Securities Act) or, in the case of any Incorporated Document,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based on the Company’s reasonable opinion or reasonable objections, shall be made exclusively by the Company).</w:t>
      </w:r>
    </w:p>
    <w:p>
      <w:pPr>
        <w:spacing w:after="0" w:line="204"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1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During the Prospectus Delivery Period, the Company will advise BTIG, promptly after it receives notice or obtains knowledge thereof, of the issuance by the Commission of any stop order suspending the effectiveness of the Registration Statement or any notice objecting to, or other order preventing or suspending the use of, the Prospectus, of the suspension of the qualification of the Shares for offering or sale in any jurisdiction, or of the initiation of any proceeding</w:t>
      </w:r>
    </w:p>
    <w:p>
      <w:pPr>
        <w:spacing w:after="0" w:line="28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40"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for any such purpose or any examination pursuant to Section 8(e) of the Securities Act, or if the Company becomes the subject of a proceeding under Section 8A of the Securities Act in connection with the offering of the Shares; and it will promptly use its commercially reasonable efforts to prevent the issuance of any stop order or to obtain its withdrawal if such a stop order should be issued. Until such time as any stop order is lifted, BTIG may cease making offers and sales under this Agreement or any Terms Agreement.</w:t>
      </w:r>
    </w:p>
    <w:p>
      <w:pPr>
        <w:spacing w:after="0" w:line="180" w:lineRule="exact"/>
        <w:rPr>
          <w:sz w:val="20"/>
          <w:szCs w:val="20"/>
          <w:color w:val="auto"/>
        </w:rPr>
      </w:pPr>
    </w:p>
    <w:p>
      <w:pPr>
        <w:jc w:val="both"/>
        <w:ind w:firstLine="644"/>
        <w:spacing w:after="0" w:line="253" w:lineRule="auto"/>
        <w:tabs>
          <w:tab w:leader="none" w:pos="12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During the Prospectus Delivery Period,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BTIG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BTIG to suspend the offering of Shares during such period, and the Company will promptly amend or supplement the Registration Statement or Prospectus (at the expense of the Company) so as to correct such statement or omission or effect such compliance.</w:t>
      </w:r>
    </w:p>
    <w:p>
      <w:pPr>
        <w:spacing w:after="0" w:line="191" w:lineRule="exact"/>
        <w:rPr>
          <w:rFonts w:ascii="Times New Roman" w:cs="Times New Roman" w:eastAsia="Times New Roman" w:hAnsi="Times New Roman"/>
          <w:sz w:val="18"/>
          <w:szCs w:val="18"/>
          <w:color w:val="auto"/>
        </w:rPr>
      </w:pPr>
    </w:p>
    <w:p>
      <w:pPr>
        <w:jc w:val="both"/>
        <w:ind w:firstLine="644"/>
        <w:spacing w:after="0" w:line="266" w:lineRule="auto"/>
        <w:tabs>
          <w:tab w:leader="none" w:pos="10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Shares</w:t>
      </w:r>
      <w:r>
        <w:rPr>
          <w:rFonts w:ascii="Times New Roman" w:cs="Times New Roman" w:eastAsia="Times New Roman" w:hAnsi="Times New Roman"/>
          <w:sz w:val="18"/>
          <w:szCs w:val="18"/>
          <w:color w:val="auto"/>
        </w:rPr>
        <w:t>. During the Prospectus Delivery Period, the Company will use its commercially reasonable efforts to cause the Shares to be listed on the Exchange. The Company will timely file with the Exchange all material documents and notices required by the Exchange of companies that have or will issue securities that are traded on the Exchange.</w:t>
      </w:r>
    </w:p>
    <w:p>
      <w:pPr>
        <w:spacing w:after="0" w:line="175" w:lineRule="exact"/>
        <w:rPr>
          <w:rFonts w:ascii="Times New Roman" w:cs="Times New Roman" w:eastAsia="Times New Roman" w:hAnsi="Times New Roman"/>
          <w:sz w:val="18"/>
          <w:szCs w:val="18"/>
          <w:color w:val="auto"/>
        </w:rPr>
      </w:pPr>
    </w:p>
    <w:p>
      <w:pPr>
        <w:jc w:val="both"/>
        <w:ind w:firstLine="644"/>
        <w:spacing w:after="0" w:line="255" w:lineRule="auto"/>
        <w:tabs>
          <w:tab w:leader="none" w:pos="11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BTIG and its counsel (at the expense of the Company) copies of the Registration Statement, the Prospectus (including all Incorporated Documents)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via e-mail in “.pdf” format to an e-mail account designated by BTIG and, at BTIG’s request, will also furnish copies of the Prospectus to each exchange or market on which sales of the Shares may be made;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furnish any document (other than the Prospectus) to BTIG to the extent such document is available on EDGAR.</w:t>
      </w:r>
    </w:p>
    <w:p>
      <w:pPr>
        <w:spacing w:after="0" w:line="2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26" w:name="page27"/>
    <w:bookmarkEnd w:id="26"/>
    <w:p>
      <w:pPr>
        <w:jc w:val="both"/>
        <w:ind w:firstLine="644"/>
        <w:spacing w:after="0" w:line="258" w:lineRule="auto"/>
        <w:tabs>
          <w:tab w:leader="none" w:pos="10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as soon as practicable, but in any event not later than 16 months after the effective date of the Registration Statement (as defined in Rule 158(c) under the Securities Act), an earnings statement of the Company and its Subsidiaries (which need not be audited) complying with Section 11(a) and Rule 158 of the Securities Act. The terms “earnings statement” and “make generally available to its security holders” shall have the meanings set forth in Rule 158 under the Securities Act.</w:t>
      </w:r>
    </w:p>
    <w:p>
      <w:pPr>
        <w:spacing w:after="0" w:line="183" w:lineRule="exact"/>
        <w:rPr>
          <w:rFonts w:ascii="Times New Roman" w:cs="Times New Roman" w:eastAsia="Times New Roman" w:hAnsi="Times New Roman"/>
          <w:sz w:val="18"/>
          <w:szCs w:val="18"/>
          <w:color w:val="auto"/>
        </w:rPr>
      </w:pPr>
    </w:p>
    <w:p>
      <w:pPr>
        <w:jc w:val="both"/>
        <w:ind w:firstLine="644"/>
        <w:spacing w:after="0" w:line="252" w:lineRule="auto"/>
        <w:tabs>
          <w:tab w:leader="none" w:pos="10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Company, whether or not the transactions contemplated hereunder or under any Terms Agreement are consummated or this Agreement or any Terms Agreement is terminated in accordance with the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hereunder, will pay all expenses incident to the performance of its obligations hereunder and under each Terms Agreement, including, but not limited to, expenses relating to: (i) the preparation, printing, filing and delivery to BTIG of the Registration Statement and each amendment and supplement thereto, of each Prospectus and of each amendment and supplement thereto, and of this Agreement and such other documents as may be required in connection with the offering, purchase, sale, issuance or delivery of the Shares; (ii) the preparation, issuance and delivery of the Shares, including any stock or other transfer taxes and any stamp or other duties payable upon the sale, issuance or delivery of the Shares to BTIG; (iii) the fees and disbursements of the counsel, accountants and other advisors to the Company in connection with the transactions contemplated by this Agreement and any Terms Agreement; (iv) the reimbursement for reasonable and documented out-of-pocket expenses incurred by BTIG, including the reasonable and documented fees and disbursements of counsel to BTIG, in connection with the transactions contemplated by this Agreement not to exceed $75,000, plus an amount not to exceed $7,500 per calendar quarter thereafter payable in connection with each Representation Date; (v) the qualification of the Shares under securities laws in accordance with the provisions of </w:t>
      </w:r>
      <w:r>
        <w:rPr>
          <w:rFonts w:ascii="Times New Roman" w:cs="Times New Roman" w:eastAsia="Times New Roman" w:hAnsi="Times New Roman"/>
          <w:sz w:val="18"/>
          <w:szCs w:val="18"/>
          <w:u w:val="single" w:color="auto"/>
          <w:color w:val="auto"/>
        </w:rPr>
        <w:t>Section 7(x</w:t>
      </w:r>
      <w:r>
        <w:rPr>
          <w:rFonts w:ascii="Times New Roman" w:cs="Times New Roman" w:eastAsia="Times New Roman" w:hAnsi="Times New Roman"/>
          <w:sz w:val="18"/>
          <w:szCs w:val="18"/>
          <w:color w:val="auto"/>
        </w:rPr>
        <w:t>), including filing fees, if any, not to exceed $5,000; (vi) the fees and expenses incurred in connection with the listing or qualification of the Shares for trading on the Exchange; (vii) the fees and expenses of the transfer agent or registrar for the Common Stock; and (viii) filing fees and expenses, if any, of the Commission and FINRA not to exceed $5,000.</w:t>
      </w:r>
    </w:p>
    <w:p>
      <w:pPr>
        <w:spacing w:after="0" w:line="195" w:lineRule="exact"/>
        <w:rPr>
          <w:rFonts w:ascii="Times New Roman" w:cs="Times New Roman" w:eastAsia="Times New Roman" w:hAnsi="Times New Roman"/>
          <w:sz w:val="18"/>
          <w:szCs w:val="18"/>
          <w:color w:val="auto"/>
        </w:rPr>
      </w:pPr>
    </w:p>
    <w:p>
      <w:pPr>
        <w:ind w:left="1040" w:hanging="396"/>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jc w:val="both"/>
        <w:ind w:firstLine="644"/>
        <w:spacing w:after="0" w:line="257" w:lineRule="auto"/>
        <w:tabs>
          <w:tab w:leader="none" w:pos="10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Sales</w:t>
      </w:r>
      <w:r>
        <w:rPr>
          <w:rFonts w:ascii="Times New Roman" w:cs="Times New Roman" w:eastAsia="Times New Roman" w:hAnsi="Times New Roman"/>
          <w:sz w:val="18"/>
          <w:szCs w:val="18"/>
          <w:color w:val="auto"/>
        </w:rPr>
        <w:t>. Without the prior written consent of BTIG, the Company will not, directly or indirectly, offer to sell, sell, contract to sell, grant any option to sell or otherwise dispose of any Common Stock (other than the Shares offered pursuant to this Agreement) or securities convertible into or exchangeable for Common Stock, warrants or any rights to purchase or acquire, Common Stock during the period beginning on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immediately prior to the date on which any Placement Notice is delivered to BTIG hereunder and ending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immediately following the final Settlement Date with respect to Shares sold pursuant to such Placement Notice (or, if the Placement Notice has been terminated or suspended prior to the sale of all Shares covered by a Placement Notice, the date of such suspension or termination); and will not directly or indirectly in any other “at-the-market” or continuous</w:t>
      </w:r>
    </w:p>
    <w:p>
      <w:pPr>
        <w:spacing w:after="0" w:line="30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equity transaction offer to sell, sell, contract to sell, grant any option to sell or otherwise dispose of any Common Stock (other than the Shares offered pursuant to this Agreement) or securities convertible into or exchangeable for Common Stock, warrants or any rights to purchase or</w:t>
      </w:r>
    </w:p>
    <w:p>
      <w:pPr>
        <w:jc w:val="both"/>
        <w:spacing w:after="0" w:line="241" w:lineRule="auto"/>
        <w:rPr>
          <w:sz w:val="20"/>
          <w:szCs w:val="20"/>
          <w:color w:val="auto"/>
        </w:rPr>
      </w:pPr>
      <w:r>
        <w:rPr>
          <w:rFonts w:ascii="Times New Roman" w:cs="Times New Roman" w:eastAsia="Times New Roman" w:hAnsi="Times New Roman"/>
          <w:sz w:val="18"/>
          <w:szCs w:val="18"/>
          <w:color w:val="auto"/>
        </w:rPr>
        <w:t>acquire, Common Stock prior to the later of the termination of this Agreement and the twentieth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immediately following the final Settlement Date with respect to Shares sold pursuant to such Placement Notice;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restrictions will not be required in connection with the Company’s issuance or sale of (i) Common Stock, options to purchase Common Stock, other equity awards to acquire Common Stock, or Common Stock issuable upon the exercise or vesting of options or other equity awards, pursuant to any employee or director equity awards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or vesting of warrants, options or other rights in effect or outstanding, and disclosed in filings by the Company available on EDGAR or otherwise in writing to BTIG and (iii) Common Stock or securities convertible into or exchangeable for shares of Common Stock as consideration for mergers, acquisitions, other business combinations or strategic alliances, or offered and sold in a privately negotiated transaction to vendors, customers, lenders, investors, strategic partners or potential strategic partners, occurring after the date of this Agreement which are not issued primarily for capital raising purposes.</w:t>
      </w:r>
    </w:p>
    <w:p>
      <w:pPr>
        <w:spacing w:after="0" w:line="201" w:lineRule="exact"/>
        <w:rPr>
          <w:sz w:val="20"/>
          <w:szCs w:val="20"/>
          <w:color w:val="auto"/>
        </w:rPr>
      </w:pPr>
    </w:p>
    <w:p>
      <w:pPr>
        <w:jc w:val="both"/>
        <w:ind w:firstLine="644"/>
        <w:spacing w:after="0" w:line="266" w:lineRule="auto"/>
        <w:tabs>
          <w:tab w:leader="none" w:pos="10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term of this Agreement, advise BTIG promptly after it shall have received notice or obtained knowledge of any information or fact that would alter or affect in any material respect any opinion, certificate, letter or other document required to be provided to BTIG pursuant to this Agreement.</w:t>
      </w:r>
    </w:p>
    <w:p>
      <w:pPr>
        <w:spacing w:after="0" w:line="175" w:lineRule="exact"/>
        <w:rPr>
          <w:rFonts w:ascii="Times New Roman" w:cs="Times New Roman" w:eastAsia="Times New Roman" w:hAnsi="Times New Roman"/>
          <w:sz w:val="18"/>
          <w:szCs w:val="18"/>
          <w:color w:val="auto"/>
        </w:rPr>
      </w:pPr>
    </w:p>
    <w:p>
      <w:pPr>
        <w:jc w:val="both"/>
        <w:ind w:firstLine="644"/>
        <w:spacing w:after="0" w:line="261" w:lineRule="auto"/>
        <w:tabs>
          <w:tab w:leader="none" w:pos="11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BTIG or its agents in connection with the transactions contemplated hereby or any Terms Agreement, including, without limitation, providing information and making available documents and senior corporate officers, during regular business hours and at the Company’s principal offices, as BTIG may reasonably request.</w:t>
      </w:r>
    </w:p>
    <w:p>
      <w:pPr>
        <w:spacing w:after="0" w:line="179" w:lineRule="exact"/>
        <w:rPr>
          <w:rFonts w:ascii="Times New Roman" w:cs="Times New Roman" w:eastAsia="Times New Roman" w:hAnsi="Times New Roman"/>
          <w:sz w:val="18"/>
          <w:szCs w:val="18"/>
          <w:color w:val="auto"/>
        </w:rPr>
      </w:pPr>
    </w:p>
    <w:p>
      <w:pPr>
        <w:jc w:val="both"/>
        <w:ind w:firstLine="644"/>
        <w:spacing w:after="0" w:line="254" w:lineRule="auto"/>
        <w:tabs>
          <w:tab w:leader="none" w:pos="10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Shares</w:t>
      </w:r>
      <w:r>
        <w:rPr>
          <w:rFonts w:ascii="Times New Roman" w:cs="Times New Roman" w:eastAsia="Times New Roman" w:hAnsi="Times New Roman"/>
          <w:sz w:val="18"/>
          <w:szCs w:val="18"/>
          <w:color w:val="auto"/>
        </w:rPr>
        <w:t>. The Company agrees that (i) as promptly as practicable after the close of each of the Company’s fiscal quarters, or on such other dates as required under the Securities Act or under interpretations by the Commission thereof, the Company shall prepare a prospectus supplement, which will set forth the number of Shares sold to or through BTIG during such quarterly period (or other relevant period), the Net Proceeds to the Company and the compensation paid or payable by the Company to BTIG with respect to such sales of Shares and shall file such prospectus supplement pursuant to Rule 424(b) under the Securities Act (and within the time periods required by Rules 424(b) or 430B under the Securities Act, as applicable) and shall file any issuer free writing prospectus that is required to be filed with the Commission within the applicable time period prescribed for such filing by Rule 433 of the Securities Act or (ii) if such prospectus supplement is not so filed with respect to a</w:t>
      </w:r>
    </w:p>
    <w:p>
      <w:pPr>
        <w:spacing w:after="0" w:line="3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28" w:name="page29"/>
    <w:bookmarkEnd w:id="28"/>
    <w:p>
      <w:pPr>
        <w:jc w:val="both"/>
        <w:spacing w:after="0" w:line="252" w:lineRule="auto"/>
        <w:rPr>
          <w:sz w:val="20"/>
          <w:szCs w:val="20"/>
          <w:color w:val="auto"/>
        </w:rPr>
      </w:pPr>
      <w:r>
        <w:rPr>
          <w:rFonts w:ascii="Times New Roman" w:cs="Times New Roman" w:eastAsia="Times New Roman" w:hAnsi="Times New Roman"/>
          <w:sz w:val="18"/>
          <w:szCs w:val="18"/>
          <w:color w:val="auto"/>
        </w:rPr>
        <w:t>particular fiscal quarter, the Company shall disclose the information referred to in clause (i) above in its annual report on Form 10-K or its quarterly report on Form 10-Q, as applicable, in respect of such quarterly period and shall file such report with the Commission within the applicable time period prescribed for such report under the Exchange Act. The Company shall not file any such prospectus supplement or issuer free writing prospectus relating to such sales, and shall not file any report containing disclosure relating to such sales, unless a copy of such prospectus supplement or issuer free writing prospectus or disclosure relating to such sales to be included in a Form 10-K or Form 10-Q (it being acknowledged and agreed that the Company shall not submit any portion of any Form 10-K or Form 10-Q other than the specific disclosure relating to any sales of Shares), as applicable, has been submitted to BTIG a reasonable period of time before the filing and BTIG has not reasonably objected thereto (provided, however, (A) that the failure of BTIG to make such objection shall not relieve the Company of any obligation or liability hereunder and under any Terms Agreement, or affect BTIG’s right to rely on the representations and warranties made by the Company in this Agreement, and (B) that, if BTIG objects thereto, BTIG may cease making sales of Shares pursuant to this Agreement or any Terms Agreement). The Company shall provide copies of the Prospectus and such prospectus supplement and any issuer free writing prospectus to BTIG via e-mail in “.pdf” format on such filing date to an e-mail account designated by BTIG and shall also furnish copies of the Prospectus and such prospectus supplement to each exchange or market on which sales of the Shares may be made as may be required by the rules or regulations of such exchange or market.</w:t>
      </w:r>
    </w:p>
    <w:p>
      <w:pPr>
        <w:spacing w:after="0" w:line="197" w:lineRule="exact"/>
        <w:rPr>
          <w:sz w:val="20"/>
          <w:szCs w:val="20"/>
          <w:color w:val="auto"/>
        </w:rPr>
      </w:pPr>
    </w:p>
    <w:p>
      <w:pPr>
        <w:jc w:val="both"/>
        <w:ind w:firstLine="644"/>
        <w:spacing w:after="0" w:line="252" w:lineRule="auto"/>
        <w:tabs>
          <w:tab w:leader="none" w:pos="110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xml:space="preserve">. On or prior to the date the first Placement Notice is given pursuant to this Agreement, each time Shares are delivered to BTIG as principal on a Settlement Date with respect to a Principal Transaction and each time the Company (i) files the Prospectus relating to the Shares or amends or supplements the Registration Statement or the Prospectus relating to the Shares (other than (A) a prospectus supplement filed in accordance with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or (B) a supplement or amendment that relates to an offering of securities other than the Shares) by means of a post-effective amendment, sticker, or supplement, but not by means of incorporation of document(s) by reference in the Registration Statement or the Prospectus relating to the Shares; (ii) files an annual report on Form 10-K under the Exchange Act (including any Form 10-K/A containing amended financial information or a material amendment to the previously filed Form 10-K); (iii) files a quarterly report on Form 10-Q under the Exchange Act; or (iv) files a report on Form 8-K containing amended financial information (other than information “furnished” pursuant to Items 2.02 or 7.01 of Form 8-K or to provide disclosure pursuant to Item 8.01 of Form 8-K relating to the reclassifications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 xml:space="preserve">”); the Company shall furnish BTIG within three (3) Trading Days after each Representation Date (but in the case of clause (iv) above only if BTIG reasonably determines that the information contained in such Form 8-K is material) with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The requirement to provide a certificate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shall be automatically waived for any Representation Date occurring at a time at which no Placement Notice or Terms Agreement is pending,</w:t>
      </w:r>
    </w:p>
    <w:p>
      <w:pPr>
        <w:spacing w:after="0" w:line="3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which waiver shall continue until the earlier to occur of the date the Company delivers a Placement Notice hereunder (which for such calendar quarter shall be considered a Representation Date), Shares are delivered to BTIG as principal on a Settlement Date with respect to a Principal Transaction and the next occurring Representation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waiver shall not apply for any Representation Date on which the Company files its annual report on Form 10-K. Notwithstanding the foregoing, if the Company subsequently decides to sell Shares following a Representation Date when the Company relied on such waiver and did not provide BTIG with a certificate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then before the Company delivers the Placement Notice or BTIG sells any Shares in an Agency Transaction, or on the applicable Settlement Date with respect to a Principal Transaction, the Company shall provide BTIG with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dated the date of the Placement Notice for such Agency Transaction or the Settlement Date of such Principal Transaction, as applicable.</w:t>
      </w:r>
    </w:p>
    <w:p>
      <w:pPr>
        <w:spacing w:after="0" w:line="192" w:lineRule="exact"/>
        <w:rPr>
          <w:sz w:val="20"/>
          <w:szCs w:val="20"/>
          <w:color w:val="auto"/>
        </w:rPr>
      </w:pPr>
    </w:p>
    <w:p>
      <w:pPr>
        <w:jc w:val="both"/>
        <w:ind w:firstLine="644"/>
        <w:spacing w:after="0" w:line="252" w:lineRule="auto"/>
        <w:tabs>
          <w:tab w:leader="none" w:pos="11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On or prior to the earlier of the date (i) the first Placement Notice is given pursuant to this Agreement and (ii) Shares are delivered to BTIG as principal on a Settlement Date with respect to the first Principal Transaction pursuant to the first Terms Agreement and this Agreement, the Company shall cause to be furnished to BTIG the written opinions and negative assurance of Davis Polk &amp; Wardwell LLP, as issuer’s counsel to the Company, or other counsel reasonably satisfactory to BTIG (“</w:t>
      </w:r>
      <w:r>
        <w:rPr>
          <w:rFonts w:ascii="Times New Roman" w:cs="Times New Roman" w:eastAsia="Times New Roman" w:hAnsi="Times New Roman"/>
          <w:sz w:val="18"/>
          <w:szCs w:val="18"/>
          <w:b w:val="1"/>
          <w:bCs w:val="1"/>
          <w:u w:val="single" w:color="auto"/>
          <w:color w:val="auto"/>
        </w:rPr>
        <w:t>Company Counsel</w:t>
      </w:r>
      <w:r>
        <w:rPr>
          <w:rFonts w:ascii="Times New Roman" w:cs="Times New Roman" w:eastAsia="Times New Roman" w:hAnsi="Times New Roman"/>
          <w:sz w:val="18"/>
          <w:szCs w:val="18"/>
          <w:color w:val="auto"/>
        </w:rPr>
        <w:t xml:space="preserve">”), substantially in the forms previously agreed between the Parties. Thereafter, each time Shares are delivered to BTIG as principal on a Settlement Date with respect to a Principal Transaction and within three (3) Trading Days after each Representation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for which no waiver is applicable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and not more than once per calendar quarter, the Company shall cause to be furnished to BTIG the written opinions and negative assurance of Company Counsel substantially in the form previously agreed between the Parties, modified, as necessary, to relate to the Registration Statement and the Prospectus as then amended or supplemented;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Company Counsel has previously furnished to BTIG such written opinions and negative assurance substantially in the form previously agreed between the Parties, Company Counsel may, in respect of any future Representation Date, furnish BTIG with a letter (a “</w:t>
      </w:r>
      <w:r>
        <w:rPr>
          <w:rFonts w:ascii="Times New Roman" w:cs="Times New Roman" w:eastAsia="Times New Roman" w:hAnsi="Times New Roman"/>
          <w:sz w:val="18"/>
          <w:szCs w:val="18"/>
          <w:b w:val="1"/>
          <w:bCs w:val="1"/>
          <w:u w:val="single" w:color="auto"/>
          <w:color w:val="auto"/>
        </w:rPr>
        <w:t>Reliance Letter</w:t>
      </w:r>
      <w:r>
        <w:rPr>
          <w:rFonts w:ascii="Times New Roman" w:cs="Times New Roman" w:eastAsia="Times New Roman" w:hAnsi="Times New Roman"/>
          <w:sz w:val="18"/>
          <w:szCs w:val="18"/>
          <w:color w:val="auto"/>
        </w:rPr>
        <w:t xml:space="preserve">”) in lieu of such opinions and negative assurance to the effect that BTIG may rely on the prior opinions and negative assurance of Company Counsel delivered pursuant to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to the same extent as if it were dated the date of such Reliance Letter (except that statements in such prior opinion shall be deemed to relate to the Registration Statement and the Prospectus as amended or supplemented to the date of such Reliance Letter).</w:t>
      </w:r>
    </w:p>
    <w:p>
      <w:pPr>
        <w:spacing w:after="0" w:line="195" w:lineRule="exact"/>
        <w:rPr>
          <w:rFonts w:ascii="Times New Roman" w:cs="Times New Roman" w:eastAsia="Times New Roman" w:hAnsi="Times New Roman"/>
          <w:sz w:val="18"/>
          <w:szCs w:val="18"/>
          <w:color w:val="auto"/>
        </w:rPr>
      </w:pPr>
    </w:p>
    <w:p>
      <w:pPr>
        <w:jc w:val="both"/>
        <w:ind w:firstLine="644"/>
        <w:spacing w:after="0" w:line="258" w:lineRule="auto"/>
        <w:tabs>
          <w:tab w:leader="none" w:pos="11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On or prior to the date the first Placement Notice is given pursuant to this Agreement, each time Shares are delivered to BTIG as principal on a Settlement Date with respect to a Principal Transaction and within three (3) Trading Days after each Representation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for which no waiver is applicable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the Company shall cause its independent accountants to furnish BTIG a letter, dated as of such date (the “</w:t>
      </w:r>
      <w:r>
        <w:rPr>
          <w:rFonts w:ascii="Times New Roman" w:cs="Times New Roman" w:eastAsia="Times New Roman" w:hAnsi="Times New Roman"/>
          <w:sz w:val="18"/>
          <w:szCs w:val="18"/>
          <w:b w:val="1"/>
          <w:bCs w:val="1"/>
          <w:u w:val="single" w:color="auto"/>
          <w:color w:val="auto"/>
        </w:rPr>
        <w:t>Comfort Letter</w:t>
      </w:r>
      <w:r>
        <w:rPr>
          <w:rFonts w:ascii="Times New Roman" w:cs="Times New Roman" w:eastAsia="Times New Roman" w:hAnsi="Times New Roman"/>
          <w:sz w:val="18"/>
          <w:szCs w:val="18"/>
          <w:color w:val="auto"/>
        </w:rPr>
        <w:t>”), in form and substance satisfactory to BTIG, (i) confirming that they are an independent registered public</w:t>
      </w:r>
    </w:p>
    <w:p>
      <w:pPr>
        <w:spacing w:after="0" w:line="2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30" w:name="page31"/>
    <w:bookmarkEnd w:id="30"/>
    <w:p>
      <w:pPr>
        <w:jc w:val="both"/>
        <w:spacing w:after="0" w:line="255" w:lineRule="auto"/>
        <w:rPr>
          <w:sz w:val="20"/>
          <w:szCs w:val="20"/>
          <w:color w:val="auto"/>
        </w:rPr>
      </w:pPr>
      <w:r>
        <w:rPr>
          <w:rFonts w:ascii="Times New Roman" w:cs="Times New Roman" w:eastAsia="Times New Roman" w:hAnsi="Times New Roman"/>
          <w:sz w:val="18"/>
          <w:szCs w:val="18"/>
          <w:color w:val="auto"/>
        </w:rPr>
        <w:t>accounting firm within the meaning of the Securities Act, the Exchange Act and the rules and regulations of the PCAOB and are in compliance with the applicable requirements relating to the qualification of accountants under Rule 2-01 of Regulation S-X of the Commission,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u w:val="single" w:color="auto"/>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89" w:lineRule="exact"/>
        <w:rPr>
          <w:sz w:val="20"/>
          <w:szCs w:val="20"/>
          <w:color w:val="auto"/>
        </w:rPr>
      </w:pPr>
    </w:p>
    <w:p>
      <w:pPr>
        <w:jc w:val="both"/>
        <w:ind w:firstLine="644"/>
        <w:spacing w:after="0" w:line="258" w:lineRule="auto"/>
        <w:tabs>
          <w:tab w:leader="none" w:pos="11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shall not, and shall cause its Subsidiaries and its and their respective directors, officers and controlling persons not to, directly or indirectly, (i) take any action designed to stabilize or manipulate, or which constitutes or might reasonably be expected to cause or result in, the stabilization or manipulation of, the price of any security of the Company to facilitate the sale or resale of the Shares or (ii) sell, bid for, or purchase the Shares to be issued and sold pursuant to this Agreement, or pay anyone any compensation for soliciting the purchases of the Shares, other than BTIG.</w:t>
      </w:r>
    </w:p>
    <w:p>
      <w:pPr>
        <w:spacing w:after="0" w:line="183" w:lineRule="exact"/>
        <w:rPr>
          <w:rFonts w:ascii="Times New Roman" w:cs="Times New Roman" w:eastAsia="Times New Roman" w:hAnsi="Times New Roman"/>
          <w:sz w:val="18"/>
          <w:szCs w:val="18"/>
          <w:color w:val="auto"/>
        </w:rPr>
      </w:pPr>
    </w:p>
    <w:p>
      <w:pPr>
        <w:ind w:firstLine="644"/>
        <w:spacing w:after="0" w:line="282" w:lineRule="auto"/>
        <w:tabs>
          <w:tab w:leader="none" w:pos="10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shall maintain, or cause to be maintained, insurance in such amounts and covering such risks the Company reasonably deems adequate.</w:t>
      </w:r>
    </w:p>
    <w:p>
      <w:pPr>
        <w:spacing w:after="0" w:line="161" w:lineRule="exact"/>
        <w:rPr>
          <w:rFonts w:ascii="Times New Roman" w:cs="Times New Roman" w:eastAsia="Times New Roman" w:hAnsi="Times New Roman"/>
          <w:sz w:val="18"/>
          <w:szCs w:val="18"/>
          <w:color w:val="auto"/>
        </w:rPr>
      </w:pPr>
    </w:p>
    <w:p>
      <w:pPr>
        <w:jc w:val="both"/>
        <w:ind w:firstLine="644"/>
        <w:spacing w:after="0" w:line="258" w:lineRule="auto"/>
        <w:tabs>
          <w:tab w:leader="none" w:pos="10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laws, except where the failure to maintain or be in compliance with such permits, licenses and authorizations would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10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comply with all requirements imposed upon it by the Securities Act and the Exchange Act as from time to time in force, so far as necessary to permit the continuance of sales of, or dealings in, the Shares as contemplated by the provisions hereof and any Terms Agreement and the Prospectus. Without limiting the generality of the foregoing, during the Prospectus Delivery Period, the Company will file all documents required to be filed with the Commission pursuant to the Exchange Act within the time periods required by the Exchange Act (giving effect to permissible extensions in accordance with Rule 12b-25 under the Exchange Act).</w:t>
      </w:r>
    </w:p>
    <w:p>
      <w:pPr>
        <w:spacing w:after="0" w:line="183" w:lineRule="exact"/>
        <w:rPr>
          <w:rFonts w:ascii="Times New Roman" w:cs="Times New Roman" w:eastAsia="Times New Roman" w:hAnsi="Times New Roman"/>
          <w:sz w:val="18"/>
          <w:szCs w:val="18"/>
          <w:color w:val="auto"/>
        </w:rPr>
      </w:pPr>
    </w:p>
    <w:p>
      <w:pPr>
        <w:jc w:val="both"/>
        <w:ind w:firstLine="644"/>
        <w:spacing w:after="0" w:line="266" w:lineRule="auto"/>
        <w:tabs>
          <w:tab w:leader="none" w:pos="99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Except as disclosed in the Registration Statement and the Prospectus, the Company, and each of the Significant Subsidiaries, will maintain a system of internal accounting controls sufficient to provide reasonable assurance that (i) transactions are executed in accordance with management’s general or specific</w:t>
      </w:r>
    </w:p>
    <w:p>
      <w:pPr>
        <w:spacing w:after="0" w:line="2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book value for assets is compared with the recoverable or fair market value of such assets, as applicable and computed in accordance with generally accepted accounting principles, at reasonable intervals and appropriate action is taken with respect to any differences. The Company will comply with all requirements imposed upon it by the Sarbanes-Oxley Act and the rules and regulations of the Commission and the Exchange promulgated thereunder.</w:t>
      </w:r>
    </w:p>
    <w:p>
      <w:pPr>
        <w:spacing w:after="0" w:line="187" w:lineRule="exact"/>
        <w:rPr>
          <w:sz w:val="20"/>
          <w:szCs w:val="20"/>
          <w:color w:val="auto"/>
        </w:rPr>
      </w:pPr>
    </w:p>
    <w:p>
      <w:pPr>
        <w:jc w:val="both"/>
        <w:ind w:firstLine="644"/>
        <w:spacing w:after="0" w:line="258" w:lineRule="auto"/>
        <w:tabs>
          <w:tab w:leader="none" w:pos="10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 free writing prospectus (as defined in Rule 405 under the Securities Act) approved in advance in writing by the Company and BTIG in its capacity as agent hereunder or as principal hereunder and under any Terms Agreement, neither BTIG nor the Company (including its agents and representatives other than BTIG in its capacity as such) will, directly or indirectly, make, use, prepare, authorize, approve or refer to any free writing prospectus relating to the Shares to be sold by BTIG as agent hereunder or as principal hereunder and under any Terms Agreement.</w:t>
      </w:r>
    </w:p>
    <w:p>
      <w:pPr>
        <w:spacing w:after="0" w:line="183" w:lineRule="exact"/>
        <w:rPr>
          <w:rFonts w:ascii="Times New Roman" w:cs="Times New Roman" w:eastAsia="Times New Roman" w:hAnsi="Times New Roman"/>
          <w:sz w:val="18"/>
          <w:szCs w:val="18"/>
          <w:color w:val="auto"/>
        </w:rPr>
      </w:pPr>
    </w:p>
    <w:p>
      <w:pPr>
        <w:jc w:val="both"/>
        <w:ind w:firstLine="644"/>
        <w:spacing w:after="0" w:line="266" w:lineRule="auto"/>
        <w:tabs>
          <w:tab w:leader="none" w:pos="10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shall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75" w:lineRule="exact"/>
        <w:rPr>
          <w:rFonts w:ascii="Times New Roman" w:cs="Times New Roman" w:eastAsia="Times New Roman" w:hAnsi="Times New Roman"/>
          <w:sz w:val="18"/>
          <w:szCs w:val="18"/>
          <w:color w:val="auto"/>
        </w:rPr>
      </w:pPr>
    </w:p>
    <w:p>
      <w:pPr>
        <w:ind w:left="1080" w:hanging="436"/>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maintain, at its sole expense, a registrar and transfer agent for the Common Stock.</w:t>
      </w:r>
    </w:p>
    <w:p>
      <w:pPr>
        <w:spacing w:after="0" w:line="223" w:lineRule="exact"/>
        <w:rPr>
          <w:rFonts w:ascii="Times New Roman" w:cs="Times New Roman" w:eastAsia="Times New Roman" w:hAnsi="Times New Roman"/>
          <w:sz w:val="18"/>
          <w:szCs w:val="18"/>
          <w:color w:val="auto"/>
        </w:rPr>
      </w:pPr>
    </w:p>
    <w:p>
      <w:pPr>
        <w:jc w:val="both"/>
        <w:ind w:firstLine="644"/>
        <w:spacing w:after="0" w:line="254" w:lineRule="auto"/>
        <w:tabs>
          <w:tab w:leader="none" w:pos="10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use its commercially reasonable efforts, in cooperation with BTIG, to qualify the Shares for offering and sale, or to obtain an exemption for the Shares to be offered and sold, under the applicable securities laws of such states and other jurisdictions (domestic or foreign) as BTIG may designate and to maintain such qualifications and exemptions in effect for so long as required for the distribution of the Shares (but in no event for less than one year from the date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Shares have been so qualified or exempt, the Company will file such statements and reports as may be required by the laws of such jurisdiction to continue such qualification or exemption, as the case may be, in effect for so long as required for the distribution of the Shares (but in no event for less than one year from the date of this Agreement).</w:t>
      </w:r>
    </w:p>
    <w:p>
      <w:pPr>
        <w:spacing w:after="0" w:line="194" w:lineRule="exact"/>
        <w:rPr>
          <w:rFonts w:ascii="Times New Roman" w:cs="Times New Roman" w:eastAsia="Times New Roman" w:hAnsi="Times New Roman"/>
          <w:sz w:val="18"/>
          <w:szCs w:val="18"/>
          <w:color w:val="auto"/>
        </w:rPr>
      </w:pPr>
    </w:p>
    <w:p>
      <w:pPr>
        <w:jc w:val="both"/>
        <w:ind w:firstLine="644"/>
        <w:spacing w:after="0" w:line="236" w:lineRule="auto"/>
        <w:tabs>
          <w:tab w:leader="none" w:pos="103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Renewal of Registration Statement</w:t>
      </w:r>
      <w:r>
        <w:rPr>
          <w:rFonts w:ascii="Times New Roman" w:cs="Times New Roman" w:eastAsia="Times New Roman" w:hAnsi="Times New Roman"/>
          <w:sz w:val="17"/>
          <w:szCs w:val="17"/>
          <w:color w:val="auto"/>
        </w:rPr>
        <w:t>. If, immediately prior to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anniversary of the initial effective date of the Registration Statement (the “</w:t>
      </w:r>
      <w:r>
        <w:rPr>
          <w:rFonts w:ascii="Times New Roman" w:cs="Times New Roman" w:eastAsia="Times New Roman" w:hAnsi="Times New Roman"/>
          <w:sz w:val="17"/>
          <w:szCs w:val="17"/>
          <w:b w:val="1"/>
          <w:bCs w:val="1"/>
          <w:u w:val="single" w:color="auto"/>
          <w:color w:val="auto"/>
        </w:rPr>
        <w:t>Renewal Date</w:t>
      </w:r>
      <w:r>
        <w:rPr>
          <w:rFonts w:ascii="Times New Roman" w:cs="Times New Roman" w:eastAsia="Times New Roman" w:hAnsi="Times New Roman"/>
          <w:sz w:val="17"/>
          <w:szCs w:val="17"/>
          <w:color w:val="auto"/>
        </w:rPr>
        <w:t>”), any of the Shares remain unsold and this Agreement has not been terminated for any reason, the Company will, prior to the Renewal Date, file a new shelf registration statement or, if applicable, an automatic shelf registration statement relating to the</w:t>
      </w:r>
    </w:p>
    <w:p>
      <w:pPr>
        <w:spacing w:after="0" w:line="3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32" w:name="page33"/>
    <w:bookmarkEnd w:id="32"/>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Shares, in a form satisfactory to BTIG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Shares to continue as contemplated in the expired registration statement relating to the Shares. From and after the effective date thereof, references herein to the “Registration Statement” shall include such new shelf registration statement or such new automatic shelf registration statement, as the case may be.</w:t>
      </w:r>
    </w:p>
    <w:p>
      <w:pPr>
        <w:spacing w:after="0" w:line="183" w:lineRule="exact"/>
        <w:rPr>
          <w:sz w:val="20"/>
          <w:szCs w:val="20"/>
          <w:color w:val="auto"/>
        </w:rPr>
      </w:pPr>
    </w:p>
    <w:p>
      <w:pPr>
        <w:jc w:val="both"/>
        <w:ind w:left="660" w:firstLine="644"/>
        <w:spacing w:after="0" w:line="255" w:lineRule="auto"/>
        <w:tabs>
          <w:tab w:leader="none" w:pos="16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The Company will cease to be an “emerging growth company,” as defined in Section 2(a) of the Securities Act (an “</w:t>
      </w:r>
      <w:r>
        <w:rPr>
          <w:rFonts w:ascii="Times New Roman" w:cs="Times New Roman" w:eastAsia="Times New Roman" w:hAnsi="Times New Roman"/>
          <w:sz w:val="18"/>
          <w:szCs w:val="18"/>
          <w:b w:val="1"/>
          <w:bCs w:val="1"/>
          <w:u w:val="single" w:color="auto"/>
          <w:color w:val="auto"/>
        </w:rPr>
        <w:t>Emerging Growth Company</w:t>
      </w:r>
      <w:r>
        <w:rPr>
          <w:rFonts w:ascii="Times New Roman" w:cs="Times New Roman" w:eastAsia="Times New Roman" w:hAnsi="Times New Roman"/>
          <w:sz w:val="18"/>
          <w:szCs w:val="18"/>
          <w:color w:val="auto"/>
        </w:rPr>
        <w:t>”) upon the earliest of: (i) the end of the fiscal year following the fifth anniversary of the completion of the Company's initial public offering, which was completed on October 26, 2021; (ii) the first fiscal year after the Company’s annual gross revenues are $1.235 billion (adjusted for inflation) or more; (iii) the date on which the Company has, during the previous three-year period, issued more than $1.0 billion in non-convertible debt securities; or (iv) the end of any fiscal year in which the market value of the Company’s Class A common stock held by non-affiliates exceeds $700 million at the end of the second quarter of that fiscal year. The Company will promptly notify BTIG if the Company ceases to be an Emerging Growth Company at any time during the term of this Agreement.</w:t>
      </w:r>
    </w:p>
    <w:p>
      <w:pPr>
        <w:spacing w:after="0" w:line="189" w:lineRule="exact"/>
        <w:rPr>
          <w:sz w:val="20"/>
          <w:szCs w:val="20"/>
          <w:color w:val="auto"/>
        </w:rPr>
      </w:pPr>
    </w:p>
    <w:p>
      <w:pPr>
        <w:jc w:val="both"/>
        <w:ind w:left="660" w:firstLine="644"/>
        <w:spacing w:after="0" w:line="255" w:lineRule="auto"/>
        <w:tabs>
          <w:tab w:leader="none" w:pos="17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BTIG Purchases</w:t>
      </w:r>
      <w:r>
        <w:rPr>
          <w:rFonts w:ascii="Times New Roman" w:cs="Times New Roman" w:eastAsia="Times New Roman" w:hAnsi="Times New Roman"/>
          <w:sz w:val="18"/>
          <w:szCs w:val="18"/>
          <w:color w:val="auto"/>
        </w:rPr>
        <w:t>. The Company acknowledges and agrees that BTIG may, to the extent permitted under the Securities Act and the Exchange Act (including, without limitation, Regulation M promulgated thereunder), purchase and sell shares of Common Stock for its own account and for the account of its clients while this Agreement is in effect, including, without limitation, at the same time any Placement Notice is in effect or any sales of Shares occur pursuant to this Agreement or any Terms Agreement; provided that BTIG acknowledges and agrees that, except pursuant to a Terms Agreement, any such transactions are not being, and shall not be deemed to have been, undertaken at the request or direction of, or for the account of, the Company, and that the Company has and shall have no control over any decision by BTIG and its affiliates to enter into any such transactions.</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0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Covenants of BTIG</w:t>
      </w:r>
      <w:r>
        <w:rPr>
          <w:rFonts w:ascii="Times New Roman" w:cs="Times New Roman" w:eastAsia="Times New Roman" w:hAnsi="Times New Roman"/>
          <w:sz w:val="18"/>
          <w:szCs w:val="18"/>
          <w:color w:val="auto"/>
        </w:rPr>
        <w:t>. BTIG represents and warrants that it is duly registered as a broker-dealer under FINRA, the Exchange Act and the applicable statutes and regulations of each state in which the Shares will be offered and sold, except such states in which BTIG is exempt from registration or such registration is not otherwise required. BTIG shall continue, for the term of this Agreement, to be duly registered as a broker-dealer under FINRA, the Exchange Act and the applicable statutes and regulations of each state in which the Shares will be offered and sold, except in such states in which BTIG is exempt from registration or such registration is not otherwise required, during the terms of this Agreement. BTIG will comply with all applicable laws and regulations in connection with the sale of Shares pursuant to this Agreement and any Terms Agreement, including, but not limited to, Regulation M under the Exchange Act.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 w:name="page34"/>
    <w:bookmarkEnd w:id="33"/>
    <w:p>
      <w:pPr>
        <w:jc w:val="both"/>
        <w:ind w:firstLine="656"/>
        <w:spacing w:after="0" w:line="258" w:lineRule="auto"/>
        <w:tabs>
          <w:tab w:leader="none" w:pos="10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BTIG’s Obligations</w:t>
      </w:r>
      <w:r>
        <w:rPr>
          <w:rFonts w:ascii="Times New Roman" w:cs="Times New Roman" w:eastAsia="Times New Roman" w:hAnsi="Times New Roman"/>
          <w:sz w:val="18"/>
          <w:szCs w:val="18"/>
          <w:color w:val="auto"/>
        </w:rPr>
        <w:t>. The obligations of BTIG hereunder with respect to a Placement in any Agency Transaction, and the obligations of BTIG with respect to a Principal Transaction pursuant to any Terms Agreement and this Agreement, will in each case be subject to the continuing accuracy and completeness of the representations and warranties made by the Company herein, to the due performance by the Company of its obligations hereunder and under any Terms Agreement, as applicable, to the completion by BTIG of a due diligence review satisfactory to BTIG in its reasonable judgment, and to the continuing satisfaction (or waiver by BTIG in its sole discretion) of the following additional conditions:</w:t>
      </w:r>
    </w:p>
    <w:p>
      <w:pPr>
        <w:spacing w:after="0" w:line="183"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74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the offer and sale of all Shares that have been issued or are contemplated to be issued pursuant to all Placement Notices that have been delivered to BTIG by the Company and all Terms Agreements that have been executed by the Parties.</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73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68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other order preventing or suspending the use of the Prospectus or the initiation of any proceedings for that purpose; (iii) receipt by the Company of any notification with respect to the suspension of the qualification or exemption from qualification of any of the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9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9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BTIG shall not have advised the Company that the Registration Statement or Prospectus, or any amendment or supplement thereto, contains an untrue statement of fact that in BTIG’s reasonable opinion is material, or omits to state a fact that in BTIG’s opinion is material and is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required to be stated therein or is necessary to make the statements therein not misleading.</w:t>
      </w:r>
    </w:p>
    <w:p>
      <w:pPr>
        <w:spacing w:after="0" w:line="225" w:lineRule="exact"/>
        <w:rPr>
          <w:sz w:val="20"/>
          <w:szCs w:val="20"/>
          <w:color w:val="auto"/>
        </w:rPr>
      </w:pPr>
    </w:p>
    <w:p>
      <w:pPr>
        <w:jc w:val="both"/>
        <w:ind w:firstLine="644"/>
        <w:spacing w:after="0" w:line="254" w:lineRule="auto"/>
        <w:tabs>
          <w:tab w:leader="none" w:pos="10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would reasonably be expected to cause a Material Adverse Effect, or a downgrading in or withdrawal of the rating assigned to any of the Company’s securities by any rating organization or a public announcement by any rating organization that it has under surveillance or review its rating of any of the Company’s securities, the effect of which, in the case of any such action by a rating organization described above, in the reasonable judgment of BTIG (without relieving the Company of any obligation or liability it may otherwise have), is so material as to make it impracticable or inadvisable to proceed with the offering of the Shares on the terms and in the manner contemplated by this Agreement or any Terms Agreement, as the case may be, and the Prospectus.</w:t>
      </w:r>
    </w:p>
    <w:p>
      <w:pPr>
        <w:spacing w:after="0" w:line="191" w:lineRule="exact"/>
        <w:rPr>
          <w:rFonts w:ascii="Times New Roman" w:cs="Times New Roman" w:eastAsia="Times New Roman" w:hAnsi="Times New Roman"/>
          <w:sz w:val="18"/>
          <w:szCs w:val="18"/>
          <w:color w:val="auto"/>
        </w:rPr>
      </w:pPr>
    </w:p>
    <w:p>
      <w:pPr>
        <w:ind w:right="20" w:firstLine="644"/>
        <w:spacing w:after="0" w:line="282" w:lineRule="auto"/>
        <w:tabs>
          <w:tab w:leader="none" w:pos="102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xml:space="preserve">. BTIG shall have received the opinions and negative assurances required to be delivered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opinions are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0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BTIG shall have received the Comfort Letter required to be delivered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on or before the date on which such delivery of such Comfort Letter is required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0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BTIG shall have received the certificate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644"/>
        <w:spacing w:after="0" w:line="282" w:lineRule="auto"/>
        <w:tabs>
          <w:tab w:leader="none" w:pos="10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shall not have been suspended on the Exchange and the Common Stock shall not have been delisted from the Exchange.</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9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the Company shall have furnished to BTIG such appropriate further information, certificates and documents as BTIG may have reasonably requested. All such opinions, certificates, letters and other documents will be in compliance with the provisions hereof. The Company shall have furnished BTIG with such conformed copies of such opinions, certificates, letters and other documents as BTIG shall have reasonably requested.</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10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424(b) and Rule 433 under the Securities Act to have been filed prior to the issuance of any Placement Notice hereunder or the Settlement Date with respect to any Principal Transaction under any Terms Agreement, as applicable shall have been made within the applicable time period prescribed for such filing by Rule 424(b) (without reliance on Rule 424(b)(8) of the Securities Act) and Rule 433.</w:t>
      </w:r>
    </w:p>
    <w:p>
      <w:pPr>
        <w:spacing w:after="0" w:line="2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35" w:name="page36"/>
    <w:bookmarkEnd w:id="35"/>
    <w:p>
      <w:pPr>
        <w:ind w:left="1004" w:hanging="356"/>
        <w:spacing w:after="0"/>
        <w:tabs>
          <w:tab w:leader="none" w:pos="10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Shares shall have been approved for listing on the Exchange, subject only to notice of issuance.</w:t>
      </w:r>
    </w:p>
    <w:p>
      <w:pPr>
        <w:spacing w:after="0" w:line="225" w:lineRule="exact"/>
        <w:rPr>
          <w:rFonts w:ascii="Times New Roman" w:cs="Times New Roman" w:eastAsia="Times New Roman" w:hAnsi="Times New Roman"/>
          <w:sz w:val="18"/>
          <w:szCs w:val="18"/>
          <w:color w:val="auto"/>
        </w:rPr>
      </w:pPr>
    </w:p>
    <w:p>
      <w:pPr>
        <w:ind w:left="1124" w:hanging="476"/>
        <w:spacing w:after="0"/>
        <w:tabs>
          <w:tab w:leader="none" w:pos="11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BTIG to terminate this Agreement pursuant to</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4" w:firstLine="624"/>
        <w:spacing w:after="0" w:line="282" w:lineRule="auto"/>
        <w:tabs>
          <w:tab w:leader="none" w:pos="10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BTIG, its directors, officers, members, partners, employees and agents and each BTIG Affiliate, if any, as follows:</w:t>
      </w:r>
    </w:p>
    <w:p>
      <w:pPr>
        <w:spacing w:after="0" w:line="161" w:lineRule="exact"/>
        <w:rPr>
          <w:rFonts w:ascii="Times New Roman" w:cs="Times New Roman" w:eastAsia="Times New Roman" w:hAnsi="Times New Roman"/>
          <w:sz w:val="18"/>
          <w:szCs w:val="18"/>
          <w:color w:val="auto"/>
        </w:rPr>
      </w:pPr>
    </w:p>
    <w:p>
      <w:pPr>
        <w:jc w:val="both"/>
        <w:ind w:left="24" w:firstLine="1272"/>
        <w:spacing w:after="0" w:line="256" w:lineRule="auto"/>
        <w:tabs>
          <w:tab w:leader="none" w:pos="1609"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“issuer free writing prospectus” (as defined in Rule 433 under the Securities Act)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left="24" w:firstLine="1272"/>
        <w:spacing w:after="0" w:line="261" w:lineRule="auto"/>
        <w:tabs>
          <w:tab w:leader="none" w:pos="1655"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any such settlement is effected with the written consent of the Company, which consent shall not unreasonably be delayed or withheld; and</w:t>
      </w:r>
    </w:p>
    <w:p>
      <w:pPr>
        <w:spacing w:after="0" w:line="179" w:lineRule="exact"/>
        <w:rPr>
          <w:rFonts w:ascii="Times New Roman" w:cs="Times New Roman" w:eastAsia="Times New Roman" w:hAnsi="Times New Roman"/>
          <w:sz w:val="18"/>
          <w:szCs w:val="18"/>
          <w:color w:val="auto"/>
        </w:rPr>
      </w:pPr>
    </w:p>
    <w:p>
      <w:pPr>
        <w:jc w:val="both"/>
        <w:ind w:left="24" w:firstLine="1272"/>
        <w:spacing w:after="0" w:line="261" w:lineRule="auto"/>
        <w:tabs>
          <w:tab w:leader="none" w:pos="17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fees and disbursements of counsel chosen by BTIG),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78"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untrue statement or omission, or alleged untrue statement or omission, made in reliance upon and in conformity with information relating to BTIG that has been furnished in writing to the Company by BTIG expressly for inclusion in any document described in clause (i) of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This indemnity agreement will be in addition to any liability that the Company might otherwise have.</w:t>
      </w:r>
    </w:p>
    <w:p>
      <w:pPr>
        <w:spacing w:after="0" w:line="29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40" w:right="339" w:bottom="1440" w:gutter="0" w:footer="0" w:header="0"/>
        </w:sectPr>
      </w:pPr>
    </w:p>
    <w:bookmarkStart w:id="36" w:name="page37"/>
    <w:bookmarkEnd w:id="36"/>
    <w:p>
      <w:pPr>
        <w:jc w:val="both"/>
        <w:ind w:left="-460" w:firstLine="644"/>
        <w:spacing w:after="0" w:line="254" w:lineRule="auto"/>
        <w:tabs>
          <w:tab w:leader="none" w:pos="6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BTIG.</w:t>
      </w:r>
      <w:r>
        <w:rPr>
          <w:rFonts w:ascii="Times New Roman" w:cs="Times New Roman" w:eastAsia="Times New Roman" w:hAnsi="Times New Roman"/>
          <w:sz w:val="18"/>
          <w:szCs w:val="18"/>
          <w:color w:val="auto"/>
        </w:rPr>
        <w:t xml:space="preserve"> BTIG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losses, liabilities, claims, damages and expenses described in the indemnity contained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as and when incurred, but only with respect to untrue statements or omissions, or alleged untrue statements or omissions, made in the Registration Statement (or any amendment thereto), any “issuer free writing prospectus” (as defined in Rule 433 under the Securities Act) or the Prospectus (or any amendment or supplement thereto) in reliance upon and in conformity with written information relating to BTIG that has been furnished to the Company by BTIG expressly for inclusion in any document as described in clause (i) of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indemnified party that proposes to assert the right to be indemnified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(ii) any liability that it may have to any indemnified party under the foregoing provision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to the indemnified party)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w:t>
      </w:r>
    </w:p>
    <w:p>
      <w:pPr>
        <w:spacing w:after="0" w:line="2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(whether or not any indemnified party is a party thereto), unless such settlement, compromise or consent (1) includes an unconditional release of each indemnified party from all liability arising or that may arise out of such claim, action or proceeding and (2) does not include a statement as to or an admission of fault, culpability or a failure to act by or on behalf of any indemnified party.</w:t>
      </w:r>
    </w:p>
    <w:p>
      <w:pPr>
        <w:spacing w:after="0" w:line="194" w:lineRule="exact"/>
        <w:rPr>
          <w:sz w:val="20"/>
          <w:szCs w:val="20"/>
          <w:color w:val="auto"/>
        </w:rPr>
      </w:pPr>
    </w:p>
    <w:p>
      <w:pPr>
        <w:jc w:val="both"/>
        <w:ind w:firstLine="644"/>
        <w:spacing w:after="0" w:line="252" w:lineRule="auto"/>
        <w:tabs>
          <w:tab w:leader="none" w:pos="10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applicable in accordance with its terms but for any reason is held to be unavailable from the Company or BTIG, the Company and BTIG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BTIG may be subject in such proportion as shall be appropriate to reflect the relative benefits received by the Company on the one hand and BTIG on the other. The relative benefits received by the Company on the one hand and BTIG on the other hand shall be deemed to be in the same proportion as the total net proceeds from the sale of the Shares (net of commissions to BTIG but before deducting expenses) received by the Company bear to the total compensation received by BTIG from the sale of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BTIG,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BTIG, the intent of the parties and their relative knowledge, access to information and opportunity to correct or prevent such statement or omission. The Company and BTIG agree that it would not be just and equitable if contributions pursuant to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shall be deemed to include, for the</w:t>
      </w:r>
    </w:p>
    <w:p>
      <w:pPr>
        <w:spacing w:after="0" w:line="2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38" w:name="page39"/>
    <w:bookmarkEnd w:id="38"/>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 xml:space="preserve">purpose of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BTIG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any person who controls a party to this Agreement within the meaning of the Securities Act, and any officers, directors, members, partners, employees or agents of BTIG,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hereof.</w:t>
      </w:r>
    </w:p>
    <w:p>
      <w:pPr>
        <w:spacing w:after="0" w:line="197" w:lineRule="exact"/>
        <w:rPr>
          <w:sz w:val="20"/>
          <w:szCs w:val="20"/>
          <w:color w:val="auto"/>
        </w:rPr>
      </w:pPr>
    </w:p>
    <w:p>
      <w:pPr>
        <w:jc w:val="both"/>
        <w:ind w:firstLine="656"/>
        <w:spacing w:after="0" w:line="261" w:lineRule="auto"/>
        <w:tabs>
          <w:tab w:leader="none" w:pos="10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BTIG, any controlling persons, or the Company (or any of their respective officers, directors or controlling persons), (ii) delivery and acceptance of the Shares and payment therefor or (iii) any termination of this Agreement.</w:t>
      </w:r>
    </w:p>
    <w:p>
      <w:pPr>
        <w:spacing w:after="0" w:line="179"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7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BTIG shall have the right, by giving notice as hereinafter specified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at any time to terminate this Agreement and/or any Terms Agreement (including at any time at or prior to the Settlement Date with respect to the Shares to be sold under such Terms Agreement) if: (i) any Material Adverse Effect, or any development that has actually occurred and that would reasonably be expected to result in a Material Adverse Effect, has occurred that, in the reasonable judgment of BTIG, may materially impair the ability of BTIG to sell the Shares hereunder or as contemplated in any Terms Agreement or the Prospectus; (ii) there has occurred any (A) material adverse change in the financial markets in the United States or the international financial markets, (B) outbreak of hostilities or escalation thereof or other calamity or crisis or (C) change or development involving a prospective change in national or international political, financial or economic conditions, in each case the effect of which, in the reasonable judgment of BTIG, may materially impair the ability of BTIG to sell the Shares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hereunder or as contemplated in any Terms Agreement or the Prospectus; (iii) trading in the Common Stock has been suspended or limited by the Commission or the Exchange, or if trading generally on the Exchange has been suspended or limited (including automatic halt in trading pursuant to market-decline triggers other than those in which solely program trading is temporarily halted), or minimum prices for trading have been fixed on the Exchange; (iv) any suspension of trading of any securities of the Company on any exchange or in the over-the-counter market shall have occurred and be continuing; (v) a major disruption of securities settlements or clearance services in the United States shall have occurred and be continuing; or (vi) a banking moratorium has been declared by either U.S. Federal or New York authorities. The Company may not terminate any Terms Agreement without the prior written consent of BTIG. Any such termination pursuant to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(Survival of Representations),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(Applicable Law; Consent to Jurisdiction)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(Waiver of Jury Trial) hereof shall remain in full force and effect notwithstanding such termination.</w:t>
      </w:r>
    </w:p>
    <w:p>
      <w:pPr>
        <w:spacing w:after="0" w:line="194" w:lineRule="exact"/>
        <w:rPr>
          <w:sz w:val="20"/>
          <w:szCs w:val="20"/>
          <w:color w:val="auto"/>
        </w:rPr>
      </w:pPr>
    </w:p>
    <w:p>
      <w:pPr>
        <w:jc w:val="both"/>
        <w:ind w:firstLine="644"/>
        <w:spacing w:after="0" w:line="261" w:lineRule="auto"/>
        <w:tabs>
          <w:tab w:leader="none" w:pos="10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five (5) days notice as hereinafter specified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10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BTIG shall have the right, by giving five (5) days notice as hereinafter specified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10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this Agreement shall automatically terminate upon the issuance and sale of all of the Shares to or through BTIG on the terms and subject to the conditions set forth herein and any Terms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102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12(a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or otherwise by mutual agreement of the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shall remain in full force and effect.</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10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or any Terms Agreement shall be effective on the date specified in such notice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termination shall not be effective until the close of business on the date of receipt of such</w:t>
      </w:r>
    </w:p>
    <w:p>
      <w:pPr>
        <w:spacing w:after="0" w:line="2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40" w:name="page41"/>
    <w:bookmarkEnd w:id="40"/>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notice by BTIG or the Company, as the case may be. If such termination, other than a termination of any Terms Agreement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12(a)</w:t>
      </w:r>
      <w:r>
        <w:rPr>
          <w:rFonts w:ascii="Times New Roman" w:cs="Times New Roman" w:eastAsia="Times New Roman" w:hAnsi="Times New Roman"/>
          <w:sz w:val="18"/>
          <w:szCs w:val="18"/>
          <w:color w:val="auto"/>
        </w:rPr>
        <w:t xml:space="preserve"> above, shall occur prior to the Settlement Date for any sale of Shares, such termination shall not become effective until the close of business on such Settlement Date and such Shares shall settle in accordance with the provisions of this Agreement (it being hereby acknowledged and agreed that a termination of any Terms Agreement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above shall become effective in accordance with the first sentence of this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xml:space="preserve"> and shall relieve the Parties of their respective obligations under such Terms Agreement, including, without limitation, with respect to the settlement of the Shares subject to such Terms Agreement).</w:t>
      </w:r>
    </w:p>
    <w:p>
      <w:pPr>
        <w:spacing w:after="0" w:line="187" w:lineRule="exact"/>
        <w:rPr>
          <w:sz w:val="20"/>
          <w:szCs w:val="20"/>
          <w:color w:val="auto"/>
        </w:rPr>
      </w:pPr>
    </w:p>
    <w:p>
      <w:pPr>
        <w:ind w:left="1060" w:hanging="404"/>
        <w:spacing w:after="0"/>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as otherwise provided in this Agreement, all notices and other communications hereunder shall be in writing and shall be deemed to have been duly given if mailed or transmitted by email or any other standard form of telecommunication. Notices to BTIG shall be directed to BTIG, LLC, 65 East 55th Street, New York, New York, 10022, Attention: Equity Capital Markets (email: BTIGUSATMTrading@btig.com), and with a copy (which shall not constitute notice) to: Attention: General Counsel and Chief Compliance Officer (emails: BTIGCompliance@btig.com, IBLegal@btig.com), and a copy for information purposes to Cozen O’Connor, 150 South 5th Street, Suite 1200, Minneapolis, Minnesota 55402, Attention: Christopher J. Bellini, Esq. Notices to the Company shall be directed to the offices of the Company at Rent the Runway, Inc., 10 Jay Street, Brooklyn, New York 11201, Attention: Legal Team (email: legal@renttherunwaycom) and a copy for information purposes to Davis Polk &amp; Wardwell LLP, 450 Lexington Ave, New York, New York 10017, Attention: Nicole Brookshire (email: nicole.brookshire@davispolk.com).</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party may change such address for notices by sending to the other party to this Agreement written notice of a new address for such purpose. Each such notice or other communication shall be deemed given (i) when delivered personally or by email, in each case,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xml:space="preserve">”) shall be deemed written notice for purposes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if sent to the electronic mail address specified by the receiving party under separate cover. Electronic Notice shall be deemed received at the time the party sending Electronic Notice receives confirmation of receipt by the receiving party (other than pursuant to auto-reply).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Notice</w:t>
      </w:r>
      <w:r>
        <w:rPr>
          <w:rFonts w:ascii="Times New Roman" w:cs="Times New Roman" w:eastAsia="Times New Roman" w:hAnsi="Times New Roman"/>
          <w:sz w:val="18"/>
          <w:szCs w:val="18"/>
          <w:color w:val="auto"/>
        </w:rPr>
        <w:t>”) which shall be sent to the requesting party within ten (10) days of receipt of the written request for Nonelectronic Notice.</w:t>
      </w:r>
    </w:p>
    <w:p>
      <w:pPr>
        <w:spacing w:after="0" w:line="183" w:lineRule="exact"/>
        <w:rPr>
          <w:sz w:val="20"/>
          <w:szCs w:val="20"/>
          <w:color w:val="auto"/>
        </w:rPr>
      </w:pPr>
    </w:p>
    <w:p>
      <w:pPr>
        <w:ind w:firstLine="656"/>
        <w:spacing w:after="0" w:line="282"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and any Terms Agreement shall inure to the benefit of and be binding upon the Company and BTIG and their respective successors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permitted assigns and, as to </w:t>
      </w:r>
      <w:r>
        <w:rPr>
          <w:rFonts w:ascii="Times New Roman" w:cs="Times New Roman" w:eastAsia="Times New Roman" w:hAnsi="Times New Roman"/>
          <w:sz w:val="18"/>
          <w:szCs w:val="18"/>
          <w:u w:val="single" w:color="auto"/>
          <w:color w:val="auto"/>
        </w:rPr>
        <w:t>Sections 5(b)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the other indemnified parties specified therein. References to any of the Parties contained in this Agreement shall be deemed to include the successors and permitted assigns of such party. Nothing in this Agreement or any Terms Agreement, express or implied, is intended to confer upon any other person any rights, remedies, obligations or liabilities under or by reason of this Agreement or any Terms Agreement, except as expressly provided in this Agreement or any Terms Agreement. Neither party may assign its rights or obligations under this Agreement or any Terms Agreement without the prior written consent of the other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BTIG may assign its rights and obligations hereunder or under any Terms Agreement to an affiliate of BTIG without obtaining the Company’s consent.</w:t>
      </w:r>
    </w:p>
    <w:p>
      <w:pPr>
        <w:spacing w:after="0" w:line="187" w:lineRule="exact"/>
        <w:rPr>
          <w:sz w:val="20"/>
          <w:szCs w:val="20"/>
          <w:color w:val="auto"/>
        </w:rPr>
      </w:pPr>
    </w:p>
    <w:p>
      <w:pPr>
        <w:ind w:firstLine="656"/>
        <w:spacing w:after="0" w:line="282" w:lineRule="auto"/>
        <w:tabs>
          <w:tab w:leader="none" w:pos="10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and any Terms Agreement shall be adjusted to take into account any stock split, stock dividend or similar event effected with respect to the Common Stock.</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w:t>
      </w:r>
      <w:r>
        <w:rPr>
          <w:rFonts w:ascii="Times New Roman" w:cs="Times New Roman" w:eastAsia="Times New Roman" w:hAnsi="Times New Roman"/>
          <w:sz w:val="18"/>
          <w:szCs w:val="18"/>
          <w:color w:val="auto"/>
        </w:rPr>
        <w:t>. This Agreement (including all schedules and exhibits attached hereto and Placement Notices and Terms Agreements issued pursuant hereto) constitutes the entire agreement and supersedes all other prior and contemporaneous agreements and undertakings, both written and oral, among the Parties with regard to the subject matter hereof. Neither this Agreement nor any term hereof or any Terms Agreement may be amended except pursuant to a written instrument executed by the Company and BTIG. In the event that any one or more of the terms or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term or provision and the remainder of the terms and provisions hereof shall be in accordance with the intent of the Parties as reflected in this Agreement.</w:t>
      </w:r>
    </w:p>
    <w:p>
      <w:pPr>
        <w:spacing w:after="0" w:line="184" w:lineRule="exact"/>
        <w:rPr>
          <w:rFonts w:ascii="Times New Roman" w:cs="Times New Roman" w:eastAsia="Times New Roman" w:hAnsi="Times New Roman"/>
          <w:sz w:val="18"/>
          <w:szCs w:val="18"/>
          <w:color w:val="auto"/>
        </w:rPr>
      </w:pPr>
    </w:p>
    <w:p>
      <w:pPr>
        <w:jc w:val="both"/>
        <w:ind w:firstLine="656"/>
        <w:spacing w:after="0" w:line="257" w:lineRule="auto"/>
        <w:tabs>
          <w:tab w:leader="none" w:pos="109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TIME; WAIVER OF JURY TRIAL</w:t>
      </w:r>
      <w:r>
        <w:rPr>
          <w:rFonts w:ascii="Times New Roman" w:cs="Times New Roman" w:eastAsia="Times New Roman" w:hAnsi="Times New Roman"/>
          <w:sz w:val="18"/>
          <w:szCs w:val="18"/>
          <w:b w:val="1"/>
          <w:bCs w:val="1"/>
          <w:color w:val="auto"/>
        </w:rPr>
        <w:t>. THIS AGREEMENT AND ANY TERMS AGREEMENT SHALL BE GOVERNED BY AND CONSTRUED IN ACCORDANCE WITH THE LAWS OF THE STATE OF NEW YORK WITHOUT REGARD TO THE PRINCIPLES OF CONFLICTS OF LAWS. SPECIFIED TIMES OF DAY REFER TO NEW YORK CITY TIME. THE COMPANY AND BTIG EACH HEREBY IRREVOCABLY WAIVES, TO THE FULLEST EXTENT PERMITTED BY APPLICABLE LAW, ANY AND ALL RIGHT TO TRIAL BY JURY IN ANY LEGAL PROCEEDING ARISING OUT OF OR RELATING TO THIS AGREEMENT OR ANY TERMS AGREEMENT OR THE TRANSACTIONS CONTEMPLATED HEREBY OR THEREBY.</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13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EACH PARTY HEREBY IRREVOCABLY SUBMITS TO THE NON-EXCLUSIVE JURISDICTION OF THE STATE AND FEDERAL COURTS SITTING IN THE CITY OF NEW YORK, BOROUGH OF MANHATTAN, FOR THE ADJUDICATION OF ANY DISPUTE HEREUNDER OR ANY TERMS AGREEMENT OR IN CONNECTION WITH ANY</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ANY TERMS AGREEMENT AND AGREES THAT SUCH SERVICE SHALL CONSTITUTE GOOD AND SUFFICIENT SERVICE OF PROCESS AND NOTICE THEREOF. NOTHING CONTAINED HEREIN SHALL BE DEEMED TO LIMIT IN ANY WAY ANY RIGHT TO SERVE PROCESS IN ANY MANNER PERMITTED BY LAW.</w:t>
      </w:r>
    </w:p>
    <w:p>
      <w:pPr>
        <w:spacing w:after="0" w:line="192" w:lineRule="exact"/>
        <w:rPr>
          <w:sz w:val="20"/>
          <w:szCs w:val="20"/>
          <w:color w:val="auto"/>
        </w:rPr>
      </w:pPr>
    </w:p>
    <w:p>
      <w:pPr>
        <w:ind w:left="1060" w:hanging="404"/>
        <w:spacing w:after="0"/>
        <w:tabs>
          <w:tab w:leader="none" w:pos="10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0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BTIG is acting solely as agent in connection with the sale of the Shares in an Agency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BTIG, on the other hand, has been or will be created in respect of any of the transactions contemplated by this Agreement or any Terms Agreement, irrespective of whether BTIG has advised or is advising the Company on other matters, and BTIG has no obligation to the Company with respect to the transactions contemplated by this Agreement or any Terms Agreement, except the obligations expressly set forth in this Agreement and any Terms Agreement;</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179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0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BTIG has not provided any legal, accounting, regulatory or tax advice with respect to the transactions contemplated by this Agreement or any Terms Agreement, and the Company has consulted its own legal, accounting, regulatory and tax advisors to the extent it has deemed appropriate;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5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aware that BTIG and its affiliates are engaged in a broad range of transactions which may involve interests that differ from those of the Company, and BTIG has no obligation to disclose such interests and transactions to the Company by virtue of any fiduciary, advisory or agency relationship or otherwise;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2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waives, to the fullest extent permitted by law, any claims it may have against BTIG for breach of fiduciary duty or alleged breach of fiduciary duty and agrees that BTIG shall have no liability (whether direct or indirect, in contract, tort or otherwise) to the Company in respect of such a fiduciary duty claim or to any person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asserting a fiduciary duty claim on behalf of or in right of the Company, including stockholders, partners, employees or creditors of the Company.</w:t>
      </w:r>
    </w:p>
    <w:p>
      <w:pPr>
        <w:spacing w:after="0" w:line="225" w:lineRule="exact"/>
        <w:rPr>
          <w:sz w:val="20"/>
          <w:szCs w:val="20"/>
          <w:color w:val="auto"/>
        </w:rPr>
      </w:pPr>
    </w:p>
    <w:p>
      <w:pPr>
        <w:jc w:val="both"/>
        <w:ind w:firstLine="656"/>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 Knowledge of the Company</w:t>
      </w:r>
      <w:r>
        <w:rPr>
          <w:rFonts w:ascii="Times New Roman" w:cs="Times New Roman" w:eastAsia="Times New Roman" w:hAnsi="Times New Roman"/>
          <w:sz w:val="18"/>
          <w:szCs w:val="18"/>
          <w:color w:val="auto"/>
        </w:rPr>
        <w:t>. The section and Exhibit headings herein are for convenience only and shall not affect the construction hereof. All references in this Agreement and any Terms Agreement to the “knowledge of the Company” or the “Company’s knowledge” or similar qualifiers shall mean the actual knowledge of the directors and officers of the Company, after due inquiry.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Terms Agreement may be executed in two or more counterparts, each of which shall be deemed an original, but all of which together shall constitute one and the same instrument. Delivery of an executed Agreement or Terms Agreement by one party to the other may be made by facsimile or electronic transmission.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 w:name="page45"/>
    <w:bookmarkEnd w:id="44"/>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BTIG, please so indicate in the space provided below for that purpose, whereupon this letter shall constitute a binding agreement between the Company and BTIG.</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/s/Siddarth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Siddarth Thacker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3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540" w:right="659" w:bottom="1440" w:gutter="0" w:footer="0" w:header="0"/>
        </w:sectPr>
      </w:pPr>
    </w:p>
    <w:bookmarkStart w:id="45" w:name="page46"/>
    <w:bookmarkEnd w:id="45"/>
    <w:p>
      <w:pPr>
        <w:ind w:left="4520"/>
        <w:spacing w:after="0"/>
        <w:rPr>
          <w:sz w:val="20"/>
          <w:szCs w:val="20"/>
          <w:color w:val="auto"/>
        </w:rPr>
      </w:pPr>
      <w:r>
        <w:rPr>
          <w:rFonts w:ascii="Times New Roman" w:cs="Times New Roman" w:eastAsia="Times New Roman" w:hAnsi="Times New Roman"/>
          <w:sz w:val="17"/>
          <w:szCs w:val="17"/>
          <w:color w:val="auto"/>
        </w:rPr>
        <w:t>ACCEPTED as of the date first-above written:</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BTIG,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Mike Passaro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Mike Passaro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FORM OF PLACEMENT NOTICE</w:t>
            </w:r>
          </w:p>
        </w:tc>
      </w:tr>
      <w:tr>
        <w:trPr>
          <w:trHeight w:val="68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24"/>
                <w:szCs w:val="24"/>
                <w:color w:val="auto"/>
              </w:rPr>
            </w:pP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21"/>
                <w:szCs w:val="21"/>
                <w:color w:val="auto"/>
              </w:rPr>
            </w:pP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21"/>
                <w:szCs w:val="21"/>
                <w:color w:val="auto"/>
              </w:rPr>
            </w:pP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61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Placement Notice</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Placement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between Rent the Runway, Inc.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BTIG, LLC (“</w:t>
      </w:r>
      <w:r>
        <w:rPr>
          <w:rFonts w:ascii="Times New Roman" w:cs="Times New Roman" w:eastAsia="Times New Roman" w:hAnsi="Times New Roman"/>
          <w:sz w:val="18"/>
          <w:szCs w:val="18"/>
          <w:b w:val="1"/>
          <w:bCs w:val="1"/>
          <w:u w:val="single" w:color="auto"/>
          <w:color w:val="auto"/>
        </w:rPr>
        <w:t>BTIG</w:t>
      </w:r>
      <w:r>
        <w:rPr>
          <w:rFonts w:ascii="Times New Roman" w:cs="Times New Roman" w:eastAsia="Times New Roman" w:hAnsi="Times New Roman"/>
          <w:sz w:val="18"/>
          <w:szCs w:val="18"/>
          <w:color w:val="auto"/>
        </w:rPr>
        <w:t>”), dated April 15, 2026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 hereby request on behalf of the Company that BTIG sell up to [[___] shares] [$[___] worth of shares] of the Company’s Class A common stock, par value $0.001 per share, subject to the Maximum Amount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at market prices not lower than $[____] per share, during the time period beginning [month, day, time] and ending [month, day,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include such other sales parameters as it deems appropriate, subject to the terms and conditions 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Terms used herein and not defined herein have the meanings ascribed to them in the Agreement.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BTIG shall be paid compensation equal to three percent (3.0%) of the gross proceeds from the sales of Shares pursuant to the terms of this Agreement.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BTIG, LLC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BTIGUSATMTrading@btig.com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BTIGcompliance@btig.com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IBLegal@btig.com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btigcorporateservices@btig.com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Taylor (ctaylor@btig.com)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Passaro (mpassaro@btig.com)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Faria (afaria@btig.com)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Boffi (cboffi@btig.com)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BTIG, LLC shall be entitled in its sole discretion to revise, amend and supplement this list of persons from time to time.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RENT THE RUNWAY, INC.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Hyman (jh@renttherunway.com)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 Thacker (sthacker@renttherunway.com)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Cara Schembri (cara@renttherunway.com)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Allison Balsamo (abalsamo@renttherunway.com)</w:t>
      </w:r>
    </w:p>
    <w:p>
      <w:pPr>
        <w:spacing w:after="0" w:line="207" w:lineRule="exact"/>
        <w:rPr>
          <w:sz w:val="20"/>
          <w:szCs w:val="20"/>
          <w:color w:val="auto"/>
        </w:rPr>
      </w:pPr>
    </w:p>
    <w:p>
      <w:pPr>
        <w:ind w:left="5520" w:right="1600" w:hanging="5512"/>
        <w:spacing w:after="0" w:line="657" w:lineRule="auto"/>
        <w:tabs>
          <w:tab w:leader="none" w:pos="24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the Runway, Inc. shall be entitled in its sole discretion to revise, amend and supplement this list of persons from time to time.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SIGNIFICANT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the Runway Limited.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7(m)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undersigned, the duly qualified and appointed _____________________ of Rent the Runway, Inc., a Delaware corporation (the “</w:t>
      </w:r>
      <w:r>
        <w:rPr>
          <w:rFonts w:ascii="Times New Roman" w:cs="Times New Roman" w:eastAsia="Times New Roman" w:hAnsi="Times New Roman"/>
          <w:sz w:val="18"/>
          <w:szCs w:val="18"/>
          <w:b w:val="1"/>
          <w:bCs w:val="1"/>
          <w:i w:val="1"/>
          <w:iCs w:val="1"/>
          <w:u w:val="single" w:color="auto"/>
          <w:color w:val="auto"/>
        </w:rPr>
        <w:t>Company</w:t>
      </w:r>
      <w:r>
        <w:rPr>
          <w:rFonts w:ascii="Times New Roman" w:cs="Times New Roman" w:eastAsia="Times New Roman" w:hAnsi="Times New Roman"/>
          <w:sz w:val="18"/>
          <w:szCs w:val="18"/>
          <w:i w:val="1"/>
          <w:iCs w:val="1"/>
          <w:color w:val="auto"/>
        </w:rPr>
        <w:t>”), does</w:t>
      </w:r>
    </w:p>
    <w:p>
      <w:pPr>
        <w:spacing w:after="0" w:line="31"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18"/>
          <w:szCs w:val="18"/>
          <w:i w:val="1"/>
          <w:iCs w:val="1"/>
          <w:color w:val="auto"/>
        </w:rPr>
        <w:t>hereby certify in such capacity and on behalf of the Company, pursuant to Section 7(m) of the Sales Agreement, dated April 15, 2026 (the “</w:t>
      </w:r>
      <w:r>
        <w:rPr>
          <w:rFonts w:ascii="Times New Roman" w:cs="Times New Roman" w:eastAsia="Times New Roman" w:hAnsi="Times New Roman"/>
          <w:sz w:val="18"/>
          <w:szCs w:val="18"/>
          <w:b w:val="1"/>
          <w:bCs w:val="1"/>
          <w:i w:val="1"/>
          <w:iCs w:val="1"/>
          <w:u w:val="single" w:color="auto"/>
          <w:color w:val="auto"/>
        </w:rPr>
        <w:t>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u w:val="single" w:color="auto"/>
          <w:color w:val="auto"/>
        </w:rPr>
        <w:t>Agreement</w:t>
      </w:r>
      <w:r>
        <w:rPr>
          <w:rFonts w:ascii="Times New Roman" w:cs="Times New Roman" w:eastAsia="Times New Roman" w:hAnsi="Times New Roman"/>
          <w:sz w:val="18"/>
          <w:szCs w:val="18"/>
          <w:i w:val="1"/>
          <w:iCs w:val="1"/>
          <w:color w:val="auto"/>
        </w:rPr>
        <w:t>”), between the Company and BTIG, that:</w:t>
      </w:r>
    </w:p>
    <w:p>
      <w:pPr>
        <w:spacing w:after="0" w:line="181" w:lineRule="exact"/>
        <w:rPr>
          <w:sz w:val="20"/>
          <w:szCs w:val="20"/>
          <w:color w:val="auto"/>
        </w:rPr>
      </w:pPr>
    </w:p>
    <w:p>
      <w:pPr>
        <w:jc w:val="both"/>
        <w:ind w:left="1300" w:hanging="644"/>
        <w:spacing w:after="0" w:line="254"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Section 6 of the Sales Agreement (A) to the extent such representations and warranties are subject to qualifications and exceptions contained therein relating to materiality or Material Adverse Effect, such representations and warranties are true and correct on and as of the date hereof, except for those representations and warranties that speak solely as of a specific date and which were true and correct as of such date, with the same force and effect as if expressly made on and as of the date hereof, and (B) to the extent such representations and warranties are not subject to any qualifications or exceptions, such representations and warranties are true and correct in all material respects as of the date hereof as if made on and as of the date hereof, except for those representations and warranties that speak solely as of a specific date and which were true and correct as of such date, with the same force and effect as if expressly made on and as of the date hereof;</w:t>
      </w:r>
    </w:p>
    <w:p>
      <w:pPr>
        <w:spacing w:after="0" w:line="19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 the Registration Statement does not contain any untrue statement of a material fact or omit to state a material fact required to be stated therein or necessary in order to make the statements therein not misleading, (B) the Prospectus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for clauses (A) and (B) above, respectively, to be true and correct;</w:t>
      </w:r>
    </w:p>
    <w:p>
      <w:pPr>
        <w:spacing w:after="0" w:line="18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since the date as of which information is given in the Prospectus, as amended or supplemented;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possess any material non-public information;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offering price of the Shares that may be issued and sold pursuant to the Sales Agreement and the maximum number or amount of Shares that may be sold pursuant to the Sales Agreement have been duly authorized by the Company’s board of directors or a duly authorized committee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used herein and not defined herein have the meanings ascribed to them in the Sales Agreement.</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Initial Opinion of Company Counsel</w:t>
      </w:r>
    </w:p>
    <w:p>
      <w:pPr>
        <w:spacing w:after="0" w:line="229" w:lineRule="exact"/>
        <w:rPr>
          <w:sz w:val="20"/>
          <w:szCs w:val="20"/>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validly existing as a corporation in good standing under the laws of the State of Delaware, and the Company has corporate power and authority to issue the Shares, to enter into the Sales Agreement and to perform its obligations thereunder.</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660" w:right="140" w:hanging="652"/>
        <w:spacing w:after="0" w:line="281" w:lineRule="auto"/>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the terms of any sales of Shares pursuant to the Sales Agreement are approved by the Company’s board of directors or a properly constituted and authorized committee thereof (or any of them delegates such approval to officers and such terms are approved by such officers), the Shares have been duly authorized and, when issued and delivered to and paid for by you pursuant to the Sales Agreement, will be validly issued, fully paid and non-assessable, and the issuance of such Shares is not subject to any preemptive or, to our knowledge, other similar rights.</w:t>
      </w:r>
    </w:p>
    <w:p>
      <w:pPr>
        <w:spacing w:after="0" w:line="164" w:lineRule="exact"/>
        <w:rPr>
          <w:rFonts w:ascii="Times New Roman" w:cs="Times New Roman" w:eastAsia="Times New Roman" w:hAnsi="Times New Roman"/>
          <w:sz w:val="17"/>
          <w:szCs w:val="17"/>
          <w:color w:val="auto"/>
        </w:rPr>
      </w:pPr>
    </w:p>
    <w:p>
      <w:pPr>
        <w:ind w:left="660" w:right="22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authorized equity capitalization is as set forth in the Prospectus.</w:t>
      </w:r>
    </w:p>
    <w:p>
      <w:pPr>
        <w:spacing w:after="0" w:line="225" w:lineRule="exact"/>
        <w:rPr>
          <w:rFonts w:ascii="Times New Roman" w:cs="Times New Roman" w:eastAsia="Times New Roman" w:hAnsi="Times New Roman"/>
          <w:sz w:val="18"/>
          <w:szCs w:val="18"/>
          <w:color w:val="auto"/>
        </w:rPr>
      </w:pPr>
    </w:p>
    <w:p>
      <w:pPr>
        <w:ind w:left="660" w:hanging="652"/>
        <w:spacing w:after="0" w:line="255"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the Sales Agreement will not contravene (i) any provision of the statutory laws of the State of New York or any federal law of the United States of America that in our experience is normally applicable to general business corporations in relation to transactions of the type contemplated by the Sales Agreement, or the General Corporation Law of the State of Delaware; provided that we express no opinion as to federal or state securities laws, (ii) the certificate of incorporation or by-laws of the Company, or (iii) any agreement that is an exhibit to the Registration Statement; provided that we express no opinion in clause (iii) as to compliance with any financial or accounting test, or any limitation or restriction expressed as a dollar (or other currency) amount, ratio or percentage in any of the agreements that are exhibits to the Registration Statement.</w:t>
      </w:r>
    </w:p>
    <w:p>
      <w:pPr>
        <w:spacing w:after="0" w:line="188" w:lineRule="exact"/>
        <w:rPr>
          <w:rFonts w:ascii="Times New Roman" w:cs="Times New Roman" w:eastAsia="Times New Roman" w:hAnsi="Times New Roman"/>
          <w:sz w:val="18"/>
          <w:szCs w:val="18"/>
          <w:color w:val="auto"/>
        </w:rPr>
      </w:pPr>
    </w:p>
    <w:p>
      <w:pPr>
        <w:ind w:left="660" w:right="80" w:hanging="652"/>
        <w:spacing w:after="0" w:line="258"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under the laws of the State of New York or any federal law of the United States of America that in our experience is normally applicable to general business corporations in relation to transactions of the type contemplated by the Sales Agreement, or the General Corporation Law of the State of Delaware is required for the execution, delivery and performance by the Company of its obligations under the Sales Agreement, except such as may be required under federal or state securities or Blue Sky laws as to which we express no opinion.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Subsequent Opinion of Company Counsel</w:t>
      </w:r>
    </w:p>
    <w:p>
      <w:pPr>
        <w:spacing w:after="0" w:line="229" w:lineRule="exact"/>
        <w:rPr>
          <w:sz w:val="20"/>
          <w:szCs w:val="20"/>
          <w:color w:val="auto"/>
        </w:rPr>
      </w:pPr>
    </w:p>
    <w:p>
      <w:pPr>
        <w:ind w:left="66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validly existing as a corporation in good standing under the laws of the State of Delaware, and the Company has corporate power and authority to issue the Shares, to enter into the Sales Agreement and to perform its obligations thereunder.</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660" w:right="140" w:hanging="652"/>
        <w:spacing w:after="0" w:line="281" w:lineRule="auto"/>
        <w:tabs>
          <w:tab w:leader="none" w:pos="6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the terms of any sales of Shares pursuant to the Sales Agreement are approved by the Company’s board of directors or a properly constituted and authorized committee thereof (or any of them delegates such approval to officers and such terms are approved by such officers), the Shares have been duly authorized and, when issued and delivered to and paid for by you pursuant to the Sales Agreement, will be validly issued, fully paid and non-assessable, and the issuance of such Shares is not subject to any preemptive or, to our knowledge, other similar rights.</w:t>
      </w:r>
    </w:p>
    <w:p>
      <w:pPr>
        <w:spacing w:after="0" w:line="164" w:lineRule="exact"/>
        <w:rPr>
          <w:rFonts w:ascii="Times New Roman" w:cs="Times New Roman" w:eastAsia="Times New Roman" w:hAnsi="Times New Roman"/>
          <w:sz w:val="17"/>
          <w:szCs w:val="17"/>
          <w:color w:val="auto"/>
        </w:rPr>
      </w:pPr>
    </w:p>
    <w:p>
      <w:pPr>
        <w:ind w:left="660" w:right="22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authorized equity capitalization is as set forth in the Prospectus.</w:t>
      </w:r>
    </w:p>
    <w:p>
      <w:pPr>
        <w:spacing w:after="0" w:line="225" w:lineRule="exact"/>
        <w:rPr>
          <w:rFonts w:ascii="Times New Roman" w:cs="Times New Roman" w:eastAsia="Times New Roman" w:hAnsi="Times New Roman"/>
          <w:sz w:val="18"/>
          <w:szCs w:val="18"/>
          <w:color w:val="auto"/>
        </w:rPr>
      </w:pPr>
    </w:p>
    <w:p>
      <w:pPr>
        <w:ind w:left="660" w:hanging="652"/>
        <w:spacing w:after="0" w:line="255"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the Sales Agreement will not contravene (i) any provision of the statutory laws of the State of New York or any federal law of the United States of America that in our experience is normally applicable to general business corporations in relation to transactions of the type contemplated by the Sales Agreement, or the General Corporation Law of the State of Delaware; provided that we express no opinion as to federal or state securities laws, (ii) the certificate of incorporation or by-laws of the Company, or (iii) any agreement that is an exhibit to the Registration Statement; provided that we express no opinion in clause (iii) as to compliance with any financial or accounting test, or any limitation or restriction expressed as a dollar (or other currency) amount, ratio or percentage in any of the agreements that are exhibits to the Registration Statement.</w:t>
      </w:r>
    </w:p>
    <w:p>
      <w:pPr>
        <w:spacing w:after="0" w:line="188" w:lineRule="exact"/>
        <w:rPr>
          <w:rFonts w:ascii="Times New Roman" w:cs="Times New Roman" w:eastAsia="Times New Roman" w:hAnsi="Times New Roman"/>
          <w:sz w:val="18"/>
          <w:szCs w:val="18"/>
          <w:color w:val="auto"/>
        </w:rPr>
      </w:pPr>
    </w:p>
    <w:p>
      <w:pPr>
        <w:ind w:left="660" w:right="80" w:hanging="652"/>
        <w:spacing w:after="0" w:line="258"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under the laws of the State of New York or any federal law of the United States of America that in our experience is normally applicable to general business corporations in relation to transactions of the type contemplated by the Sales Agreement, or the General Corporation Law of the State of Delaware is required for the execution, delivery and performance by the Company of its obligations under the Sales Agreement, except such as may be required under federal or state securities or Blue Sky laws as to which we express no opinion.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Exhibits 5.1 and 23.1</w:t>
      </w:r>
    </w:p>
    <w:p>
      <w:pPr>
        <w:spacing w:after="0" w:line="252" w:lineRule="exact"/>
        <w:rPr>
          <w:sz w:val="20"/>
          <w:szCs w:val="20"/>
          <w:color w:val="auto"/>
        </w:rPr>
      </w:pPr>
    </w:p>
    <w:p>
      <w:pPr>
        <w:ind w:left="2500"/>
        <w:spacing w:after="0"/>
        <w:rPr>
          <w:sz w:val="20"/>
          <w:szCs w:val="20"/>
          <w:color w:val="auto"/>
        </w:rPr>
      </w:pPr>
      <w:r>
        <w:rPr>
          <w:rFonts w:ascii="Arial" w:cs="Arial" w:eastAsia="Arial" w:hAnsi="Arial"/>
          <w:sz w:val="14"/>
          <w:szCs w:val="14"/>
          <w:color w:val="140BE3"/>
        </w:rPr>
        <w:t xml:space="preserve">Davis Polk &amp; Wardwell </w:t>
      </w:r>
      <w:r>
        <w:rPr>
          <w:rFonts w:ascii="Arial" w:cs="Arial" w:eastAsia="Arial" w:hAnsi="Arial"/>
          <w:sz w:val="9"/>
          <w:szCs w:val="9"/>
          <w:color w:val="140BE3"/>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899795"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99795" cy="163195"/>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4"/>
          <w:szCs w:val="14"/>
          <w:color w:val="140BE3"/>
        </w:rPr>
        <w:t>450 Lexington Avenue</w:t>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4"/>
          <w:szCs w:val="14"/>
          <w:color w:val="140BE3"/>
        </w:rPr>
        <w:t>New York, NY 10017</w:t>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4"/>
          <w:szCs w:val="14"/>
          <w:color w:val="140BE3"/>
        </w:rPr>
        <w:t>davispolk.com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April 15,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Rent The Runway,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rPr>
          <w:sz w:val="20"/>
          <w:szCs w:val="20"/>
          <w:color w:val="auto"/>
        </w:rPr>
      </w:pPr>
      <w:r>
        <w:rPr>
          <w:rFonts w:ascii="Arial" w:cs="Arial" w:eastAsia="Arial" w:hAnsi="Arial"/>
          <w:sz w:val="18"/>
          <w:szCs w:val="18"/>
          <w:color w:val="auto"/>
        </w:rPr>
        <w:t>Brooklyn, New York 11201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have acted as special counsel for Rent The Runway,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offering and sale by the Company of shares (the “</w:t>
      </w:r>
      <w:r>
        <w:rPr>
          <w:rFonts w:ascii="Arial" w:cs="Arial" w:eastAsia="Arial" w:hAnsi="Arial"/>
          <w:sz w:val="18"/>
          <w:szCs w:val="18"/>
          <w:b w:val="1"/>
          <w:bCs w:val="1"/>
          <w:color w:val="auto"/>
        </w:rPr>
        <w:t>Shares</w:t>
      </w:r>
      <w:r>
        <w:rPr>
          <w:rFonts w:ascii="Arial" w:cs="Arial" w:eastAsia="Arial" w:hAnsi="Arial"/>
          <w:sz w:val="18"/>
          <w:szCs w:val="18"/>
          <w:color w:val="auto"/>
        </w:rPr>
        <w:t>”) of Class A common stock of the Company, par value $0.001 per share (the “</w:t>
      </w:r>
      <w:r>
        <w:rPr>
          <w:rFonts w:ascii="Arial" w:cs="Arial" w:eastAsia="Arial" w:hAnsi="Arial"/>
          <w:sz w:val="18"/>
          <w:szCs w:val="18"/>
          <w:b w:val="1"/>
          <w:b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 having an aggregate offering price to the public of $40,000,000, pursuant to the Company’s Registration Statement on Form S-3</w:t>
      </w:r>
      <w:r>
        <w:rPr>
          <w:rFonts w:ascii="Arial" w:cs="Arial" w:eastAsia="Arial" w:hAnsi="Arial"/>
          <w:sz w:val="18"/>
          <w:szCs w:val="18"/>
          <w:b w:val="1"/>
          <w:bCs w:val="1"/>
          <w:color w:val="auto"/>
        </w:rPr>
        <w:t xml:space="preserve"> </w:t>
      </w:r>
      <w:r>
        <w:rPr>
          <w:rFonts w:ascii="Arial" w:cs="Arial" w:eastAsia="Arial" w:hAnsi="Arial"/>
          <w:sz w:val="18"/>
          <w:szCs w:val="18"/>
          <w:color w:val="auto"/>
        </w:rPr>
        <w:t>(File No. 333-279757) filed on May 28, 2024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 base prospectus dated May 28, 2024 and related prospectus supplement dated April 15, 2026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that certain at-the-market sales agreement dated April 15, 2026 (the “</w:t>
      </w:r>
      <w:r>
        <w:rPr>
          <w:rFonts w:ascii="Arial" w:cs="Arial" w:eastAsia="Arial" w:hAnsi="Arial"/>
          <w:sz w:val="18"/>
          <w:szCs w:val="18"/>
          <w:b w:val="1"/>
          <w:bCs w:val="1"/>
          <w:color w:val="auto"/>
        </w:rPr>
        <w:t>Sales Agreement</w:t>
      </w:r>
      <w:r>
        <w:rPr>
          <w:rFonts w:ascii="Arial" w:cs="Arial" w:eastAsia="Arial" w:hAnsi="Arial"/>
          <w:sz w:val="18"/>
          <w:szCs w:val="18"/>
          <w:color w:val="auto"/>
        </w:rPr>
        <w:t>”), by and between the Company and BTIG, LLC, as agent and/or principal.</w:t>
      </w:r>
    </w:p>
    <w:p>
      <w:pPr>
        <w:spacing w:after="0" w:line="155"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198" w:lineRule="exact"/>
        <w:rPr>
          <w:sz w:val="20"/>
          <w:szCs w:val="20"/>
          <w:color w:val="auto"/>
        </w:rPr>
      </w:pPr>
    </w:p>
    <w:p>
      <w:pPr>
        <w:ind w:left="660" w:right="960" w:hanging="328"/>
        <w:spacing w:after="0" w:line="271"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when the Shares have been issued and sold by the Company and delivered by the Company against payment therefor in accordance with the terms of the Sales Agreement, such Shares will be validly issued, fully paid and non-assessable.</w:t>
      </w:r>
    </w:p>
    <w:p>
      <w:pPr>
        <w:spacing w:after="0" w:line="14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rendering the foregoing opinion, we have assumed that (x) the Shares will not be issued or transferred in violation of any restriction or limitation contained in the Company’s Amended and Restated Certificate of Incorporation, as amended (the “</w:t>
      </w:r>
      <w:r>
        <w:rPr>
          <w:rFonts w:ascii="Arial" w:cs="Arial" w:eastAsia="Arial" w:hAnsi="Arial"/>
          <w:sz w:val="18"/>
          <w:szCs w:val="18"/>
          <w:b w:val="1"/>
          <w:bCs w:val="1"/>
          <w:color w:val="auto"/>
        </w:rPr>
        <w:t>Charter</w:t>
      </w:r>
      <w:r>
        <w:rPr>
          <w:rFonts w:ascii="Arial" w:cs="Arial" w:eastAsia="Arial" w:hAnsi="Arial"/>
          <w:sz w:val="18"/>
          <w:szCs w:val="18"/>
          <w:color w:val="auto"/>
        </w:rPr>
        <w:t>”), (y) upon the issuance of such Shares, the total number of shares of Common Stock issued and outstanding will not exceed the total number of shares of Common Stock that the Company is then authorized to issue under the Charter, and (z) the terms of certain sales of the Shares pursuant to the Sales Agreement will be authorized and approved by the Board of Directors of the Company or a committee thereof established by the Board of Directors of the Company with the authority to issue and sell the Shares pursuant to the Sales Agreement in accordance with the General Corporation Law of the State of Delaware, the Charter, the Second Amended and Restated Bylaws of the Company and the resolutions of the Board of Directors of the Company.</w:t>
      </w:r>
    </w:p>
    <w:p>
      <w:pPr>
        <w:spacing w:after="0" w:line="16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We are members of the Bars of the States of New York, and the foregoing opinion is limited to the laws of the State of New York and the General Corporation Law of the State of Delaware.</w:t>
      </w:r>
    </w:p>
    <w:p>
      <w:pPr>
        <w:spacing w:after="0" w:line="14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hereby consent to the filing of this opinion as an exhibit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 of 1933, as amended.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decimal"/>
      <w:start w:val="2"/>
    </w:lvl>
    <w:lvl w:ilvl="1">
      <w:lvlJc w:val="left"/>
      <w:lvlText w:val="(%2)"/>
      <w:numFmt w:val="lowerLetter"/>
      <w:start w:val="1"/>
    </w:lvl>
  </w:abstractNum>
  <w:abstractNum w:abstractNumId="3">
    <w:nsid w:val="8138641"/>
    <w:multiLevelType w:val="hybridMultilevel"/>
    <w:lvl w:ilvl="0">
      <w:lvlJc w:val="left"/>
      <w:lvlText w:val="(%1)"/>
      <w:numFmt w:val="lowerLetter"/>
      <w:start w:val="2"/>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decimal"/>
      <w:start w:val="4"/>
    </w:lvl>
    <w:lvl w:ilvl="1">
      <w:lvlJc w:val="left"/>
      <w:lvlText w:val="(%2)"/>
      <w:numFmt w:val="lowerLetter"/>
      <w:start w:val="1"/>
    </w:lvl>
  </w:abstractNum>
  <w:abstractNum w:abstractNumId="6">
    <w:nsid w:val="737B8DDC"/>
    <w:multiLevelType w:val="hybridMultilevel"/>
    <w:lvl w:ilvl="0">
      <w:lvlJc w:val="left"/>
      <w:lvlText w:val="%1"/>
      <w:numFmt w:val="decimal"/>
      <w:start w:val="1"/>
    </w:lvl>
    <w:lvl w:ilvl="1">
      <w:lvlJc w:val="left"/>
      <w:lvlText w:val="(%2)"/>
      <w:numFmt w:val="lowerLetter"/>
      <w:start w:val="4"/>
    </w:lvl>
  </w:abstractNum>
  <w:abstractNum w:abstractNumId="7">
    <w:nsid w:val="6CEAF087"/>
    <w:multiLevelType w:val="hybridMultilevel"/>
    <w:lvl w:ilvl="0">
      <w:lvlJc w:val="left"/>
      <w:lvlText w:val="%1."/>
      <w:numFmt w:val="decimal"/>
      <w:start w:val="5"/>
    </w:lvl>
    <w:lvl w:ilvl="1">
      <w:lvlJc w:val="left"/>
      <w:lvlText w:val="(%2)"/>
      <w:numFmt w:val="lowerLetter"/>
      <w:start w:val="1"/>
    </w:lvl>
  </w:abstractNum>
  <w:abstractNum w:abstractNumId="8">
    <w:nsid w:val="22221A70"/>
    <w:multiLevelType w:val="hybridMultilevel"/>
    <w:lvl w:ilvl="0">
      <w:lvlJc w:val="left"/>
      <w:lvlText w:val="(%1)"/>
      <w:numFmt w:val="lowerLetter"/>
      <w:start w:val="2"/>
    </w:lvl>
  </w:abstractNum>
  <w:abstractNum w:abstractNumId="9">
    <w:nsid w:val="4516DDE9"/>
    <w:multiLevelType w:val="hybridMultilevel"/>
    <w:lvl w:ilvl="0">
      <w:lvlJc w:val="left"/>
      <w:lvlText w:val="%1."/>
      <w:numFmt w:val="decimal"/>
      <w:start w:val="6"/>
    </w:lvl>
    <w:lvl w:ilvl="1">
      <w:lvlJc w:val="left"/>
      <w:lvlText w:val="(%2)"/>
      <w:numFmt w:val="lowerLetter"/>
      <w:start w:val="1"/>
    </w:lvl>
  </w:abstractNum>
  <w:abstractNum w:abstractNumId="10">
    <w:nsid w:val="3006C83E"/>
    <w:multiLevelType w:val="hybridMultilevel"/>
    <w:lvl w:ilvl="0">
      <w:lvlJc w:val="left"/>
      <w:lvlText w:val="(%1)"/>
      <w:numFmt w:val="lowerLetter"/>
      <w:start w:val="3"/>
    </w:lvl>
  </w:abstractNum>
  <w:abstractNum w:abstractNumId="11">
    <w:nsid w:val="614FD4A1"/>
    <w:multiLevelType w:val="hybridMultilevel"/>
    <w:lvl w:ilvl="0">
      <w:lvlJc w:val="left"/>
      <w:lvlText w:val="%1"/>
      <w:numFmt w:val="lowerLetter"/>
      <w:start w:val="1"/>
    </w:lvl>
    <w:lvl w:ilvl="1">
      <w:lvlJc w:val="left"/>
      <w:lvlText w:val="(%2)"/>
      <w:numFmt w:val="lowerLetter"/>
      <w:start w:val="5"/>
    </w:lvl>
  </w:abstractNum>
  <w:abstractNum w:abstractNumId="12">
    <w:nsid w:val="419AC241"/>
    <w:multiLevelType w:val="hybridMultilevel"/>
    <w:lvl w:ilvl="0">
      <w:lvlJc w:val="left"/>
      <w:lvlText w:val="(%1)"/>
      <w:numFmt w:val="lowerLetter"/>
      <w:start w:val="61"/>
    </w:lvl>
    <w:lvl w:ilvl="1">
      <w:lvlJc w:val="left"/>
      <w:lvlText w:val="(%2)"/>
      <w:numFmt w:val="lowerLetter"/>
      <w:start w:val="6"/>
    </w:lvl>
  </w:abstractNum>
  <w:abstractNum w:abstractNumId="13">
    <w:nsid w:val="5577F8E1"/>
    <w:multiLevelType w:val="hybridMultilevel"/>
    <w:lvl w:ilvl="0">
      <w:lvlJc w:val="left"/>
      <w:lvlText w:val="(%1)"/>
      <w:numFmt w:val="lowerLetter"/>
      <w:start w:val="8"/>
    </w:lvl>
  </w:abstractNum>
  <w:abstractNum w:abstractNumId="14">
    <w:nsid w:val="440BADFC"/>
    <w:multiLevelType w:val="hybridMultilevel"/>
    <w:lvl w:ilvl="0">
      <w:lvlJc w:val="left"/>
      <w:lvlText w:val="(%1)"/>
      <w:numFmt w:val="lowerLetter"/>
      <w:start w:val="13"/>
    </w:lvl>
  </w:abstractNum>
  <w:abstractNum w:abstractNumId="15">
    <w:nsid w:val="5072367"/>
    <w:multiLevelType w:val="hybridMultilevel"/>
    <w:lvl w:ilvl="0">
      <w:lvlJc w:val="left"/>
      <w:lvlText w:val="(%1)"/>
      <w:numFmt w:val="lowerLetter"/>
      <w:start w:val="15"/>
    </w:lvl>
  </w:abstractNum>
  <w:abstractNum w:abstractNumId="16">
    <w:nsid w:val="3804823E"/>
    <w:multiLevelType w:val="hybridMultilevel"/>
    <w:lvl w:ilvl="0">
      <w:lvlJc w:val="left"/>
      <w:lvlText w:val="(%1)"/>
      <w:numFmt w:val="lowerLetter"/>
      <w:start w:val="18"/>
    </w:lvl>
  </w:abstractNum>
  <w:abstractNum w:abstractNumId="17">
    <w:nsid w:val="77465F01"/>
    <w:multiLevelType w:val="hybridMultilevel"/>
    <w:lvl w:ilvl="0">
      <w:lvlJc w:val="left"/>
      <w:lvlText w:val="(%1)"/>
      <w:numFmt w:val="lowerLetter"/>
      <w:start w:val="20"/>
    </w:lvl>
  </w:abstractNum>
  <w:abstractNum w:abstractNumId="18">
    <w:nsid w:val="7724C67E"/>
    <w:multiLevelType w:val="hybridMultilevel"/>
    <w:lvl w:ilvl="0">
      <w:lvlJc w:val="left"/>
      <w:lvlText w:val="%1"/>
      <w:numFmt w:val="lowerRoman"/>
      <w:start w:val="1"/>
    </w:lvl>
    <w:lvl w:ilvl="1">
      <w:lvlJc w:val="left"/>
      <w:lvlText w:val="(%2)"/>
      <w:numFmt w:val="lowerLetter"/>
      <w:start w:val="24"/>
    </w:lvl>
  </w:abstractNum>
  <w:abstractNum w:abstractNumId="19">
    <w:nsid w:val="5C482A97"/>
    <w:multiLevelType w:val="hybridMultilevel"/>
    <w:lvl w:ilvl="0">
      <w:lvlJc w:val="left"/>
      <w:lvlText w:val="(%1)"/>
      <w:numFmt w:val="lowerRoman"/>
      <w:start w:val="4"/>
    </w:lvl>
    <w:lvl w:ilvl="1">
      <w:lvlJc w:val="left"/>
      <w:lvlText w:val="(%2)"/>
      <w:numFmt w:val="lowerLetter"/>
      <w:start w:val="26"/>
    </w:lvl>
  </w:abstractNum>
  <w:abstractNum w:abstractNumId="20">
    <w:nsid w:val="2463B9EA"/>
    <w:multiLevelType w:val="hybridMultilevel"/>
    <w:lvl w:ilvl="0">
      <w:lvlJc w:val="left"/>
      <w:lvlText w:val="%1"/>
      <w:numFmt w:val="lowerLetter"/>
      <w:start w:val="1"/>
    </w:lvl>
    <w:lvl w:ilvl="1">
      <w:lvlJc w:val="left"/>
      <w:lvlText w:val="(%2)"/>
      <w:numFmt w:val="lowerLetter"/>
      <w:start w:val="27"/>
    </w:lvl>
  </w:abstractNum>
  <w:abstractNum w:abstractNumId="21">
    <w:nsid w:val="5E884ADC"/>
    <w:multiLevelType w:val="hybridMultilevel"/>
    <w:lvl w:ilvl="0">
      <w:lvlJc w:val="left"/>
      <w:lvlText w:val="(%1)"/>
      <w:numFmt w:val="lowerLetter"/>
      <w:start w:val="35"/>
    </w:lvl>
    <w:lvl w:ilvl="1">
      <w:lvlJc w:val="left"/>
      <w:lvlText w:val="(%2)"/>
      <w:numFmt w:val="lowerLetter"/>
      <w:start w:val="29"/>
    </w:lvl>
  </w:abstractNum>
  <w:abstractNum w:abstractNumId="22">
    <w:nsid w:val="51EAD36B"/>
    <w:multiLevelType w:val="hybridMultilevel"/>
    <w:lvl w:ilvl="0">
      <w:lvlJc w:val="left"/>
      <w:lvlText w:val="%1"/>
      <w:numFmt w:val="lowerLetter"/>
      <w:start w:val="1"/>
    </w:lvl>
    <w:lvl w:ilvl="1">
      <w:lvlJc w:val="left"/>
      <w:lvlText w:val="(%2)"/>
      <w:numFmt w:val="lowerLetter"/>
      <w:start w:val="32"/>
    </w:lvl>
  </w:abstractNum>
  <w:abstractNum w:abstractNumId="23">
    <w:nsid w:val="2D517796"/>
    <w:multiLevelType w:val="hybridMultilevel"/>
    <w:lvl w:ilvl="0">
      <w:lvlJc w:val="left"/>
      <w:lvlText w:val="(%1)"/>
      <w:numFmt w:val="lowerLetter"/>
      <w:start w:val="61"/>
    </w:lvl>
    <w:lvl w:ilvl="1">
      <w:lvlJc w:val="left"/>
      <w:lvlText w:val="(%2)"/>
      <w:numFmt w:val="lowerLetter"/>
      <w:start w:val="34"/>
    </w:lvl>
  </w:abstractNum>
  <w:abstractNum w:abstractNumId="24">
    <w:nsid w:val="580BD78F"/>
    <w:multiLevelType w:val="hybridMultilevel"/>
    <w:lvl w:ilvl="0">
      <w:lvlJc w:val="left"/>
      <w:lvlText w:val="(%1)"/>
      <w:numFmt w:val="lowerLetter"/>
      <w:start w:val="35"/>
    </w:lvl>
  </w:abstractNum>
  <w:abstractNum w:abstractNumId="25">
    <w:nsid w:val="153EA438"/>
    <w:multiLevelType w:val="hybridMultilevel"/>
    <w:lvl w:ilvl="0">
      <w:lvlJc w:val="left"/>
      <w:lvlText w:val="(%1)"/>
      <w:numFmt w:val="lowerLetter"/>
      <w:start w:val="38"/>
    </w:lvl>
  </w:abstractNum>
  <w:abstractNum w:abstractNumId="26">
    <w:nsid w:val="3855585C"/>
    <w:multiLevelType w:val="hybridMultilevel"/>
    <w:lvl w:ilvl="0">
      <w:lvlJc w:val="left"/>
      <w:lvlText w:val="(%1)"/>
      <w:numFmt w:val="lowerLetter"/>
      <w:start w:val="42"/>
    </w:lvl>
  </w:abstractNum>
  <w:abstractNum w:abstractNumId="27">
    <w:nsid w:val="70A64E2A"/>
    <w:multiLevelType w:val="hybridMultilevel"/>
    <w:lvl w:ilvl="0">
      <w:lvlJc w:val="left"/>
      <w:lvlText w:val="%1."/>
      <w:numFmt w:val="decimal"/>
      <w:start w:val="7"/>
    </w:lvl>
    <w:lvl w:ilvl="1">
      <w:lvlJc w:val="left"/>
      <w:lvlText w:val="(%2)"/>
      <w:numFmt w:val="lowerLetter"/>
      <w:start w:val="1"/>
    </w:lvl>
  </w:abstractNum>
  <w:abstractNum w:abstractNumId="28">
    <w:nsid w:val="6A2342EC"/>
    <w:multiLevelType w:val="hybridMultilevel"/>
    <w:lvl w:ilvl="0">
      <w:lvlJc w:val="left"/>
      <w:lvlText w:val="(%1)"/>
      <w:numFmt w:val="lowerLetter"/>
      <w:start w:val="3"/>
    </w:lvl>
  </w:abstractNum>
  <w:abstractNum w:abstractNumId="29">
    <w:nsid w:val="2A487CB0"/>
    <w:multiLevelType w:val="hybridMultilevel"/>
    <w:lvl w:ilvl="0">
      <w:lvlJc w:val="left"/>
      <w:lvlText w:val="(%1)"/>
      <w:numFmt w:val="lowerLetter"/>
      <w:start w:val="6"/>
    </w:lvl>
  </w:abstractNum>
  <w:abstractNum w:abstractNumId="30">
    <w:nsid w:val="1D4ED43B"/>
    <w:multiLevelType w:val="hybridMultilevel"/>
    <w:lvl w:ilvl="0">
      <w:lvlJc w:val="left"/>
      <w:lvlText w:val="(%1)"/>
      <w:numFmt w:val="lowerLetter"/>
      <w:start w:val="10"/>
    </w:lvl>
  </w:abstractNum>
  <w:abstractNum w:abstractNumId="31">
    <w:nsid w:val="725A06FB"/>
    <w:multiLevelType w:val="hybridMultilevel"/>
    <w:lvl w:ilvl="0">
      <w:lvlJc w:val="left"/>
      <w:lvlText w:val="(%1)"/>
      <w:numFmt w:val="lowerLetter"/>
      <w:start w:val="13"/>
    </w:lvl>
  </w:abstractNum>
  <w:abstractNum w:abstractNumId="32">
    <w:nsid w:val="2CD89A32"/>
    <w:multiLevelType w:val="hybridMultilevel"/>
    <w:lvl w:ilvl="0">
      <w:lvlJc w:val="left"/>
      <w:lvlText w:val="(%1)"/>
      <w:numFmt w:val="lowerLetter"/>
      <w:start w:val="14"/>
    </w:lvl>
  </w:abstractNum>
  <w:abstractNum w:abstractNumId="33">
    <w:nsid w:val="57E4CCAF"/>
    <w:multiLevelType w:val="hybridMultilevel"/>
    <w:lvl w:ilvl="0">
      <w:lvlJc w:val="left"/>
      <w:lvlText w:val="(%1)"/>
      <w:numFmt w:val="lowerLetter"/>
      <w:start w:val="16"/>
    </w:lvl>
  </w:abstractNum>
  <w:abstractNum w:abstractNumId="34">
    <w:nsid w:val="7A6D8D3C"/>
    <w:multiLevelType w:val="hybridMultilevel"/>
    <w:lvl w:ilvl="0">
      <w:lvlJc w:val="left"/>
      <w:lvlText w:val="(%1)"/>
      <w:numFmt w:val="lowerLetter"/>
      <w:start w:val="21"/>
    </w:lvl>
  </w:abstractNum>
  <w:abstractNum w:abstractNumId="35">
    <w:nsid w:val="4B588F54"/>
    <w:multiLevelType w:val="hybridMultilevel"/>
    <w:lvl w:ilvl="0">
      <w:lvlJc w:val="left"/>
      <w:lvlText w:val="(%1)"/>
      <w:numFmt w:val="lowerLetter"/>
      <w:start w:val="26"/>
    </w:lvl>
  </w:abstractNum>
  <w:abstractNum w:abstractNumId="36">
    <w:nsid w:val="542289EC"/>
    <w:multiLevelType w:val="hybridMultilevel"/>
    <w:lvl w:ilvl="0">
      <w:lvlJc w:val="left"/>
      <w:lvlText w:val="%1"/>
      <w:numFmt w:val="decimal"/>
      <w:start w:val="1"/>
    </w:lvl>
    <w:lvl w:ilvl="1">
      <w:lvlJc w:val="left"/>
      <w:lvlText w:val="(%2)"/>
      <w:numFmt w:val="lowerLetter"/>
      <w:start w:val="27"/>
    </w:lvl>
  </w:abstractNum>
  <w:abstractNum w:abstractNumId="37">
    <w:nsid w:val="6DE91B18"/>
    <w:multiLevelType w:val="hybridMultilevel"/>
    <w:lvl w:ilvl="0">
      <w:lvlJc w:val="left"/>
      <w:lvlText w:val="%1."/>
      <w:numFmt w:val="decimal"/>
      <w:start w:val="8"/>
    </w:lvl>
    <w:lvl w:ilvl="1">
      <w:lvlJc w:val="left"/>
      <w:lvlText w:val="%2"/>
      <w:numFmt w:val="lowerLetter"/>
      <w:start w:val="1"/>
    </w:lvl>
  </w:abstractNum>
  <w:abstractNum w:abstractNumId="38">
    <w:nsid w:val="38437FDB"/>
    <w:multiLevelType w:val="hybridMultilevel"/>
    <w:lvl w:ilvl="0">
      <w:lvlJc w:val="left"/>
      <w:lvlText w:val="%1."/>
      <w:numFmt w:val="decimal"/>
      <w:start w:val="9"/>
    </w:lvl>
    <w:lvl w:ilvl="1">
      <w:lvlJc w:val="left"/>
      <w:lvlText w:val="(%2)"/>
      <w:numFmt w:val="lowerLetter"/>
      <w:start w:val="1"/>
    </w:lvl>
  </w:abstractNum>
  <w:abstractNum w:abstractNumId="39">
    <w:nsid w:val="7644A45C"/>
    <w:multiLevelType w:val="hybridMultilevel"/>
    <w:lvl w:ilvl="0">
      <w:lvlJc w:val="left"/>
      <w:lvlText w:val="(%1)"/>
      <w:numFmt w:val="lowerLetter"/>
      <w:start w:val="5"/>
    </w:lvl>
  </w:abstractNum>
  <w:abstractNum w:abstractNumId="40">
    <w:nsid w:val="32FFF902"/>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41">
    <w:nsid w:val="684A481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2">
    <w:nsid w:val="579478FE"/>
    <w:multiLevelType w:val="hybridMultilevel"/>
    <w:lvl w:ilvl="0">
      <w:lvlJc w:val="left"/>
      <w:lvlText w:val="(%1)"/>
      <w:numFmt w:val="lowerLetter"/>
      <w:start w:val="2"/>
    </w:lvl>
  </w:abstractNum>
  <w:abstractNum w:abstractNumId="43">
    <w:nsid w:val="749ABB43"/>
    <w:multiLevelType w:val="hybridMultilevel"/>
    <w:lvl w:ilvl="0">
      <w:lvlJc w:val="left"/>
      <w:lvlText w:val="(%1)"/>
      <w:numFmt w:val="lowerLetter"/>
      <w:start w:val="4"/>
    </w:lvl>
  </w:abstractNum>
  <w:abstractNum w:abstractNumId="44">
    <w:nsid w:val="3DC240FB"/>
    <w:multiLevelType w:val="hybridMultilevel"/>
    <w:lvl w:ilvl="0">
      <w:lvlJc w:val="left"/>
      <w:lvlText w:val="%1."/>
      <w:numFmt w:val="decimal"/>
      <w:start w:val="11"/>
    </w:lvl>
    <w:lvl w:ilvl="1">
      <w:lvlJc w:val="left"/>
      <w:lvlText w:val="(%2)"/>
      <w:numFmt w:val="lowerLetter"/>
      <w:start w:val="1"/>
    </w:lvl>
  </w:abstractNum>
  <w:abstractNum w:abstractNumId="45">
    <w:nsid w:val="1BA026FA"/>
    <w:multiLevelType w:val="hybridMultilevel"/>
    <w:lvl w:ilvl="0">
      <w:lvlJc w:val="left"/>
      <w:lvlText w:val="(%1)"/>
      <w:numFmt w:val="lowerLetter"/>
      <w:start w:val="2"/>
    </w:lvl>
  </w:abstractNum>
  <w:abstractNum w:abstractNumId="46">
    <w:nsid w:val="79A1DEAA"/>
    <w:multiLevelType w:val="hybridMultilevel"/>
    <w:lvl w:ilvl="0">
      <w:lvlJc w:val="left"/>
      <w:lvlText w:val="%1."/>
      <w:numFmt w:val="decimal"/>
      <w:start w:val="13"/>
    </w:lvl>
  </w:abstractNum>
  <w:abstractNum w:abstractNumId="47">
    <w:nsid w:val="75C6C33A"/>
    <w:multiLevelType w:val="hybridMultilevel"/>
    <w:lvl w:ilvl="0">
      <w:lvlJc w:val="left"/>
      <w:lvlText w:val="%1."/>
      <w:numFmt w:val="decimal"/>
      <w:start w:val="14"/>
    </w:lvl>
  </w:abstractNum>
  <w:abstractNum w:abstractNumId="48">
    <w:nsid w:val="12E685FB"/>
    <w:multiLevelType w:val="hybridMultilevel"/>
    <w:lvl w:ilvl="0">
      <w:lvlJc w:val="left"/>
      <w:lvlText w:val="%1."/>
      <w:numFmt w:val="decimal"/>
      <w:start w:val="15"/>
    </w:lvl>
  </w:abstractNum>
  <w:abstractNum w:abstractNumId="49">
    <w:nsid w:val="70C6A529"/>
    <w:multiLevelType w:val="hybridMultilevel"/>
    <w:lvl w:ilvl="0">
      <w:lvlJc w:val="left"/>
      <w:lvlText w:val="%1."/>
      <w:numFmt w:val="decimal"/>
      <w:start w:val="19"/>
    </w:lvl>
    <w:lvl w:ilvl="1">
      <w:lvlJc w:val="left"/>
      <w:lvlText w:val="(%2)"/>
      <w:numFmt w:val="lowerLetter"/>
      <w:start w:val="1"/>
    </w:lvl>
  </w:abstractNum>
  <w:abstractNum w:abstractNumId="50">
    <w:nsid w:val="520EEDD1"/>
    <w:multiLevelType w:val="hybridMultilevel"/>
    <w:lvl w:ilvl="0">
      <w:lvlJc w:val="left"/>
      <w:lvlText w:val="%1."/>
      <w:numFmt w:val="decimal"/>
      <w:start w:val="20"/>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lowerRoman"/>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2026-04-15T08:28:20Z</dcterms:created>
  <dcterms:modified xsi:type="dcterms:W3CDTF">2026-04-15T08:28:20Z</dcterms:modified>
</cp:coreProperties>
</file>