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0" w:lineRule="exact"/>
        <w:rPr>
          <w:sz w:val="24"/>
          <w:szCs w:val="24"/>
          <w:color w:val="auto"/>
        </w:rPr>
      </w:pPr>
    </w:p>
    <w:p>
      <w:pPr>
        <w:ind w:left="3720" w:right="1480" w:hanging="3688"/>
        <w:spacing w:after="0" w:line="423" w:lineRule="auto"/>
        <w:tabs>
          <w:tab w:leader="none" w:pos="551"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April 30, 2022</w:t>
      </w:r>
    </w:p>
    <w:p>
      <w:pPr>
        <w:jc w:val="center"/>
        <w:spacing w:after="0"/>
        <w:rPr>
          <w:sz w:val="20"/>
          <w:szCs w:val="20"/>
          <w:color w:val="auto"/>
        </w:rPr>
      </w:pPr>
      <w:r>
        <w:rPr>
          <w:rFonts w:ascii="Arial" w:cs="Arial" w:eastAsia="Arial" w:hAnsi="Arial"/>
          <w:sz w:val="14"/>
          <w:szCs w:val="14"/>
          <w:b w:val="1"/>
          <w:bCs w:val="1"/>
          <w:color w:val="auto"/>
        </w:rPr>
        <w:t>OR</w:t>
      </w:r>
    </w:p>
    <w:p>
      <w:pPr>
        <w:spacing w:after="0" w:line="329" w:lineRule="exact"/>
        <w:rPr>
          <w:sz w:val="24"/>
          <w:szCs w:val="24"/>
          <w:color w:val="auto"/>
        </w:rPr>
      </w:pPr>
    </w:p>
    <w:p>
      <w:pPr>
        <w:ind w:left="3440" w:right="1500" w:hanging="3408"/>
        <w:spacing w:after="0" w:line="417" w:lineRule="auto"/>
        <w:tabs>
          <w:tab w:leader="none" w:pos="536"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 to ________</w:t>
      </w:r>
    </w:p>
    <w:p>
      <w:pPr>
        <w:spacing w:after="0" w:line="1" w:lineRule="exact"/>
        <w:rPr>
          <w:rFonts w:ascii="MS PGothic" w:cs="MS PGothic" w:eastAsia="MS PGothic" w:hAnsi="MS PGothic"/>
          <w:sz w:val="22"/>
          <w:szCs w:val="22"/>
          <w:color w:val="auto"/>
        </w:rPr>
      </w:pPr>
    </w:p>
    <w:p>
      <w:pPr>
        <w:ind w:left="41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Commission file number 001-40958</w:t>
      </w:r>
    </w:p>
    <w:p>
      <w:pPr>
        <w:spacing w:after="0" w:line="198"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____________________________</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RENT THE RUNWAY, INC.</w:t>
      </w:r>
    </w:p>
    <w:p>
      <w:pPr>
        <w:spacing w:after="0" w:line="5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60"/>
          </w:cols>
          <w:pgMar w:left="320" w:top="1243" w:right="319" w:bottom="1440" w:gutter="0" w:footer="0" w:header="0"/>
        </w:sectPr>
      </w:pPr>
    </w:p>
    <w:p>
      <w:pPr>
        <w:spacing w:after="0" w:line="270"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3531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4"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(State or other jurisdiction of</w:t>
      </w:r>
    </w:p>
    <w:p>
      <w:pPr>
        <w:spacing w:after="0" w:line="36"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incorporation or organization)</w:t>
      </w:r>
    </w:p>
    <w:p>
      <w:pPr>
        <w:spacing w:after="0" w:line="11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10 Jay Street</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Brooklyn, New York 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3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9" w:lineRule="exact"/>
        <w:rPr>
          <w:sz w:val="24"/>
          <w:szCs w:val="24"/>
          <w:color w:val="auto"/>
        </w:rPr>
      </w:pPr>
    </w:p>
    <w:p>
      <w:pPr>
        <w:ind w:left="122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80-0376379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-1330325</wp:posOffset>
            </wp:positionH>
            <wp:positionV relativeFrom="paragraph">
              <wp:posOffset>86360</wp:posOffset>
            </wp:positionV>
            <wp:extent cx="3540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78" w:lineRule="exact"/>
        <w:rPr>
          <w:sz w:val="24"/>
          <w:szCs w:val="24"/>
          <w:color w:val="auto"/>
        </w:rPr>
      </w:pPr>
    </w:p>
    <w:p>
      <w:pPr>
        <w:ind w:left="40"/>
        <w:spacing w:after="0"/>
        <w:rPr>
          <w:sz w:val="20"/>
          <w:szCs w:val="20"/>
          <w:color w:val="auto"/>
        </w:rPr>
      </w:pPr>
      <w:r>
        <w:rPr>
          <w:rFonts w:ascii="Arial" w:cs="Arial" w:eastAsia="Arial" w:hAnsi="Arial"/>
          <w:sz w:val="18"/>
          <w:szCs w:val="18"/>
          <w:color w:val="auto"/>
        </w:rPr>
        <w:t>(I.R.S. Employer</w:t>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37"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-1330325</wp:posOffset>
            </wp:positionH>
            <wp:positionV relativeFrom="paragraph">
              <wp:posOffset>103505</wp:posOffset>
            </wp:positionV>
            <wp:extent cx="354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0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040" w:space="720"/>
            <w:col w:w="3500"/>
          </w:cols>
          <w:pgMar w:left="320" w:top="1243" w:right="319" w:bottom="1440" w:gutter="0" w:footer="0" w:header="0"/>
          <w:type w:val="continuous"/>
        </w:sectPr>
      </w:pP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524-6860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par value $0.001 per share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RENT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The Nasdaq Stock Market LLC</w:t>
            </w:r>
          </w:p>
        </w:tc>
      </w:tr>
    </w:tbl>
    <w:p>
      <w:pPr>
        <w:spacing w:after="0" w:line="251" w:lineRule="exact"/>
        <w:rPr>
          <w:sz w:val="24"/>
          <w:szCs w:val="24"/>
          <w:color w:val="auto"/>
        </w:rPr>
      </w:pPr>
    </w:p>
    <w:p>
      <w:pPr>
        <w:ind w:right="80"/>
        <w:spacing w:after="0" w:line="27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242" w:lineRule="exact"/>
        <w:tabs>
          <w:tab w:leader="none" w:pos="4580" w:val="left"/>
          <w:tab w:leader="none" w:pos="5360" w:val="left"/>
        </w:tabs>
        <w:rPr>
          <w:sz w:val="20"/>
          <w:szCs w:val="20"/>
          <w:color w:val="auto"/>
        </w:rPr>
      </w:pPr>
      <w:r>
        <w:rPr>
          <w:rFonts w:ascii="Arial" w:cs="Arial" w:eastAsia="Arial" w:hAnsi="Arial"/>
          <w:sz w:val="18"/>
          <w:szCs w:val="18"/>
          <w:color w:val="auto"/>
        </w:rPr>
        <w:t>subject to such filing requirements for the past 90 days.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ectPr>
          <w:pgSz w:w="11900" w:h="16838" w:orient="portrait"/>
          <w:cols w:equalWidth="0" w:num="1">
            <w:col w:w="11260"/>
          </w:cols>
          <w:pgMar w:left="320" w:top="1243" w:right="31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3" w:right="319" w:bottom="1440" w:gutter="0" w:footer="0" w:header="0"/>
          <w:type w:val="continuous"/>
        </w:sectPr>
      </w:pPr>
    </w:p>
    <w:bookmarkStart w:id="1" w:name="page2"/>
    <w:bookmarkEnd w:id="1"/>
    <w:p>
      <w:pPr>
        <w:ind w:right="260"/>
        <w:spacing w:after="0" w:line="262"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1" w:lineRule="exact"/>
        <w:rPr>
          <w:sz w:val="20"/>
          <w:szCs w:val="20"/>
          <w:color w:val="auto"/>
        </w:rPr>
      </w:pPr>
    </w:p>
    <w:p>
      <w:pPr>
        <w:spacing w:after="0" w:line="242" w:lineRule="exact"/>
        <w:tabs>
          <w:tab w:leader="none" w:pos="2580" w:val="left"/>
        </w:tabs>
        <w:rPr>
          <w:sz w:val="20"/>
          <w:szCs w:val="20"/>
          <w:color w:val="auto"/>
        </w:rPr>
      </w:pPr>
      <w:r>
        <w:rPr>
          <w:rFonts w:ascii="Arial" w:cs="Arial" w:eastAsia="Arial" w:hAnsi="Arial"/>
          <w:sz w:val="18"/>
          <w:szCs w:val="18"/>
          <w:color w:val="auto"/>
        </w:rPr>
        <w:t>required to submit such files).</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06"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43" w:lineRule="exact"/>
        <w:rPr>
          <w:sz w:val="20"/>
          <w:szCs w:val="20"/>
          <w:color w:val="auto"/>
        </w:rPr>
      </w:pPr>
    </w:p>
    <w:p>
      <w:pPr>
        <w:sectPr>
          <w:pgSz w:w="11900" w:h="16838" w:orient="portrait"/>
          <w:cols w:equalWidth="0" w:num="2">
            <w:col w:w="7060" w:space="720"/>
            <w:col w:w="3460"/>
          </w:cols>
          <w:pgMar w:left="320" w:top="1106"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83" w:lineRule="exact"/>
        <w:rPr>
          <w:sz w:val="20"/>
          <w:szCs w:val="20"/>
          <w:color w:val="auto"/>
        </w:rPr>
      </w:pPr>
    </w:p>
    <w:p>
      <w:pPr>
        <w:sectPr>
          <w:pgSz w:w="11900" w:h="16838" w:orient="portrait"/>
          <w:cols w:equalWidth="0" w:num="2">
            <w:col w:w="10120" w:space="720"/>
            <w:col w:w="400"/>
          </w:cols>
          <w:pgMar w:left="320" w:top="1106"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Smaller reporting company</w:t>
      </w:r>
    </w:p>
    <w:p>
      <w:pPr>
        <w:spacing w:after="0" w:line="31" w:lineRule="exact"/>
        <w:rPr>
          <w:sz w:val="20"/>
          <w:szCs w:val="20"/>
          <w:color w:val="auto"/>
        </w:rPr>
      </w:pPr>
    </w:p>
    <w:p>
      <w:pPr>
        <w:sectPr>
          <w:pgSz w:w="11900" w:h="16838" w:orient="portrait"/>
          <w:cols w:equalWidth="0" w:num="2">
            <w:col w:w="7060" w:space="720"/>
            <w:col w:w="3460"/>
          </w:cols>
          <w:pgMar w:left="320" w:top="1106" w:right="339" w:bottom="1440" w:gutter="0" w:footer="0" w:header="0"/>
          <w:type w:val="continuous"/>
        </w:sectPr>
      </w:pPr>
    </w:p>
    <w:p>
      <w:pPr>
        <w:ind w:left="308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r>
        <w:rPr>
          <w:rFonts w:ascii="MS PGothic" w:cs="MS PGothic" w:eastAsia="MS PGothic" w:hAnsi="MS PGothic"/>
          <w:sz w:val="19"/>
          <w:szCs w:val="19"/>
          <w:color w:val="auto"/>
        </w:rPr>
        <w:t>☐</w:t>
      </w:r>
    </w:p>
    <w:p>
      <w:pPr>
        <w:spacing w:after="0" w:line="83" w:lineRule="exact"/>
        <w:rPr>
          <w:sz w:val="20"/>
          <w:szCs w:val="20"/>
          <w:color w:val="auto"/>
        </w:rPr>
      </w:pPr>
    </w:p>
    <w:p>
      <w:pPr>
        <w:sectPr>
          <w:pgSz w:w="11900" w:h="16838" w:orient="portrait"/>
          <w:cols w:equalWidth="0" w:num="2">
            <w:col w:w="10120" w:space="720"/>
            <w:col w:w="400"/>
          </w:cols>
          <w:pgMar w:left="320" w:top="1106" w:right="339" w:bottom="1440" w:gutter="0" w:footer="0" w:header="0"/>
          <w:type w:val="continuous"/>
        </w:sectPr>
      </w:pPr>
    </w:p>
    <w:p>
      <w:pPr>
        <w:ind w:left="7780"/>
        <w:spacing w:after="0"/>
        <w:rPr>
          <w:sz w:val="20"/>
          <w:szCs w:val="20"/>
          <w:color w:val="auto"/>
        </w:rPr>
      </w:pPr>
      <w:r>
        <w:rPr>
          <w:rFonts w:ascii="Arial" w:cs="Arial" w:eastAsia="Arial" w:hAnsi="Arial"/>
          <w:sz w:val="18"/>
          <w:szCs w:val="18"/>
          <w:color w:val="auto"/>
        </w:rPr>
        <w:t>Emerging growth company</w:t>
      </w:r>
    </w:p>
    <w:p>
      <w:pPr>
        <w:spacing w:after="0" w:line="4" w:lineRule="exact"/>
        <w:rPr>
          <w:sz w:val="20"/>
          <w:szCs w:val="20"/>
          <w:color w:val="auto"/>
        </w:rPr>
      </w:pPr>
    </w:p>
    <w:p>
      <w:pPr>
        <w:ind w:left="10840"/>
        <w:spacing w:after="0" w:line="191" w:lineRule="exact"/>
        <w:rPr>
          <w:sz w:val="20"/>
          <w:szCs w:val="20"/>
          <w:color w:val="auto"/>
        </w:rPr>
      </w:pPr>
      <w:r>
        <w:rPr>
          <w:rFonts w:ascii="MS PGothic" w:cs="MS PGothic" w:eastAsia="MS PGothic" w:hAnsi="MS PGothic"/>
          <w:sz w:val="19"/>
          <w:szCs w:val="19"/>
          <w:color w:val="auto"/>
        </w:rPr>
        <w:t>☒</w:t>
      </w:r>
    </w:p>
    <w:p>
      <w:pPr>
        <w:sectPr>
          <w:pgSz w:w="11900" w:h="16838" w:orient="portrait"/>
          <w:cols w:equalWidth="0" w:num="1">
            <w:col w:w="11240"/>
          </w:cols>
          <w:pgMar w:left="320" w:top="1106" w:right="339" w:bottom="1440" w:gutter="0" w:footer="0" w:header="0"/>
          <w:type w:val="continuous"/>
        </w:sectPr>
      </w:pPr>
    </w:p>
    <w:p>
      <w:pPr>
        <w:spacing w:after="0" w:line="343" w:lineRule="exact"/>
        <w:rPr>
          <w:sz w:val="20"/>
          <w:szCs w:val="20"/>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0"/>
          <w:szCs w:val="20"/>
          <w:color w:val="auto"/>
        </w:rPr>
      </w:pPr>
    </w:p>
    <w:p>
      <w:pPr>
        <w:spacing w:after="0" w:line="226" w:lineRule="exact"/>
        <w:tabs>
          <w:tab w:leader="none" w:pos="9220" w:val="left"/>
          <w:tab w:leader="none" w:pos="96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No</w:t>
      </w:r>
      <w:r>
        <w:rPr>
          <w:rFonts w:ascii="MS PGothic" w:cs="MS PGothic" w:eastAsia="MS PGothic" w:hAnsi="MS PGothic"/>
          <w:sz w:val="22"/>
          <w:szCs w:val="22"/>
          <w:color w:val="auto"/>
        </w:rPr>
        <w:t xml:space="preserve"> ☒</w:t>
      </w:r>
    </w:p>
    <w:p>
      <w:pPr>
        <w:spacing w:after="0" w:line="25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registrant had outstanding 61,028,051 shares of Class A common stock and 3,045,917 shares of Class B common stock as of June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720" w:type="dxa"/>
            <w:vAlign w:val="bottom"/>
            <w:gridSpan w:val="4"/>
          </w:tcPr>
          <w:p>
            <w:pPr>
              <w:ind w:left="118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 (Unaudited)</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460" w:type="dxa"/>
            <w:vAlign w:val="bottom"/>
            <w:gridSpan w:val="2"/>
          </w:tcPr>
          <w:p>
            <w:pPr>
              <w:spacing w:after="0"/>
              <w:rPr>
                <w:sz w:val="16"/>
                <w:szCs w:val="16"/>
                <w:color w:val="auto"/>
              </w:rPr>
            </w:pPr>
          </w:p>
        </w:tc>
        <w:tc>
          <w:tcPr>
            <w:tcW w:w="9380" w:type="dxa"/>
            <w:vAlign w:val="bottom"/>
            <w:gridSpan w:val="13"/>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40" w:type="dxa"/>
            <w:vAlign w:val="bottom"/>
            <w:tcBorders>
              <w:top w:val="single" w:sz="8" w:color="0000FF"/>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460" w:type="dxa"/>
            <w:vAlign w:val="bottom"/>
            <w:tcBorders>
              <w:top w:val="single" w:sz="8" w:color="CCEEFF"/>
            </w:tcBorders>
            <w:gridSpan w:val="2"/>
          </w:tcPr>
          <w:p>
            <w:pPr>
              <w:spacing w:after="0"/>
              <w:rPr>
                <w:sz w:val="16"/>
                <w:szCs w:val="16"/>
                <w:color w:val="auto"/>
              </w:rPr>
            </w:pPr>
          </w:p>
        </w:tc>
        <w:tc>
          <w:tcPr>
            <w:tcW w:w="4700" w:type="dxa"/>
            <w:vAlign w:val="bottom"/>
            <w:tcBorders>
              <w:top w:val="single" w:sz="8" w:color="0000FF"/>
            </w:tcBorders>
            <w:gridSpan w:val="10"/>
          </w:tcPr>
          <w:p>
            <w:pPr>
              <w:spacing w:after="0" w:line="189" w:lineRule="exact"/>
              <w:rPr>
                <w:sz w:val="20"/>
                <w:szCs w:val="20"/>
                <w:color w:val="auto"/>
              </w:rPr>
            </w:pPr>
            <w:r>
              <w:rPr>
                <w:rFonts w:ascii="Arial" w:cs="Arial" w:eastAsia="Arial" w:hAnsi="Arial"/>
                <w:sz w:val="18"/>
                <w:szCs w:val="18"/>
                <w:color w:val="0000FF"/>
              </w:rPr>
              <w:t>Controls and Procedures</w:t>
            </w:r>
          </w:p>
        </w:tc>
        <w:tc>
          <w:tcPr>
            <w:tcW w:w="4680" w:type="dxa"/>
            <w:vAlign w:val="bottom"/>
            <w:tcBorders>
              <w:top w:val="single" w:sz="8" w:color="CCEEFF"/>
            </w:tcBorders>
            <w:gridSpan w:val="3"/>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gridSpan w:val="3"/>
          </w:tcPr>
          <w:p>
            <w:pPr>
              <w:spacing w:after="0" w:line="189" w:lineRule="exact"/>
              <w:rPr>
                <w:sz w:val="20"/>
                <w:szCs w:val="20"/>
                <w:color w:val="auto"/>
              </w:rPr>
            </w:pPr>
            <w:r>
              <w:rPr>
                <w:rFonts w:ascii="Arial" w:cs="Arial" w:eastAsia="Arial" w:hAnsi="Arial"/>
                <w:sz w:val="18"/>
                <w:szCs w:val="18"/>
                <w:color w:val="0000FF"/>
              </w:rPr>
              <w:t>Item 1A.</w:t>
            </w:r>
          </w:p>
        </w:tc>
        <w:tc>
          <w:tcPr>
            <w:tcW w:w="9380" w:type="dxa"/>
            <w:vAlign w:val="bottom"/>
            <w:gridSpan w:val="13"/>
          </w:tcPr>
          <w:p>
            <w:pPr>
              <w:spacing w:after="0" w:line="189" w:lineRule="exact"/>
              <w:rPr>
                <w:sz w:val="20"/>
                <w:szCs w:val="20"/>
                <w:color w:val="auto"/>
              </w:rPr>
            </w:pPr>
            <w:r>
              <w:rPr>
                <w:rFonts w:ascii="Arial" w:cs="Arial" w:eastAsia="Arial" w:hAnsi="Arial"/>
                <w:sz w:val="18"/>
                <w:szCs w:val="18"/>
                <w:color w:val="0000FF"/>
              </w:rPr>
              <w:t>Risk Factors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3.</w:t>
            </w:r>
          </w:p>
        </w:tc>
        <w:tc>
          <w:tcPr>
            <w:tcW w:w="460" w:type="dxa"/>
            <w:vAlign w:val="bottom"/>
            <w:tcBorders>
              <w:top w:val="single" w:sz="8" w:color="CCEEFF"/>
            </w:tcBorders>
            <w:gridSpan w:val="2"/>
          </w:tcPr>
          <w:p>
            <w:pPr>
              <w:spacing w:after="0"/>
              <w:rPr>
                <w:sz w:val="16"/>
                <w:szCs w:val="16"/>
                <w:color w:val="auto"/>
              </w:rPr>
            </w:pPr>
          </w:p>
        </w:tc>
        <w:tc>
          <w:tcPr>
            <w:tcW w:w="4840" w:type="dxa"/>
            <w:vAlign w:val="bottom"/>
            <w:tcBorders>
              <w:top w:val="single" w:sz="8" w:color="0000FF"/>
            </w:tcBorders>
            <w:gridSpan w:val="11"/>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4540" w:type="dxa"/>
            <w:vAlign w:val="bottom"/>
            <w:tcBorders>
              <w:top w:val="single" w:sz="8" w:color="CCEEFF"/>
            </w:tcBorders>
            <w:gridSpan w:val="2"/>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460" w:type="dxa"/>
            <w:vAlign w:val="bottom"/>
            <w:gridSpan w:val="2"/>
            <w:shd w:val="clear" w:color="auto" w:fill="CCEEFF"/>
          </w:tcPr>
          <w:p>
            <w:pPr>
              <w:spacing w:after="0"/>
              <w:rPr>
                <w:sz w:val="18"/>
                <w:szCs w:val="18"/>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5.</w:t>
            </w:r>
          </w:p>
        </w:tc>
        <w:tc>
          <w:tcPr>
            <w:tcW w:w="460" w:type="dxa"/>
            <w:vAlign w:val="bottom"/>
            <w:tcBorders>
              <w:top w:val="single" w:sz="8" w:color="CCEEFF"/>
            </w:tcBorders>
            <w:gridSpan w:val="2"/>
          </w:tcPr>
          <w:p>
            <w:pPr>
              <w:spacing w:after="0"/>
              <w:rPr>
                <w:sz w:val="16"/>
                <w:szCs w:val="16"/>
                <w:color w:val="auto"/>
              </w:rPr>
            </w:pPr>
          </w:p>
        </w:tc>
        <w:tc>
          <w:tcPr>
            <w:tcW w:w="192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rPr>
              <w:t>Other Information</w:t>
            </w:r>
          </w:p>
        </w:tc>
        <w:tc>
          <w:tcPr>
            <w:tcW w:w="7460" w:type="dxa"/>
            <w:vAlign w:val="bottom"/>
            <w:tcBorders>
              <w:top w:val="single" w:sz="8" w:color="CCEEFF"/>
            </w:tcBorders>
            <w:gridSpan w:val="7"/>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6.</w:t>
            </w:r>
          </w:p>
        </w:tc>
        <w:tc>
          <w:tcPr>
            <w:tcW w:w="460" w:type="dxa"/>
            <w:vAlign w:val="bottom"/>
            <w:gridSpan w:val="2"/>
            <w:shd w:val="clear" w:color="auto" w:fill="CCEEFF"/>
          </w:tcPr>
          <w:p>
            <w:pPr>
              <w:spacing w:after="0"/>
              <w:rPr>
                <w:sz w:val="16"/>
                <w:szCs w:val="16"/>
                <w:color w:val="auto"/>
              </w:rPr>
            </w:pPr>
          </w:p>
        </w:tc>
        <w:tc>
          <w:tcPr>
            <w:tcW w:w="93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Exhibits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Borders>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97"/>
              </w:rPr>
              <w:t>Signatures</w:t>
            </w:r>
          </w:p>
        </w:tc>
        <w:tc>
          <w:tcPr>
            <w:tcW w:w="8520" w:type="dxa"/>
            <w:vAlign w:val="bottom"/>
            <w:gridSpan w:val="11"/>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color w:val="auto"/>
        </w:rPr>
        <w:t>Unless the context otherwise requires, we use the terms the “Company,” “RTR,” “Rent the Runway,”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3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22" w:lineRule="exact"/>
        <w:rPr>
          <w:sz w:val="20"/>
          <w:szCs w:val="20"/>
          <w:color w:val="auto"/>
        </w:rPr>
      </w:pPr>
    </w:p>
    <w:p>
      <w:pPr>
        <w:ind w:left="660" w:right="28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grown rapidly in recent years and have limited experience at our current scale of operations. If we are unable to manage our growth effectively, our brand, company culture, and financial performance may suffer.</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and may in the future continue to have, a material adverse impact on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global fashion industry is highly competitive and rapidly changing, and we may not be able to compete effectively.</w:t>
      </w:r>
    </w:p>
    <w:p>
      <w:pPr>
        <w:spacing w:after="0" w:line="76" w:lineRule="exact"/>
        <w:rPr>
          <w:rFonts w:ascii="Arial" w:cs="Arial" w:eastAsia="Arial" w:hAnsi="Arial"/>
          <w:sz w:val="18"/>
          <w:szCs w:val="18"/>
          <w:color w:val="auto"/>
        </w:rPr>
      </w:pPr>
    </w:p>
    <w:p>
      <w:pPr>
        <w:jc w:val="both"/>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retain customers, our business, financial condition, and results of operations would be harmed.</w:t>
      </w:r>
    </w:p>
    <w:p>
      <w:pPr>
        <w:spacing w:after="0" w:line="76" w:lineRule="exact"/>
        <w:rPr>
          <w:rFonts w:ascii="Arial" w:cs="Arial" w:eastAsia="Arial" w:hAnsi="Arial"/>
          <w:sz w:val="18"/>
          <w:szCs w:val="18"/>
          <w:color w:val="auto"/>
        </w:rPr>
      </w:pPr>
    </w:p>
    <w:p>
      <w:pPr>
        <w:ind w:left="660" w:right="7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accurately forecast customer demand, manage our products effectively and plan for future expenses, our operating results could be adversely affected.</w:t>
      </w:r>
    </w:p>
    <w:p>
      <w:pPr>
        <w:spacing w:after="0" w:line="4"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Shipping and logistics are a critical part of our business and our supply chain and any changes or interruptions in shipping or logistics operations could adversely affect our operating results.</w:t>
      </w:r>
    </w:p>
    <w:p>
      <w:pPr>
        <w:spacing w:after="0" w:line="4" w:lineRule="exact"/>
        <w:rPr>
          <w:rFonts w:ascii="Arial" w:cs="Arial" w:eastAsia="Arial" w:hAnsi="Arial"/>
          <w:sz w:val="18"/>
          <w:szCs w:val="18"/>
          <w:color w:val="auto"/>
        </w:rPr>
      </w:pPr>
    </w:p>
    <w:p>
      <w:pPr>
        <w:ind w:left="660" w:right="20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condensed consolidated financial statements or cause us to fail to meet our periodic reporting obligations, our ability to comply with applicable laws and regulations and our access to the capital markets to be impaired.</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large number of U.S. and non-U.S. laws and regulations, many of which are evolving.</w:t>
      </w:r>
    </w:p>
    <w:p>
      <w:pPr>
        <w:spacing w:after="0" w:line="90" w:lineRule="exact"/>
        <w:rPr>
          <w:rFonts w:ascii="Arial" w:cs="Arial" w:eastAsia="Arial" w:hAnsi="Arial"/>
          <w:sz w:val="18"/>
          <w:szCs w:val="18"/>
          <w:color w:val="auto"/>
        </w:rPr>
      </w:pPr>
    </w:p>
    <w:p>
      <w:pPr>
        <w:ind w:left="660" w:right="2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27"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adequately maintain and protect our intellectual property and proprietary rights could harm our brand, devalue our proprietary content, and adversely affect our ability to compete effectively.</w:t>
      </w:r>
    </w:p>
    <w:p>
      <w:pPr>
        <w:spacing w:after="0" w:line="4"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brand partners from whom our products are sourced or co-manufactured.</w:t>
      </w:r>
    </w:p>
    <w:p>
      <w:pPr>
        <w:spacing w:after="0" w:line="76"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4"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4" w:name="page5"/>
    <w:bookmarkEnd w:id="4"/>
    <w:p>
      <w:pPr>
        <w:ind w:left="660" w:right="8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35"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share price may be volatile, and investors may be unable to sell their shares at or above the price they purchased them.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98" w:right="6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share-based compensation, business strategy and initiatives, plans, our Impact Strategy and related goals, product acquisition expectations, market growth and our objectives for future operations.</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April 30, 2022.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0140" w:type="dxa"/>
            <w:vAlign w:val="bottom"/>
            <w:gridSpan w:val="22"/>
            <w:vMerge w:val="restart"/>
          </w:tcPr>
          <w:p>
            <w:pPr>
              <w:spacing w:after="0"/>
              <w:rPr>
                <w:sz w:val="20"/>
                <w:szCs w:val="20"/>
                <w:color w:val="auto"/>
              </w:rPr>
            </w:pPr>
            <w:r>
              <w:rPr>
                <w:rFonts w:ascii="Arial" w:cs="Arial" w:eastAsia="Arial" w:hAnsi="Arial"/>
                <w:sz w:val="18"/>
                <w:szCs w:val="18"/>
                <w:color w:val="0000FF"/>
              </w:rPr>
              <w:t>Condensed Consolidated Balance Sheets as of April 30, 2022 and January 31, 2022</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140" w:type="dxa"/>
            <w:vAlign w:val="bottom"/>
            <w:gridSpan w:val="22"/>
            <w:vMerge w:val="continue"/>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4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Operations for the three months ended April 30, 2022 and 2021</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4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Changes in Redeemable Preferred Stock and Stockholders’ Equity (Deficit) for the</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9780" w:type="dxa"/>
            <w:vAlign w:val="bottom"/>
            <w:tcBorders>
              <w:top w:val="single" w:sz="8" w:color="0000FF"/>
            </w:tcBorders>
            <w:gridSpan w:val="21"/>
          </w:tcPr>
          <w:p>
            <w:pPr>
              <w:spacing w:after="0" w:line="142" w:lineRule="exact"/>
              <w:rPr>
                <w:sz w:val="20"/>
                <w:szCs w:val="20"/>
                <w:color w:val="auto"/>
              </w:rPr>
            </w:pPr>
            <w:r>
              <w:rPr>
                <w:rFonts w:ascii="Arial" w:cs="Arial" w:eastAsia="Arial" w:hAnsi="Arial"/>
                <w:sz w:val="16"/>
                <w:szCs w:val="16"/>
                <w:color w:val="0000FF"/>
              </w:rPr>
              <w:t>three months ended April 30, 2022 and 2021</w:t>
            </w:r>
          </w:p>
        </w:tc>
        <w:tc>
          <w:tcPr>
            <w:tcW w:w="3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14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Cash Flows for the three months ended April 30, 2022 and 2021</w:t>
            </w: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5"/>
        </w:trPr>
        <w:tc>
          <w:tcPr>
            <w:tcW w:w="8340" w:type="dxa"/>
            <w:vAlign w:val="bottom"/>
            <w:tcBorders>
              <w:top w:val="single" w:sz="8" w:color="0000FF"/>
            </w:tcBorders>
            <w:gridSpan w:val="20"/>
          </w:tcPr>
          <w:p>
            <w:pPr>
              <w:spacing w:after="0"/>
              <w:rPr>
                <w:sz w:val="20"/>
                <w:szCs w:val="20"/>
                <w:color w:val="auto"/>
              </w:rPr>
            </w:pPr>
            <w:r>
              <w:rPr>
                <w:rFonts w:ascii="Arial" w:cs="Arial" w:eastAsia="Arial" w:hAnsi="Arial"/>
                <w:sz w:val="18"/>
                <w:szCs w:val="18"/>
                <w:b w:val="1"/>
                <w:bCs w:val="1"/>
                <w:color w:val="auto"/>
              </w:rPr>
              <w:t>Notes to Condensed Consolidated Financial Statements</w:t>
            </w:r>
          </w:p>
        </w:tc>
        <w:tc>
          <w:tcPr>
            <w:tcW w:w="180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80" w:type="dxa"/>
            <w:vAlign w:val="bottom"/>
            <w:gridSpan w:val="2"/>
          </w:tcPr>
          <w:p>
            <w:pPr>
              <w:ind w:left="120"/>
              <w:spacing w:after="0" w:line="195" w:lineRule="exact"/>
              <w:rPr>
                <w:sz w:val="20"/>
                <w:szCs w:val="20"/>
                <w:color w:val="auto"/>
              </w:rPr>
            </w:pPr>
            <w:r>
              <w:rPr>
                <w:rFonts w:ascii="Arial" w:cs="Arial" w:eastAsia="Arial" w:hAnsi="Arial"/>
                <w:sz w:val="18"/>
                <w:szCs w:val="18"/>
                <w:color w:val="0000FF"/>
                <w:w w:val="92"/>
              </w:rPr>
              <w:t>1.</w:t>
            </w:r>
          </w:p>
        </w:tc>
        <w:tc>
          <w:tcPr>
            <w:tcW w:w="9860" w:type="dxa"/>
            <w:vAlign w:val="bottom"/>
            <w:gridSpan w:val="20"/>
          </w:tcPr>
          <w:p>
            <w:pPr>
              <w:ind w:left="40"/>
              <w:spacing w:after="0" w:line="195" w:lineRule="exact"/>
              <w:rPr>
                <w:sz w:val="20"/>
                <w:szCs w:val="20"/>
                <w:color w:val="auto"/>
              </w:rPr>
            </w:pPr>
            <w:r>
              <w:rPr>
                <w:rFonts w:ascii="Arial" w:cs="Arial" w:eastAsia="Arial" w:hAnsi="Arial"/>
                <w:sz w:val="18"/>
                <w:szCs w:val="18"/>
                <w:color w:val="0000FF"/>
              </w:rPr>
              <w:t>Business</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2.</w:t>
            </w:r>
          </w:p>
        </w:tc>
        <w:tc>
          <w:tcPr>
            <w:tcW w:w="9860" w:type="dxa"/>
            <w:vAlign w:val="bottom"/>
            <w:gridSpan w:val="20"/>
          </w:tcPr>
          <w:p>
            <w:pPr>
              <w:ind w:left="40"/>
              <w:spacing w:after="0"/>
              <w:rPr>
                <w:sz w:val="20"/>
                <w:szCs w:val="20"/>
                <w:color w:val="auto"/>
              </w:rPr>
            </w:pPr>
            <w:r>
              <w:rPr>
                <w:rFonts w:ascii="Arial" w:cs="Arial" w:eastAsia="Arial" w:hAnsi="Arial"/>
                <w:sz w:val="18"/>
                <w:szCs w:val="18"/>
                <w:color w:val="0000FF"/>
              </w:rPr>
              <w:t>Summary of Significant Accounting Policies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3.</w:t>
            </w:r>
          </w:p>
        </w:tc>
        <w:tc>
          <w:tcPr>
            <w:tcW w:w="9860" w:type="dxa"/>
            <w:vAlign w:val="bottom"/>
            <w:gridSpan w:val="20"/>
          </w:tcPr>
          <w:p>
            <w:pPr>
              <w:ind w:left="40"/>
              <w:spacing w:after="0"/>
              <w:rPr>
                <w:sz w:val="20"/>
                <w:szCs w:val="20"/>
                <w:color w:val="auto"/>
              </w:rPr>
            </w:pPr>
            <w:r>
              <w:rPr>
                <w:rFonts w:ascii="Arial" w:cs="Arial" w:eastAsia="Arial" w:hAnsi="Arial"/>
                <w:sz w:val="18"/>
                <w:szCs w:val="18"/>
                <w:color w:val="0000FF"/>
              </w:rPr>
              <w:t>Liquidity and Impact of COVID-19 Pandemic</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4.</w:t>
            </w:r>
          </w:p>
        </w:tc>
        <w:tc>
          <w:tcPr>
            <w:tcW w:w="9860" w:type="dxa"/>
            <w:vAlign w:val="bottom"/>
            <w:gridSpan w:val="20"/>
          </w:tcPr>
          <w:p>
            <w:pPr>
              <w:ind w:left="40"/>
              <w:spacing w:after="0"/>
              <w:rPr>
                <w:sz w:val="20"/>
                <w:szCs w:val="20"/>
                <w:color w:val="auto"/>
              </w:rPr>
            </w:pPr>
            <w:r>
              <w:rPr>
                <w:rFonts w:ascii="Arial" w:cs="Arial" w:eastAsia="Arial" w:hAnsi="Arial"/>
                <w:sz w:val="18"/>
                <w:szCs w:val="18"/>
                <w:color w:val="0000FF"/>
              </w:rPr>
              <w:t>Leases - Lessee Accounting</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5.</w:t>
            </w:r>
          </w:p>
        </w:tc>
        <w:tc>
          <w:tcPr>
            <w:tcW w:w="9860" w:type="dxa"/>
            <w:vAlign w:val="bottom"/>
            <w:gridSpan w:val="20"/>
          </w:tcPr>
          <w:p>
            <w:pPr>
              <w:ind w:left="40"/>
              <w:spacing w:after="0"/>
              <w:rPr>
                <w:sz w:val="20"/>
                <w:szCs w:val="20"/>
                <w:color w:val="auto"/>
              </w:rPr>
            </w:pPr>
            <w:r>
              <w:rPr>
                <w:rFonts w:ascii="Arial" w:cs="Arial" w:eastAsia="Arial" w:hAnsi="Arial"/>
                <w:sz w:val="18"/>
                <w:szCs w:val="18"/>
                <w:color w:val="0000FF"/>
              </w:rPr>
              <w:t>Rental Product, Net</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6.</w:t>
            </w:r>
          </w:p>
        </w:tc>
        <w:tc>
          <w:tcPr>
            <w:tcW w:w="9860" w:type="dxa"/>
            <w:vAlign w:val="bottom"/>
            <w:gridSpan w:val="20"/>
          </w:tcPr>
          <w:p>
            <w:pPr>
              <w:ind w:left="40"/>
              <w:spacing w:after="0"/>
              <w:rPr>
                <w:sz w:val="20"/>
                <w:szCs w:val="20"/>
                <w:color w:val="auto"/>
              </w:rPr>
            </w:pPr>
            <w:r>
              <w:rPr>
                <w:rFonts w:ascii="Arial" w:cs="Arial" w:eastAsia="Arial" w:hAnsi="Arial"/>
                <w:sz w:val="18"/>
                <w:szCs w:val="18"/>
                <w:color w:val="0000FF"/>
              </w:rPr>
              <w:t>Long-Term Debt</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7.</w:t>
            </w:r>
          </w:p>
        </w:tc>
        <w:tc>
          <w:tcPr>
            <w:tcW w:w="9860" w:type="dxa"/>
            <w:vAlign w:val="bottom"/>
            <w:gridSpan w:val="20"/>
          </w:tcPr>
          <w:p>
            <w:pPr>
              <w:ind w:left="40"/>
              <w:spacing w:after="0"/>
              <w:rPr>
                <w:sz w:val="20"/>
                <w:szCs w:val="20"/>
                <w:color w:val="auto"/>
              </w:rPr>
            </w:pPr>
            <w:r>
              <w:rPr>
                <w:rFonts w:ascii="Arial" w:cs="Arial" w:eastAsia="Arial" w:hAnsi="Arial"/>
                <w:sz w:val="18"/>
                <w:szCs w:val="18"/>
                <w:color w:val="0000FF"/>
              </w:rPr>
              <w:t>Income Taxes</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8.</w:t>
            </w:r>
          </w:p>
        </w:tc>
        <w:tc>
          <w:tcPr>
            <w:tcW w:w="9860" w:type="dxa"/>
            <w:vAlign w:val="bottom"/>
            <w:gridSpan w:val="20"/>
          </w:tcPr>
          <w:p>
            <w:pPr>
              <w:ind w:left="40"/>
              <w:spacing w:after="0"/>
              <w:rPr>
                <w:sz w:val="20"/>
                <w:szCs w:val="20"/>
                <w:color w:val="auto"/>
              </w:rPr>
            </w:pPr>
            <w:r>
              <w:rPr>
                <w:rFonts w:ascii="Arial" w:cs="Arial" w:eastAsia="Arial" w:hAnsi="Arial"/>
                <w:sz w:val="18"/>
                <w:szCs w:val="18"/>
                <w:color w:val="0000FF"/>
              </w:rPr>
              <w:t>Accrued Expenses and Other Current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gridSpan w:val="2"/>
          </w:tcPr>
          <w:p>
            <w:pPr>
              <w:ind w:left="120"/>
              <w:spacing w:after="0"/>
              <w:rPr>
                <w:sz w:val="20"/>
                <w:szCs w:val="20"/>
                <w:color w:val="auto"/>
              </w:rPr>
            </w:pPr>
            <w:r>
              <w:rPr>
                <w:rFonts w:ascii="Arial" w:cs="Arial" w:eastAsia="Arial" w:hAnsi="Arial"/>
                <w:sz w:val="18"/>
                <w:szCs w:val="18"/>
                <w:color w:val="0000FF"/>
                <w:w w:val="92"/>
              </w:rPr>
              <w:t>9.</w:t>
            </w:r>
          </w:p>
        </w:tc>
        <w:tc>
          <w:tcPr>
            <w:tcW w:w="9860" w:type="dxa"/>
            <w:vAlign w:val="bottom"/>
            <w:gridSpan w:val="20"/>
          </w:tcPr>
          <w:p>
            <w:pPr>
              <w:ind w:left="40"/>
              <w:spacing w:after="0"/>
              <w:rPr>
                <w:sz w:val="20"/>
                <w:szCs w:val="20"/>
                <w:color w:val="auto"/>
              </w:rPr>
            </w:pPr>
            <w:r>
              <w:rPr>
                <w:rFonts w:ascii="Arial" w:cs="Arial" w:eastAsia="Arial" w:hAnsi="Arial"/>
                <w:sz w:val="18"/>
                <w:szCs w:val="18"/>
                <w:color w:val="0000FF"/>
              </w:rPr>
              <w:t>Fair Value Measurements</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6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10. Redeemable Preferred Stock</w:t>
            </w:r>
          </w:p>
        </w:tc>
        <w:tc>
          <w:tcPr>
            <w:tcW w:w="7400" w:type="dxa"/>
            <w:vAlign w:val="bottom"/>
            <w:gridSpan w:val="12"/>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9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11. Stockholders’ Equity</w:t>
            </w:r>
          </w:p>
        </w:tc>
        <w:tc>
          <w:tcPr>
            <w:tcW w:w="8100" w:type="dxa"/>
            <w:vAlign w:val="bottom"/>
            <w:gridSpan w:val="15"/>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0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12. Share-based Compensation Plans</w:t>
            </w:r>
          </w:p>
        </w:tc>
        <w:tc>
          <w:tcPr>
            <w:tcW w:w="6980" w:type="dxa"/>
            <w:vAlign w:val="bottom"/>
            <w:gridSpan w:val="10"/>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8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13. Net Loss per Share Attributable to Common Stockholders</w:t>
            </w:r>
          </w:p>
        </w:tc>
        <w:tc>
          <w:tcPr>
            <w:tcW w:w="5140" w:type="dxa"/>
            <w:vAlign w:val="bottom"/>
            <w:gridSpan w:val="5"/>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020" w:type="dxa"/>
            <w:vAlign w:val="bottom"/>
            <w:gridSpan w:val="21"/>
          </w:tcPr>
          <w:p>
            <w:pPr>
              <w:spacing w:after="0"/>
              <w:rPr>
                <w:sz w:val="20"/>
                <w:szCs w:val="20"/>
                <w:color w:val="auto"/>
              </w:rPr>
            </w:pPr>
            <w:r>
              <w:rPr>
                <w:rFonts w:ascii="Arial" w:cs="Arial" w:eastAsia="Arial" w:hAnsi="Arial"/>
                <w:sz w:val="18"/>
                <w:szCs w:val="18"/>
                <w:color w:val="0000FF"/>
              </w:rPr>
              <w:t>14. Commitments and Contingencies</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7"/>
                <w:szCs w:val="17"/>
                <w:color w:val="auto"/>
              </w:rPr>
            </w:pPr>
          </w:p>
        </w:tc>
        <w:tc>
          <w:tcPr>
            <w:tcW w:w="1260" w:type="dxa"/>
            <w:vAlign w:val="bottom"/>
          </w:tcPr>
          <w:p>
            <w:pPr>
              <w:jc w:val="right"/>
              <w:ind w:right="288"/>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02"/>
        </w:trPr>
        <w:tc>
          <w:tcPr>
            <w:tcW w:w="8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1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219.0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208"/>
        </w:trPr>
        <w:tc>
          <w:tcPr>
            <w:tcW w:w="8140" w:type="dxa"/>
            <w:vAlign w:val="bottom"/>
          </w:tcPr>
          <w:p>
            <w:pPr>
              <w:ind w:left="360"/>
              <w:spacing w:after="0"/>
              <w:rPr>
                <w:sz w:val="20"/>
                <w:szCs w:val="20"/>
                <w:color w:val="auto"/>
              </w:rPr>
            </w:pPr>
            <w:r>
              <w:rPr>
                <w:rFonts w:ascii="Arial" w:cs="Arial" w:eastAsia="Arial" w:hAnsi="Arial"/>
                <w:sz w:val="14"/>
                <w:szCs w:val="14"/>
                <w:color w:val="auto"/>
              </w:rPr>
              <w:t>Restricted cash, current</w:t>
            </w:r>
          </w:p>
        </w:tc>
        <w:tc>
          <w:tcPr>
            <w:tcW w:w="28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9"/>
        </w:trPr>
        <w:tc>
          <w:tcPr>
            <w:tcW w:w="81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234.8</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26"/>
        </w:trPr>
        <w:tc>
          <w:tcPr>
            <w:tcW w:w="8140" w:type="dxa"/>
            <w:vAlign w:val="bottom"/>
          </w:tcPr>
          <w:p>
            <w:pPr>
              <w:ind w:left="20"/>
              <w:spacing w:after="0"/>
              <w:rPr>
                <w:sz w:val="20"/>
                <w:szCs w:val="20"/>
                <w:color w:val="auto"/>
              </w:rPr>
            </w:pPr>
            <w:r>
              <w:rPr>
                <w:rFonts w:ascii="Arial" w:cs="Arial" w:eastAsia="Arial" w:hAnsi="Arial"/>
                <w:sz w:val="14"/>
                <w:szCs w:val="14"/>
                <w:color w:val="auto"/>
              </w:rPr>
              <w:t>Rental product, net</w:t>
            </w:r>
          </w:p>
        </w:tc>
        <w:tc>
          <w:tcPr>
            <w:tcW w:w="28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assets, net</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34"/>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2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52"/>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416.0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447.5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Preferred Stock and Stockholders’ Equity (Deficit)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14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08"/>
        </w:trPr>
        <w:tc>
          <w:tcPr>
            <w:tcW w:w="814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Customer credit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8"/>
        </w:trPr>
        <w:tc>
          <w:tcPr>
            <w:tcW w:w="8140" w:type="dxa"/>
            <w:vAlign w:val="bottom"/>
          </w:tcPr>
          <w:p>
            <w:pPr>
              <w:ind w:left="36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08"/>
        </w:trPr>
        <w:tc>
          <w:tcPr>
            <w:tcW w:w="814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28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265.2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260.8</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8"/>
        </w:trPr>
        <w:tc>
          <w:tcPr>
            <w:tcW w:w="814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8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381.9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376.4</w:t>
            </w:r>
          </w:p>
        </w:tc>
        <w:tc>
          <w:tcPr>
            <w:tcW w:w="0" w:type="dxa"/>
            <w:vAlign w:val="bottom"/>
          </w:tcPr>
          <w:p>
            <w:pPr>
              <w:spacing w:after="0"/>
              <w:rPr>
                <w:sz w:val="1"/>
                <w:szCs w:val="1"/>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color w:val="auto"/>
              </w:rPr>
              <w:t>Commitments and Contingencies (Note 14)</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preferred stock, $0.001 par value; 0 shares authorized as of April 30, 2022 and January 31, 2022; 0 shares</w:t>
            </w:r>
          </w:p>
        </w:tc>
        <w:tc>
          <w:tcPr>
            <w:tcW w:w="2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issued and outstanding as of April 30, 2022 and January 31, 2022; liquidation preference of $0.0 million as of April 30, 2022</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and January 31, 2022</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140" w:type="dxa"/>
            <w:vAlign w:val="bottom"/>
          </w:tcPr>
          <w:p>
            <w:pPr>
              <w:ind w:left="20"/>
              <w:spacing w:after="0"/>
              <w:rPr>
                <w:sz w:val="20"/>
                <w:szCs w:val="20"/>
                <w:color w:val="auto"/>
              </w:rPr>
            </w:pPr>
            <w:r>
              <w:rPr>
                <w:rFonts w:ascii="Arial" w:cs="Arial" w:eastAsia="Arial" w:hAnsi="Arial"/>
                <w:sz w:val="14"/>
                <w:szCs w:val="14"/>
                <w:color w:val="auto"/>
              </w:rPr>
              <w:t>Stockholders’ equity (deficit)</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Class A common stock, $0.001 par value; 300,000,000 shares authorized as of April 30, 2022 and January 31, 2022;</w:t>
            </w: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4"/>
        </w:trPr>
        <w:tc>
          <w:tcPr>
            <w:tcW w:w="8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60,895,080 and 60,104,058 shares issued and outstanding as of April 30, 2022 and January 31, 2022, respectively</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140" w:type="dxa"/>
            <w:vAlign w:val="bottom"/>
          </w:tcPr>
          <w:p>
            <w:pPr>
              <w:ind w:left="360"/>
              <w:spacing w:after="0" w:line="153" w:lineRule="exact"/>
              <w:rPr>
                <w:sz w:val="20"/>
                <w:szCs w:val="20"/>
                <w:color w:val="auto"/>
              </w:rPr>
            </w:pPr>
            <w:r>
              <w:rPr>
                <w:rFonts w:ascii="Arial" w:cs="Arial" w:eastAsia="Arial" w:hAnsi="Arial"/>
                <w:sz w:val="14"/>
                <w:szCs w:val="14"/>
                <w:color w:val="auto"/>
              </w:rPr>
              <w:t>Class B common stock, $0.001 par value; 50,000,000 shares authorized as of April 30, 2022 and January 31, 2022;</w:t>
            </w:r>
          </w:p>
        </w:tc>
        <w:tc>
          <w:tcPr>
            <w:tcW w:w="280" w:type="dxa"/>
            <w:vAlign w:val="bottom"/>
          </w:tcPr>
          <w:p>
            <w:pPr>
              <w:spacing w:after="0"/>
              <w:rPr>
                <w:sz w:val="13"/>
                <w:szCs w:val="13"/>
                <w:color w:val="auto"/>
              </w:rPr>
            </w:pPr>
          </w:p>
        </w:tc>
        <w:tc>
          <w:tcPr>
            <w:tcW w:w="13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60" w:type="dxa"/>
            <w:vAlign w:val="bottom"/>
          </w:tcPr>
          <w:p>
            <w:pPr>
              <w:jc w:val="right"/>
              <w:ind w:right="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140" w:type="dxa"/>
            <w:vAlign w:val="bottom"/>
          </w:tcPr>
          <w:p>
            <w:pPr>
              <w:ind w:left="520"/>
              <w:spacing w:after="0"/>
              <w:rPr>
                <w:sz w:val="20"/>
                <w:szCs w:val="20"/>
                <w:color w:val="auto"/>
              </w:rPr>
            </w:pPr>
            <w:r>
              <w:rPr>
                <w:rFonts w:ascii="Arial" w:cs="Arial" w:eastAsia="Arial" w:hAnsi="Arial"/>
                <w:sz w:val="14"/>
                <w:szCs w:val="14"/>
                <w:color w:val="auto"/>
              </w:rPr>
              <w:t>3,035,822 and 2,932,739 shares issued and outstanding as of April 30, 2022 and January 31, 2022, respectively</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1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as of April 30, 2022 and January 31, 2022; 0 shares</w:t>
            </w:r>
          </w:p>
        </w:tc>
        <w:tc>
          <w:tcPr>
            <w:tcW w:w="2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issued and outstanding as of April 30, 2022 and January 31, 2022</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4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877.7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872.2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(801.2)</w:t>
            </w:r>
          </w:p>
        </w:tc>
        <w:tc>
          <w:tcPr>
            <w:tcW w:w="0" w:type="dxa"/>
            <w:vAlign w:val="bottom"/>
          </w:tcPr>
          <w:p>
            <w:pPr>
              <w:spacing w:after="0"/>
              <w:rPr>
                <w:sz w:val="1"/>
                <w:szCs w:val="1"/>
                <w:color w:val="auto"/>
              </w:rPr>
            </w:pPr>
          </w:p>
        </w:tc>
      </w:tr>
      <w:tr>
        <w:trPr>
          <w:trHeight w:val="205"/>
        </w:trPr>
        <w:tc>
          <w:tcPr>
            <w:tcW w:w="8140" w:type="dxa"/>
            <w:vAlign w:val="bottom"/>
          </w:tcPr>
          <w:p>
            <w:pPr>
              <w:ind w:left="20"/>
              <w:spacing w:after="0"/>
              <w:rPr>
                <w:sz w:val="20"/>
                <w:szCs w:val="20"/>
                <w:color w:val="auto"/>
              </w:rPr>
            </w:pPr>
            <w:r>
              <w:rPr>
                <w:rFonts w:ascii="Arial" w:cs="Arial" w:eastAsia="Arial" w:hAnsi="Arial"/>
                <w:sz w:val="14"/>
                <w:szCs w:val="14"/>
                <w:color w:val="auto"/>
              </w:rPr>
              <w:t>Total stockholders’ equity (deficit)</w:t>
            </w: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redeemable preferred stock and stockholders’ equity (deficit)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416.0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447.5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and per share amounts,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140" w:type="dxa"/>
            <w:vAlign w:val="bottom"/>
          </w:tcPr>
          <w:p>
            <w:pPr>
              <w:ind w:left="360"/>
              <w:spacing w:after="0"/>
              <w:rPr>
                <w:sz w:val="20"/>
                <w:szCs w:val="20"/>
                <w:color w:val="auto"/>
              </w:rPr>
            </w:pPr>
            <w:r>
              <w:rPr>
                <w:rFonts w:ascii="Arial" w:cs="Arial" w:eastAsia="Arial" w:hAnsi="Arial"/>
                <w:sz w:val="16"/>
                <w:szCs w:val="16"/>
                <w:color w:val="auto"/>
              </w:rPr>
              <w:t>Subscription and Reserve rental revenue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44"/>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2"/>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revenue, net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140" w:type="dxa"/>
            <w:vAlign w:val="bottom"/>
          </w:tcPr>
          <w:p>
            <w:pPr>
              <w:ind w:left="360"/>
              <w:spacing w:after="0"/>
              <w:rPr>
                <w:sz w:val="20"/>
                <w:szCs w:val="20"/>
                <w:color w:val="auto"/>
              </w:rPr>
            </w:pPr>
            <w:r>
              <w:rPr>
                <w:rFonts w:ascii="Arial" w:cs="Arial" w:eastAsia="Arial" w:hAnsi="Arial"/>
                <w:sz w:val="16"/>
                <w:szCs w:val="16"/>
                <w:color w:val="auto"/>
              </w:rPr>
              <w:t>Fulfillment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51"/>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Technology</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5"/>
        </w:trPr>
        <w:tc>
          <w:tcPr>
            <w:tcW w:w="8140" w:type="dxa"/>
            <w:vAlign w:val="bottom"/>
          </w:tcPr>
          <w:p>
            <w:pPr>
              <w:ind w:left="360"/>
              <w:spacing w:after="0"/>
              <w:rPr>
                <w:sz w:val="20"/>
                <w:szCs w:val="20"/>
                <w:color w:val="auto"/>
              </w:rPr>
            </w:pPr>
            <w:r>
              <w:rPr>
                <w:rFonts w:ascii="Arial" w:cs="Arial" w:eastAsia="Arial" w:hAnsi="Arial"/>
                <w:sz w:val="16"/>
                <w:szCs w:val="16"/>
                <w:color w:val="auto"/>
              </w:rPr>
              <w:t>Marketing</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1"/>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5"/>
        </w:trPr>
        <w:tc>
          <w:tcPr>
            <w:tcW w:w="8140" w:type="dxa"/>
            <w:vAlign w:val="bottom"/>
          </w:tcPr>
          <w:p>
            <w:pPr>
              <w:ind w:left="360"/>
              <w:spacing w:after="0"/>
              <w:rPr>
                <w:sz w:val="20"/>
                <w:szCs w:val="20"/>
                <w:color w:val="auto"/>
              </w:rPr>
            </w:pPr>
            <w:r>
              <w:rPr>
                <w:rFonts w:ascii="Arial" w:cs="Arial" w:eastAsia="Arial" w:hAnsi="Arial"/>
                <w:sz w:val="16"/>
                <w:szCs w:val="16"/>
                <w:color w:val="auto"/>
              </w:rPr>
              <w:t>Rental product depreciation and revenue share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51"/>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depreciation and amortization</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2"/>
        </w:trPr>
        <w:tc>
          <w:tcPr>
            <w:tcW w:w="81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24"/>
        </w:trPr>
        <w:tc>
          <w:tcPr>
            <w:tcW w:w="81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Operating loss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Interest income / (expense), net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5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 (loss) on warrant liability revaluation, net</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22"/>
        </w:trPr>
        <w:tc>
          <w:tcPr>
            <w:tcW w:w="8140" w:type="dxa"/>
            <w:vAlign w:val="bottom"/>
          </w:tcPr>
          <w:p>
            <w:pPr>
              <w:ind w:left="900"/>
              <w:spacing w:after="0"/>
              <w:rPr>
                <w:sz w:val="20"/>
                <w:szCs w:val="20"/>
                <w:color w:val="auto"/>
              </w:rPr>
            </w:pPr>
            <w:r>
              <w:rPr>
                <w:rFonts w:ascii="Arial" w:cs="Arial" w:eastAsia="Arial" w:hAnsi="Arial"/>
                <w:sz w:val="16"/>
                <w:szCs w:val="16"/>
                <w:color w:val="auto"/>
              </w:rPr>
              <w:t>Net loss before income tax benefit / (expense)</w:t>
            </w: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38"/>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 (expense)</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140" w:type="dxa"/>
            <w:vAlign w:val="bottom"/>
          </w:tcPr>
          <w:p>
            <w:pPr>
              <w:ind w:left="1000"/>
              <w:spacing w:after="0"/>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used in computing net loss per share attributable to common stockholders, basic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63,431,165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11,287,251</w:t>
            </w:r>
          </w:p>
        </w:tc>
        <w:tc>
          <w:tcPr>
            <w:tcW w:w="0" w:type="dxa"/>
            <w:vAlign w:val="bottom"/>
          </w:tcPr>
          <w:p>
            <w:pPr>
              <w:spacing w:after="0"/>
              <w:rPr>
                <w:sz w:val="1"/>
                <w:szCs w:val="1"/>
                <w:color w:val="auto"/>
              </w:rPr>
            </w:pPr>
          </w:p>
        </w:tc>
      </w:tr>
      <w:tr>
        <w:trPr>
          <w:trHeight w:val="216"/>
        </w:trPr>
        <w:tc>
          <w:tcPr>
            <w:tcW w:w="8140" w:type="dxa"/>
            <w:vAlign w:val="bottom"/>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Condensed Consolidated Statements of Changes in Redeemable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share amounts, 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5"/>
          </w:tcPr>
          <w:p>
            <w:pPr>
              <w:jc w:val="center"/>
              <w:ind w:left="639"/>
              <w:spacing w:after="0"/>
              <w:rPr>
                <w:sz w:val="20"/>
                <w:szCs w:val="20"/>
                <w:color w:val="auto"/>
              </w:rPr>
            </w:pPr>
            <w:r>
              <w:rPr>
                <w:rFonts w:ascii="Arial" w:cs="Arial" w:eastAsia="Arial" w:hAnsi="Arial"/>
                <w:sz w:val="11"/>
                <w:szCs w:val="11"/>
                <w:b w:val="1"/>
                <w:bCs w:val="1"/>
                <w:color w:val="auto"/>
                <w:w w:val="98"/>
              </w:rPr>
              <w:t>Redeemable</w:t>
            </w:r>
          </w:p>
        </w:tc>
        <w:tc>
          <w:tcPr>
            <w:tcW w:w="7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5"/>
            <w:vMerge w:val="restart"/>
          </w:tcPr>
          <w:p>
            <w:pPr>
              <w:jc w:val="right"/>
              <w:ind w:right="340"/>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restart"/>
          </w:tcPr>
          <w:p>
            <w:pPr>
              <w:jc w:val="center"/>
              <w:ind w:right="280"/>
              <w:spacing w:after="0"/>
              <w:rPr>
                <w:sz w:val="20"/>
                <w:szCs w:val="20"/>
                <w:color w:val="auto"/>
              </w:rPr>
            </w:pPr>
            <w:r>
              <w:rPr>
                <w:rFonts w:ascii="Arial" w:cs="Arial" w:eastAsia="Arial" w:hAnsi="Arial"/>
                <w:sz w:val="11"/>
                <w:szCs w:val="11"/>
                <w:b w:val="1"/>
                <w:bCs w:val="1"/>
                <w:color w:val="auto"/>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tcBorders>
              <w:right w:val="single" w:sz="8" w:color="auto"/>
            </w:tcBorders>
            <w:gridSpan w:val="7"/>
          </w:tcPr>
          <w:p>
            <w:pPr>
              <w:jc w:val="center"/>
              <w:ind w:right="160"/>
              <w:spacing w:after="0" w:line="108" w:lineRule="exact"/>
              <w:rPr>
                <w:sz w:val="20"/>
                <w:szCs w:val="20"/>
                <w:color w:val="auto"/>
              </w:rPr>
            </w:pPr>
            <w:r>
              <w:rPr>
                <w:rFonts w:ascii="Arial" w:cs="Arial" w:eastAsia="Arial" w:hAnsi="Arial"/>
                <w:sz w:val="11"/>
                <w:szCs w:val="11"/>
                <w:b w:val="1"/>
                <w:bCs w:val="1"/>
                <w:color w:val="auto"/>
                <w:w w:val="97"/>
              </w:rPr>
              <w:t>Preferred Stock</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5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3"/>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3"/>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Accumulated</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ind w:right="79"/>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vMerge w:val="restart"/>
          </w:tcPr>
          <w:p>
            <w:pPr>
              <w:ind w:left="3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vMerge w:val="restart"/>
          </w:tcPr>
          <w:p>
            <w:pPr>
              <w:ind w:left="3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79"/>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176"/>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January 31, 2022</w:t>
            </w:r>
          </w:p>
        </w:tc>
        <w:tc>
          <w:tcPr>
            <w:tcW w:w="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63,036,797</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(801.2)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0" w:type="dxa"/>
            <w:vAlign w:val="bottom"/>
          </w:tcPr>
          <w:p>
            <w:pPr>
              <w:spacing w:after="0"/>
              <w:rPr>
                <w:sz w:val="1"/>
                <w:szCs w:val="1"/>
                <w:color w:val="auto"/>
              </w:rPr>
            </w:pPr>
          </w:p>
        </w:tc>
      </w:tr>
      <w:tr>
        <w:trPr>
          <w:trHeight w:val="171"/>
        </w:trPr>
        <w:tc>
          <w:tcPr>
            <w:tcW w:w="3500" w:type="dxa"/>
            <w:vAlign w:val="bottom"/>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2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894,105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1"/>
        </w:trPr>
        <w:tc>
          <w:tcPr>
            <w:tcW w:w="3500" w:type="dxa"/>
            <w:vAlign w:val="bottom"/>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99"/>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as of April 30, 2022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63,930,902</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(843.7)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as of January 31, 2021</w:t>
            </w: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31,137,921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388.1</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10,456,521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60"/>
              <w:spacing w:after="0"/>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(526.7)</w:t>
            </w:r>
          </w:p>
        </w:tc>
        <w:tc>
          <w:tcPr>
            <w:tcW w:w="0" w:type="dxa"/>
            <w:vAlign w:val="bottom"/>
          </w:tcPr>
          <w:p>
            <w:pPr>
              <w:spacing w:after="0"/>
              <w:rPr>
                <w:sz w:val="1"/>
                <w:szCs w:val="1"/>
                <w:color w:val="auto"/>
              </w:rPr>
            </w:pPr>
          </w:p>
        </w:tc>
      </w:tr>
      <w:tr>
        <w:trPr>
          <w:trHeight w:val="171"/>
        </w:trPr>
        <w:tc>
          <w:tcPr>
            <w:tcW w:w="3500" w:type="dxa"/>
            <w:vAlign w:val="bottom"/>
          </w:tcPr>
          <w:p>
            <w:pPr>
              <w:ind w:left="360"/>
              <w:spacing w:after="0"/>
              <w:rPr>
                <w:sz w:val="20"/>
                <w:szCs w:val="20"/>
                <w:color w:val="auto"/>
              </w:rPr>
            </w:pPr>
            <w:r>
              <w:rPr>
                <w:rFonts w:ascii="Arial" w:cs="Arial" w:eastAsia="Arial" w:hAnsi="Arial"/>
                <w:sz w:val="13"/>
                <w:szCs w:val="13"/>
                <w:color w:val="auto"/>
              </w:rPr>
              <w:t>Issuance of redeemable preferred stock</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1,157,398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17.1</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7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Stock issued under stock incentive plan</w:t>
            </w:r>
          </w:p>
        </w:tc>
        <w:tc>
          <w:tcPr>
            <w:tcW w:w="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261,972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3500" w:type="dxa"/>
            <w:vAlign w:val="bottom"/>
          </w:tcPr>
          <w:p>
            <w:pPr>
              <w:ind w:left="360"/>
              <w:spacing w:after="0"/>
              <w:rPr>
                <w:sz w:val="20"/>
                <w:szCs w:val="20"/>
                <w:color w:val="auto"/>
              </w:rPr>
            </w:pPr>
            <w:r>
              <w:rPr>
                <w:rFonts w:ascii="Arial" w:cs="Arial" w:eastAsia="Arial" w:hAnsi="Arial"/>
                <w:sz w:val="13"/>
                <w:szCs w:val="13"/>
                <w:color w:val="auto"/>
              </w:rPr>
              <w:t>Share-based compensation expense</w:t>
            </w:r>
          </w:p>
        </w:tc>
        <w:tc>
          <w:tcPr>
            <w:tcW w:w="20" w:type="dxa"/>
            <w:vAlign w:val="bottom"/>
          </w:tcPr>
          <w:p>
            <w:pPr>
              <w:spacing w:after="0"/>
              <w:rPr>
                <w:sz w:val="14"/>
                <w:szCs w:val="1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7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Net loss</w:t>
            </w:r>
          </w:p>
        </w:tc>
        <w:tc>
          <w:tcPr>
            <w:tcW w:w="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3"/>
                <w:szCs w:val="13"/>
                <w:color w:val="auto"/>
              </w:rPr>
              <w:t>Balances as of April 30, 2021</w:t>
            </w:r>
          </w:p>
        </w:tc>
        <w:tc>
          <w:tcPr>
            <w:tcW w:w="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32,295,319</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405.2</w:t>
            </w:r>
          </w:p>
        </w:tc>
        <w:tc>
          <w:tcPr>
            <w:tcW w:w="140" w:type="dxa"/>
            <w:vAlign w:val="bottom"/>
            <w:tcBorders>
              <w:top w:val="single" w:sz="8" w:color="auto"/>
              <w:bottom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10,718,493</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(631.7)</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(565.8)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62" w:lineRule="exact"/>
        <w:rPr>
          <w:sz w:val="20"/>
          <w:szCs w:val="20"/>
          <w:color w:val="auto"/>
        </w:rPr>
      </w:pPr>
    </w:p>
    <w:p>
      <w:pPr>
        <w:jc w:val="center"/>
        <w:ind w:left="7880"/>
        <w:spacing w:after="0"/>
        <w:rPr>
          <w:sz w:val="20"/>
          <w:szCs w:val="20"/>
          <w:color w:val="auto"/>
        </w:rPr>
      </w:pPr>
      <w:r>
        <w:rPr>
          <w:rFonts w:ascii="Arial" w:cs="Arial" w:eastAsia="Arial" w:hAnsi="Arial"/>
          <w:sz w:val="16"/>
          <w:szCs w:val="16"/>
          <w:b w:val="1"/>
          <w:bCs w:val="1"/>
          <w:color w:val="auto"/>
        </w:rPr>
        <w:t>Three Months Ended</w:t>
      </w:r>
    </w:p>
    <w:p>
      <w:pPr>
        <w:jc w:val="center"/>
        <w:ind w:left="7880"/>
        <w:spacing w:after="0"/>
        <w:rPr>
          <w:sz w:val="20"/>
          <w:szCs w:val="20"/>
          <w:color w:val="auto"/>
        </w:rPr>
      </w:pPr>
      <w:r>
        <w:rPr>
          <w:rFonts w:ascii="Arial" w:cs="Arial" w:eastAsia="Arial" w:hAnsi="Arial"/>
          <w:sz w:val="16"/>
          <w:szCs w:val="16"/>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10795</wp:posOffset>
            </wp:positionV>
            <wp:extent cx="19627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2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5"/>
        </w:trPr>
        <w:tc>
          <w:tcPr>
            <w:tcW w:w="802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25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5"/>
        </w:trPr>
        <w:tc>
          <w:tcPr>
            <w:tcW w:w="8020" w:type="dxa"/>
            <w:vAlign w:val="bottom"/>
          </w:tcPr>
          <w:p>
            <w:pPr>
              <w:ind w:left="360"/>
              <w:spacing w:after="0"/>
              <w:rPr>
                <w:sz w:val="20"/>
                <w:szCs w:val="20"/>
                <w:color w:val="auto"/>
              </w:rPr>
            </w:pPr>
            <w:r>
              <w:rPr>
                <w:rFonts w:ascii="Arial" w:cs="Arial" w:eastAsia="Arial" w:hAnsi="Arial"/>
                <w:sz w:val="16"/>
                <w:szCs w:val="16"/>
                <w:color w:val="auto"/>
              </w:rPr>
              <w:t>Rental product depreciation and write-offs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51"/>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Write-off of rental product sold</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5"/>
        </w:trPr>
        <w:tc>
          <w:tcPr>
            <w:tcW w:w="8020" w:type="dxa"/>
            <w:vAlign w:val="bottom"/>
          </w:tcPr>
          <w:p>
            <w:pPr>
              <w:ind w:left="360"/>
              <w:spacing w:after="0"/>
              <w:rPr>
                <w:sz w:val="20"/>
                <w:szCs w:val="20"/>
                <w:color w:val="auto"/>
              </w:rPr>
            </w:pPr>
            <w:r>
              <w:rPr>
                <w:rFonts w:ascii="Arial" w:cs="Arial" w:eastAsia="Arial" w:hAnsi="Arial"/>
                <w:sz w:val="16"/>
                <w:szCs w:val="16"/>
                <w:color w:val="auto"/>
              </w:rPr>
              <w:t>Other depreciation and amortization</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51"/>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 loss from write-off of fixed assets</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020" w:type="dxa"/>
            <w:vAlign w:val="bottom"/>
          </w:tcPr>
          <w:p>
            <w:pPr>
              <w:ind w:left="360"/>
              <w:spacing w:after="0"/>
              <w:rPr>
                <w:sz w:val="20"/>
                <w:szCs w:val="20"/>
                <w:color w:val="auto"/>
              </w:rPr>
            </w:pPr>
            <w:r>
              <w:rPr>
                <w:rFonts w:ascii="Arial" w:cs="Arial" w:eastAsia="Arial" w:hAnsi="Arial"/>
                <w:sz w:val="16"/>
                <w:szCs w:val="16"/>
                <w:color w:val="auto"/>
              </w:rPr>
              <w:t>Proceeds from rental product sold</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51"/>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 loss from liquidation of rental product</w:t>
            </w:r>
          </w:p>
        </w:tc>
        <w:tc>
          <w:tcPr>
            <w:tcW w:w="9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5"/>
        </w:trPr>
        <w:tc>
          <w:tcPr>
            <w:tcW w:w="8020" w:type="dxa"/>
            <w:vAlign w:val="bottom"/>
          </w:tcPr>
          <w:p>
            <w:pPr>
              <w:ind w:left="360"/>
              <w:spacing w:after="0"/>
              <w:rPr>
                <w:sz w:val="20"/>
                <w:szCs w:val="20"/>
                <w:color w:val="auto"/>
              </w:rPr>
            </w:pPr>
            <w:r>
              <w:rPr>
                <w:rFonts w:ascii="Arial" w:cs="Arial" w:eastAsia="Arial" w:hAnsi="Arial"/>
                <w:sz w:val="16"/>
                <w:szCs w:val="16"/>
                <w:color w:val="auto"/>
              </w:rPr>
              <w:t>Accrual of paid-in-kind interest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51"/>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discount</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5"/>
        </w:trPr>
        <w:tc>
          <w:tcPr>
            <w:tcW w:w="802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1"/>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Remeasurement of warrant liability</w:t>
            </w:r>
          </w:p>
        </w:tc>
        <w:tc>
          <w:tcPr>
            <w:tcW w:w="9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5"/>
        </w:trPr>
        <w:tc>
          <w:tcPr>
            <w:tcW w:w="802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1"/>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5"/>
        </w:trPr>
        <w:tc>
          <w:tcPr>
            <w:tcW w:w="8020" w:type="dxa"/>
            <w:vAlign w:val="bottom"/>
          </w:tcPr>
          <w:p>
            <w:pPr>
              <w:ind w:left="680"/>
              <w:spacing w:after="0"/>
              <w:rPr>
                <w:sz w:val="20"/>
                <w:szCs w:val="20"/>
                <w:color w:val="auto"/>
              </w:rPr>
            </w:pPr>
            <w:r>
              <w:rPr>
                <w:rFonts w:ascii="Arial" w:cs="Arial" w:eastAsia="Arial" w:hAnsi="Arial"/>
                <w:sz w:val="16"/>
                <w:szCs w:val="16"/>
                <w:color w:val="auto"/>
              </w:rPr>
              <w:t>Operating lease right-of-use assets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51"/>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5"/>
        </w:trPr>
        <w:tc>
          <w:tcPr>
            <w:tcW w:w="8020" w:type="dxa"/>
            <w:vAlign w:val="bottom"/>
          </w:tcPr>
          <w:p>
            <w:pPr>
              <w:ind w:left="680"/>
              <w:spacing w:after="0"/>
              <w:rPr>
                <w:sz w:val="20"/>
                <w:szCs w:val="20"/>
                <w:color w:val="auto"/>
              </w:rPr>
            </w:pPr>
            <w:r>
              <w:rPr>
                <w:rFonts w:ascii="Arial" w:cs="Arial" w:eastAsia="Arial" w:hAnsi="Arial"/>
                <w:sz w:val="16"/>
                <w:szCs w:val="16"/>
                <w:color w:val="auto"/>
              </w:rPr>
              <w:t>Accounts payable, accrued expenses and other current liabilities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51"/>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revenue and customer credit liabilities</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5"/>
        </w:trPr>
        <w:tc>
          <w:tcPr>
            <w:tcW w:w="8020" w:type="dxa"/>
            <w:vAlign w:val="bottom"/>
          </w:tcPr>
          <w:p>
            <w:pPr>
              <w:ind w:left="680"/>
              <w:spacing w:after="0"/>
              <w:rPr>
                <w:sz w:val="20"/>
                <w:szCs w:val="20"/>
                <w:color w:val="auto"/>
              </w:rPr>
            </w:pPr>
            <w:r>
              <w:rPr>
                <w:rFonts w:ascii="Arial" w:cs="Arial" w:eastAsia="Arial" w:hAnsi="Arial"/>
                <w:sz w:val="16"/>
                <w:szCs w:val="16"/>
                <w:color w:val="auto"/>
              </w:rPr>
              <w:t>Operating lease liabilities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1"/>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22"/>
        </w:trPr>
        <w:tc>
          <w:tcPr>
            <w:tcW w:w="802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provided by operating activities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5"/>
        </w:trPr>
        <w:tc>
          <w:tcPr>
            <w:tcW w:w="8020" w:type="dxa"/>
            <w:vAlign w:val="bottom"/>
          </w:tcPr>
          <w:p>
            <w:pPr>
              <w:ind w:left="20"/>
              <w:spacing w:after="0"/>
              <w:rPr>
                <w:sz w:val="20"/>
                <w:szCs w:val="20"/>
                <w:color w:val="auto"/>
              </w:rPr>
            </w:pPr>
            <w:r>
              <w:rPr>
                <w:rFonts w:ascii="Arial" w:cs="Arial" w:eastAsia="Arial" w:hAnsi="Arial"/>
                <w:sz w:val="16"/>
                <w:szCs w:val="16"/>
                <w:color w:val="auto"/>
              </w:rPr>
              <w:t>Purchases of rental product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liquidation of rental product</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5"/>
        </w:trPr>
        <w:tc>
          <w:tcPr>
            <w:tcW w:w="8020" w:type="dxa"/>
            <w:vAlign w:val="bottom"/>
          </w:tcPr>
          <w:p>
            <w:pPr>
              <w:ind w:left="20"/>
              <w:spacing w:after="0"/>
              <w:rPr>
                <w:sz w:val="20"/>
                <w:szCs w:val="20"/>
                <w:color w:val="auto"/>
              </w:rPr>
            </w:pPr>
            <w:r>
              <w:rPr>
                <w:rFonts w:ascii="Arial" w:cs="Arial" w:eastAsia="Arial" w:hAnsi="Arial"/>
                <w:sz w:val="16"/>
                <w:szCs w:val="16"/>
                <w:color w:val="auto"/>
              </w:rPr>
              <w:t>Proceeds from sale of rental product</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5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fixed and intangible assets</w:t>
            </w: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22"/>
        </w:trPr>
        <w:tc>
          <w:tcPr>
            <w:tcW w:w="802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provided by investing activities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9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Proceeds from issuance of redeemable preferred stock</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stock options under stock incentive plan</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Principal repayments on long-term debt</w:t>
            </w:r>
          </w:p>
        </w:tc>
        <w:tc>
          <w:tcPr>
            <w:tcW w:w="9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payments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802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provided by financing activities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w:t>
            </w: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unaudited)</w:t>
      </w:r>
    </w:p>
    <w:p>
      <w:pPr>
        <w:spacing w:after="0" w:line="282"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Three Months Ended</w:t>
      </w:r>
    </w:p>
    <w:p>
      <w:pPr>
        <w:spacing w:after="0" w:line="21"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April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82"/>
        </w:trPr>
        <w:tc>
          <w:tcPr>
            <w:tcW w:w="81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Reconciliation of Cash and Cash Equivalents and Restricted Cash to the Condensed Consolidated</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4"/>
        </w:trPr>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Balance Sheets:</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219.0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103.8</w:t>
            </w:r>
          </w:p>
        </w:tc>
      </w:tr>
      <w:tr>
        <w:trPr>
          <w:trHeight w:val="25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current</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noncurrent</w:t>
            </w: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4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cash equivalents and restricted cash</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Cash payments (receipts) for:</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1"/>
        </w:trPr>
        <w:tc>
          <w:tcPr>
            <w:tcW w:w="8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Fixed operating leases payments (reimbursements), net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42"/>
        </w:trPr>
        <w:tc>
          <w:tcPr>
            <w:tcW w:w="8140" w:type="dxa"/>
            <w:vAlign w:val="bottom"/>
          </w:tcPr>
          <w:p>
            <w:pPr>
              <w:ind w:left="460"/>
              <w:spacing w:after="0"/>
              <w:rPr>
                <w:sz w:val="20"/>
                <w:szCs w:val="20"/>
                <w:color w:val="auto"/>
              </w:rPr>
            </w:pPr>
            <w:r>
              <w:rPr>
                <w:rFonts w:ascii="Arial" w:cs="Arial" w:eastAsia="Arial" w:hAnsi="Arial"/>
                <w:sz w:val="16"/>
                <w:szCs w:val="16"/>
                <w:color w:val="auto"/>
              </w:rPr>
              <w:t>Fixed assets and intangibles received in the prior period</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44"/>
        </w:trPr>
        <w:tc>
          <w:tcPr>
            <w:tcW w:w="8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Rental product received in the prior period</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5"/>
        </w:trPr>
        <w:tc>
          <w:tcPr>
            <w:tcW w:w="8140" w:type="dxa"/>
            <w:vAlign w:val="bottom"/>
          </w:tcPr>
          <w:p>
            <w:pPr>
              <w:ind w:left="240"/>
              <w:spacing w:after="0"/>
              <w:rPr>
                <w:sz w:val="20"/>
                <w:szCs w:val="20"/>
                <w:color w:val="auto"/>
              </w:rPr>
            </w:pPr>
            <w:r>
              <w:rPr>
                <w:rFonts w:ascii="Arial" w:cs="Arial" w:eastAsia="Arial" w:hAnsi="Arial"/>
                <w:sz w:val="16"/>
                <w:szCs w:val="16"/>
                <w:color w:val="auto"/>
              </w:rPr>
              <w:t>Non-cash financing and investing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4"/>
        </w:trPr>
        <w:tc>
          <w:tcPr>
            <w:tcW w:w="8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Financing leases right-of-use asset amortization</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8140" w:type="dxa"/>
            <w:vAlign w:val="bottom"/>
          </w:tcPr>
          <w:p>
            <w:pPr>
              <w:ind w:left="460"/>
              <w:spacing w:after="0"/>
              <w:rPr>
                <w:sz w:val="20"/>
                <w:szCs w:val="20"/>
                <w:color w:val="auto"/>
              </w:rPr>
            </w:pPr>
            <w:r>
              <w:rPr>
                <w:rFonts w:ascii="Arial" w:cs="Arial" w:eastAsia="Arial" w:hAnsi="Arial"/>
                <w:sz w:val="16"/>
                <w:szCs w:val="16"/>
                <w:color w:val="auto"/>
              </w:rPr>
              <w:t>ROU assets obtained in exchange for lease liabilities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51"/>
        </w:trPr>
        <w:tc>
          <w:tcPr>
            <w:tcW w:w="8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fixed assets and intangibles not yet settled</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41"/>
        </w:trPr>
        <w:tc>
          <w:tcPr>
            <w:tcW w:w="8140" w:type="dxa"/>
            <w:vAlign w:val="bottom"/>
          </w:tcPr>
          <w:p>
            <w:pPr>
              <w:ind w:left="460"/>
              <w:spacing w:after="0"/>
              <w:rPr>
                <w:sz w:val="20"/>
                <w:szCs w:val="20"/>
                <w:color w:val="auto"/>
              </w:rPr>
            </w:pPr>
            <w:r>
              <w:rPr>
                <w:rFonts w:ascii="Arial" w:cs="Arial" w:eastAsia="Arial" w:hAnsi="Arial"/>
                <w:sz w:val="16"/>
                <w:szCs w:val="16"/>
                <w:color w:val="auto"/>
              </w:rPr>
              <w:t>Purchases of rental product not yet settled</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38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17"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Rent the Runway, Inc.’s (the “Company”) mission is to power women to feel their best every day. Launched in November 2009, the Company has built the world’s first and largest shared designer closet with over 20,000 styles by over 800 brand partners. The Company gives customers access to its “unlimited closet” through its subscription offering (“Subscription”) or the ability to rent a-la-carte through its reserve offering (“Reserve”). The Company’s corporate headquarters is located in Brooklyn, New York and the operational facilities are located in Secaucus, New Jersey, and Arlington, Texas. Its wholly-owned subsidiary, Rent the Runway Limited (the “Subsidiary”), is located in Galway, Ireland, and is focused on software development and support activities.</w:t>
      </w:r>
    </w:p>
    <w:p>
      <w:pPr>
        <w:spacing w:after="0" w:line="182" w:lineRule="exact"/>
        <w:rPr>
          <w:rFonts w:ascii="Arial" w:cs="Arial" w:eastAsia="Arial" w:hAnsi="Arial"/>
          <w:sz w:val="18"/>
          <w:szCs w:val="18"/>
          <w:b w:val="1"/>
          <w:bCs w:val="1"/>
          <w:color w:val="auto"/>
        </w:rPr>
      </w:pPr>
    </w:p>
    <w:p>
      <w:pPr>
        <w:ind w:left="500" w:right="4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260" w:lineRule="exact"/>
        <w:rPr>
          <w:rFonts w:ascii="Arial" w:cs="Arial" w:eastAsia="Arial" w:hAnsi="Arial"/>
          <w:sz w:val="18"/>
          <w:szCs w:val="18"/>
          <w:b w:val="1"/>
          <w:bCs w:val="1"/>
          <w:color w:val="auto"/>
        </w:rPr>
      </w:pPr>
    </w:p>
    <w:p>
      <w:pPr>
        <w:ind w:left="500" w:right="6920" w:hanging="492"/>
        <w:spacing w:after="0" w:line="375" w:lineRule="auto"/>
        <w:tabs>
          <w:tab w:leader="none" w:pos="48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500" w:right="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68" w:lineRule="exact"/>
        <w:rPr>
          <w:rFonts w:ascii="Arial" w:cs="Arial" w:eastAsia="Arial" w:hAnsi="Arial"/>
          <w:sz w:val="18"/>
          <w:szCs w:val="18"/>
          <w:b w:val="1"/>
          <w:bCs w:val="1"/>
          <w:color w:val="auto"/>
        </w:rPr>
      </w:pPr>
    </w:p>
    <w:p>
      <w:pPr>
        <w:ind w:left="50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w:t>
      </w:r>
    </w:p>
    <w:p>
      <w:pPr>
        <w:spacing w:after="0" w:line="62"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results for the three months ended April 30, 2022 are not necessarily indicative of the operating results expected for the year ended January 31, 2023 or any future period.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2022, which can be found in the Company’s Annual Report on Form 10-K filed with the SEC on April 14, 2022.</w:t>
      </w:r>
    </w:p>
    <w:p>
      <w:pPr>
        <w:spacing w:after="0" w:line="29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117" w:lineRule="exact"/>
        <w:rPr>
          <w:rFonts w:ascii="Arial" w:cs="Arial" w:eastAsia="Arial" w:hAnsi="Arial"/>
          <w:sz w:val="18"/>
          <w:szCs w:val="18"/>
          <w:b w:val="1"/>
          <w:bCs w:val="1"/>
          <w:color w:val="auto"/>
        </w:rPr>
      </w:pPr>
    </w:p>
    <w:p>
      <w:pPr>
        <w:ind w:left="50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operates on a fiscal calendar ending January 31. All references to fiscal year 2020 reflect the results of the 12-month period ending January 31, 2021. All references to fiscal year 2021 reflect the results of the 12-month period ending January 31, 2022. All references to fiscal year 2022 reflect the results of the 12-month period ending January 31, 2023.</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Segment Information</w:t>
      </w:r>
    </w:p>
    <w:p>
      <w:pPr>
        <w:spacing w:after="0" w:line="117"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Initial Public Offering</w:t>
      </w:r>
    </w:p>
    <w:p>
      <w:pPr>
        <w:spacing w:after="0" w:line="117"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On October 27, 2021, the Company completed its initial public offering (“IPO”) and the Company’s Class A common stock began public trading on the Nasdaq Stock Market LLC under the symbol “RENT”. In connection with the IPO, the Company issued and sold 17,000,000 shares of its Class A common stock at a public offering price of $21.00 per share. The Company received proceeds of $327.3 million from the IPO which are net of underwriting discounts of $24.1 million and offering costs paid by the Company of $5.6 million. Offering costs, including legal, accounting, printing and other costs directly related to the IPO have been recorded in Additional paid-in capital against the proceeds from the IPO on the Company’s condensed consolidated balance sheet.</w:t>
      </w:r>
    </w:p>
    <w:p>
      <w:pPr>
        <w:spacing w:after="0" w:line="209" w:lineRule="exact"/>
        <w:rPr>
          <w:sz w:val="20"/>
          <w:szCs w:val="20"/>
          <w:color w:val="auto"/>
        </w:rPr>
      </w:pPr>
    </w:p>
    <w:p>
      <w:pPr>
        <w:ind w:left="500" w:right="640"/>
        <w:spacing w:after="0" w:line="287" w:lineRule="auto"/>
        <w:rPr>
          <w:sz w:val="20"/>
          <w:szCs w:val="20"/>
          <w:color w:val="auto"/>
        </w:rPr>
      </w:pPr>
      <w:r>
        <w:rPr>
          <w:rFonts w:ascii="Arial" w:cs="Arial" w:eastAsia="Arial" w:hAnsi="Arial"/>
          <w:sz w:val="18"/>
          <w:szCs w:val="18"/>
          <w:color w:val="auto"/>
        </w:rPr>
        <w:t>At the closing of the IPO, the Company’s then outstanding redeemable preferred stock converted into 32,575,462 shares of the Company’s Class A common stock.</w:t>
      </w:r>
    </w:p>
    <w:p>
      <w:pPr>
        <w:spacing w:after="0" w:line="180" w:lineRule="exact"/>
        <w:rPr>
          <w:sz w:val="20"/>
          <w:szCs w:val="20"/>
          <w:color w:val="auto"/>
        </w:rPr>
      </w:pPr>
    </w:p>
    <w:p>
      <w:pPr>
        <w:ind w:left="500" w:right="240"/>
        <w:spacing w:after="0" w:line="260" w:lineRule="auto"/>
        <w:rPr>
          <w:sz w:val="20"/>
          <w:szCs w:val="20"/>
          <w:color w:val="auto"/>
        </w:rPr>
      </w:pPr>
      <w:r>
        <w:rPr>
          <w:rFonts w:ascii="Arial" w:cs="Arial" w:eastAsia="Arial" w:hAnsi="Arial"/>
          <w:sz w:val="18"/>
          <w:szCs w:val="18"/>
          <w:color w:val="auto"/>
        </w:rPr>
        <w:t>In connection with the IPO, the Company adopted an amended and restated certificate of incorporation (the “amended charter”) and adopted amended and restated bylaws (the “amended bylaws”). The amended charter authorized capital stock consisting of:</w:t>
      </w:r>
    </w:p>
    <w:p>
      <w:pPr>
        <w:spacing w:after="0" w:line="2" w:lineRule="exact"/>
        <w:rPr>
          <w:sz w:val="20"/>
          <w:szCs w:val="20"/>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300,000,000 shares of Class A common stock, par value $0.001 per share;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50,000,000 shares of Class B common stock, par value $0.001 per share;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10,000,000 shares of preferred stock, par value $0.001 per share.</w:t>
      </w:r>
    </w:p>
    <w:p>
      <w:pPr>
        <w:spacing w:after="0" w:line="234" w:lineRule="exact"/>
        <w:rPr>
          <w:sz w:val="20"/>
          <w:szCs w:val="20"/>
          <w:color w:val="auto"/>
        </w:rPr>
      </w:pPr>
    </w:p>
    <w:p>
      <w:pPr>
        <w:ind w:left="500" w:right="200"/>
        <w:spacing w:after="0" w:line="259" w:lineRule="auto"/>
        <w:rPr>
          <w:sz w:val="20"/>
          <w:szCs w:val="20"/>
          <w:color w:val="auto"/>
        </w:rPr>
      </w:pPr>
      <w:r>
        <w:rPr>
          <w:rFonts w:ascii="Arial" w:cs="Arial" w:eastAsia="Arial" w:hAnsi="Arial"/>
          <w:sz w:val="18"/>
          <w:szCs w:val="18"/>
          <w:color w:val="auto"/>
        </w:rPr>
        <w:t>Holders of Class A common stock are entitled to one vote per share, and the holders of Class B common stock are entitled to twenty votes per share. Immediately after the effectiveness of the amended charter, 2,932,739 shares of Class A common stock held by the Company’s co-founders were exchanged for an equivalent number of shares of Class B common stock. In addition, the terms of certain outstanding equity awards held by the Company’s co-founders were modified to provide that such awards are exercisable or settle into shares of Class B common stock.</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Use of Estimates</w:t>
      </w:r>
    </w:p>
    <w:p>
      <w:pPr>
        <w:spacing w:after="0" w:line="117"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(“IBR”) to determine lease liabilities, and the valuation of share-based compensation and warrants.</w:t>
      </w:r>
    </w:p>
    <w:p>
      <w:pPr>
        <w:spacing w:after="0" w:line="182"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As of April 30, 2022, the effects of the ongoing COVID-19 pandemic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Concentrations of Credit Risks</w:t>
      </w:r>
    </w:p>
    <w:p>
      <w:pPr>
        <w:spacing w:after="0" w:line="117" w:lineRule="exact"/>
        <w:rPr>
          <w:sz w:val="20"/>
          <w:szCs w:val="20"/>
          <w:color w:val="auto"/>
        </w:rPr>
      </w:pPr>
    </w:p>
    <w:p>
      <w:pPr>
        <w:ind w:left="500" w:right="700"/>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single customer accounted for more than 5% of the Company’s revenue during the three months ended April 30, 2022 and 2021.</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Measurements and Financial Instruments</w:t>
      </w:r>
    </w:p>
    <w:p>
      <w:pPr>
        <w:spacing w:after="0" w:line="11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ind w:left="500" w:right="20"/>
        <w:spacing w:after="0" w:line="268" w:lineRule="auto"/>
        <w:rPr>
          <w:sz w:val="20"/>
          <w:szCs w:val="20"/>
          <w:color w:val="auto"/>
        </w:rPr>
      </w:pPr>
      <w:r>
        <w:rPr>
          <w:rFonts w:ascii="Arial" w:cs="Arial" w:eastAsia="Arial" w:hAnsi="Arial"/>
          <w:sz w:val="18"/>
          <w:szCs w:val="18"/>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71"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1:</w:t>
        <w:tab/>
        <w:t>Observable inputs, such as quoted prices in active markets for identical assets and liabilities.</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other than the quoted prices in active markets that are observable either directly or indirectly.</w:t>
      </w:r>
    </w:p>
    <w:p>
      <w:pPr>
        <w:spacing w:after="0" w:line="225"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in which there is little or no market data which require the Company to develop its own assumptions.</w:t>
      </w:r>
    </w:p>
    <w:p>
      <w:pPr>
        <w:spacing w:after="0" w:line="225"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Rental Product, Net</w:t>
      </w:r>
    </w:p>
    <w:p>
      <w:pPr>
        <w:spacing w:after="0" w:line="117" w:lineRule="exact"/>
        <w:rPr>
          <w:sz w:val="20"/>
          <w:szCs w:val="20"/>
          <w:color w:val="auto"/>
        </w:rPr>
      </w:pPr>
    </w:p>
    <w:p>
      <w:pPr>
        <w:ind w:left="500" w:right="460"/>
        <w:spacing w:after="0" w:line="287" w:lineRule="auto"/>
        <w:rPr>
          <w:sz w:val="20"/>
          <w:szCs w:val="20"/>
          <w:color w:val="auto"/>
        </w:rPr>
      </w:pPr>
      <w:r>
        <w:rPr>
          <w:rFonts w:ascii="Arial" w:cs="Arial" w:eastAsia="Arial" w:hAnsi="Arial"/>
          <w:sz w:val="18"/>
          <w:szCs w:val="18"/>
          <w:color w:val="auto"/>
        </w:rPr>
        <w:t>The Company considers rental product to be a long-term productive asset and, as such, classifies it as a noncurrent asset on the condensed consolidated balance sheets.</w:t>
      </w:r>
    </w:p>
    <w:p>
      <w:pPr>
        <w:spacing w:after="0" w:line="153" w:lineRule="exact"/>
        <w:rPr>
          <w:sz w:val="20"/>
          <w:szCs w:val="20"/>
          <w:color w:val="auto"/>
        </w:rPr>
      </w:pPr>
    </w:p>
    <w:p>
      <w:pPr>
        <w:ind w:left="500" w:right="40"/>
        <w:spacing w:after="0" w:line="262" w:lineRule="auto"/>
        <w:rPr>
          <w:sz w:val="20"/>
          <w:szCs w:val="20"/>
          <w:color w:val="auto"/>
        </w:rPr>
      </w:pPr>
      <w:r>
        <w:rPr>
          <w:rFonts w:ascii="Arial" w:cs="Arial" w:eastAsia="Arial" w:hAnsi="Arial"/>
          <w:sz w:val="18"/>
          <w:szCs w:val="18"/>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226" w:lineRule="exact"/>
        <w:rPr>
          <w:sz w:val="20"/>
          <w:szCs w:val="20"/>
          <w:color w:val="auto"/>
        </w:rPr>
      </w:pPr>
    </w:p>
    <w:tbl>
      <w:tblPr>
        <w:tblLayout w:type="fixed"/>
        <w:tblInd w:w="52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Useful Life</w:t>
            </w:r>
          </w:p>
        </w:tc>
        <w:tc>
          <w:tcPr>
            <w:tcW w:w="1580" w:type="dxa"/>
            <w:vAlign w:val="bottom"/>
          </w:tcPr>
          <w:p>
            <w:pPr>
              <w:jc w:val="right"/>
              <w:ind w:right="236"/>
              <w:spacing w:after="0"/>
              <w:rPr>
                <w:sz w:val="20"/>
                <w:szCs w:val="20"/>
                <w:color w:val="auto"/>
              </w:rPr>
            </w:pPr>
            <w:r>
              <w:rPr>
                <w:rFonts w:ascii="Arial" w:cs="Arial" w:eastAsia="Arial" w:hAnsi="Arial"/>
                <w:sz w:val="14"/>
                <w:szCs w:val="14"/>
                <w:b w:val="1"/>
                <w:bCs w:val="1"/>
                <w:color w:val="auto"/>
              </w:rPr>
              <w:t>Salvage Value</w:t>
            </w:r>
          </w:p>
        </w:tc>
      </w:tr>
      <w:tr>
        <w:trPr>
          <w:trHeight w:val="220"/>
        </w:trPr>
        <w:tc>
          <w:tcPr>
            <w:tcW w:w="6960" w:type="dxa"/>
            <w:vAlign w:val="bottom"/>
          </w:tcPr>
          <w:p>
            <w:pPr>
              <w:spacing w:after="0"/>
              <w:rPr>
                <w:sz w:val="20"/>
                <w:szCs w:val="20"/>
                <w:color w:val="auto"/>
              </w:rPr>
            </w:pPr>
            <w:r>
              <w:rPr>
                <w:rFonts w:ascii="Arial" w:cs="Arial" w:eastAsia="Arial" w:hAnsi="Arial"/>
                <w:sz w:val="18"/>
                <w:szCs w:val="18"/>
                <w:color w:val="auto"/>
              </w:rPr>
              <w:t>Apparel</w:t>
            </w:r>
          </w:p>
        </w:tc>
        <w:tc>
          <w:tcPr>
            <w:tcW w:w="140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3 years</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39"/>
        </w:trPr>
        <w:tc>
          <w:tcPr>
            <w:tcW w:w="6960" w:type="dxa"/>
            <w:vAlign w:val="bottom"/>
          </w:tcPr>
          <w:p>
            <w:pPr>
              <w:spacing w:after="0"/>
              <w:rPr>
                <w:sz w:val="20"/>
                <w:szCs w:val="20"/>
                <w:color w:val="auto"/>
              </w:rPr>
            </w:pPr>
            <w:r>
              <w:rPr>
                <w:rFonts w:ascii="Arial" w:cs="Arial" w:eastAsia="Arial" w:hAnsi="Arial"/>
                <w:sz w:val="18"/>
                <w:szCs w:val="18"/>
                <w:color w:val="auto"/>
              </w:rPr>
              <w:t>Accessories</w:t>
            </w:r>
          </w:p>
        </w:tc>
        <w:tc>
          <w:tcPr>
            <w:tcW w:w="1500" w:type="dxa"/>
            <w:vAlign w:val="bottom"/>
            <w:gridSpan w:val="2"/>
          </w:tcPr>
          <w:p>
            <w:pPr>
              <w:ind w:left="780"/>
              <w:spacing w:after="0"/>
              <w:rPr>
                <w:sz w:val="20"/>
                <w:szCs w:val="20"/>
                <w:color w:val="auto"/>
              </w:rPr>
            </w:pPr>
            <w:r>
              <w:rPr>
                <w:rFonts w:ascii="Arial" w:cs="Arial" w:eastAsia="Arial" w:hAnsi="Arial"/>
                <w:sz w:val="18"/>
                <w:szCs w:val="18"/>
                <w:color w:val="auto"/>
              </w:rPr>
              <w:t>2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30 %</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ind w:left="500" w:right="480"/>
        <w:spacing w:after="0" w:line="287" w:lineRule="auto"/>
        <w:rPr>
          <w:sz w:val="20"/>
          <w:szCs w:val="20"/>
          <w:color w:val="auto"/>
        </w:rPr>
      </w:pPr>
      <w:r>
        <w:rPr>
          <w:rFonts w:ascii="Arial" w:cs="Arial" w:eastAsia="Arial" w:hAnsi="Arial"/>
          <w:sz w:val="18"/>
          <w:szCs w:val="18"/>
          <w:color w:val="auto"/>
        </w:rPr>
        <w:t>In accordance with its policy, the Company reviews the estimated useful lives and salvage values of rental product on an ongoing basis.</w:t>
      </w:r>
    </w:p>
    <w:p>
      <w:pPr>
        <w:spacing w:after="0" w:line="153"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The Company offers its customers an opportunity to purchase items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spacing w:after="0" w:line="179" w:lineRule="exact"/>
        <w:rPr>
          <w:sz w:val="20"/>
          <w:szCs w:val="20"/>
          <w:color w:val="auto"/>
        </w:rPr>
      </w:pPr>
    </w:p>
    <w:p>
      <w:pPr>
        <w:ind w:left="500" w:right="80"/>
        <w:spacing w:after="0" w:line="259" w:lineRule="auto"/>
        <w:rPr>
          <w:sz w:val="20"/>
          <w:szCs w:val="20"/>
          <w:color w:val="auto"/>
        </w:rPr>
      </w:pPr>
      <w:r>
        <w:rPr>
          <w:rFonts w:ascii="Arial" w:cs="Arial" w:eastAsia="Arial" w:hAnsi="Arial"/>
          <w:sz w:val="18"/>
          <w:szCs w:val="18"/>
          <w:color w:val="auto"/>
        </w:rPr>
        <w:t>Once it is no longer considered rentable, rental product in a sellable condition is classified as held for sale and written down to salvage value. The value of rental product held for sale as of April 30, 2022 and January 31, 2022 was $2.8 million and $2.1 million, respectively. The accelerated depreciation related to rental product held for sale was $1.4 million and $0.6 million for the three months ended April 30, 2022 and 2021, respectively. The accelerated depreciation is presented on the condensed consolidated statements of operations within rental product depreciation and revenue share.</w:t>
      </w:r>
    </w:p>
    <w:p>
      <w:pPr>
        <w:spacing w:after="0" w:line="179" w:lineRule="exact"/>
        <w:rPr>
          <w:sz w:val="20"/>
          <w:szCs w:val="20"/>
          <w:color w:val="auto"/>
        </w:rPr>
      </w:pPr>
    </w:p>
    <w:p>
      <w:pPr>
        <w:ind w:left="500" w:right="160"/>
        <w:spacing w:after="0" w:line="259" w:lineRule="auto"/>
        <w:rPr>
          <w:sz w:val="20"/>
          <w:szCs w:val="20"/>
          <w:color w:val="auto"/>
        </w:rPr>
      </w:pPr>
      <w:r>
        <w:rPr>
          <w:rFonts w:ascii="Arial" w:cs="Arial" w:eastAsia="Arial" w:hAnsi="Arial"/>
          <w:sz w:val="18"/>
          <w:szCs w:val="18"/>
          <w:color w:val="auto"/>
        </w:rPr>
        <w:t>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$4.0 million and $2.8 million for the three months ended April 30, 2022 and 2021, respectively.</w:t>
      </w: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ind w:left="500" w:right="80"/>
        <w:spacing w:after="0" w:line="259" w:lineRule="auto"/>
        <w:rPr>
          <w:sz w:val="20"/>
          <w:szCs w:val="20"/>
          <w:color w:val="auto"/>
        </w:rPr>
      </w:pPr>
      <w:r>
        <w:rPr>
          <w:rFonts w:ascii="Arial" w:cs="Arial" w:eastAsia="Arial" w:hAnsi="Arial"/>
          <w:sz w:val="18"/>
          <w:szCs w:val="18"/>
          <w:color w:val="auto"/>
        </w:rPr>
        <w:t>Subscription and a-la-carte rental fees (“Subscription and Reserve rental revenue”) are recognized in accordance with Accounting Standard Update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xml:space="preserve"> (“ASC 842”). Other revenue, primarily related to the sale of rental product, is recognized under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at the date of delivery of the product to the customer. Other revenue represented 8% and 11% of total revenue for the three months ended April 30, 2022 and 2021, respectively.</w:t>
      </w:r>
    </w:p>
    <w:p>
      <w:pPr>
        <w:spacing w:after="0" w:line="179" w:lineRule="exact"/>
        <w:rPr>
          <w:sz w:val="20"/>
          <w:szCs w:val="20"/>
          <w:color w:val="auto"/>
        </w:rPr>
      </w:pPr>
    </w:p>
    <w:p>
      <w:pPr>
        <w:ind w:left="500" w:right="160"/>
        <w:spacing w:after="0" w:line="262" w:lineRule="auto"/>
        <w:rPr>
          <w:sz w:val="20"/>
          <w:szCs w:val="20"/>
          <w:color w:val="auto"/>
        </w:rPr>
      </w:pPr>
      <w:r>
        <w:rPr>
          <w:rFonts w:ascii="Arial" w:cs="Arial" w:eastAsia="Arial" w:hAnsi="Arial"/>
          <w:sz w:val="18"/>
          <w:szCs w:val="18"/>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203"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The Company recognizes a liability at the time a customer credit or a gift card is issued, and revenue is recognized upon redemption of the credit or gift card. The Company’s customer credit liability is presented on the condensed consolidated balance sheets. During the three months ended April 30, 2022, $0.9 million of credits included in the customer credit liability as of January 31, 2022 were redeemed. Customer credits and gift cards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credits and gift cards when the Company has any legal obligation to remit such credits to government authorities in relevant jurisdictions.</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Subscription and Reserve Rental Revenue</w:t>
      </w:r>
    </w:p>
    <w:p>
      <w:pPr>
        <w:spacing w:after="0" w:line="115" w:lineRule="exact"/>
        <w:rPr>
          <w:sz w:val="20"/>
          <w:szCs w:val="20"/>
          <w:color w:val="auto"/>
        </w:rPr>
      </w:pPr>
    </w:p>
    <w:p>
      <w:pPr>
        <w:jc w:val="both"/>
        <w:ind w:left="500" w:right="440"/>
        <w:spacing w:after="0" w:line="268" w:lineRule="auto"/>
        <w:rPr>
          <w:sz w:val="20"/>
          <w:szCs w:val="20"/>
          <w:color w:val="auto"/>
        </w:rPr>
      </w:pPr>
      <w:r>
        <w:rPr>
          <w:rFonts w:ascii="Arial" w:cs="Arial" w:eastAsia="Arial" w:hAnsi="Arial"/>
          <w:sz w:val="18"/>
          <w:szCs w:val="18"/>
          <w:color w:val="auto"/>
        </w:rPr>
        <w:t>Subscription fees are recognized ratably over the subscription period, commencing on the date the subscriber enrolls in the rental program. The fees are collected upon enrollment. The subscription automatically renews on a monthly basis until cancelled by the customer. Subscribers can pause or cancel their subscriptions at any time.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jc w:val="both"/>
        <w:ind w:left="500" w:right="460"/>
        <w:spacing w:after="0" w:line="262" w:lineRule="auto"/>
        <w:rPr>
          <w:sz w:val="20"/>
          <w:szCs w:val="20"/>
          <w:color w:val="auto"/>
        </w:rPr>
      </w:pPr>
      <w:r>
        <w:rPr>
          <w:rFonts w:ascii="Arial" w:cs="Arial" w:eastAsia="Arial" w:hAnsi="Arial"/>
          <w:sz w:val="18"/>
          <w:szCs w:val="18"/>
          <w:color w:val="auto"/>
        </w:rPr>
        <w:t>The Company recognizes fees for a-la-carte rentals ratably over the rental period, which starts with the date of delivery of rental product to the customer. A-la-carte rental orders can be placed up to four months prior to the rental start date and the customer’s payment form is charged upon order confirmation. The Company defers recognizing the fees and any related promotions for a-la-carte rentals until the date of delivery, and then recognizes those fees ratably over the four- or eight-day rental period.</w:t>
      </w:r>
    </w:p>
    <w:p>
      <w:pPr>
        <w:spacing w:after="0" w:line="176" w:lineRule="exact"/>
        <w:rPr>
          <w:sz w:val="20"/>
          <w:szCs w:val="20"/>
          <w:color w:val="auto"/>
        </w:rPr>
      </w:pPr>
    </w:p>
    <w:p>
      <w:pPr>
        <w:ind w:left="500" w:right="220"/>
        <w:spacing w:after="0" w:line="287" w:lineRule="auto"/>
        <w:rPr>
          <w:sz w:val="20"/>
          <w:szCs w:val="20"/>
          <w:color w:val="auto"/>
        </w:rPr>
      </w:pPr>
      <w:r>
        <w:rPr>
          <w:rFonts w:ascii="Arial" w:cs="Arial" w:eastAsia="Arial" w:hAnsi="Arial"/>
          <w:sz w:val="18"/>
          <w:szCs w:val="18"/>
          <w:color w:val="auto"/>
        </w:rPr>
        <w:t>The Company accrues for credits and refunds issued subsequent to the balance sheet date that relate to rentals prior to the balance sheet date. These amounts were not material as of April 30, 2022 and January 31, 2022.</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Other Revenue</w:t>
      </w:r>
    </w:p>
    <w:p>
      <w:pPr>
        <w:spacing w:after="0" w:line="115" w:lineRule="exact"/>
        <w:rPr>
          <w:sz w:val="20"/>
          <w:szCs w:val="20"/>
          <w:color w:val="auto"/>
        </w:rPr>
      </w:pPr>
    </w:p>
    <w:p>
      <w:pPr>
        <w:ind w:left="500" w:right="160"/>
        <w:spacing w:after="0" w:line="257" w:lineRule="auto"/>
        <w:rPr>
          <w:sz w:val="20"/>
          <w:szCs w:val="20"/>
          <w:color w:val="auto"/>
        </w:rPr>
      </w:pPr>
      <w:r>
        <w:rPr>
          <w:rFonts w:ascii="Arial" w:cs="Arial" w:eastAsia="Arial" w:hAnsi="Arial"/>
          <w:sz w:val="18"/>
          <w:szCs w:val="18"/>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as of April 30, 2022 and January 31, 2022.</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Share-Based Compensation</w:t>
      </w:r>
    </w:p>
    <w:p>
      <w:pPr>
        <w:spacing w:after="0" w:line="117"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post-IPO is based on the closing price of the common stock on the date of grant as reported on the Nasdaq Stock Market. Upon grant of awards, the Company also estimates an amount of forfeitures that will occur prior to vesting.</w:t>
      </w:r>
    </w:p>
    <w:p>
      <w:pPr>
        <w:spacing w:after="0" w:line="185" w:lineRule="exact"/>
        <w:rPr>
          <w:sz w:val="20"/>
          <w:szCs w:val="20"/>
          <w:color w:val="auto"/>
        </w:rPr>
      </w:pPr>
    </w:p>
    <w:p>
      <w:pPr>
        <w:ind w:left="500" w:right="80"/>
        <w:spacing w:after="0" w:line="255" w:lineRule="auto"/>
        <w:rPr>
          <w:sz w:val="20"/>
          <w:szCs w:val="20"/>
          <w:color w:val="auto"/>
        </w:rPr>
      </w:pPr>
      <w:r>
        <w:rPr>
          <w:rFonts w:ascii="Arial" w:cs="Arial" w:eastAsia="Arial" w:hAnsi="Arial"/>
          <w:sz w:val="18"/>
          <w:szCs w:val="18"/>
          <w:color w:val="auto"/>
        </w:rPr>
        <w:t>The Company has granted two types of restricted stock units (“RSUs”). Prior to the effectiveness of the Company’s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IPO. Share-based compensation related to any remaining time-based service for these RSUs after the liquidity-based event is recorded over the remaining requisite service period. Post IPO, the Company has granted RSUs which vest upon satisfaction of a single time-based service condition. The Company records share-based compensation expense for these RSUs on a straight-line basis over the requisite service period. See Note 12 - Share-based Compensation Plans for a description of the accounting for share-based awards.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adopted this standard on February 1, 2022, and the adoption of this standard did not have a material impact on the condensed consolidated financial statements.</w:t>
      </w:r>
    </w:p>
    <w:p>
      <w:pPr>
        <w:spacing w:after="0" w:line="293" w:lineRule="exact"/>
        <w:rPr>
          <w:sz w:val="20"/>
          <w:szCs w:val="20"/>
          <w:color w:val="auto"/>
        </w:rPr>
      </w:pPr>
    </w:p>
    <w:p>
      <w:pPr>
        <w:ind w:left="500" w:right="4580"/>
        <w:spacing w:after="0" w:line="374" w:lineRule="auto"/>
        <w:rPr>
          <w:sz w:val="20"/>
          <w:szCs w:val="20"/>
          <w:color w:val="auto"/>
        </w:rPr>
      </w:pPr>
      <w:r>
        <w:rPr>
          <w:rFonts w:ascii="Arial" w:cs="Arial" w:eastAsia="Arial" w:hAnsi="Arial"/>
          <w:sz w:val="18"/>
          <w:szCs w:val="18"/>
          <w:i w:val="1"/>
          <w:iCs w:val="1"/>
          <w:u w:val="single" w:color="auto"/>
          <w:color w:val="auto"/>
        </w:rPr>
        <w:t xml:space="preserve">Recently Issued Accounting Pronouncements </w:t>
      </w:r>
      <w:r>
        <w:rPr>
          <w:rFonts w:ascii="Arial" w:cs="Arial" w:eastAsia="Arial" w:hAnsi="Arial"/>
          <w:sz w:val="18"/>
          <w:szCs w:val="18"/>
          <w:i w:val="1"/>
          <w:iCs w:val="1"/>
          <w:color w:val="auto"/>
        </w:rPr>
        <w:t>Debt - Debt with Conversion and Other Options and Derivatives and Hedging</w:t>
      </w:r>
    </w:p>
    <w:p>
      <w:pPr>
        <w:spacing w:after="0" w:line="1"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Hedging-Contracts in Entity’s Own Equity (Subtopic 815-40): Accounting for Convertible Instruments and Contracts in an Entity’s Own Equity. </w:t>
      </w:r>
      <w:r>
        <w:rPr>
          <w:rFonts w:ascii="Arial" w:cs="Arial" w:eastAsia="Arial" w:hAnsi="Arial"/>
          <w:sz w:val="18"/>
          <w:szCs w:val="18"/>
          <w:color w:val="auto"/>
        </w:rPr>
        <w:t>The new guidance reduces complexity and improves comparability of financial reporting associated with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instruments and contracts in an entity’s own equity. This standard is effective for annual reporting periods beginning after December 15, 2023, and interim periods within those years, and early adoption is permitted. The Company is currently evaluating the impact this standard will have on its consolidated financial statements.</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15"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requires an entity to utilize a new impairment model known as the current expected credit loss (“CECL”)</w:t>
      </w:r>
      <w:r>
        <w:rPr>
          <w:rFonts w:ascii="Arial" w:cs="Arial" w:eastAsia="Arial" w:hAnsi="Arial"/>
          <w:sz w:val="18"/>
          <w:szCs w:val="18"/>
          <w:i w:val="1"/>
          <w:iCs w:val="1"/>
          <w:color w:val="auto"/>
        </w:rPr>
        <w:t xml:space="preserve"> </w:t>
      </w:r>
      <w:r>
        <w:rPr>
          <w:rFonts w:ascii="Arial" w:cs="Arial" w:eastAsia="Arial" w:hAnsi="Arial"/>
          <w:sz w:val="18"/>
          <w:szCs w:val="18"/>
          <w:color w:val="auto"/>
        </w:rPr>
        <w:t>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is currently evaluating the impact this standard will have on its consolidated financial statements.</w:t>
      </w:r>
    </w:p>
    <w:p>
      <w:pPr>
        <w:spacing w:after="0" w:line="293"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Impact of COVID-19 Pandemic</w:t>
      </w:r>
    </w:p>
    <w:p>
      <w:pPr>
        <w:spacing w:after="0" w:line="117"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incurred a net loss from operations since inception and has historically relied upon debt and equity financing to fund its operations. In addition, the COVID-19 pandemic has had a significant adverse impact on the Company’s business. As a result, in fiscal year 2020 the Company experienced a significant decline in Subscription and Reserve rental revenue. While the Company has experienced revenue growth in fiscal year 2021 and the three months ended April 30, 2022, to the extent that the strength or pace of the Company’s COVID-19 recovery is not sustained, the Company has established plans to preserve existing cash liquidity, which could include reducing labor, operating expenses, and/or capital expenditures.</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ind w:left="500" w:right="20"/>
        <w:spacing w:after="0" w:line="268" w:lineRule="auto"/>
        <w:rPr>
          <w:sz w:val="20"/>
          <w:szCs w:val="20"/>
          <w:color w:val="auto"/>
        </w:rPr>
      </w:pPr>
      <w:r>
        <w:rPr>
          <w:rFonts w:ascii="Arial" w:cs="Arial" w:eastAsia="Arial" w:hAnsi="Arial"/>
          <w:sz w:val="18"/>
          <w:szCs w:val="18"/>
          <w:color w:val="auto"/>
        </w:rPr>
        <w:t>In October 2021, the Company completed its IPO and issued 17,000,000 shares of its Class A common stock at $21.00 per share. The Company received proceeds of $327.3 million which are net of the underwriting discounts of $24.1 million and direct offering costs of $5.6 million.</w:t>
      </w:r>
    </w:p>
    <w:p>
      <w:pPr>
        <w:spacing w:after="0" w:line="171" w:lineRule="exact"/>
        <w:rPr>
          <w:sz w:val="20"/>
          <w:szCs w:val="20"/>
          <w:color w:val="auto"/>
        </w:rPr>
      </w:pPr>
    </w:p>
    <w:p>
      <w:pPr>
        <w:ind w:left="500" w:right="120"/>
        <w:spacing w:after="0" w:line="262" w:lineRule="auto"/>
        <w:rPr>
          <w:sz w:val="20"/>
          <w:szCs w:val="20"/>
          <w:color w:val="auto"/>
        </w:rPr>
      </w:pPr>
      <w:r>
        <w:rPr>
          <w:rFonts w:ascii="Arial" w:cs="Arial" w:eastAsia="Arial" w:hAnsi="Arial"/>
          <w:sz w:val="18"/>
          <w:szCs w:val="18"/>
          <w:color w:val="auto"/>
        </w:rPr>
        <w:t>As of April 30, 2022 and January 31, 2022, the Company held cash and cash equivalents of $ 219.0 million and $247.6 million, respectively. The Company believes that it will have sufficient liquidity from cash on-hand and future operations to sustain its business operations, to satisfy its debt service obligations and to comply with its amended debt covenants for at least the next twelve months from the date these financial statements are issued.</w:t>
      </w:r>
    </w:p>
    <w:p>
      <w:pPr>
        <w:spacing w:after="0" w:line="284"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 - Lessee Accounting</w:t>
      </w:r>
    </w:p>
    <w:p>
      <w:pPr>
        <w:spacing w:after="0" w:line="225" w:lineRule="exact"/>
        <w:rPr>
          <w:rFonts w:ascii="Arial" w:cs="Arial" w:eastAsia="Arial" w:hAnsi="Arial"/>
          <w:sz w:val="18"/>
          <w:szCs w:val="18"/>
          <w:b w:val="1"/>
          <w:bCs w:val="1"/>
          <w:color w:val="auto"/>
        </w:rPr>
      </w:pPr>
    </w:p>
    <w:p>
      <w:pPr>
        <w:ind w:left="50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April 30, 2022, the Company amended the operating lease for its corporate headquarters in Brooklyn, NY, the terms of which terminated one floor of the leased space. The partial lease termination of the corporate headquarters leased space resulted in a reduction of $10.6 million in the Company’s future minimum fixed lease obligations as of the lease modification date. The Company treated the partial lease termination amendment as a lease modification as of the effective date which resulted in an adjustment of $3.7 million and $1.4 million to the related lease liabilities and right-of-use assets, respectively. The Company recorded a gain on the partial termination of $1.8 million and a loss on surrender of the related fixed assets, primarily leasehold improvements, of $1.9 million, both of which are recorded on the condensed consolidated statements of operations within general and administrative expenses.</w:t>
      </w:r>
    </w:p>
    <w:p>
      <w:pPr>
        <w:spacing w:after="0" w:line="184" w:lineRule="exact"/>
        <w:rPr>
          <w:rFonts w:ascii="Arial" w:cs="Arial" w:eastAsia="Arial" w:hAnsi="Arial"/>
          <w:sz w:val="18"/>
          <w:szCs w:val="18"/>
          <w:b w:val="1"/>
          <w:bCs w:val="1"/>
          <w:color w:val="auto"/>
        </w:rPr>
      </w:pPr>
    </w:p>
    <w:p>
      <w:pPr>
        <w:ind w:left="500" w:right="3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minimum fixed lease obligations under existing agreements as a lessee, excluding variable payments and short-term lease payments, as of April 30,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7"/>
                <w:szCs w:val="17"/>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w:t>
            </w:r>
          </w:p>
        </w:tc>
        <w:tc>
          <w:tcPr>
            <w:tcW w:w="3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2022</w:t>
            </w:r>
          </w:p>
        </w:tc>
        <w:tc>
          <w:tcPr>
            <w:tcW w:w="3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3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2024</w:t>
            </w: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3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2026</w:t>
            </w: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3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Total minimum lease payments</w:t>
            </w:r>
          </w:p>
        </w:tc>
        <w:tc>
          <w:tcPr>
            <w:tcW w:w="3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Imputed interest</w:t>
            </w:r>
          </w:p>
        </w:tc>
        <w:tc>
          <w:tcPr>
            <w:tcW w:w="3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Lease liabilities as of April 30, 2022</w:t>
            </w:r>
          </w:p>
        </w:tc>
        <w:tc>
          <w:tcPr>
            <w:tcW w:w="34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20" w:type="dxa"/>
            <w:vAlign w:val="bottom"/>
            <w:vMerge w:val="restart"/>
          </w:tcPr>
          <w:p>
            <w:pPr>
              <w:jc w:val="right"/>
              <w:ind w:right="2210"/>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5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Rental Product, Net</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Rental product consisted of the following:</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31,</w:t>
            </w:r>
          </w:p>
        </w:tc>
      </w:tr>
      <w:tr>
        <w:trPr>
          <w:trHeight w:val="196"/>
        </w:trPr>
        <w:tc>
          <w:tcPr>
            <w:tcW w:w="7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197"/>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Apparel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Accessories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r>
      <w:tr>
        <w:trPr>
          <w:trHeight w:val="27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r>
      <w:tr>
        <w:trPr>
          <w:trHeight w:val="248"/>
        </w:trPr>
        <w:tc>
          <w:tcPr>
            <w:tcW w:w="7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Rental product,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right="60"/>
        <w:spacing w:after="0" w:line="287" w:lineRule="auto"/>
        <w:rPr>
          <w:sz w:val="20"/>
          <w:szCs w:val="20"/>
          <w:color w:val="auto"/>
        </w:rPr>
      </w:pPr>
      <w:r>
        <w:rPr>
          <w:rFonts w:ascii="Arial" w:cs="Arial" w:eastAsia="Arial" w:hAnsi="Arial"/>
          <w:sz w:val="18"/>
          <w:szCs w:val="18"/>
          <w:color w:val="auto"/>
        </w:rPr>
        <w:t>Depreciation and write-offs related to rental product, including write-offs of rental products sold, was $13.6 million and $12.7 million for the three months ended April 30, 2022 and 2021, respectively.</w:t>
      </w:r>
    </w:p>
    <w:p>
      <w:pPr>
        <w:spacing w:after="0" w:line="261" w:lineRule="exact"/>
        <w:rPr>
          <w:sz w:val="20"/>
          <w:szCs w:val="20"/>
          <w:color w:val="auto"/>
        </w:rPr>
      </w:pPr>
    </w:p>
    <w:p>
      <w:pPr>
        <w:ind w:left="500" w:right="9340" w:hanging="492"/>
        <w:spacing w:after="0" w:line="375" w:lineRule="auto"/>
        <w:tabs>
          <w:tab w:leader="none" w:pos="48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Summary</w:t>
      </w:r>
    </w:p>
    <w:p>
      <w:pPr>
        <w:spacing w:after="0" w:line="1" w:lineRule="exact"/>
        <w:rPr>
          <w:rFonts w:ascii="Arial" w:cs="Arial" w:eastAsia="Arial" w:hAnsi="Arial"/>
          <w:sz w:val="18"/>
          <w:szCs w:val="18"/>
          <w:b w:val="1"/>
          <w:bCs w:val="1"/>
          <w:color w:val="auto"/>
        </w:rPr>
      </w:pPr>
    </w:p>
    <w:p>
      <w:pPr>
        <w:ind w:left="500" w:right="44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line of credit and long-term debt outstanding as of April 30, 2022 and January 31, 2022:</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7"/>
                <w:szCs w:val="17"/>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31,</w:t>
            </w:r>
          </w:p>
        </w:tc>
      </w:tr>
      <w:tr>
        <w:trPr>
          <w:trHeight w:val="195"/>
        </w:trPr>
        <w:tc>
          <w:tcPr>
            <w:tcW w:w="71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468"/>
        </w:trPr>
        <w:tc>
          <w:tcPr>
            <w:tcW w:w="7180" w:type="dxa"/>
            <w:vAlign w:val="bottom"/>
          </w:tcPr>
          <w:p>
            <w:pPr>
              <w:ind w:left="20"/>
              <w:spacing w:after="0"/>
              <w:rPr>
                <w:sz w:val="20"/>
                <w:szCs w:val="20"/>
                <w:color w:val="auto"/>
              </w:rPr>
            </w:pPr>
            <w:r>
              <w:rPr>
                <w:rFonts w:ascii="Arial" w:cs="Arial" w:eastAsia="Arial" w:hAnsi="Arial"/>
                <w:sz w:val="18"/>
                <w:szCs w:val="18"/>
                <w:color w:val="auto"/>
              </w:rPr>
              <w:t>Temasek Facility principal outstanding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271.6</w:t>
            </w:r>
          </w:p>
        </w:tc>
      </w:tr>
      <w:tr>
        <w:trPr>
          <w:trHeight w:val="270"/>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payment-in-kind interest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unamortized debt discount</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5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Temasek Facility, net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70"/>
        </w:trPr>
        <w:tc>
          <w:tcPr>
            <w:tcW w:w="7180" w:type="dxa"/>
            <w:vAlign w:val="bottom"/>
          </w:tcPr>
          <w:p>
            <w:pPr>
              <w:ind w:left="34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noncurrent line of credit and long-term debt</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Temasek Facility</w:t>
      </w:r>
    </w:p>
    <w:p>
      <w:pPr>
        <w:spacing w:after="0" w:line="117"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76" w:lineRule="exact"/>
        <w:rPr>
          <w:sz w:val="20"/>
          <w:szCs w:val="20"/>
          <w:color w:val="auto"/>
        </w:rPr>
      </w:pPr>
    </w:p>
    <w:p>
      <w:pPr>
        <w:ind w:left="500" w:right="160"/>
        <w:spacing w:after="0" w:line="262" w:lineRule="auto"/>
        <w:rPr>
          <w:sz w:val="20"/>
          <w:szCs w:val="20"/>
          <w:color w:val="auto"/>
        </w:rPr>
      </w:pPr>
      <w:r>
        <w:rPr>
          <w:rFonts w:ascii="Arial" w:cs="Arial" w:eastAsia="Arial" w:hAnsi="Arial"/>
          <w:sz w:val="18"/>
          <w:szCs w:val="18"/>
          <w:color w:val="auto"/>
        </w:rPr>
        <w:t>In November 2019, the Company drew an additional $50.0 million of the Initial Temasek Commitments and amended the Temasek Facility to include an additional $30.0 million of committed availability (the “Subsequent Temasek Commitments”). In March 2020, the Company drew the remaining $50.0 million of the Initial Temasek Commitments and the $30.0 million of the Subsequent Temasek Commitments.</w:t>
      </w:r>
    </w:p>
    <w:p>
      <w:pPr>
        <w:spacing w:after="0" w:line="203"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Prior to the termination of the Ares Facility, the Temasek Facility was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was senior debt, and the Temasek facility was subordinated debt with respect to the Ares Facility.</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ind w:left="500" w:right="80"/>
        <w:spacing w:after="0" w:line="262" w:lineRule="auto"/>
        <w:rPr>
          <w:sz w:val="20"/>
          <w:szCs w:val="20"/>
          <w:color w:val="auto"/>
        </w:rPr>
      </w:pPr>
      <w:r>
        <w:rPr>
          <w:rFonts w:ascii="Arial" w:cs="Arial" w:eastAsia="Arial" w:hAnsi="Arial"/>
          <w:sz w:val="18"/>
          <w:szCs w:val="18"/>
          <w:color w:val="auto"/>
        </w:rPr>
        <w:t>The Initial Temasek Commitments had an interest rate of 15% per annum that accrued as noncash interest. The Subsequent Temasek Commitments had a cash interest rate of 13% per annum, payable quarterly. The Temasek Facility required mandatory prepayment upon certain defined triggering events as well as optional prepayments, but such mandatory prepayments were not required to be made while the Ares Facility was outstanding.</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October 2021, the Company used proceeds from the IPO to pay down the Subsequent Temasek Commitments of $30.0 million</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outstanding principal and interest in full. Concurrently, the Company entered into an amendment to the Temasek Facility (the “Temasek</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Facility Amendment”). The Temasek Facility as amended by the Temasek Facility Amendment is referred to as the “Amended Temasek</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Facility”. This transaction was accounted for as a debt modification. The terms of the Temasek Facility Amendment provides for, among</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things, (i) an extension of the maturity to October 2024, (ii) an outstanding principal under the Amended Temasek Facility of</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$271.6 million (with no additional debt proceeds having been funded and after giving effect to the repayment described below), and (iii)</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 amended interest rate of 12% with up to 5% payable in kind. On the effective date of the Temasek Facility Amendment,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 paid down an additional $30.0 million of the outstanding principal of the Amended Temasek Facility, for a total of $60.0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million principal paydown on the Temasek Facility and Amended Temasek Facility.</w:t>
      </w:r>
    </w:p>
    <w:p>
      <w:pPr>
        <w:spacing w:after="0" w:line="207" w:lineRule="exact"/>
        <w:rPr>
          <w:sz w:val="20"/>
          <w:szCs w:val="20"/>
          <w:color w:val="auto"/>
        </w:rPr>
      </w:pPr>
    </w:p>
    <w:p>
      <w:pPr>
        <w:ind w:left="500"/>
        <w:spacing w:after="0" w:line="275" w:lineRule="auto"/>
        <w:rPr>
          <w:sz w:val="20"/>
          <w:szCs w:val="20"/>
          <w:color w:val="auto"/>
        </w:rPr>
      </w:pPr>
      <w:r>
        <w:rPr>
          <w:rFonts w:ascii="Arial" w:cs="Arial" w:eastAsia="Arial" w:hAnsi="Arial"/>
          <w:sz w:val="17"/>
          <w:szCs w:val="17"/>
          <w:color w:val="auto"/>
        </w:rPr>
        <w:t>The Amended Temasek Facility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Additionally, the Amended Temasek Facility includes a minimum liquidity maintenance covenant of $50.0 million and amends the call protection applicable to the loans outstanding thereunder including the ability to refinance at a lower penalty within 12 months from the date of the amendment. The Amended Temasek Facility contains various events of default, the occurrence of which could result in the acceleration of obligations under each respective facility.</w:t>
      </w:r>
    </w:p>
    <w:p>
      <w:pPr>
        <w:spacing w:after="0" w:line="168" w:lineRule="exact"/>
        <w:rPr>
          <w:sz w:val="20"/>
          <w:szCs w:val="20"/>
          <w:color w:val="auto"/>
        </w:rPr>
      </w:pPr>
    </w:p>
    <w:p>
      <w:pPr>
        <w:ind w:left="500" w:right="160"/>
        <w:spacing w:after="0" w:line="268" w:lineRule="auto"/>
        <w:rPr>
          <w:sz w:val="20"/>
          <w:szCs w:val="20"/>
          <w:color w:val="auto"/>
        </w:rPr>
      </w:pPr>
      <w:r>
        <w:rPr>
          <w:rFonts w:ascii="Arial" w:cs="Arial" w:eastAsia="Arial" w:hAnsi="Arial"/>
          <w:sz w:val="18"/>
          <w:szCs w:val="18"/>
          <w:color w:val="auto"/>
        </w:rPr>
        <w:t>The effective interest rate for the Temasek Facility for the period from the date of issuance through the date of the Temasek Facility Amendment was 15.95%. The debt discount associated with the Initial Temasek Commitments was fully accreted when the Company entered into the Temasek Facility Amendment.</w:t>
      </w:r>
    </w:p>
    <w:p>
      <w:pPr>
        <w:spacing w:after="0" w:line="184" w:lineRule="exact"/>
        <w:rPr>
          <w:sz w:val="20"/>
          <w:szCs w:val="20"/>
          <w:color w:val="auto"/>
        </w:rPr>
      </w:pPr>
    </w:p>
    <w:p>
      <w:pPr>
        <w:ind w:left="500" w:right="20"/>
        <w:spacing w:after="0" w:line="242" w:lineRule="auto"/>
        <w:rPr>
          <w:sz w:val="20"/>
          <w:szCs w:val="20"/>
          <w:color w:val="auto"/>
        </w:rPr>
      </w:pPr>
      <w:r>
        <w:rPr>
          <w:rFonts w:ascii="Arial" w:cs="Arial" w:eastAsia="Arial" w:hAnsi="Arial"/>
          <w:sz w:val="18"/>
          <w:szCs w:val="18"/>
          <w:color w:val="auto"/>
        </w:rPr>
        <w:t>In October 2021, in connection with the Amended Temasek Facility, the Company recorded a debt discount of $15.3 million, of which $0.2 million related to lender fees, $5.3 million related to the allocation of proceeds to warrants issued in relation to the Amended Temasek Facility, $1.0 million related to the extension of the term of warrants issued in relation to the Temasek Facility, and $ 8.8 million related to fees incurred to amend the Amended Temasek Facility. These amounts are being accreted to the principal amount of the Amended Temasek Facility through the recognition of noncash interest expense. The effective interest rate for the Amended Temasek Facility for the period from the date of issuance through April 30, 2022 was 14.29%.</w:t>
      </w:r>
    </w:p>
    <w:p>
      <w:pPr>
        <w:spacing w:after="0" w:line="192" w:lineRule="exact"/>
        <w:rPr>
          <w:sz w:val="20"/>
          <w:szCs w:val="20"/>
          <w:color w:val="auto"/>
        </w:rPr>
      </w:pPr>
    </w:p>
    <w:p>
      <w:pPr>
        <w:jc w:val="both"/>
        <w:ind w:left="500" w:right="180"/>
        <w:spacing w:after="0" w:line="268" w:lineRule="auto"/>
        <w:rPr>
          <w:sz w:val="20"/>
          <w:szCs w:val="20"/>
          <w:color w:val="auto"/>
        </w:rPr>
      </w:pPr>
      <w:r>
        <w:rPr>
          <w:rFonts w:ascii="Arial" w:cs="Arial" w:eastAsia="Arial" w:hAnsi="Arial"/>
          <w:sz w:val="18"/>
          <w:szCs w:val="18"/>
          <w:color w:val="auto"/>
        </w:rPr>
        <w:t>The Company determined that all of the embedded features of the Temasek Facility and Amended Temasek Facility were clearly and closely related to the debt host and did not require bifurcation as a derivative liability, or the fair value of the feature was immaterial to the Company’s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Ares Facility</w:t>
      </w:r>
    </w:p>
    <w:p>
      <w:pPr>
        <w:spacing w:after="0" w:line="115"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In October 2020, the Company entered into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 resulted in the receipt of $ 100.0 million in exchange for the Ares Facility, Series G redeemable preferred stock and issuance of common stock warrants (the “Ares Financing Transaction”).</w:t>
      </w:r>
    </w:p>
    <w:p>
      <w:pPr>
        <w:spacing w:after="0" w:line="179"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The Ares Facility had an interest rate of 8% per annum accrued as noncash interest. The Ares Facility required quarterly principal payments of 0.25% of the original principal amount. The remaining principal balance would have become due in 2023. The Ares Facility required an exit payment of $1.5 million which was to be paid once the Ares Facility matured or the Ares Original Principal was paid in full.</w:t>
      </w:r>
    </w:p>
    <w:p>
      <w:pPr>
        <w:spacing w:after="0" w:line="176"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color w:val="auto"/>
        </w:rPr>
        <w:t>The Ares Facility was secured by a first priority lien over substantially all assets of the Company. The Ares Facility required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 The Ares Facility also required the Company to meet specified financial covenants that were measured based on predefined consolidated EBITDA thresholds. The Ares Facility required mandatory prepayment upon defined triggering events and permitted optional prepayments, and certain of the mandatory prepayment triggering items were subject to a prepayment premium. The Ares Facility contained various events of default, the occurrence of which could result in the acceleration of obligations under the Ares Facility.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effective interest rate for the period from the date of issuance through the date of repayment was 13.35%.</w:t>
      </w:r>
    </w:p>
    <w:p>
      <w:pPr>
        <w:spacing w:after="0" w:line="225" w:lineRule="exact"/>
        <w:rPr>
          <w:sz w:val="20"/>
          <w:szCs w:val="20"/>
          <w:color w:val="auto"/>
        </w:rPr>
      </w:pPr>
    </w:p>
    <w:p>
      <w:pPr>
        <w:ind w:left="500" w:right="80"/>
        <w:spacing w:after="0" w:line="268" w:lineRule="auto"/>
        <w:rPr>
          <w:sz w:val="20"/>
          <w:szCs w:val="20"/>
          <w:color w:val="auto"/>
        </w:rPr>
      </w:pPr>
      <w:r>
        <w:rPr>
          <w:rFonts w:ascii="Arial" w:cs="Arial" w:eastAsia="Arial" w:hAnsi="Arial"/>
          <w:sz w:val="18"/>
          <w:szCs w:val="18"/>
          <w:color w:val="auto"/>
        </w:rPr>
        <w:t>The Company determined that all of the embedded features of the Ares Facility were either clearly and closely related to the debt host and did not require bifurcation as a derivative liability, or the fair value of the feature was immaterial to the Company’s condensed consolidated financial statements.</w:t>
      </w:r>
    </w:p>
    <w:p>
      <w:pPr>
        <w:spacing w:after="0" w:line="198" w:lineRule="exact"/>
        <w:rPr>
          <w:sz w:val="20"/>
          <w:szCs w:val="20"/>
          <w:color w:val="auto"/>
        </w:rPr>
      </w:pPr>
    </w:p>
    <w:p>
      <w:pPr>
        <w:ind w:left="500" w:right="240"/>
        <w:spacing w:after="0" w:line="287" w:lineRule="auto"/>
        <w:rPr>
          <w:sz w:val="20"/>
          <w:szCs w:val="20"/>
          <w:color w:val="auto"/>
        </w:rPr>
      </w:pPr>
      <w:r>
        <w:rPr>
          <w:rFonts w:ascii="Arial" w:cs="Arial" w:eastAsia="Arial" w:hAnsi="Arial"/>
          <w:sz w:val="18"/>
          <w:szCs w:val="18"/>
          <w:color w:val="auto"/>
        </w:rPr>
        <w:t>In October 2021, the Company paid down the Ares Facility outstanding principal and accrued interest in full and terminated the Ares Facility. The Company recognized a $12.2 million loss on debt extinguishment related to this transaction.</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Covenants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applicable financial and nonfinancial covenants as of April 30,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rFonts w:ascii="Arial" w:cs="Arial" w:eastAsia="Arial" w:hAnsi="Arial"/>
          <w:sz w:val="18"/>
          <w:szCs w:val="18"/>
          <w:b w:val="1"/>
          <w:bCs w:val="1"/>
          <w:color w:val="auto"/>
        </w:rPr>
      </w:pPr>
    </w:p>
    <w:p>
      <w:pPr>
        <w:ind w:left="50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20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continues to maintain a full valuation allowance on all United States net deferred tax assets for all periods presented.</w:t>
      </w:r>
    </w:p>
    <w:p>
      <w:pPr>
        <w:spacing w:after="0" w:line="252" w:lineRule="exact"/>
        <w:rPr>
          <w:rFonts w:ascii="Arial" w:cs="Arial" w:eastAsia="Arial" w:hAnsi="Arial"/>
          <w:sz w:val="18"/>
          <w:szCs w:val="18"/>
          <w:b w:val="1"/>
          <w:bCs w:val="1"/>
          <w:color w:val="auto"/>
        </w:rPr>
      </w:pPr>
    </w:p>
    <w:p>
      <w:pPr>
        <w:ind w:left="5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 amount of unrecognized tax benefits as of April 30, 2022 and January 31, 2022 was $0.7 million and $0.7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r>
        <w:rPr>
          <w:rFonts w:ascii="Arial" w:cs="Arial" w:eastAsia="Arial" w:hAnsi="Arial"/>
          <w:sz w:val="21"/>
          <w:szCs w:val="21"/>
          <w:color w:val="auto"/>
        </w:rPr>
        <w:t>.</w:t>
      </w:r>
    </w:p>
    <w:p>
      <w:pPr>
        <w:spacing w:after="0" w:line="200" w:lineRule="exact"/>
        <w:rPr>
          <w:rFonts w:ascii="Arial" w:cs="Arial" w:eastAsia="Arial" w:hAnsi="Arial"/>
          <w:sz w:val="18"/>
          <w:szCs w:val="18"/>
          <w:b w:val="1"/>
          <w:bCs w:val="1"/>
          <w:color w:val="auto"/>
        </w:rPr>
      </w:pPr>
    </w:p>
    <w:p>
      <w:pPr>
        <w:spacing w:after="0" w:line="320" w:lineRule="exact"/>
        <w:rPr>
          <w:rFonts w:ascii="Arial" w:cs="Arial" w:eastAsia="Arial" w:hAnsi="Arial"/>
          <w:sz w:val="18"/>
          <w:szCs w:val="18"/>
          <w:b w:val="1"/>
          <w:bCs w:val="1"/>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January 31,</w:t>
            </w:r>
          </w:p>
        </w:tc>
      </w:tr>
      <w:tr>
        <w:trPr>
          <w:trHeight w:val="196"/>
        </w:trPr>
        <w:tc>
          <w:tcPr>
            <w:tcW w:w="7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265"/>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operating and general expenses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70"/>
        </w:trPr>
        <w:tc>
          <w:tcPr>
            <w:tcW w:w="7100" w:type="dxa"/>
            <w:vAlign w:val="bottom"/>
          </w:tcPr>
          <w:p>
            <w:pPr>
              <w:ind w:left="20"/>
              <w:spacing w:after="0"/>
              <w:rPr>
                <w:sz w:val="20"/>
                <w:szCs w:val="20"/>
                <w:color w:val="auto"/>
              </w:rPr>
            </w:pPr>
            <w:r>
              <w:rPr>
                <w:rFonts w:ascii="Arial" w:cs="Arial" w:eastAsia="Arial" w:hAnsi="Arial"/>
                <w:sz w:val="18"/>
                <w:szCs w:val="18"/>
                <w:color w:val="auto"/>
              </w:rPr>
              <w:t>Revenue share payable</w:t>
            </w:r>
          </w:p>
        </w:tc>
        <w:tc>
          <w:tcPr>
            <w:tcW w:w="10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related expenses</w:t>
            </w:r>
          </w:p>
        </w:tc>
        <w:tc>
          <w:tcPr>
            <w:tcW w:w="10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7100" w:type="dxa"/>
            <w:vAlign w:val="bottom"/>
          </w:tcPr>
          <w:p>
            <w:pPr>
              <w:ind w:left="20"/>
              <w:spacing w:after="0"/>
              <w:rPr>
                <w:sz w:val="20"/>
                <w:szCs w:val="20"/>
                <w:color w:val="auto"/>
              </w:rPr>
            </w:pPr>
            <w:r>
              <w:rPr>
                <w:rFonts w:ascii="Arial" w:cs="Arial" w:eastAsia="Arial" w:hAnsi="Arial"/>
                <w:sz w:val="18"/>
                <w:szCs w:val="18"/>
                <w:color w:val="auto"/>
              </w:rPr>
              <w:t>Sales and other taxes</w:t>
            </w:r>
          </w:p>
        </w:tc>
        <w:tc>
          <w:tcPr>
            <w:tcW w:w="10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financing</w:t>
            </w:r>
          </w:p>
        </w:tc>
        <w:tc>
          <w:tcPr>
            <w:tcW w:w="10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Gift card liability</w:t>
            </w:r>
          </w:p>
        </w:tc>
        <w:tc>
          <w:tcPr>
            <w:tcW w:w="10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8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26.1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5" w:lineRule="exact"/>
        <w:rPr>
          <w:rFonts w:ascii="Arial" w:cs="Arial" w:eastAsia="Arial" w:hAnsi="Arial"/>
          <w:sz w:val="18"/>
          <w:szCs w:val="18"/>
          <w:b w:val="1"/>
          <w:bCs w:val="1"/>
          <w:color w:val="auto"/>
        </w:rPr>
      </w:pPr>
    </w:p>
    <w:p>
      <w:pPr>
        <w:ind w:left="50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April 30, 2022 and January 31, 2022,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30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The Company’s long-term debt is reported at carrying value on the Company’s condensed consolidated balance sheet. Refer to Note 6</w:t>
      </w:r>
    </w:p>
    <w:p>
      <w:pPr>
        <w:spacing w:after="0" w:line="38" w:lineRule="exact"/>
        <w:rPr>
          <w:rFonts w:ascii="Arial" w:cs="Arial" w:eastAsia="Arial" w:hAnsi="Arial"/>
          <w:sz w:val="18"/>
          <w:szCs w:val="18"/>
          <w:b w:val="1"/>
          <w:bCs w:val="1"/>
          <w:color w:val="auto"/>
        </w:rPr>
      </w:pPr>
    </w:p>
    <w:p>
      <w:pPr>
        <w:ind w:left="500" w:right="36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 Long-Term Debt. The Company estimates the fair value of its long-term debt based on recently reported market transactions for similar financial instruments by companies with similar credit ratings and, as such, are classified as Level 2 within the fair value hierarchy. As of April 30, 2022, the estimated fair value of the Company’s long-term debt was $256.2 million.</w:t>
      </w:r>
    </w:p>
    <w:p>
      <w:pPr>
        <w:spacing w:after="0" w:line="313" w:lineRule="exact"/>
        <w:rPr>
          <w:sz w:val="20"/>
          <w:szCs w:val="20"/>
          <w:color w:val="auto"/>
        </w:rPr>
      </w:pPr>
    </w:p>
    <w:p>
      <w:pPr>
        <w:ind w:left="500" w:right="240"/>
        <w:spacing w:after="0" w:line="282" w:lineRule="auto"/>
        <w:rPr>
          <w:sz w:val="20"/>
          <w:szCs w:val="20"/>
          <w:color w:val="auto"/>
        </w:rPr>
      </w:pPr>
      <w:r>
        <w:rPr>
          <w:rFonts w:ascii="Arial" w:cs="Arial" w:eastAsia="Arial" w:hAnsi="Arial"/>
          <w:sz w:val="17"/>
          <w:szCs w:val="17"/>
          <w:color w:val="auto"/>
        </w:rPr>
        <w:t>The Company’s warrant liabilities were reported at fair value on the Company’s condensed consolidated balance sheet. The warrant liabilities were valued using a Black-Scholes option pricing model. The assumptions used in preparing the model include estimates such as volatility, contractual terms, dividend yield, expiration dates and risk-free interest rates. Prior to the Company’s IPO, this valuation model used unobservable market share price input on a recurring basis, and therefore was considered a Level 3 liability.</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roll forward of the fair value of the level 3 liabilities for the three months ended April 30, 2021:</w:t>
      </w:r>
    </w:p>
    <w:p>
      <w:pPr>
        <w:spacing w:after="0" w:line="26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Arial" w:cs="Arial" w:eastAsia="Arial" w:hAnsi="Arial"/>
                <w:sz w:val="14"/>
                <w:szCs w:val="14"/>
                <w:b w:val="1"/>
                <w:bCs w:val="1"/>
                <w:color w:val="auto"/>
              </w:rPr>
              <w:t>Warrant</w:t>
            </w:r>
          </w:p>
        </w:tc>
      </w:tr>
      <w:tr>
        <w:trPr>
          <w:trHeight w:val="185"/>
        </w:trPr>
        <w:tc>
          <w:tcPr>
            <w:tcW w:w="8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Liability</w:t>
            </w:r>
          </w:p>
        </w:tc>
      </w:tr>
      <w:tr>
        <w:trPr>
          <w:trHeight w:val="26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31, 2021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11.8</w:t>
            </w:r>
          </w:p>
        </w:tc>
      </w:tr>
      <w:tr>
        <w:trPr>
          <w:trHeight w:val="270"/>
        </w:trPr>
        <w:tc>
          <w:tcPr>
            <w:tcW w:w="86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Changes in estimated fair value</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(0.5)</w:t>
            </w:r>
          </w:p>
        </w:tc>
      </w:tr>
      <w:tr>
        <w:trPr>
          <w:trHeight w:val="288"/>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April 30, 2021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11.3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outstanding liability-classified warrants as of April 30, 2022 and January 31, 2022.</w:t>
      </w:r>
    </w:p>
    <w:p>
      <w:pPr>
        <w:spacing w:after="0" w:line="320"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w:t>
      </w:r>
    </w:p>
    <w:p>
      <w:pPr>
        <w:spacing w:after="0" w:line="225" w:lineRule="exact"/>
        <w:rPr>
          <w:rFonts w:ascii="Arial" w:cs="Arial" w:eastAsia="Arial" w:hAnsi="Arial"/>
          <w:sz w:val="18"/>
          <w:szCs w:val="18"/>
          <w:b w:val="1"/>
          <w:bCs w:val="1"/>
          <w:color w:val="auto"/>
        </w:rPr>
      </w:pPr>
    </w:p>
    <w:p>
      <w:pPr>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April 30, 2021, the Company sold 1,157,398 shares of Series G redeemable preferred stock in exchange for $17.1 million. Upon consummation of the IPO, the Company’s outstanding redeemable preferred stock converted into an equivalent amount of shares of Class A common stock. There was no redeemable preferred stock as of April 30, 2022 and January 31, 2022.</w:t>
      </w:r>
    </w:p>
    <w:p>
      <w:pPr>
        <w:spacing w:after="0" w:line="284" w:lineRule="exact"/>
        <w:rPr>
          <w:rFonts w:ascii="Arial" w:cs="Arial" w:eastAsia="Arial" w:hAnsi="Arial"/>
          <w:sz w:val="18"/>
          <w:szCs w:val="18"/>
          <w:b w:val="1"/>
          <w:bCs w:val="1"/>
          <w:color w:val="auto"/>
        </w:rPr>
      </w:pPr>
    </w:p>
    <w:p>
      <w:pPr>
        <w:ind w:left="500" w:right="8960" w:hanging="492"/>
        <w:spacing w:after="0" w:line="397" w:lineRule="auto"/>
        <w:tabs>
          <w:tab w:leader="none" w:pos="484"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Common Stock</w:t>
      </w:r>
    </w:p>
    <w:p>
      <w:pPr>
        <w:spacing w:after="0" w:line="1" w:lineRule="exact"/>
        <w:rPr>
          <w:rFonts w:ascii="Arial" w:cs="Arial" w:eastAsia="Arial" w:hAnsi="Arial"/>
          <w:sz w:val="17"/>
          <w:szCs w:val="17"/>
          <w:b w:val="1"/>
          <w:bCs w:val="1"/>
          <w:color w:val="auto"/>
        </w:rPr>
      </w:pPr>
    </w:p>
    <w:p>
      <w:pPr>
        <w:ind w:left="500" w:right="2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5" w:lineRule="exact"/>
        <w:rPr>
          <w:sz w:val="20"/>
          <w:szCs w:val="20"/>
          <w:color w:val="auto"/>
        </w:rPr>
      </w:pPr>
    </w:p>
    <w:p>
      <w:pPr>
        <w:ind w:left="500" w:right="100"/>
        <w:spacing w:after="0" w:line="287" w:lineRule="auto"/>
        <w:rPr>
          <w:sz w:val="20"/>
          <w:szCs w:val="20"/>
          <w:color w:val="auto"/>
        </w:rPr>
      </w:pPr>
      <w:r>
        <w:rPr>
          <w:rFonts w:ascii="Arial" w:cs="Arial" w:eastAsia="Arial" w:hAnsi="Arial"/>
          <w:sz w:val="18"/>
          <w:szCs w:val="18"/>
          <w:color w:val="auto"/>
        </w:rPr>
        <w:t>Upon the IPO, the Company authorized 10,000,000 shares of preferred stock, with a par value of $0.001 per share. No shares were issued or outstanding as of April 30, 2022.</w:t>
      </w: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30, 2022 and January 31, 2022, the Company had the following outstanding warrants:</w:t>
      </w:r>
    </w:p>
    <w:p>
      <w:pPr>
        <w:spacing w:after="0" w:line="289"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April 30, 2022</w:t>
            </w: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3"/>
        </w:trPr>
        <w:tc>
          <w:tcPr>
            <w:tcW w:w="274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400" w:type="dxa"/>
            <w:vAlign w:val="bottom"/>
          </w:tcPr>
          <w:p>
            <w:pPr>
              <w:jc w:val="right"/>
              <w:ind w:right="25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6"/>
                <w:szCs w:val="16"/>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Class of</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6"/>
                <w:szCs w:val="16"/>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2740" w:type="dxa"/>
            <w:vAlign w:val="bottom"/>
          </w:tcPr>
          <w:p>
            <w:pPr>
              <w:ind w:left="620"/>
              <w:spacing w:after="0"/>
              <w:rPr>
                <w:sz w:val="20"/>
                <w:szCs w:val="20"/>
                <w:color w:val="auto"/>
              </w:rPr>
            </w:pPr>
            <w:r>
              <w:rPr>
                <w:rFonts w:ascii="Arial" w:cs="Arial" w:eastAsia="Arial" w:hAnsi="Arial"/>
                <w:sz w:val="14"/>
                <w:szCs w:val="14"/>
                <w:b w:val="1"/>
                <w:bCs w:val="1"/>
                <w:color w:val="auto"/>
              </w:rPr>
              <w:t>Outstanding Warrants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Issued</w:t>
            </w:r>
          </w:p>
        </w:tc>
        <w:tc>
          <w:tcPr>
            <w:tcW w:w="1400" w:type="dxa"/>
            <w:vAlign w:val="bottom"/>
          </w:tcPr>
          <w:p>
            <w:pPr>
              <w:jc w:val="right"/>
              <w:ind w:right="3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8"/>
                <w:szCs w:val="18"/>
                <w:color w:val="auto"/>
              </w:rPr>
            </w:pPr>
          </w:p>
        </w:tc>
        <w:tc>
          <w:tcPr>
            <w:tcW w:w="1220" w:type="dxa"/>
            <w:vAlign w:val="bottom"/>
          </w:tcPr>
          <w:p>
            <w:pPr>
              <w:jc w:val="right"/>
              <w:ind w:right="253"/>
              <w:spacing w:after="0"/>
              <w:rPr>
                <w:sz w:val="20"/>
                <w:szCs w:val="20"/>
                <w:color w:val="auto"/>
              </w:rPr>
            </w:pPr>
            <w:r>
              <w:rPr>
                <w:rFonts w:ascii="Arial" w:cs="Arial" w:eastAsia="Arial" w:hAnsi="Arial"/>
                <w:sz w:val="14"/>
                <w:szCs w:val="14"/>
                <w:b w:val="1"/>
                <w:bCs w:val="1"/>
                <w:color w:val="auto"/>
              </w:rPr>
              <w:t>at Issuance</w:t>
            </w:r>
          </w:p>
        </w:tc>
      </w:tr>
      <w:tr>
        <w:trPr>
          <w:trHeight w:val="251"/>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Nov-16</w:t>
            </w:r>
          </w:p>
        </w:tc>
        <w:tc>
          <w:tcPr>
            <w:tcW w:w="1400" w:type="dxa"/>
            <w:vAlign w:val="bottom"/>
          </w:tcPr>
          <w:p>
            <w:pPr>
              <w:jc w:val="right"/>
              <w:spacing w:after="0"/>
              <w:rPr>
                <w:sz w:val="20"/>
                <w:szCs w:val="20"/>
                <w:color w:val="auto"/>
              </w:rPr>
            </w:pPr>
            <w:r>
              <w:rPr>
                <w:rFonts w:ascii="Arial" w:cs="Arial" w:eastAsia="Arial" w:hAnsi="Arial"/>
                <w:sz w:val="18"/>
                <w:szCs w:val="18"/>
                <w:color w:val="auto"/>
              </w:rPr>
              <w:t>82,891</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  $</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Jun-17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Sep-17</w:t>
            </w:r>
          </w:p>
        </w:tc>
        <w:tc>
          <w:tcPr>
            <w:tcW w:w="1400" w:type="dxa"/>
            <w:vAlign w:val="bottom"/>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Jan-18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Apr-18</w:t>
            </w:r>
          </w:p>
        </w:tc>
        <w:tc>
          <w:tcPr>
            <w:tcW w:w="1400" w:type="dxa"/>
            <w:vAlign w:val="bottom"/>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Nov-15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Jun-16</w:t>
            </w:r>
          </w:p>
        </w:tc>
        <w:tc>
          <w:tcPr>
            <w:tcW w:w="1400" w:type="dxa"/>
            <w:vAlign w:val="bottom"/>
          </w:tcPr>
          <w:p>
            <w:pPr>
              <w:jc w:val="right"/>
              <w:spacing w:after="0"/>
              <w:rPr>
                <w:sz w:val="20"/>
                <w:szCs w:val="20"/>
                <w:color w:val="auto"/>
              </w:rPr>
            </w:pPr>
            <w:r>
              <w:rPr>
                <w:rFonts w:ascii="Arial" w:cs="Arial" w:eastAsia="Arial" w:hAnsi="Arial"/>
                <w:sz w:val="18"/>
                <w:szCs w:val="18"/>
                <w:color w:val="auto"/>
              </w:rPr>
              <w:t>28,172</w:t>
            </w:r>
          </w:p>
        </w:tc>
        <w:tc>
          <w:tcPr>
            <w:tcW w:w="100" w:type="dxa"/>
            <w:vAlign w:val="bottom"/>
          </w:tcPr>
          <w:p>
            <w:pPr>
              <w:spacing w:after="0"/>
              <w:rPr>
                <w:sz w:val="23"/>
                <w:szCs w:val="23"/>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Sep-16</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10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Oct-21</w:t>
            </w:r>
          </w:p>
        </w:tc>
        <w:tc>
          <w:tcPr>
            <w:tcW w:w="1400" w:type="dxa"/>
            <w:vAlign w:val="bottom"/>
          </w:tcPr>
          <w:p>
            <w:pPr>
              <w:jc w:val="right"/>
              <w:spacing w:after="0"/>
              <w:rPr>
                <w:sz w:val="20"/>
                <w:szCs w:val="20"/>
                <w:color w:val="auto"/>
              </w:rPr>
            </w:pPr>
            <w:r>
              <w:rPr>
                <w:rFonts w:ascii="Arial" w:cs="Arial" w:eastAsia="Arial" w:hAnsi="Arial"/>
                <w:sz w:val="18"/>
                <w:szCs w:val="18"/>
                <w:color w:val="auto"/>
              </w:rPr>
              <w:t>394,343</w:t>
            </w:r>
          </w:p>
        </w:tc>
        <w:tc>
          <w:tcPr>
            <w:tcW w:w="100" w:type="dxa"/>
            <w:vAlign w:val="bottom"/>
          </w:tcPr>
          <w:p>
            <w:pPr>
              <w:spacing w:after="0"/>
              <w:rPr>
                <w:sz w:val="21"/>
                <w:szCs w:val="21"/>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
        </w:trPr>
        <w:tc>
          <w:tcPr>
            <w:tcW w:w="27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7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631,583</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The warrant for 730,000 shares of common stock issued to Double Helix (Temasek) in July 2018 with an exercise price of $27.40 per share expired unexercised during the three months ended April 30, 2022.</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January 31, 2022</w:t>
            </w: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80"/>
        </w:trPr>
        <w:tc>
          <w:tcPr>
            <w:tcW w:w="274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400" w:type="dxa"/>
            <w:vAlign w:val="bottom"/>
          </w:tcPr>
          <w:p>
            <w:pPr>
              <w:jc w:val="right"/>
              <w:ind w:right="25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Class of</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5"/>
                <w:szCs w:val="15"/>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2740" w:type="dxa"/>
            <w:vAlign w:val="bottom"/>
          </w:tcPr>
          <w:p>
            <w:pPr>
              <w:ind w:left="620"/>
              <w:spacing w:after="0"/>
              <w:rPr>
                <w:sz w:val="20"/>
                <w:szCs w:val="20"/>
                <w:color w:val="auto"/>
              </w:rPr>
            </w:pPr>
            <w:r>
              <w:rPr>
                <w:rFonts w:ascii="Arial" w:cs="Arial" w:eastAsia="Arial" w:hAnsi="Arial"/>
                <w:sz w:val="14"/>
                <w:szCs w:val="14"/>
                <w:b w:val="1"/>
                <w:bCs w:val="1"/>
                <w:color w:val="auto"/>
              </w:rPr>
              <w:t>Outstanding Warrants</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Issued</w:t>
            </w:r>
          </w:p>
        </w:tc>
        <w:tc>
          <w:tcPr>
            <w:tcW w:w="1400" w:type="dxa"/>
            <w:vAlign w:val="bottom"/>
          </w:tcPr>
          <w:p>
            <w:pPr>
              <w:jc w:val="right"/>
              <w:ind w:right="37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9"/>
                <w:szCs w:val="19"/>
                <w:color w:val="auto"/>
              </w:rPr>
            </w:pPr>
          </w:p>
        </w:tc>
        <w:tc>
          <w:tcPr>
            <w:tcW w:w="1220" w:type="dxa"/>
            <w:vAlign w:val="bottom"/>
          </w:tcPr>
          <w:p>
            <w:pPr>
              <w:jc w:val="right"/>
              <w:ind w:right="253"/>
              <w:spacing w:after="0"/>
              <w:rPr>
                <w:sz w:val="20"/>
                <w:szCs w:val="20"/>
                <w:color w:val="auto"/>
              </w:rPr>
            </w:pPr>
            <w:r>
              <w:rPr>
                <w:rFonts w:ascii="Arial" w:cs="Arial" w:eastAsia="Arial" w:hAnsi="Arial"/>
                <w:sz w:val="14"/>
                <w:szCs w:val="14"/>
                <w:b w:val="1"/>
                <w:bCs w:val="1"/>
                <w:color w:val="auto"/>
              </w:rPr>
              <w:t>at Issuance</w:t>
            </w:r>
          </w:p>
        </w:tc>
      </w:tr>
      <w:tr>
        <w:trPr>
          <w:trHeight w:val="257"/>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classified:</w:t>
            </w:r>
          </w:p>
        </w:tc>
        <w:tc>
          <w:tcPr>
            <w:tcW w:w="14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Nov-16</w:t>
            </w:r>
          </w:p>
        </w:tc>
        <w:tc>
          <w:tcPr>
            <w:tcW w:w="1400" w:type="dxa"/>
            <w:vAlign w:val="bottom"/>
          </w:tcPr>
          <w:p>
            <w:pPr>
              <w:jc w:val="right"/>
              <w:spacing w:after="0"/>
              <w:rPr>
                <w:sz w:val="20"/>
                <w:szCs w:val="20"/>
                <w:color w:val="auto"/>
              </w:rPr>
            </w:pPr>
            <w:r>
              <w:rPr>
                <w:rFonts w:ascii="Arial" w:cs="Arial" w:eastAsia="Arial" w:hAnsi="Arial"/>
                <w:sz w:val="18"/>
                <w:szCs w:val="18"/>
                <w:color w:val="auto"/>
              </w:rPr>
              <w:t>82,891</w:t>
            </w:r>
          </w:p>
        </w:tc>
        <w:tc>
          <w:tcPr>
            <w:tcW w:w="100" w:type="dxa"/>
            <w:vAlign w:val="bottom"/>
          </w:tcPr>
          <w:p>
            <w:pPr>
              <w:spacing w:after="0"/>
              <w:rPr>
                <w:sz w:val="21"/>
                <w:szCs w:val="21"/>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  $</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Jun-17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Sep-17</w:t>
            </w:r>
          </w:p>
        </w:tc>
        <w:tc>
          <w:tcPr>
            <w:tcW w:w="1400" w:type="dxa"/>
            <w:vAlign w:val="bottom"/>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tcPr>
          <w:p>
            <w:pPr>
              <w:spacing w:after="0"/>
              <w:rPr>
                <w:sz w:val="21"/>
                <w:szCs w:val="21"/>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Jan-18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Apr-18</w:t>
            </w:r>
          </w:p>
        </w:tc>
        <w:tc>
          <w:tcPr>
            <w:tcW w:w="1400" w:type="dxa"/>
            <w:vAlign w:val="bottom"/>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tcPr>
          <w:p>
            <w:pPr>
              <w:spacing w:after="0"/>
              <w:rPr>
                <w:sz w:val="21"/>
                <w:szCs w:val="21"/>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Nov-15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Jun-16</w:t>
            </w:r>
          </w:p>
        </w:tc>
        <w:tc>
          <w:tcPr>
            <w:tcW w:w="1400" w:type="dxa"/>
            <w:vAlign w:val="bottom"/>
          </w:tcPr>
          <w:p>
            <w:pPr>
              <w:jc w:val="right"/>
              <w:spacing w:after="0"/>
              <w:rPr>
                <w:sz w:val="20"/>
                <w:szCs w:val="20"/>
                <w:color w:val="auto"/>
              </w:rPr>
            </w:pPr>
            <w:r>
              <w:rPr>
                <w:rFonts w:ascii="Arial" w:cs="Arial" w:eastAsia="Arial" w:hAnsi="Arial"/>
                <w:sz w:val="18"/>
                <w:szCs w:val="18"/>
                <w:color w:val="auto"/>
              </w:rPr>
              <w:t>28,172</w:t>
            </w:r>
          </w:p>
        </w:tc>
        <w:tc>
          <w:tcPr>
            <w:tcW w:w="100" w:type="dxa"/>
            <w:vAlign w:val="bottom"/>
          </w:tcPr>
          <w:p>
            <w:pPr>
              <w:spacing w:after="0"/>
              <w:rPr>
                <w:sz w:val="21"/>
                <w:szCs w:val="21"/>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TriplePoint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Sep-16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2740" w:type="dxa"/>
            <w:vAlign w:val="bottom"/>
          </w:tcPr>
          <w:p>
            <w:pPr>
              <w:ind w:left="20"/>
              <w:spacing w:after="0"/>
              <w:rPr>
                <w:sz w:val="20"/>
                <w:szCs w:val="20"/>
                <w:color w:val="auto"/>
              </w:rPr>
            </w:pPr>
            <w:r>
              <w:rPr>
                <w:rFonts w:ascii="Arial" w:cs="Arial" w:eastAsia="Arial" w:hAnsi="Arial"/>
                <w:sz w:val="18"/>
                <w:szCs w:val="18"/>
                <w:color w:val="auto"/>
              </w:rPr>
              <w:t>Double Helix (Temasek)</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Jul-18</w:t>
            </w:r>
          </w:p>
        </w:tc>
        <w:tc>
          <w:tcPr>
            <w:tcW w:w="1400" w:type="dxa"/>
            <w:vAlign w:val="bottom"/>
          </w:tcPr>
          <w:p>
            <w:pPr>
              <w:jc w:val="right"/>
              <w:spacing w:after="0"/>
              <w:rPr>
                <w:sz w:val="20"/>
                <w:szCs w:val="20"/>
                <w:color w:val="auto"/>
              </w:rPr>
            </w:pPr>
            <w:r>
              <w:rPr>
                <w:rFonts w:ascii="Arial" w:cs="Arial" w:eastAsia="Arial" w:hAnsi="Arial"/>
                <w:sz w:val="18"/>
                <w:szCs w:val="18"/>
                <w:color w:val="auto"/>
              </w:rPr>
              <w:t>730,000</w:t>
            </w:r>
          </w:p>
        </w:tc>
        <w:tc>
          <w:tcPr>
            <w:tcW w:w="100" w:type="dxa"/>
            <w:vAlign w:val="bottom"/>
          </w:tcPr>
          <w:p>
            <w:pPr>
              <w:spacing w:after="0"/>
              <w:rPr>
                <w:sz w:val="21"/>
                <w:szCs w:val="21"/>
                <w:color w:val="auto"/>
              </w:rPr>
            </w:pPr>
          </w:p>
        </w:tc>
        <w:tc>
          <w:tcPr>
            <w:tcW w:w="1760" w:type="dxa"/>
            <w:vAlign w:val="bottom"/>
            <w:gridSpan w:val="3"/>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Double Helix (Temasek)</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Oct-21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394,343</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Common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0"/>
        </w:trPr>
        <w:tc>
          <w:tcPr>
            <w:tcW w:w="2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1,361,583</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3"/>
        </w:trPr>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outstanding liability-classified warrants as of April 30, 2022 and January 31, 2022.</w:t>
      </w:r>
    </w:p>
    <w:p>
      <w:pPr>
        <w:spacing w:after="0" w:line="225"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U.S. Treasury yield curves.</w:t>
      </w:r>
    </w:p>
    <w:p>
      <w:pPr>
        <w:sectPr>
          <w:pgSz w:w="11900" w:h="16838" w:orient="portrait"/>
          <w:cols w:equalWidth="0" w:num="1">
            <w:col w:w="11060"/>
          </w:cols>
          <w:pgMar w:left="320" w:top="117" w:right="5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388" w:lineRule="exact"/>
        <w:rPr>
          <w:sz w:val="20"/>
          <w:szCs w:val="20"/>
          <w:color w:val="auto"/>
        </w:rPr>
      </w:pPr>
    </w:p>
    <w:p>
      <w:pPr>
        <w:ind w:left="500" w:right="120"/>
        <w:spacing w:after="0" w:line="256" w:lineRule="auto"/>
        <w:rPr>
          <w:sz w:val="20"/>
          <w:szCs w:val="20"/>
          <w:color w:val="auto"/>
        </w:rPr>
      </w:pPr>
      <w:r>
        <w:rPr>
          <w:rFonts w:ascii="Arial" w:cs="Arial" w:eastAsia="Arial" w:hAnsi="Arial"/>
          <w:sz w:val="18"/>
          <w:szCs w:val="18"/>
          <w:color w:val="auto"/>
        </w:rPr>
        <w:t>The Company issued preferred and common stock warrants in conjunction with the issuance of long-term debt. The preferred stock warrants were accounted for as liabilities primarily because the shares underlying the warrants contained contingent redemption features outside the control of the Company. The liability classified warrants were subject to remeasurement at each balance sheet date. With each such re-measurement, the liability classified warrants were adjusted to current fair value recognized as a gain or loss in the condensed consolidated statements of operations. The Company reassessed the classification of the warrants at each balance sheet date. If the classification changed as a result of events during the period, the warrants were reclassified as of the date of the event that caused the reclassification.</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30, 2022 and January 31, 2022, all outstanding warrants were equity-classified and recorded as additional paid-in capital.</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Equity-classified contracts are not subsequently remeasured unless reclassification is required from equity to liability classification.</w:t>
      </w:r>
    </w:p>
    <w:p>
      <w:pPr>
        <w:spacing w:after="0" w:line="315"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5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2009 Stock Incentive Plan and 2019 Stock Incentive Plan</w:t>
      </w:r>
    </w:p>
    <w:p>
      <w:pPr>
        <w:spacing w:after="0" w:line="250" w:lineRule="exact"/>
        <w:rPr>
          <w:rFonts w:ascii="Arial" w:cs="Arial" w:eastAsia="Arial" w:hAnsi="Arial"/>
          <w:sz w:val="18"/>
          <w:szCs w:val="18"/>
          <w:b w:val="1"/>
          <w:bCs w:val="1"/>
          <w:color w:val="auto"/>
        </w:rPr>
      </w:pPr>
    </w:p>
    <w:p>
      <w:pPr>
        <w:ind w:left="50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spacing w:after="0" w:line="20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Amended and Restated 2021 Incentive Award Plan</w:t>
      </w:r>
    </w:p>
    <w:p>
      <w:pPr>
        <w:spacing w:after="0" w:line="250"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three months ended April 30, 2022 have a shorter vesting period of one to two years. As of April 30, 2022, there were 4,237,886 shares of Class A common stock available for issuance under the 2021 Plan. There will not be any further equity grants of Class B common stock.</w:t>
      </w:r>
    </w:p>
    <w:p>
      <w:pPr>
        <w:spacing w:after="0" w:line="211" w:lineRule="exact"/>
        <w:rPr>
          <w:rFonts w:ascii="Arial" w:cs="Arial" w:eastAsia="Arial" w:hAnsi="Arial"/>
          <w:sz w:val="18"/>
          <w:szCs w:val="18"/>
          <w:b w:val="1"/>
          <w:bCs w:val="1"/>
          <w:color w:val="auto"/>
        </w:rPr>
      </w:pPr>
    </w:p>
    <w:p>
      <w:pPr>
        <w:ind w:left="50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option activity during the period indicated is as follows:</w:t>
      </w:r>
    </w:p>
    <w:p>
      <w:pPr>
        <w:spacing w:after="0" w:line="289"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3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3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w:t>
            </w:r>
          </w:p>
        </w:tc>
        <w:tc>
          <w:tcPr>
            <w:tcW w:w="220" w:type="dxa"/>
            <w:vAlign w:val="bottom"/>
          </w:tcPr>
          <w:p>
            <w:pPr>
              <w:spacing w:after="0"/>
              <w:rPr>
                <w:sz w:val="15"/>
                <w:szCs w:val="15"/>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3800" w:type="dxa"/>
            <w:vAlign w:val="bottom"/>
          </w:tcPr>
          <w:p>
            <w:pPr>
              <w:spacing w:after="0"/>
              <w:rPr>
                <w:sz w:val="15"/>
                <w:szCs w:val="15"/>
                <w:color w:val="auto"/>
              </w:rPr>
            </w:pPr>
          </w:p>
        </w:tc>
        <w:tc>
          <w:tcPr>
            <w:tcW w:w="1320" w:type="dxa"/>
            <w:vAlign w:val="bottom"/>
          </w:tcPr>
          <w:p>
            <w:pPr>
              <w:jc w:val="right"/>
              <w:ind w:right="215"/>
              <w:spacing w:after="0"/>
              <w:rPr>
                <w:sz w:val="20"/>
                <w:szCs w:val="20"/>
                <w:color w:val="auto"/>
              </w:rPr>
            </w:pPr>
            <w:r>
              <w:rPr>
                <w:rFonts w:ascii="Arial" w:cs="Arial" w:eastAsia="Arial" w:hAnsi="Arial"/>
                <w:sz w:val="14"/>
                <w:szCs w:val="14"/>
                <w:b w:val="1"/>
                <w:bCs w:val="1"/>
                <w:color w:val="auto"/>
              </w:rPr>
              <w:t>Number of</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Exercise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5"/>
                <w:szCs w:val="15"/>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rPr>
              <w:t>Intrinsic</w:t>
            </w:r>
          </w:p>
        </w:tc>
      </w:tr>
      <w:tr>
        <w:trPr>
          <w:trHeight w:val="211"/>
        </w:trPr>
        <w:tc>
          <w:tcPr>
            <w:tcW w:w="38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Value</w:t>
            </w:r>
          </w:p>
        </w:tc>
      </w:tr>
      <w:tr>
        <w:trPr>
          <w:trHeight w:val="244"/>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January 31, 2022</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9,470,170</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3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3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(1,600)</w:t>
            </w: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3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(287,586)</w:t>
            </w:r>
          </w:p>
        </w:tc>
        <w:tc>
          <w:tcPr>
            <w:tcW w:w="66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10.41</w:t>
            </w:r>
          </w:p>
        </w:tc>
        <w:tc>
          <w:tcPr>
            <w:tcW w:w="22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r>
      <w:tr>
        <w:trPr>
          <w:trHeight w:val="263"/>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as of April 30, 2022</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9,180,984</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68"/>
        </w:trPr>
        <w:tc>
          <w:tcPr>
            <w:tcW w:w="3800" w:type="dxa"/>
            <w:vAlign w:val="bottom"/>
          </w:tcPr>
          <w:p>
            <w:pPr>
              <w:ind w:left="20"/>
              <w:spacing w:after="0"/>
              <w:rPr>
                <w:sz w:val="20"/>
                <w:szCs w:val="20"/>
                <w:color w:val="auto"/>
              </w:rPr>
            </w:pPr>
            <w:r>
              <w:rPr>
                <w:rFonts w:ascii="Arial" w:cs="Arial" w:eastAsia="Arial" w:hAnsi="Arial"/>
                <w:sz w:val="18"/>
                <w:szCs w:val="18"/>
                <w:color w:val="auto"/>
              </w:rPr>
              <w:t>Exercisable as of April 30, 2022</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5,250,102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6.72</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total intrinsic value of stock options exercised for the three months ended April 30, 2022 was nominal.</w:t>
      </w:r>
    </w:p>
    <w:p>
      <w:pPr>
        <w:spacing w:after="0" w:line="225"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As of April 30, 2022, there was $14.3 million of unrecognized compensation cost related to stock options granted that is expected to be recognized over a weighted average period of 2.9 years.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currently uses authorized and unissued shares to satisfy the exercise of stock option awards.</w:t>
      </w:r>
    </w:p>
    <w:p>
      <w:pPr>
        <w:spacing w:after="0" w:line="200" w:lineRule="exact"/>
        <w:rPr>
          <w:sz w:val="20"/>
          <w:szCs w:val="20"/>
          <w:color w:val="auto"/>
        </w:rPr>
      </w:pPr>
    </w:p>
    <w:p>
      <w:pPr>
        <w:spacing w:after="0" w:line="3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RSUs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RSUs activity during the period indicated is as follows:</w:t>
      </w:r>
    </w:p>
    <w:p>
      <w:pPr>
        <w:spacing w:after="0" w:line="28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7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Average</w:t>
            </w:r>
          </w:p>
        </w:tc>
      </w:tr>
      <w:tr>
        <w:trPr>
          <w:trHeight w:val="175"/>
        </w:trPr>
        <w:tc>
          <w:tcPr>
            <w:tcW w:w="7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rPr>
              <w:t>Grant-Date</w:t>
            </w:r>
          </w:p>
        </w:tc>
      </w:tr>
      <w:tr>
        <w:trPr>
          <w:trHeight w:val="162"/>
        </w:trPr>
        <w:tc>
          <w:tcPr>
            <w:tcW w:w="7220" w:type="dxa"/>
            <w:vAlign w:val="bottom"/>
          </w:tcPr>
          <w:p>
            <w:pPr>
              <w:spacing w:after="0"/>
              <w:rPr>
                <w:sz w:val="14"/>
                <w:szCs w:val="14"/>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72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per Share</w:t>
            </w: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January 31, 2022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2,428,574</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47"/>
        </w:trPr>
        <w:tc>
          <w:tcPr>
            <w:tcW w:w="722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4,451,572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3"/>
        </w:trPr>
        <w:tc>
          <w:tcPr>
            <w:tcW w:w="7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(892,505)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47"/>
        </w:trPr>
        <w:tc>
          <w:tcPr>
            <w:tcW w:w="722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(150,733)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3"/>
        </w:trPr>
        <w:tc>
          <w:tcPr>
            <w:tcW w:w="7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9"/>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as of April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5,836,908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78" w:lineRule="exact"/>
        <w:rPr>
          <w:sz w:val="20"/>
          <w:szCs w:val="20"/>
          <w:color w:val="auto"/>
        </w:rPr>
      </w:pPr>
    </w:p>
    <w:p>
      <w:pPr>
        <w:ind w:left="500" w:right="580"/>
        <w:spacing w:after="0" w:line="287" w:lineRule="auto"/>
        <w:rPr>
          <w:sz w:val="20"/>
          <w:szCs w:val="20"/>
          <w:color w:val="auto"/>
        </w:rPr>
      </w:pPr>
      <w:r>
        <w:rPr>
          <w:rFonts w:ascii="Arial" w:cs="Arial" w:eastAsia="Arial" w:hAnsi="Arial"/>
          <w:sz w:val="18"/>
          <w:szCs w:val="18"/>
          <w:color w:val="auto"/>
        </w:rPr>
        <w:t>As of April 30, 2022, there was $20.5 million of unrecognized compensation cost related to RSUs granted that is expected to be recognized over a weighted average period of 1.9 years.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Share-Based Compensation Summary</w:t>
      </w:r>
    </w:p>
    <w:p>
      <w:pPr>
        <w:spacing w:after="0" w:line="156" w:lineRule="exact"/>
        <w:rPr>
          <w:sz w:val="20"/>
          <w:szCs w:val="20"/>
          <w:color w:val="auto"/>
        </w:rPr>
      </w:pPr>
    </w:p>
    <w:p>
      <w:pPr>
        <w:ind w:left="500" w:right="460"/>
        <w:spacing w:after="0" w:line="287" w:lineRule="auto"/>
        <w:rPr>
          <w:sz w:val="20"/>
          <w:szCs w:val="20"/>
          <w:color w:val="auto"/>
        </w:rPr>
      </w:pPr>
      <w:r>
        <w:rPr>
          <w:rFonts w:ascii="Arial" w:cs="Arial" w:eastAsia="Arial" w:hAnsi="Arial"/>
          <w:sz w:val="18"/>
          <w:szCs w:val="18"/>
          <w:color w:val="auto"/>
        </w:rPr>
        <w:t>The classification of share-based compensation for the three months ended April 30, 2022 presented within each line item of the condensed consolidated statements of operations is as follows:</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6000" w:type="dxa"/>
            <w:vAlign w:val="bottom"/>
            <w:tcBorders>
              <w:bottom w:val="single" w:sz="8" w:color="CCEEFF"/>
            </w:tcBorders>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00" w:type="dxa"/>
            <w:vAlign w:val="bottom"/>
            <w:tcBorders>
              <w:bottom w:val="single" w:sz="8" w:color="auto"/>
            </w:tcBorders>
          </w:tcPr>
          <w:p>
            <w:pPr>
              <w:spacing w:after="0"/>
              <w:rPr>
                <w:sz w:val="17"/>
                <w:szCs w:val="17"/>
                <w:color w:val="auto"/>
              </w:rPr>
            </w:pPr>
          </w:p>
        </w:tc>
      </w:tr>
      <w:tr>
        <w:trPr>
          <w:trHeight w:val="202"/>
        </w:trPr>
        <w:tc>
          <w:tcPr>
            <w:tcW w:w="60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shd w:val="clear" w:color="auto" w:fill="CCEEFF"/>
          </w:tcPr>
          <w:p>
            <w:pPr>
              <w:spacing w:after="0"/>
              <w:rPr>
                <w:sz w:val="17"/>
                <w:szCs w:val="17"/>
                <w:color w:val="auto"/>
              </w:rPr>
            </w:pPr>
          </w:p>
        </w:tc>
      </w:tr>
      <w:tr>
        <w:trPr>
          <w:trHeight w:val="264"/>
        </w:trPr>
        <w:tc>
          <w:tcPr>
            <w:tcW w:w="600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88"/>
        </w:trPr>
        <w:tc>
          <w:tcPr>
            <w:tcW w:w="6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share-based compensation</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17" w:lineRule="exact"/>
        <w:rPr>
          <w:rFonts w:ascii="Arial" w:cs="Arial" w:eastAsia="Arial" w:hAnsi="Arial"/>
          <w:sz w:val="18"/>
          <w:szCs w:val="18"/>
          <w:b w:val="1"/>
          <w:bCs w:val="1"/>
          <w:color w:val="auto"/>
        </w:rPr>
      </w:pPr>
    </w:p>
    <w:p>
      <w:pPr>
        <w:ind w:left="500" w:right="3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17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89"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Three Months Ended April 30,</w:t>
            </w:r>
          </w:p>
        </w:tc>
      </w:tr>
      <w:tr>
        <w:trPr>
          <w:trHeight w:val="202"/>
        </w:trPr>
        <w:tc>
          <w:tcPr>
            <w:tcW w:w="7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251"/>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70"/>
        </w:trPr>
        <w:tc>
          <w:tcPr>
            <w:tcW w:w="7180" w:type="dxa"/>
            <w:vAlign w:val="bottom"/>
          </w:tcPr>
          <w:p>
            <w:pPr>
              <w:ind w:left="44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4"/>
        </w:trPr>
        <w:tc>
          <w:tcPr>
            <w:tcW w:w="7180" w:type="dxa"/>
            <w:vAlign w:val="bottom"/>
          </w:tcPr>
          <w:p>
            <w:pPr>
              <w:ind w:left="440"/>
              <w:spacing w:after="0"/>
              <w:rPr>
                <w:sz w:val="20"/>
                <w:szCs w:val="20"/>
                <w:color w:val="auto"/>
              </w:rPr>
            </w:pPr>
            <w:r>
              <w:rPr>
                <w:rFonts w:ascii="Arial" w:cs="Arial" w:eastAsia="Arial" w:hAnsi="Arial"/>
                <w:sz w:val="18"/>
                <w:szCs w:val="18"/>
                <w:color w:val="auto"/>
              </w:rPr>
              <w:t>Weighted-average shares used in computing net loss per share attributable to</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9"/>
        </w:trPr>
        <w:tc>
          <w:tcPr>
            <w:tcW w:w="7180" w:type="dxa"/>
            <w:vAlign w:val="bottom"/>
          </w:tcPr>
          <w:p>
            <w:pPr>
              <w:ind w:left="660"/>
              <w:spacing w:after="0"/>
              <w:rPr>
                <w:sz w:val="20"/>
                <w:szCs w:val="20"/>
                <w:color w:val="auto"/>
              </w:rPr>
            </w:pPr>
            <w:r>
              <w:rPr>
                <w:rFonts w:ascii="Arial" w:cs="Arial" w:eastAsia="Arial" w:hAnsi="Arial"/>
                <w:sz w:val="18"/>
                <w:szCs w:val="18"/>
                <w:color w:val="auto"/>
              </w:rPr>
              <w:t>common stockholders, basic and diluted</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63,431,165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11,287,251</w:t>
            </w:r>
          </w:p>
        </w:tc>
      </w:tr>
      <w:tr>
        <w:trPr>
          <w:trHeight w:val="23"/>
        </w:trPr>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500" w:right="380"/>
        <w:spacing w:after="0" w:line="318" w:lineRule="auto"/>
        <w:rPr>
          <w:sz w:val="20"/>
          <w:szCs w:val="20"/>
          <w:color w:val="auto"/>
        </w:rPr>
      </w:pPr>
      <w:r>
        <w:rPr>
          <w:rFonts w:ascii="Arial" w:cs="Arial" w:eastAsia="Arial" w:hAnsi="Arial"/>
          <w:sz w:val="17"/>
          <w:szCs w:val="17"/>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7220" w:type="dxa"/>
            <w:vAlign w:val="bottom"/>
          </w:tcPr>
          <w:p>
            <w:pPr>
              <w:spacing w:after="0"/>
              <w:rPr>
                <w:sz w:val="17"/>
                <w:szCs w:val="17"/>
                <w:color w:val="auto"/>
              </w:rPr>
            </w:pPr>
          </w:p>
        </w:tc>
        <w:tc>
          <w:tcPr>
            <w:tcW w:w="294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rPr>
              <w:t>Three Months Ended April 30,</w:t>
            </w:r>
          </w:p>
        </w:tc>
      </w:tr>
      <w:tr>
        <w:trPr>
          <w:trHeight w:val="223"/>
        </w:trPr>
        <w:tc>
          <w:tcPr>
            <w:tcW w:w="7220" w:type="dxa"/>
            <w:vAlign w:val="bottom"/>
          </w:tcPr>
          <w:p>
            <w:pPr>
              <w:spacing w:after="0"/>
              <w:rPr>
                <w:sz w:val="19"/>
                <w:szCs w:val="19"/>
                <w:color w:val="auto"/>
              </w:rPr>
            </w:pPr>
          </w:p>
        </w:tc>
        <w:tc>
          <w:tcPr>
            <w:tcW w:w="14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03"/>
        </w:trPr>
        <w:tc>
          <w:tcPr>
            <w:tcW w:w="7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preferred stock</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32,295,319</w:t>
            </w:r>
          </w:p>
        </w:tc>
      </w:tr>
      <w:tr>
        <w:trPr>
          <w:trHeight w:val="247"/>
        </w:trPr>
        <w:tc>
          <w:tcPr>
            <w:tcW w:w="72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420" w:type="dxa"/>
            <w:vAlign w:val="bottom"/>
          </w:tcPr>
          <w:p>
            <w:pPr>
              <w:jc w:val="right"/>
              <w:spacing w:after="0"/>
              <w:rPr>
                <w:sz w:val="20"/>
                <w:szCs w:val="20"/>
                <w:color w:val="auto"/>
              </w:rPr>
            </w:pPr>
            <w:r>
              <w:rPr>
                <w:rFonts w:ascii="Arial" w:cs="Arial" w:eastAsia="Arial" w:hAnsi="Arial"/>
                <w:sz w:val="18"/>
                <w:szCs w:val="18"/>
                <w:color w:val="auto"/>
              </w:rPr>
              <w:t>9,180,984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9,102,160</w:t>
            </w:r>
          </w:p>
        </w:tc>
      </w:tr>
      <w:tr>
        <w:trPr>
          <w:trHeight w:val="23"/>
        </w:trPr>
        <w:tc>
          <w:tcPr>
            <w:tcW w:w="7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631,583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2,530,904</w:t>
            </w:r>
          </w:p>
        </w:tc>
      </w:tr>
      <w:tr>
        <w:trPr>
          <w:trHeight w:val="247"/>
        </w:trPr>
        <w:tc>
          <w:tcPr>
            <w:tcW w:w="7220" w:type="dxa"/>
            <w:vAlign w:val="bottom"/>
          </w:tcPr>
          <w:p>
            <w:pPr>
              <w:ind w:left="20"/>
              <w:spacing w:after="0"/>
              <w:rPr>
                <w:sz w:val="20"/>
                <w:szCs w:val="20"/>
                <w:color w:val="auto"/>
              </w:rPr>
            </w:pPr>
            <w:r>
              <w:rPr>
                <w:rFonts w:ascii="Arial" w:cs="Arial" w:eastAsia="Arial" w:hAnsi="Arial"/>
                <w:sz w:val="18"/>
                <w:szCs w:val="18"/>
                <w:color w:val="auto"/>
              </w:rPr>
              <w:t>Preferred stock warrants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164,664</w:t>
            </w:r>
          </w:p>
        </w:tc>
      </w:tr>
      <w:tr>
        <w:trPr>
          <w:trHeight w:val="23"/>
        </w:trPr>
        <w:tc>
          <w:tcPr>
            <w:tcW w:w="7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5,836,908</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7220" w:type="dxa"/>
            <w:vAlign w:val="bottom"/>
          </w:tcPr>
          <w:p>
            <w:pPr>
              <w:ind w:left="4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15,649,475</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44,093,047</w:t>
            </w:r>
          </w:p>
        </w:tc>
      </w:tr>
      <w:tr>
        <w:trPr>
          <w:trHeight w:val="20"/>
        </w:trPr>
        <w:tc>
          <w:tcPr>
            <w:tcW w:w="7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As of April 30, 2021, RSUs to be settled in 2,019,881 shares of common stock were excluded from the table above because they were subject to liquidity-based vesting conditions that were not satisfied.</w:t>
      </w:r>
    </w:p>
    <w:p>
      <w:pPr>
        <w:sectPr>
          <w:pgSz w:w="11900" w:h="16838" w:orient="portrait"/>
          <w:cols w:equalWidth="0" w:num="1">
            <w:col w:w="11160"/>
          </w:cols>
          <w:pgMar w:left="320" w:top="117" w:right="41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RENT THE RUNWAY,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ind w:left="500" w:right="1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Company had restricted cash balances for cash collateralized standby letters of credit as of April 30, 2022 and January 31, 2022 of $10.8 million and $12.0 million, primarily to satisfy security deposit requirements on its leases.</w:t>
      </w:r>
    </w:p>
    <w:p>
      <w:pPr>
        <w:spacing w:after="0" w:line="18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115"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 Although the results of litigation and claims cannot be predicted with certainty, the Company currently believes that the final outcome of these ordinary course matters will not have a material adverse effect on its business.</w:t>
      </w:r>
    </w:p>
    <w:p>
      <w:pPr>
        <w:spacing w:after="0" w:line="18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As of April 30, 2022, there was no litigation or contingency with at least a reasonable possibility of a material loss.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2022 and the related Management’s Discussion and Analysis of Financial Condition and Results of Operations in our Annual Report on Form 10-K for the year ended January 31, 2022 (the “2021 Annual Report on Form 10-K”).</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give customers ongoing access to our “unlimited closet” — with over 20,000 styles by over 800 designer brands — through our Subscription offering or the ability to rent a-la-carte through our Reserve offering. We also give our subscribers and customers the ability to buy our products through our Resale offering. These offerings allow us to engage and serve our subscribers and customers across diverse use cases from everyday life to special occasions. We have served over 2.5 million lifetime customers across all of our offerings and we had 177,213 ending total subscribers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(active and paused) as of April 30, 2022. The majority of our revenue is highly recurring and is generated by our subscribers. For the three months ended April 30, 2022 and 2021, respectively, 86% and 87% of our total revenue (including Reserve and Resale revenue) was generated by subscribers while they were active or paused.</w:t>
      </w:r>
    </w:p>
    <w:p>
      <w:pPr>
        <w:spacing w:after="0" w:line="19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spacing w:after="0" w:line="176"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We source virtually all of our products, which includes apparel, accessories and home goods,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714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01" w:lineRule="exact"/>
        <w:rPr>
          <w:sz w:val="20"/>
          <w:szCs w:val="20"/>
          <w:color w:val="auto"/>
        </w:rPr>
      </w:pPr>
    </w:p>
    <w:p>
      <w:pPr>
        <w:ind w:right="220" w:firstLine="8"/>
        <w:spacing w:after="0" w:line="188" w:lineRule="auto"/>
        <w:tabs>
          <w:tab w:leader="none" w:pos="138" w:val="left"/>
        </w:tabs>
        <w:numPr>
          <w:ilvl w:val="0"/>
          <w:numId w:val="17"/>
        </w:numPr>
        <w:rPr>
          <w:rFonts w:ascii="Arial" w:cs="Arial" w:eastAsia="Arial" w:hAnsi="Arial"/>
          <w:sz w:val="28"/>
          <w:szCs w:val="28"/>
          <w:color w:val="auto"/>
          <w:vertAlign w:val="superscript"/>
        </w:rPr>
      </w:pPr>
      <w:r>
        <w:rPr>
          <w:rFonts w:ascii="Arial" w:cs="Arial" w:eastAsia="Arial" w:hAnsi="Arial"/>
          <w:sz w:val="14"/>
          <w:szCs w:val="14"/>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Business Developments</w:t>
      </w:r>
    </w:p>
    <w:p>
      <w:pPr>
        <w:spacing w:after="0" w:line="250"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b w:val="1"/>
          <w:bCs w:val="1"/>
          <w:i w:val="1"/>
          <w:iCs w:val="1"/>
          <w:color w:val="auto"/>
        </w:rPr>
        <w:t xml:space="preserve">Initial Public Offering. </w:t>
      </w:r>
      <w:r>
        <w:rPr>
          <w:rFonts w:ascii="Arial" w:cs="Arial" w:eastAsia="Arial" w:hAnsi="Arial"/>
          <w:sz w:val="18"/>
          <w:szCs w:val="18"/>
          <w:color w:val="auto"/>
        </w:rPr>
        <w:t>On October 29, 2021, we closed our initial public offering (the “IPO”), in which we issued and sold 17,000,000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at the public offering price of $21.00 per share. We received net proceeds of $327.3 million after deducting underwriting discounts and commissions and offering expenses.</w:t>
      </w:r>
    </w:p>
    <w:p>
      <w:pPr>
        <w:spacing w:after="0" w:line="18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 xml:space="preserve">Debt Paydown and Amendment. </w:t>
      </w:r>
      <w:r>
        <w:rPr>
          <w:rFonts w:ascii="Arial" w:cs="Arial" w:eastAsia="Arial" w:hAnsi="Arial"/>
          <w:sz w:val="18"/>
          <w:szCs w:val="18"/>
          <w:color w:val="auto"/>
        </w:rPr>
        <w:t>Concurrent with our IPO, we paid down our senior secured term loan with Ares Corporate Opportunities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 V, L.P. (the “Ares Facility”) of $80.7 million in full and $60.0 million of our subordinated, junior lien term loan with Double Helix Pte Ltd. as administrative agent for Temasek Holdings (the “Temasek Facility”), resulting in a total debt repayment of $140.7 million. We also refinanced the remaining Temasek Facility (the “Amended Temasek Facility”).</w:t>
      </w: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Key Operating and Financial Results. </w:t>
      </w:r>
      <w:r>
        <w:rPr>
          <w:rFonts w:ascii="Arial" w:cs="Arial" w:eastAsia="Arial" w:hAnsi="Arial"/>
          <w:sz w:val="18"/>
          <w:szCs w:val="18"/>
          <w:color w:val="auto"/>
        </w:rPr>
        <w:t>We have achieved the following operating and financial results for the three months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2021, respectively:</w:t>
      </w:r>
    </w:p>
    <w:p>
      <w:pPr>
        <w:spacing w:after="0" w:line="288" w:lineRule="exact"/>
        <w:rPr>
          <w:sz w:val="20"/>
          <w:szCs w:val="20"/>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was $67.1 million and $33.5 million, respectively, representing 100.3% growth year-over-year;</w:t>
      </w:r>
    </w:p>
    <w:p>
      <w:pPr>
        <w:spacing w:after="0" w:line="114" w:lineRule="exact"/>
        <w:rPr>
          <w:rFonts w:ascii="Arial" w:cs="Arial" w:eastAsia="Arial" w:hAnsi="Arial"/>
          <w:sz w:val="18"/>
          <w:szCs w:val="18"/>
          <w:color w:val="auto"/>
        </w:rPr>
      </w:pPr>
    </w:p>
    <w:p>
      <w:pPr>
        <w:ind w:left="740" w:right="40" w:hanging="246"/>
        <w:spacing w:after="0" w:line="232"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134,998 and 74,018 ending Active Subscribers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(excluding paused subscribers), respectively, representing 82% growth year-over-year and our highest end-of-quarter Active Subscriber count since launch of subscription;</w:t>
      </w:r>
    </w:p>
    <w:p>
      <w:pPr>
        <w:spacing w:after="0" w:line="86" w:lineRule="exact"/>
        <w:rPr>
          <w:rFonts w:ascii="Arial" w:cs="Arial" w:eastAsia="Arial" w:hAnsi="Arial"/>
          <w:sz w:val="18"/>
          <w:szCs w:val="18"/>
          <w:color w:val="auto"/>
        </w:rPr>
      </w:pPr>
    </w:p>
    <w:p>
      <w:pPr>
        <w:ind w:left="740" w:right="160" w:hanging="246"/>
        <w:spacing w:after="0" w:line="287"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177,213 and 104,138 ending Total Subscribers (including paused subscribers), respectively, representing 70% growth year-over-year;</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was $22.5 million and $8.1 million, respectively, representing a gross margin of 33.5% and 24.2%, respectively;</w:t>
      </w:r>
    </w:p>
    <w:p>
      <w:pPr>
        <w:spacing w:after="0" w:line="117" w:lineRule="exact"/>
        <w:rPr>
          <w:rFonts w:ascii="Arial" w:cs="Arial" w:eastAsia="Arial" w:hAnsi="Arial"/>
          <w:sz w:val="18"/>
          <w:szCs w:val="18"/>
          <w:color w:val="auto"/>
        </w:rPr>
      </w:pPr>
    </w:p>
    <w:p>
      <w:pPr>
        <w:ind w:left="740" w:right="280" w:hanging="246"/>
        <w:spacing w:after="0" w:line="287"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Loss was $(42.5) million and $(42.3) million, respectively. Net Loss as a percentage of revenue was (63.3)% and (126.3)%, respectively;</w:t>
      </w:r>
    </w:p>
    <w:p>
      <w:pPr>
        <w:spacing w:after="0" w:line="44" w:lineRule="exact"/>
        <w:rPr>
          <w:rFonts w:ascii="Arial" w:cs="Arial" w:eastAsia="Arial" w:hAnsi="Arial"/>
          <w:sz w:val="18"/>
          <w:szCs w:val="18"/>
          <w:color w:val="auto"/>
        </w:rPr>
      </w:pPr>
    </w:p>
    <w:p>
      <w:pPr>
        <w:ind w:left="740" w:right="440" w:hanging="246"/>
        <w:spacing w:after="0" w:line="287" w:lineRule="auto"/>
        <w:tabs>
          <w:tab w:leader="none" w:pos="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was $(8.8) million and $(6.2) million, respectively, representing an Adjusted EBITDA margin of (13.1)% and (18.5)%, respectively;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was $219.0 million and $103.8 million, respectively.</w:t>
      </w: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First Quarter Business Highlights</w:t>
      </w:r>
    </w:p>
    <w:p>
      <w:pPr>
        <w:spacing w:after="0" w:line="115" w:lineRule="exact"/>
        <w:rPr>
          <w:sz w:val="20"/>
          <w:szCs w:val="20"/>
          <w:color w:val="auto"/>
        </w:rPr>
      </w:pPr>
    </w:p>
    <w:p>
      <w:pPr>
        <w:ind w:left="740" w:right="400" w:hanging="246"/>
        <w:spacing w:after="0" w:line="287" w:lineRule="auto"/>
        <w:tabs>
          <w:tab w:leader="none" w:pos="7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to drive strong subscriber engagement, with 28% of subscribers adding one or more paid additional items into their subscription program;</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to drive growth in Exclusive Designs and launched six new Exclusive Designs collections;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Expanded at-home pickup to over 20 markets; and</w:t>
      </w:r>
    </w:p>
    <w:p>
      <w:pPr>
        <w:spacing w:after="0" w:line="117" w:lineRule="exact"/>
        <w:rPr>
          <w:rFonts w:ascii="Arial" w:cs="Arial" w:eastAsia="Arial" w:hAnsi="Arial"/>
          <w:sz w:val="18"/>
          <w:szCs w:val="18"/>
          <w:color w:val="auto"/>
        </w:rPr>
      </w:pPr>
    </w:p>
    <w:p>
      <w:pPr>
        <w:ind w:left="740" w:right="320" w:hanging="246"/>
        <w:spacing w:after="0" w:line="287" w:lineRule="auto"/>
        <w:tabs>
          <w:tab w:leader="none" w:pos="7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to expand upon automation and productivity initiatives in our fulfillment centers, leveraging RFID technology to drive greater efficiency in our quality control process and generate data to enhance garment longevity.</w:t>
      </w:r>
    </w:p>
    <w:p>
      <w:pPr>
        <w:spacing w:after="0" w:line="269" w:lineRule="exact"/>
        <w:rPr>
          <w:sz w:val="20"/>
          <w:szCs w:val="20"/>
          <w:color w:val="auto"/>
        </w:rPr>
      </w:pPr>
    </w:p>
    <w:p>
      <w:pPr>
        <w:ind w:left="100" w:hanging="92"/>
        <w:spacing w:after="0"/>
        <w:tabs>
          <w:tab w:leader="none" w:pos="10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Active Subscribers is defined as ending total subscribers as of period end, excluding paused subscribers.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Acquisition Strategy</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zero to low upfront cost with performance-based revenue share payments to our brand partners over time. Exclusive Designs items are designed using our data in collaboration with our brand partners. These units are manufactured through third-party partners with a low upfront fee and minimal revenue share payments to our brand partners over time.</w:t>
      </w: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upfront spend and de-risks our investment since we pay brands primarily based on item performance. Our Share by RTR arrangements with brands target delivering 85%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18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fiscal year 2021, 45% of new items were acquired through Wholesale, 33% through Share by RTR and 22% through Exclusive Designs, compared to 46% Wholesale, 36% Share by RTR and 18% Exclusive Designs in fiscal year 2020. In total, approximately 55% of new items were acquired through the more capital-efficient channels in fiscal year 2021, approximately 54% in fiscal year 2020 and approximately 26% in fiscal year 2019. Both our purchasing power and the diversification into Share by RTR and Exclusive Designs have led to a decrease in average upfront cost per item over time. We are executing on our strategy to further decrease the percentage of units acquired through Wholesale and increase the percentage of units acquired through our more capital-efficient channels, Exclusive Designs and Share by RTR, in fiscal year 2022.</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about our business model and our product acquisition strategy, see our 2021 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Brands and Products</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Ability to Acquire and Monetize Products Efficiently. </w:t>
      </w:r>
      <w:r>
        <w:rPr>
          <w:rFonts w:ascii="Arial" w:cs="Arial" w:eastAsia="Arial" w:hAnsi="Arial"/>
          <w:sz w:val="18"/>
          <w:szCs w:val="18"/>
          <w:color w:val="auto"/>
        </w:rPr>
        <w:t>Our ability to deliver an elevated experience for our subscribers and customers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keeps them loyal to RTR depends on us having the right assortment. Due to our deep partnerships with brands, we can acquire products directly from them in multiple ways, and due to our expertise in reverse logistics and garment restoration we can monetize our products effectively over their useful life. Diversifying our product acquisition away from 100% Wholesale has driven higher overall product return on investment and reduced the capital needs of the business. In fiscal year 2021, approximately 55% of new items were acquired through our more capital efficient non-Wholesale channels, compared to 54% in fiscal year 2020 and 26% in fiscal year 2019. We are executing on our strategy to further increase the percentage of units acquired through Exclusive Designs and Share by RTR in fiscal year 2022. We continuously evaluate our product acquisition mix to maximize our strategic priorities.</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Upfront cost per item is defined as total upfront spend for items acquired in a period divided by the number of items acquired. We define total upfront spend as the total costs of products acquired in a period excluding performance based revenue share payments which are paid out over time. Total upfront spend includes the total acquisition cost for Wholesale items, upfront payments to brand partners for Share by RTR and Exclusive Designs items, third party manufacturing or other similar acquisition costs for Exclusive Designs items, and other ancillary upfront costs such as freight, where applicable. For fiscal year 2021 our average upfront cost per item was $95, representing a 14% decrease from an average upfront cost of $111 in fiscal year 2019. Due to seasonality factors, we track our progress on average upfront cost on a full year basis, as quarterly costs are not necessarily reflective of full year trends. Our diversification into non-Wholesale channels has meaningfully reduced our upfront spend.</w:t>
      </w:r>
    </w:p>
    <w:p>
      <w:pPr>
        <w:spacing w:after="0" w:line="2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Ability to Achieve Leverage in our Cost Structure. </w:t>
      </w:r>
      <w:r>
        <w:rPr>
          <w:rFonts w:ascii="Arial" w:cs="Arial" w:eastAsia="Arial" w:hAnsi="Arial"/>
          <w:sz w:val="18"/>
          <w:szCs w:val="18"/>
          <w:color w:val="auto"/>
        </w:rPr>
        <w:t>Improving operational efficiency of our platform is imperative to maintaining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 profitability. We expect our operating costs to increase as we make investments to grow subscribers and revenue and to enhance the customer experience. Though we anticipate quarterly fluctuations in operating leverage, we do not expect these costs to generally grow at the same pace as our total revenue on an annual basis.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Over time, we have improved our margins, profitability and cash flow, and we believe we will continue to benefit from economies of scale and are focused on driving additional efficiencies in our operating expenses.</w:t>
      </w:r>
    </w:p>
    <w:p>
      <w:pPr>
        <w:spacing w:after="0" w:line="18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experience seasonality in our business, which has been impacted and may in the future change due to the effects of the COVID-19 pandemic.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We historically had typically realized a higher portion of revenue from Reserve rentals during our third and fourth fiscal quarters as a result of increased wedding and holiday events.</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third and fourth fiscal quarters of 2021 and the first quarter of 2022 demonstrated subscriber seasonality patterns that are generally consistent with our historical trends, although our fourth quarter of 2021 saw a higher rate of pause activity due to the Omicron variant impact. In addition, our seasonality trends are seeing effects from COVID-19 generally, as Reserve orders and revenue are impacted by fewer large-scale holiday and special events compared to pre-COVID-19, especially those typically occurring in the third and fourth quarters. Subscriber acquisition was also impacted by COVID-19 in the fourth quarter of 2021 due to fewer large-scale holiday and special events.</w:t>
      </w:r>
    </w:p>
    <w:p>
      <w:pPr>
        <w:spacing w:after="0" w:line="206" w:lineRule="exact"/>
        <w:rPr>
          <w:sz w:val="20"/>
          <w:szCs w:val="20"/>
          <w:color w:val="auto"/>
        </w:rPr>
      </w:pPr>
    </w:p>
    <w:p>
      <w:pPr>
        <w:jc w:val="both"/>
        <w:ind w:right="520"/>
        <w:spacing w:after="0" w:line="282" w:lineRule="auto"/>
        <w:rPr>
          <w:sz w:val="20"/>
          <w:szCs w:val="20"/>
          <w:color w:val="auto"/>
        </w:rPr>
      </w:pPr>
      <w:r>
        <w:rPr>
          <w:rFonts w:ascii="Arial" w:cs="Arial" w:eastAsia="Arial" w:hAnsi="Arial"/>
          <w:sz w:val="17"/>
          <w:szCs w:val="17"/>
          <w:color w:val="auto"/>
        </w:rPr>
        <w:t>We also experience seasonality in the timing of expenses and capital outlays. Transportation expense, and therefore fulfillment cost, is typically highest in the fiscal fourth quarter, given higher service levels, such as more costly expedited shipping, and competition during holidays. Our most significant product capital expenditures typically occur in the first fiscal quarter and the third fiscal quarter, when we acquire product for the upcoming fall and spring seasons, though impact on cash is dependent on timing of receipt of product.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about key factors affecting our performance, see our 2021 Annual Report on Form 10-K.</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COVID-19 pandemic materially adversely affected our fiscal year 2020 operating and financial results. In March 2020, we instituted numerous health and safety measures and took immediate financial actions to withstand COVID-19 including pausing of paid advertising and marketing activities and other cost-saving measures to reduce operating and capital expenditures in the short term, including salary reductions, closing of brick and mortar stores and right sizing of labor in our fulfillment centers. These actions significantly reduced these costs as a percentage of revenue throughout fiscal year 2020. Rental product depreciation and revenue share as a percentage of revenue increased throughout fiscal year 2020 due to the levels of rental product on hand relative to the reduced subscriber levels.</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fiscal year 2021, our financial results continued to be impacted by the COVID-19 pandemic. In particular, in the first quarter of fiscal year 2021 subscriber acquisition and engagement increased as shelter-at-home restrictions were lifted. In the fourth quarter of fiscal year 2021 the Omicron variant negatively impacted us in three key ways: 1) significantly decreased revenue from our Reserve business as most holiday events were canceled; 2) reduced subscriber acquisition in the second half of quarter; and 3) drove a higher rate of subscriber pause. In fiscal year 2021, financial results also continued to be impacted by consumers working primarily from home and by special events and occasions not being back to pre-pandemic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expect the effects of the COVID-19 pandemic and related macro-economic trends, including the spread of potential new variants, to have a continued impact on our business, results of operations, growth rates, and financial condition into fiscal year 2022, though we currently expect an environment that is improved from fiscal year 2021. We believe that the backlog of special events and leisure travel that have been pushed to 2022 and 2023 will contribute to additional COVID-19 recovery in those periods.</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continue to take actions to adjust to the changing COVID-19 business environment and related inflationary pressure. For example, we increased wage rates throughout fiscal year 2021 to attract and retain talent at our fulfillment centers and we expect to continue to be impacted by rising labor costs in fiscal year 2022. We also expect transportation costs to continue to increase in fiscal year 2022, and we are focused on diversifying our transportation network to mitigate these rising costs and service delays. Examples of these mitigation efforts include increasing volumes with regional and last-mile carriers and consolidating shipments, such as through the launch of an at-home pickup service in certain markets. Although we continue to face a challenging environment due to the COVID-19 pandemic, rising wages, a decreased level of workforce participation and nationwide shipping carrier delays, we have been able to and plan to continue hiring and are diversifying our transportation network in order to support increasing and/or fluctuating demand for our offerings.</w:t>
      </w:r>
    </w:p>
    <w:p>
      <w:pPr>
        <w:spacing w:after="0" w:line="21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full extent to which the COVID-19 pandemic, including the spread of any new variants, will directly or indirectly impact our business, results of operations, growth rates, and financial condition will depend on future developments that are highly uncertain and cannot be accurately predicted. Given the uncertainty, we cannot estimate the financial impact of the pandemic on our future results of operations, cash flows, or financial condition. For additional details, see Part II, Item 1A, “Risk Factors” of this Quarterly Report on Form 10-Q.</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and net loss.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5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196"/>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 in millions)</w:t>
            </w:r>
          </w:p>
        </w:tc>
        <w:tc>
          <w:tcPr>
            <w:tcW w:w="1020" w:type="dxa"/>
            <w:vAlign w:val="bottom"/>
          </w:tcPr>
          <w:p>
            <w:pPr>
              <w:spacing w:after="0"/>
              <w:rPr>
                <w:sz w:val="17"/>
                <w:szCs w:val="17"/>
                <w:color w:val="auto"/>
              </w:rPr>
            </w:pPr>
          </w:p>
        </w:tc>
      </w:tr>
      <w:tr>
        <w:trPr>
          <w:trHeight w:val="231"/>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Subscribers</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134,998</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74,018</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22.5</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340" w:right="140" w:hanging="332"/>
        <w:spacing w:after="0" w:line="265"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reconciliation to the most directly comparable GAAP financial measure, net loss, and why we consider Adjusted EBITDA to be a useful metric, see “—Non-GAAP Financial Metrics” below.</w:t>
      </w:r>
    </w:p>
    <w:p>
      <w:pPr>
        <w:spacing w:after="0" w:line="6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Active Subscribers</w:t>
      </w:r>
      <w:r>
        <w:rPr>
          <w:rFonts w:ascii="Arial" w:cs="Arial" w:eastAsia="Arial" w:hAnsi="Arial"/>
          <w:sz w:val="18"/>
          <w:szCs w:val="18"/>
          <w:color w:val="auto"/>
        </w:rPr>
        <w:t>: Active Subscribers represents the number of subscribers with an active membership as of the last day of any given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and excludes paused subscribers. As of April 30, 2022, we had 134,998 Active Subscribers, up 82% year-over-year as the equivalent quarter of fiscal year 2021 was more heavily impacted by the COVID-19 pandemic, and we saw recovery post-Omicron during the first quarter of fiscal year 2022.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Gross Profit and Gross Margin: </w:t>
      </w:r>
      <w:r>
        <w:rPr>
          <w:rFonts w:ascii="Arial" w:cs="Arial" w:eastAsia="Arial" w:hAnsi="Arial"/>
          <w:sz w:val="18"/>
          <w:szCs w:val="18"/>
          <w:color w:val="auto"/>
        </w:rPr>
        <w:t>We define Gross Profit as total revenue less fulfillment expense, rental product depreciation and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share.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 Gross Profit was $22.5 million for the three months ended April 30, 2022 compared to $8.1 million in the three months ended April 30, 2021 representing Gross Margins of 33.5% and 24.2%, respectively. The significant increase in Gross Profit and Gross Margin for the three months ended April 30, 2022 was driven by lower rental product depreciation and revenue share as a percentage of total revenue than in the prior period which offset higher fulfillment costs driven by increases in fulfillment related transportation costs. Rental product depreciation decreased as a percentage of revenue as costs were absorbed over a larger revenue base, while revenue share increased slightly as a percentage of revenue due to a higher proportion of Share by RTR items relative to prior year. We have improved and expect to have the opportunity to further improve Gross Profit and Gross Margin over time by driving growth in total revenue and revenue per subscriber, fulfillment and operational efficiency gains, and strategically evolving our mix of product acquisition.</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Adjusted EBITDA and Adjusted EBITDA Margin: </w:t>
      </w:r>
      <w:r>
        <w:rPr>
          <w:rFonts w:ascii="Arial" w:cs="Arial" w:eastAsia="Arial" w:hAnsi="Arial"/>
          <w:sz w:val="18"/>
          <w:szCs w:val="18"/>
          <w:color w:val="auto"/>
        </w:rPr>
        <w:t>We define Adjusted EBITDA as net loss, adjusted to exclude interest expense, rental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depreciation, other depreciation and amortization, share-based compensation expense, write-off of liquidated rental product assets, certain non-recurring or one-time costs (see below footnotes to the reconciliation table), income taxes, warrant liability revaluation gains / losses, debt extinguishment gains / losses, other income and expense, and other gains / losses. We define Adjusted EBITDA Margin as Adjusted EBITDA as a percentage of total revenue, net for a period. Adjusted EBITDA was $(8.8) million for the three months ended April 30, 2022 compared to $(6.2) million for the three months ended April 30, 2021, representing margins of (13.1)% and (18.5)%, respectively. Adjusted EBITDA Margin has improved for the three months ended April 30, 2022 due to reasons consistent with the improvement in Gross Profit and Gross Margin and improved operating leverage across technology and general and administrative expenses even with additional strategic investments, offset by higher marketing expenditure. We have the opportunity to improve Adjusted EBITDA as we increase revenue and drive higher revenue per subscriber, fulfillment and operational efficiency gains, and operating expense leverage.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total revenue, net consists of Subscription and Reserve rental revenue and Other revenue. Total revenue is presented net of promotional discounts, credits and refunds, and taxes.</w:t>
      </w:r>
    </w:p>
    <w:p>
      <w:pPr>
        <w:spacing w:after="0" w:line="1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We generate Subscription and Reserve rental revenue from subscription and Reserve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announced a price increase in April 2022 for our subscription plans, which we expect will generally increase revenue per subscriber by program over time. We recognize Reserve fees over the rental period, which starts on the date of delivery of the product to the customer. Reserve orders can be placed up to four months prior to the rental start date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18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We generate Other revenue primarily from the sale of products while they are in rental condition. We offer the ability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subscribers and customers to purchase products at a discount to retail price. Payment for the sale of products occurs upon order confirmation while the associated revenue is recognized either at the time the sold product is delivered to the customer or when purchased, if the item is already at home with the customer.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consist of all costs to receive, process and fulfill customer orders. This primarily includes shipping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to/from customers and personnel and 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costs to increase in the future as order volume increases and as costs to ship orders increase due to increasing prices in the transportation market which we started to see in the second half of fiscal year 2021 and continued to see impact results in the first quarter of fiscal year 2022. We also expect fulfillment expense to increase due to competitive pressures in the labor market which could lead to continued higher wage rates. We increased warehouse wage rates during fiscal year 2021 and believe we will continue to be impacted by rising wage rates. We expect to continue to invest in 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8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consist of personnel and related costs for employees engaged in software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quality assurance, product, 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We expect to increase technology expenses as we continue to improve the customer and subscriber experience and invest in our technology stack and infrastructure to support overall growth in our business and distribution network, including prioritizing cloud capabilities. While these expenses may vary from period to period as a percentage of total revenue, we expect them to decrease as a percentage of total revenue over the longer term.</w:t>
      </w:r>
    </w:p>
    <w:p>
      <w:pPr>
        <w:spacing w:after="0" w:line="18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include online and mobile marketing, search engine optimization and email costs, marketing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related costs, agency fees, brand marketing, printed collateral, consumer research, and other related costs. We expect marketing expenses to increase as we intend to increase marketing spend to drive the growth of our business and increase our brand awareness. The trend and timing of our marketing expenses will depend in part on the timing of marketing campaigns.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consist of all other personnel and related costs for customer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tax, legal, human 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We expect general and administrative expenses to increase as we grow our infrastructure to support operating as a public company and the overall growth of the business. We also expect rent expense and other facilities-related costs to increase in the future as we expand our distribution network to support overall business growth and fulfillment cost-reduction initiatives. While these expenses may vary from period to period as a percentage of total revenue, we expect them to decrease as a percentage of total revenue over the longer term.</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expenses consist of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we acquire items as well as the mix of our rental product base.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expenses consist of depreciation and amortization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fixed assets, intangible assets including capitalized software, and financing right-of-use assets.</w:t>
      </w:r>
    </w:p>
    <w:p>
      <w:pPr>
        <w:spacing w:after="0" w:line="26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Interest Income / (Expense). </w:t>
      </w:r>
      <w:r>
        <w:rPr>
          <w:rFonts w:ascii="Arial" w:cs="Arial" w:eastAsia="Arial" w:hAnsi="Arial"/>
          <w:sz w:val="18"/>
          <w:szCs w:val="18"/>
          <w:color w:val="auto"/>
        </w:rPr>
        <w:t>Interest income / (expense) consists primarily of accrued paid-in-kind interest, cash interest and debt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amortization associated with our Amended Temasek Facility going forward.</w:t>
      </w:r>
    </w:p>
    <w:p>
      <w:pPr>
        <w:spacing w:after="0" w:line="18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 xml:space="preserve">Gain / (Loss) on Warrant Liability Revaluation, Net. </w:t>
      </w:r>
      <w:r>
        <w:rPr>
          <w:rFonts w:ascii="Arial" w:cs="Arial" w:eastAsia="Arial" w:hAnsi="Arial"/>
          <w:sz w:val="18"/>
          <w:szCs w:val="18"/>
          <w:color w:val="auto"/>
        </w:rPr>
        <w:t>Gain / (loss) on warrant liability revaluation is associated with revaluing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classified warrants to the respective fair value at period end or prior to conversion. As of April 30, 2022, all outstanding warrants are equity classified and therefore do not require remeasurement going forward.</w:t>
      </w:r>
    </w:p>
    <w:p>
      <w:pPr>
        <w:spacing w:after="0" w:line="27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 xml:space="preserve">Income Tax Benefit / (Expense). </w:t>
      </w:r>
      <w:r>
        <w:rPr>
          <w:rFonts w:ascii="Arial" w:cs="Arial" w:eastAsia="Arial" w:hAnsi="Arial"/>
          <w:sz w:val="18"/>
          <w:szCs w:val="18"/>
          <w:color w:val="auto"/>
        </w:rPr>
        <w:t>Income taxes consist primarily of state minimum taxes and Irish refundable tax credits.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 valuation allowance for our U.S. 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20" w:type="dxa"/>
            <w:vAlign w:val="bottom"/>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7"/>
                <w:szCs w:val="17"/>
                <w:color w:val="auto"/>
              </w:rPr>
            </w:pPr>
          </w:p>
        </w:tc>
      </w:tr>
      <w:tr>
        <w:trPr>
          <w:trHeight w:val="202"/>
        </w:trPr>
        <w:tc>
          <w:tcPr>
            <w:tcW w:w="69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r>
      <w:tr>
        <w:trPr>
          <w:trHeight w:val="197"/>
        </w:trPr>
        <w:tc>
          <w:tcPr>
            <w:tcW w:w="69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20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Subscription and Reserve rental revenue</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6920" w:type="dxa"/>
            <w:vAlign w:val="bottom"/>
          </w:tcPr>
          <w:p>
            <w:pPr>
              <w:ind w:left="700"/>
              <w:spacing w:after="0"/>
              <w:rPr>
                <w:sz w:val="20"/>
                <w:szCs w:val="20"/>
                <w:color w:val="auto"/>
              </w:rPr>
            </w:pPr>
            <w:r>
              <w:rPr>
                <w:rFonts w:ascii="Arial" w:cs="Arial" w:eastAsia="Arial" w:hAnsi="Arial"/>
                <w:sz w:val="18"/>
                <w:szCs w:val="18"/>
                <w:color w:val="auto"/>
              </w:rPr>
              <w:t>Total revenue, net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Fulfillment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Marketing</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6920" w:type="dxa"/>
            <w:vAlign w:val="bottom"/>
          </w:tcPr>
          <w:p>
            <w:pPr>
              <w:ind w:left="360"/>
              <w:spacing w:after="0"/>
              <w:rPr>
                <w:sz w:val="20"/>
                <w:szCs w:val="20"/>
                <w:color w:val="auto"/>
              </w:rPr>
            </w:pPr>
            <w:r>
              <w:rPr>
                <w:rFonts w:ascii="Arial" w:cs="Arial" w:eastAsia="Arial" w:hAnsi="Arial"/>
                <w:sz w:val="18"/>
                <w:szCs w:val="18"/>
                <w:color w:val="auto"/>
              </w:rPr>
              <w:t>Rental product depreciation and revenue share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depreciation and amortization</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69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r>
      <w:tr>
        <w:trPr>
          <w:trHeight w:val="223"/>
        </w:trPr>
        <w:tc>
          <w:tcPr>
            <w:tcW w:w="69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Operating loss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Interest income / (expense), net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 (loss) on warrant liability revaluation, net</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920" w:type="dxa"/>
            <w:vAlign w:val="bottom"/>
          </w:tcPr>
          <w:p>
            <w:pPr>
              <w:ind w:left="1000"/>
              <w:spacing w:after="0"/>
              <w:rPr>
                <w:sz w:val="20"/>
                <w:szCs w:val="20"/>
                <w:color w:val="auto"/>
              </w:rPr>
            </w:pPr>
            <w:r>
              <w:rPr>
                <w:rFonts w:ascii="Arial" w:cs="Arial" w:eastAsia="Arial" w:hAnsi="Arial"/>
                <w:sz w:val="18"/>
                <w:szCs w:val="18"/>
                <w:color w:val="auto"/>
              </w:rPr>
              <w:t>Net loss before income tax benefit / (expense)</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 (expense)</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20" w:type="dxa"/>
            <w:vAlign w:val="bottom"/>
          </w:tcPr>
          <w:p>
            <w:pPr>
              <w:ind w:left="1000"/>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1"/>
        </w:trPr>
        <w:tc>
          <w:tcPr>
            <w:tcW w:w="6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April 30, 2022 and 2021</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Total Revenue, Net. </w:t>
      </w:r>
      <w:r>
        <w:rPr>
          <w:rFonts w:ascii="Arial" w:cs="Arial" w:eastAsia="Arial" w:hAnsi="Arial"/>
          <w:sz w:val="18"/>
          <w:szCs w:val="18"/>
          <w:color w:val="auto"/>
        </w:rPr>
        <w:t>Total revenue, net was $ 67.1 million for the three months ended April 30, 2022, an increase of $33.6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100.3%, compared to $33.5 million for the three months ended April 30, 2021. This increase was primarily driven by the increase in overall demand, including subscriber count, directly attributable to the COVID-19 recovery compared to last year.</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Subscription and Reserve Rental Revenue. </w:t>
      </w:r>
      <w:r>
        <w:rPr>
          <w:rFonts w:ascii="Arial" w:cs="Arial" w:eastAsia="Arial" w:hAnsi="Arial"/>
          <w:sz w:val="18"/>
          <w:szCs w:val="18"/>
          <w:color w:val="auto"/>
        </w:rPr>
        <w:t>Subscription and Reserve rental revenue was $61.4 million for the three months ended April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2022, an increase of $31.6 million, or 106.0%, compared to $29.8 million for the three months ended April 30, 2021. This increase was primarily driven by the 82% year-over-year increase in Active Subscriber count and the increase in Reserve rental revenue as a result of the COVID-19 pandemic recovery compared to last year. In addition, in the first quarter of fiscal year 2022, we experienced a recovery from the impact of the Omicron variant which impacted the fourth quarter of fiscal year 2021. Our active subscriber count increased 17% from the end of fiscal year 2021 and the rate of subscriber pause decreased from 28% to 24% of total subscribers. In April 2022, we announced a price increase for our subscription plans which went into effect for new subscribers at the end of the quarter, and which went into effect for existing subscribers in the second quarter of fiscal year 2022. We expect the price increase will generally increase revenue per subscriber by program over time.</w:t>
      </w:r>
    </w:p>
    <w:p>
      <w:pPr>
        <w:spacing w:after="0" w:line="181"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b w:val="1"/>
          <w:bCs w:val="1"/>
          <w:i w:val="1"/>
          <w:iCs w:val="1"/>
          <w:color w:val="auto"/>
        </w:rPr>
        <w:t xml:space="preserve">Other Revenue. </w:t>
      </w:r>
      <w:r>
        <w:rPr>
          <w:rFonts w:ascii="Arial" w:cs="Arial" w:eastAsia="Arial" w:hAnsi="Arial"/>
          <w:sz w:val="17"/>
          <w:szCs w:val="17"/>
          <w:color w:val="auto"/>
        </w:rPr>
        <w:t>Other revenue was $5.7 million for the three months ended April 30, 2022, an increase of $2.0 million, or 54.1%,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$ 3.7 million for the three months ended April 30, 2021. This increase was primarily driven by an increase in Active Subscribers which resulted in increased purchases of resale items. Other revenue represented 8.5% of total revenue, down from 11.0% in the same period of fiscal year 2021 as we shifted away from the strategy to increase resale revenue through promotional activities during COVID-19.</w:t>
      </w:r>
    </w:p>
    <w:p>
      <w:pPr>
        <w:spacing w:after="0" w:line="161"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i w:val="1"/>
          <w:iCs w:val="1"/>
          <w:color w:val="auto"/>
        </w:rPr>
        <w:t>Costs and Expenses.</w:t>
      </w:r>
      <w:r>
        <w:rPr>
          <w:sz w:val="20"/>
          <w:szCs w:val="20"/>
          <w:color w:val="auto"/>
        </w:rPr>
        <w:tab/>
      </w:r>
      <w:r>
        <w:rPr>
          <w:rFonts w:ascii="Arial" w:cs="Arial" w:eastAsia="Arial" w:hAnsi="Arial"/>
          <w:sz w:val="17"/>
          <w:szCs w:val="17"/>
          <w:color w:val="auto"/>
        </w:rPr>
        <w:t>Total costs and expenses were $100.3 million for the three months ended April 30, 2022, an increase of</w:t>
      </w:r>
    </w:p>
    <w:p>
      <w:pPr>
        <w:spacing w:after="0" w:line="27"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$38.5 million, or 62.3%, compared to $61.8 million for the three months ended April 30, 2021. This increase was primarily driven by an increase in fulfillment, paid marketing, technology, and G&amp;A expenses and hiring to support our increased growth and public company costs.</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Fulfillment. </w:t>
      </w:r>
      <w:r>
        <w:rPr>
          <w:rFonts w:ascii="Arial" w:cs="Arial" w:eastAsia="Arial" w:hAnsi="Arial"/>
          <w:sz w:val="18"/>
          <w:szCs w:val="18"/>
          <w:color w:val="auto"/>
        </w:rPr>
        <w:t>Fulfillment expenses were $ 22.9 million for the three months ended April 30, 2022, an increase of $14.1 million, or 160.2%,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34.1% of revenue, compared to $8.8 million for the three months ended April 30, 2021, representing 26.3% of revenue. The increase in fulfillment dollars was primarily driven by an increase in demand-related growth and an increase in transportation costs and wage rates which are expected to continue for the remainder of fiscal year 2022, partially offset by fulfillment process improvements.</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Technology. </w:t>
      </w:r>
      <w:r>
        <w:rPr>
          <w:rFonts w:ascii="Arial" w:cs="Arial" w:eastAsia="Arial" w:hAnsi="Arial"/>
          <w:sz w:val="18"/>
          <w:szCs w:val="18"/>
          <w:color w:val="auto"/>
        </w:rPr>
        <w:t>Technology expenses were $13.6 million for the three months ended April 30, 2022, an increase of $3.9 million, or 40.2%,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$9.7 million for the three months ended April 30, 2021. This increase was primarily driven by an increase in strategic investments and personnel costs to support future growth initiatives, including back end infrastructure and cloud investments that provide scaling and efficiency benefits and support our work to provide an enhanced search, fit and discovery experience for the consumer. Technology expenses were 20.3% of revenue for the three months ended April 30, 2022 compared to 29.0% last year as we saw increased operating leverage with higher revenue compared to prior year. Technology related share-based compensation expense was $1.2 million for the three months ended April 30, 2022 and was $0.4 million for the same period last year. We expect technology expenses to increase in fiscal year 2022, driven by continued strategic investments.</w:t>
      </w:r>
    </w:p>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Marketing expenses were $8.7 million for the three months ended April 30, 2022, an increase of $6.1 million, or 234.6%,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$2.6 million for the three months ended April 30, 2021. This increase was driven by the increased marketing initiatives as compared to the same period last year which had reduced paid and brand marketing spend during the COVID-19 pandemic. Marketing expenses unrelated to personnel costs were $7.4 million in the three months ended April 30, 2022 and 11.0% of revenue, compared to $1.6 million last year and 4.8% of total revenue. We expect marketing expenses to increase in absolute dollars in fiscal year 2022, in particular in the first half relative to fiscal year 2021, in order to drive subscriber growth and higher recurring revenue earlier in the year.</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(“G&amp;A”) expenses were $29.2 million for the three months ended April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$10.2 million, or 53.7%, compared to $19.0 million for the three months ended April 30, 2021. This increase was primarily driven by the increase in costs required to support our growth and public company operations, including increased personnel, insurance and professional service fees, as well as increased credit card fees and customer service costs driven by revenue growth. G&amp;A expenses as a percentage of revenue were 43.5% compared to 56.7% last year as we saw increased operating leverage with higher revenue compared to prior year. G&amp;A related share-based compensation expense was $4.1 million for the three months ended April 30, 2022 and was $1.4 million for the same period last year.</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Rental Product Depreciation and Revenue Share. </w:t>
      </w:r>
      <w:r>
        <w:rPr>
          <w:rFonts w:ascii="Arial" w:cs="Arial" w:eastAsia="Arial" w:hAnsi="Arial"/>
          <w:sz w:val="18"/>
          <w:szCs w:val="18"/>
          <w:color w:val="auto"/>
        </w:rPr>
        <w:t>Rental product depreciation and revenue share was $21.7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April 30, 2022, an increase of $5.1 million, or 30.7%, compared to $16.6 million for the three months ended April 30, 2021. The increase is primarily a result of an increase in revenue share payments due to a higher proportion of Share by RTR items rented. Rental product depreciation and revenue share was 32.3% of revenue in the three months ended April 30, 2022, down from 49.6% in the prior period primarily due to rental product depreciation decreasing as a percentage of revenue as costs were absorbed over a larger revenue base.</w:t>
      </w:r>
    </w:p>
    <w:p>
      <w:pPr>
        <w:spacing w:after="0" w:line="18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Other Depreciation and Amortization. </w:t>
      </w:r>
      <w:r>
        <w:rPr>
          <w:rFonts w:ascii="Arial" w:cs="Arial" w:eastAsia="Arial" w:hAnsi="Arial"/>
          <w:sz w:val="18"/>
          <w:szCs w:val="18"/>
          <w:color w:val="auto"/>
        </w:rPr>
        <w:t>Other depreciation and amortization was $4.2 million for the three months ended April 30, 2022,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$0.9 million, or 17.6%, compared to $5.1 million for the three months ended April 30, 2021. This decrease was primarily driven by lower depreciation associated with leasehold improvements.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 (Expense), Net. </w:t>
      </w:r>
      <w:r>
        <w:rPr>
          <w:rFonts w:ascii="Arial" w:cs="Arial" w:eastAsia="Arial" w:hAnsi="Arial"/>
          <w:sz w:val="18"/>
          <w:szCs w:val="18"/>
          <w:color w:val="auto"/>
        </w:rPr>
        <w:t>Interest expense, net was $9.3 million for the three months ended April 30, 2022,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$5.2 million, or 35.9%, compared to $14.5 million for the three months ended April 30, 2021. This decrease was driven by the accrued payment-in-kind interest related to the additional Ares debt entered in October 2020 which impacted the balance as of April 30, 2021 and then was paid down in full in October 2021 which impacted the balance as of April 30, 2022. Of the $9.3 million total interest expense in the three months ended April 30, 2022, $3.4 million was the accrual of paid-in kind (“PIK”) interest, $4.9 million was cash, financing lease interest and other interest and $ 1.0 million was debt discount amortization, compared to $11.2 million of PIK interest, $ 1.1 million of cash, financing lease interest and other interest and $2.2 million of debt discount amortization in the three months ended April 30, 2021.</w:t>
      </w:r>
    </w:p>
    <w:p>
      <w:pPr>
        <w:spacing w:after="0" w:line="2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Gain / (Loss) on Warrant Liability Revaluation, Net. </w:t>
      </w:r>
      <w:r>
        <w:rPr>
          <w:rFonts w:ascii="Arial" w:cs="Arial" w:eastAsia="Arial" w:hAnsi="Arial"/>
          <w:sz w:val="18"/>
          <w:szCs w:val="18"/>
          <w:color w:val="auto"/>
        </w:rPr>
        <w:t>Gain / (loss) on warrant liability revaluation, net was none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30, 2022, a decrease of $0.5 million compared to $0.5 million for the three months ended April 30, 2021. This decrease was driven by the exercise and reclassification of liability-classified warrants to equity-classified warrants upon the Company’s IPO in the third quarter of fiscal year 2021. As of April 30, 2022, all the Company’s outstanding warrants are equity-classified and, as such, did not require fair value remeasurement.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8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Adjusted EBITDA and Adjusted EBITDA Margin. </w:t>
      </w:r>
      <w:r>
        <w:rPr>
          <w:rFonts w:ascii="Arial" w:cs="Arial" w:eastAsia="Arial" w:hAnsi="Arial"/>
          <w:sz w:val="18"/>
          <w:szCs w:val="18"/>
          <w:color w:val="auto"/>
        </w:rPr>
        <w:t>Adjusted EBITDA and Adjusted EBITDA Margin are key performance measures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management to assess our operating performance and the operating leverage of our business prior to capital expenditures. Our Adjusted EBITDA margins have improved from (18.5)% in the three months ended April 30, 2021 to (13.1)% in the three months ended April 30,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6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r>
      <w:tr>
        <w:trPr>
          <w:trHeight w:val="196"/>
        </w:trPr>
        <w:tc>
          <w:tcPr>
            <w:tcW w:w="6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7"/>
                <w:szCs w:val="17"/>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(42.3)</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Interest (income) / expense, net (1)</w:t>
            </w:r>
          </w:p>
        </w:tc>
        <w:tc>
          <w:tcPr>
            <w:tcW w:w="38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14.5</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product depreciation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12.7</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Other depreciation and amortization (2)</w:t>
            </w:r>
          </w:p>
        </w:tc>
        <w:tc>
          <w:tcPr>
            <w:tcW w:w="38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5.1</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(3)</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w:t>
            </w: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Write-off of liquidated assets (4)</w:t>
            </w:r>
          </w:p>
        </w:tc>
        <w:tc>
          <w:tcPr>
            <w:tcW w:w="38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1.4</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Non-recurring adjustments (5)</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(Gain) / loss on warrant liability revaluation, net (6)</w:t>
            </w:r>
          </w:p>
        </w:tc>
        <w:tc>
          <w:tcPr>
            <w:tcW w:w="3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(0.5)</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 losses (7)</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(6.2)</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 (8)</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307"/>
        </w:trPr>
        <w:tc>
          <w:tcPr>
            <w:tcW w:w="6880" w:type="dxa"/>
            <w:vAlign w:val="bottom"/>
          </w:tcPr>
          <w:p>
            <w:pPr>
              <w:spacing w:after="0"/>
              <w:rPr>
                <w:sz w:val="20"/>
                <w:szCs w:val="20"/>
                <w:color w:val="auto"/>
              </w:rPr>
            </w:pPr>
            <w:r>
              <w:rPr>
                <w:rFonts w:ascii="Arial" w:cs="Arial" w:eastAsia="Arial" w:hAnsi="Arial"/>
                <w:sz w:val="18"/>
                <w:szCs w:val="18"/>
                <w:color w:val="auto"/>
              </w:rPr>
              <w:t>__________</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ind w:left="320" w:hanging="312"/>
        <w:spacing w:after="0" w:line="202" w:lineRule="auto"/>
        <w:tabs>
          <w:tab w:leader="none" w:pos="32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debt discount amortization of $1.0 million in the three months ended April 30, 2022 and $2.2 million in the three months ended April 30, 2021.</w:t>
      </w:r>
    </w:p>
    <w:p>
      <w:pPr>
        <w:spacing w:after="0" w:line="80"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2"/>
        </w:numPr>
        <w:rPr>
          <w:rFonts w:ascii="Arial" w:cs="Arial" w:eastAsia="Arial" w:hAnsi="Arial"/>
          <w:sz w:val="9"/>
          <w:szCs w:val="9"/>
          <w:color w:val="auto"/>
        </w:rPr>
      </w:pPr>
      <w:r>
        <w:rPr>
          <w:rFonts w:ascii="Arial" w:cs="Arial" w:eastAsia="Arial" w:hAnsi="Arial"/>
          <w:sz w:val="14"/>
          <w:szCs w:val="14"/>
          <w:color w:val="auto"/>
        </w:rPr>
        <w:t>Reflects non-rental product depreciation and capitalized software amortization.</w:t>
      </w:r>
    </w:p>
    <w:p>
      <w:pPr>
        <w:spacing w:after="0" w:line="48" w:lineRule="exact"/>
        <w:rPr>
          <w:rFonts w:ascii="Arial" w:cs="Arial" w:eastAsia="Arial" w:hAnsi="Arial"/>
          <w:sz w:val="9"/>
          <w:szCs w:val="9"/>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Reflects the non-cash expense for share-based compensation.</w:t>
      </w:r>
    </w:p>
    <w:p>
      <w:pPr>
        <w:spacing w:after="0" w:line="94" w:lineRule="exact"/>
        <w:rPr>
          <w:rFonts w:ascii="Arial" w:cs="Arial" w:eastAsia="Arial" w:hAnsi="Arial"/>
          <w:sz w:val="23"/>
          <w:szCs w:val="23"/>
          <w:color w:val="auto"/>
          <w:vertAlign w:val="superscript"/>
        </w:rPr>
      </w:pPr>
    </w:p>
    <w:p>
      <w:pPr>
        <w:ind w:left="320" w:hanging="312"/>
        <w:spacing w:after="0" w:line="207" w:lineRule="auto"/>
        <w:tabs>
          <w:tab w:leader="none" w:pos="32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rental product that had previously been held for sale.</w:t>
      </w:r>
    </w:p>
    <w:p>
      <w:pPr>
        <w:spacing w:after="0" w:line="93" w:lineRule="exact"/>
        <w:rPr>
          <w:rFonts w:ascii="Arial" w:cs="Arial" w:eastAsia="Arial" w:hAnsi="Arial"/>
          <w:sz w:val="19"/>
          <w:szCs w:val="19"/>
          <w:color w:val="auto"/>
          <w:vertAlign w:val="superscript"/>
        </w:rPr>
      </w:pPr>
    </w:p>
    <w:p>
      <w:pPr>
        <w:ind w:left="340" w:right="120" w:hanging="332"/>
        <w:spacing w:after="0" w:line="231" w:lineRule="auto"/>
        <w:tabs>
          <w:tab w:leader="none" w:pos="333"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Non-recurring adjustments for the three months ended April 30, 2022 includes $0.3 million of costs related to public company SOX readiness and the three months ended April 30, 2021 includes $1.0 million of costs primarily associated with public readiness preparation.</w:t>
      </w:r>
    </w:p>
    <w:p>
      <w:pPr>
        <w:spacing w:after="0" w:line="80" w:lineRule="exact"/>
        <w:rPr>
          <w:rFonts w:ascii="Arial" w:cs="Arial" w:eastAsia="Arial" w:hAnsi="Arial"/>
          <w:sz w:val="19"/>
          <w:szCs w:val="19"/>
          <w:color w:val="auto"/>
          <w:vertAlign w:val="superscript"/>
        </w:rPr>
      </w:pPr>
    </w:p>
    <w:p>
      <w:pPr>
        <w:ind w:left="340" w:right="520" w:hanging="332"/>
        <w:spacing w:after="0" w:line="305" w:lineRule="auto"/>
        <w:tabs>
          <w:tab w:leader="none" w:pos="333" w:val="left"/>
        </w:tabs>
        <w:numPr>
          <w:ilvl w:val="0"/>
          <w:numId w:val="22"/>
        </w:numPr>
        <w:rPr>
          <w:rFonts w:ascii="Arial" w:cs="Arial" w:eastAsia="Arial" w:hAnsi="Arial"/>
          <w:sz w:val="9"/>
          <w:szCs w:val="9"/>
          <w:color w:val="auto"/>
        </w:rPr>
      </w:pPr>
      <w:r>
        <w:rPr>
          <w:rFonts w:ascii="Arial" w:cs="Arial" w:eastAsia="Arial" w:hAnsi="Arial"/>
          <w:sz w:val="14"/>
          <w:szCs w:val="14"/>
          <w:color w:val="auto"/>
        </w:rPr>
        <w:t>Reflects the expense associated with revaluing prior liability classified lender warrants to the respective fair value at period end. As of April 30, 2022, all outstanding warrants are equity classified and therefore do not require remeasurement going forward.</w:t>
      </w:r>
    </w:p>
    <w:p>
      <w:pPr>
        <w:spacing w:after="0" w:line="49" w:lineRule="exact"/>
        <w:rPr>
          <w:rFonts w:ascii="Arial" w:cs="Arial" w:eastAsia="Arial" w:hAnsi="Arial"/>
          <w:sz w:val="9"/>
          <w:szCs w:val="9"/>
          <w:color w:val="auto"/>
        </w:rPr>
      </w:pPr>
    </w:p>
    <w:p>
      <w:pPr>
        <w:ind w:left="340" w:right="200" w:hanging="332"/>
        <w:spacing w:after="0" w:line="231" w:lineRule="auto"/>
        <w:tabs>
          <w:tab w:leader="none" w:pos="333"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gains / losses recognized in relation to foreign exchange, operating lease terminations and the related surrender of fixed assets (see “Note 4 - Leases – Lessee Accounting” in the Notes to the Condensed Consolidated Financial Statements).</w:t>
      </w:r>
    </w:p>
    <w:p>
      <w:pPr>
        <w:spacing w:after="0" w:line="93"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22"/>
        </w:numPr>
        <w:rPr>
          <w:rFonts w:ascii="Arial" w:cs="Arial" w:eastAsia="Arial" w:hAnsi="Arial"/>
          <w:sz w:val="9"/>
          <w:szCs w:val="9"/>
          <w:color w:val="auto"/>
        </w:rPr>
      </w:pPr>
      <w:r>
        <w:rPr>
          <w:rFonts w:ascii="Arial" w:cs="Arial" w:eastAsia="Arial" w:hAnsi="Arial"/>
          <w:sz w:val="14"/>
          <w:szCs w:val="14"/>
          <w:color w:val="auto"/>
        </w:rPr>
        <w:t>Adjusted EBITDA Margin calculated as Adjusted EBITDA as a percentage of revenue.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Since our founding, we have financed our operations primarily from net proceeds from the sale of redeemable preferred stock, common stock and debt financings. As of April 30, 2022, we had cash and cash equivalents of $219.0 million and restricted cash of $10.8 million ($5.0 million current and $5.8 million noncurrent), and an accumulated deficit of $(843.7) million.</w:t>
      </w:r>
    </w:p>
    <w:p>
      <w:pPr>
        <w:spacing w:after="0" w:line="19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disclosed above, on October 29, 2021, we closed our IPO, in which we issued and sold 17,000,000 shares at a public offering price of $21.00 per share. We received net proceeds of $327.3 million after deducting underwriting discounts and commissions and offering expenses.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Concurrent with our IPO, we paid down our senior secured term loan of $80.7 million (including accrued interest) with Ares Corporate Opportunities Fund V, L.P. (the “Ares Facility”) in full and $60.0 million of our Temasek Facility and refinanced the remaining Temasek Facility, resulting in a total debt repayment of $140.7 million. Our total indebtedness as of April 30, 2022 was $265.2 million. For a description of the terms of our current and prior credit agreements, see “Note 6 – Long-Term Debt” in the Notes to the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We expect that operating losses and negative cash flows from operations could continue in the foreseeable future as we continue to acquire products and increase other investments in our business. We believe our existing cash and cash equivalents, and cash generated from our operations, will be sufficient to sustain our business operations, to satisfy our debt service obligations and to comply with our amended debt covenants for at least the next twelve months from the date of this Quarterly Report.</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future capital requirements will depend on many factors, including, but not limited to, growth in the number of customers and Active Subscribers and the timing of investments in technology and personnel to support the overall growth of our business.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which could negatively affect our liquidity in the future. In the event that additional financing is required from outside sources, we may not be able to negotiate terms acceptable to us or at all.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75"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April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196"/>
        </w:trPr>
        <w:tc>
          <w:tcPr>
            <w:tcW w:w="8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year</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9"/>
                <w:szCs w:val="19"/>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year</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also measure the cash consumption of the business including capital expenditures, by assessing net cash used in operating activities and net cash used in investing activities on a combined basis, which was $(10.3) million for the three months ended April 30, 2021 and $(28.2) million for the three months ended April 30, 2022.</w:t>
      </w:r>
    </w:p>
    <w:p>
      <w:pPr>
        <w:spacing w:after="0" w:line="19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sum of net cash used in operating activities and net cash used in investing activities, as a percentage of revenue, was (30.7)% for the three months ended April 30, 2021 and (42.0)% for three months ended April 30, 2022.</w:t>
      </w:r>
    </w:p>
    <w:p>
      <w:pPr>
        <w:spacing w:after="0" w:line="166"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b w:val="1"/>
          <w:bCs w:val="1"/>
          <w:color w:val="auto"/>
        </w:rPr>
        <w:t>Net cash (used in) provided by operating activities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three months ended April 30, 2022, net cash used in operating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was $(17.4) million, which consisted of a net loss of $(42.5) million, partially offset by non-cash charges of $29.6 million, reclassification of</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 proceeds from the sale of rental product of $ 4.0 million and a net change of $(0.5) million in our operating assets and liabilities. The non-cash charges were primarily comprised of $13.6 million of rental product depreciation and write-off expenses, $3.4 million of payment-in-kind</w:t>
      </w:r>
    </w:p>
    <w:p>
      <w:pPr>
        <w:spacing w:after="0" w:line="1"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interest, $5.5 million of share-based compensation, $1.0 million of debt discount amortization and $6.1 million of other fixed and intangible asset depreciation and the loss on the surrender of fixed asset write-offs related to the partial termination of the lease of the corporate headquarters (see “Note 4 - Leases – Lessee Accounting” in the Notes to the Condensed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three months ended April 30, 2021, net cash used in operating activities was $(9.0) million, which consisted of a net loss of $(42.3) million, partially offset by non-cash charges of $32.4 million, reclassification of the proceeds from the sale of rental product of $2.8 million and a net change of $3.7 million in our operating assets and liabilities. The non-cash charges were primarily comprised of $12.5 million of rental product depreciation and write-off expenses, $11.2 million of payment-in-kind interest, $1.9 million of share-based compensation, $2.2 million of debt discount amortization and $5.1 million of other fixed and intangible asset depreciation and amortization.</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Net cash (used in) provided by investing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 months ended April 30, 2022, net cash used in investing activities was</w:t>
      </w:r>
      <w:r>
        <w:rPr>
          <w:rFonts w:ascii="Arial" w:cs="Arial" w:eastAsia="Arial" w:hAnsi="Arial"/>
          <w:sz w:val="18"/>
          <w:szCs w:val="18"/>
          <w:b w:val="1"/>
          <w:bCs w:val="1"/>
          <w:color w:val="auto"/>
        </w:rPr>
        <w:t xml:space="preserve"> </w:t>
      </w:r>
      <w:r>
        <w:rPr>
          <w:rFonts w:ascii="Arial" w:cs="Arial" w:eastAsia="Arial" w:hAnsi="Arial"/>
          <w:sz w:val="18"/>
          <w:szCs w:val="18"/>
          <w:color w:val="auto"/>
        </w:rPr>
        <w:t>$(10.8) million, primarily consisting of $(13.4) million of purchases of rental product incurred in the period and $(2.0) million of purchases of fixed and intangible assets. The investment in rental product does not include an additional $12.7 million of cost for units received in the current period but not yet paid for, but does include $6.5 million of cost for units paid for in the current period but received in the prior period (see the Supplemental Cash Flow Information in Part I, Item 1. Financial Statements). The investment in rental product was to support our growth in customer demand. The majority of the investment in fixed and intangible assets was related to investments in automation assets, additional processing machinery and equipment for our Secaucus and Arlington warehouses and capitalized technology labor. The cash used in investing activities was partially offset by $4.0 million of proceeds from the sale of owned rental product and $0.6 million of proceeds from the liquidation of rental product.</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three months ended April 30, 2021, net cash used in investing activities was $(1.3) million, primarily consisting of $(4.4) million of purchases of rental product and $(1.3) million of purchases of fixed and intangible assets. The investment in rental product did not include the additional $3.5 million of cost for units received in the current period but not yet paid for, but did include $3.6 million of cost for units paid for in the current period but received in the prior period (see Supplemental Cash Flow Information in Part I, Item 1. Financial Statements). The investment in rental product was to support growth in planned customer demand prior to the onset of COVID-19. The majority of the investment in fixed and intangible assets was related to the build-out of our new headquarters in Brooklyn, NY, the investment in automation assets and additional processing machinery and equipment for our warehouses in addition to capitalized technology labor. The cash used in investing activities was partially offset by $2.8 million of proceeds from sale of owned rental product and $1.6 million of proceeds from the liquidation of rental product.</w:t>
      </w:r>
    </w:p>
    <w:p>
      <w:pPr>
        <w:spacing w:after="0" w:line="18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Net cash provided by (used in) financing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three months ended April 30, 2022, net cash used in financing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was $(1.6) million, consisting of other financing payments.</w:t>
      </w:r>
    </w:p>
    <w:p>
      <w:pPr>
        <w:spacing w:after="0" w:line="15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During the three months ended April 30, 2021, net cash provided by financing activities was $17.9 million, consisting primarily of proceeds from the issuance of redeemable preferred stock of $17.1 million.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October 2021, we paid down outstanding principal and accrued interest of our Ares Facility in full and a portion of our Temasek Facility. Additionally, we entered into the Amended Temasek Facility. As of April 30, 2022, we had approximately $265.2 million of total debt outstanding, none of which is payable within the next 12 months. See “Note 6 — Long-Term Debt” in the Notes to the Condensed Consolidated Financial Statements for more information.</w:t>
      </w:r>
    </w:p>
    <w:p>
      <w:pPr>
        <w:spacing w:after="0" w:line="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See “Note 4 — Leases – Lessee Accounting” in the Notes to the Condensed Consolidated Financial Statements for our minimum fixed lease obligations under existing lease agreements as of April 30,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critical accounting estimates are described under the heading “Management’s Discussion and Analysis of Financial Condition and Results of Operations-Critical Accounting Estimates” in our 2021 Annual Report on Form 10-K. In the three months ended April 30, 2022, there were no material changes to our critical accounting estimates from those discussed in our 2021 Annual Report on Form 10-K.</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Market risk represents the risk of loss that may impact our financial position because of adverse changes in financial market prices and rates.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Our market risk exposure is primarily a result of exposure resulting from potential changes in inflation.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April 30, 2022, we had cash and cash equivalents of $219.0 million and $265.2 million of debt outstanding under the Temasek Facility. Cash and cash equivalents consist primarily of cash held in financial institutions within the United States and Ireland and cash in transit from third-party credit card providers. Borrowings under the Temasek Facility bear interest at fixed rates. We have minimal exposure to market risk relating to changes in interest rates as they can affect the amount of interest income we earn on our cash. We do not enter into investments for trading or speculative purposes and have not used any derivative financial instruments to manage our interest rate risk exposure. As of April 30, 2022, a hypothetical 10% change in interest rates would not have resulted in a material impact on our condensed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net revenue is denominated in U.S. dollars and a portion of our operating expenses are incurred outside the United States, denominated in foreign currencies. Accordingly, our results of operations are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As the impact of foreign currency exchange rates has not been material to our historical results of operations, we have not entered into derivative or hedging transactions, but we may do so in the future if our exposure to foreign currency becomes more significant. As of April 30, 2022, a hypothetical 10% change in the relative value of the U.S. dollar to other currencies would not have had a material effect on our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recent months, inflation has continued to increase significantly in the United States and overseas resulting in rising transportation, wages, rental product and other costs. We do not believe that inflation has had a material effect on our business, financial condition or results of operations. For a discussion of recent wage increases and transportation costs related, in part, to inflationary pressures, see “Impact of COVID-19 on Our Business” in Part I, Item 2. “Management’s Discussion and Analysis of Financial Condition and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April 30, 2022 because of the material weaknesses in our internal control over financial reporting described below.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April 30, 2022, these material weaknesses are still in the process of being remediated.</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4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203"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4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Notwithstanding the above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Material Weaknesses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address these material weaknesses, we have commenced actions to formalize the Company’s framework and policies with respect to maintaining evidence of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MATTERS</w:t>
      </w:r>
    </w:p>
    <w:p>
      <w:pPr>
        <w:spacing w:after="0" w:line="117"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information contained in “Note 14 — Commitments and Contingencies” in the Notes to the Condensed Consolidated Financial Statements is incorporated by reference into this Item.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addition, the impacts of the COVID-19 pandemic may exacerbate the risks described below as well as risks and uncertainties not presently known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25"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We have grown rapidly in recent years and have limited experience at our current scale of operations. If we are unable to manage our growth effectively, our brand, company culture, and financial performance may suffer</w:t>
      </w:r>
      <w:r>
        <w:rPr>
          <w:rFonts w:ascii="Arial" w:cs="Arial" w:eastAsia="Arial" w:hAnsi="Arial"/>
          <w:sz w:val="18"/>
          <w:szCs w:val="18"/>
          <w:color w:val="auto"/>
        </w:rPr>
        <w:t>.</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grown rapidly over the last several years, due in large part to the growth in demand for our Subscription offerings, and therefore, our recent growth rates and financial performance should not necessarily be considered indicative of our future performance. The COVID-19 pandemic materially adversely affected our fiscal year 2020 operating and financial results, resulting in our total revenue decreasing 38.7% from $256.9 million in fiscal year 2019 to $157.5 million. During fiscal year 2021, revenue sequentially increased each quarter, a trend that continued into the first quarter of fiscal year 2022. Revenue for fiscal year 2021 increased 29.1% to $203.3 million from $157.5 million in fiscal year 2020. To effectively manage and capitalize on our growth, we must continue to expand our brand awareness and marketing, enhance customer experience, iterate our subscription products, invest in digital consumer innovation, and upgrade our management information and reverse logistics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growth strategy is focused on continuing to grow, engage, and retain our subscriber and customer base, expanding our brand partner relationships and product assortment, increasing our brand awareness, advertising and other marketing spending, and continuing to invest in our offerings and technology. The majority of our revenue is generated by our subscribers. Our 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 success and may not grow as much or as fast as we expect. If our growth rate declines, investors’ perception of our business, financial condition and results of operations may be adversely affected. To the extent our growth rate slows, our business performance will become increasingly dependent on our ability to retain revenue from existing subscribers and increase sales to existing customers.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fashion industry is rapidly evolving and our business may not develop as we expect. Overall growth of our revenue will depend on a number of factors, including our ability to:</w:t>
      </w:r>
    </w:p>
    <w:p>
      <w:pPr>
        <w:spacing w:after="0" w:line="45" w:lineRule="exact"/>
        <w:rPr>
          <w:sz w:val="20"/>
          <w:szCs w:val="20"/>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traditional consumer buying habits and normalize clothing rental and resale;</w:t>
      </w:r>
    </w:p>
    <w:p>
      <w:pPr>
        <w:spacing w:after="0" w:line="117" w:lineRule="exact"/>
        <w:rPr>
          <w:rFonts w:ascii="Arial" w:cs="Arial" w:eastAsia="Arial" w:hAnsi="Arial"/>
          <w:sz w:val="18"/>
          <w:szCs w:val="18"/>
          <w:color w:val="auto"/>
        </w:rPr>
      </w:pPr>
    </w:p>
    <w:p>
      <w:pPr>
        <w:ind w:left="740" w:right="480" w:hanging="246"/>
        <w:spacing w:after="0" w:line="287"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our Subscription, Reserve and Resale offerings so that we are able to attract new customers, and retain and expand our relationships with existing customers;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accurately forecast our revenue and plan our fulfillment, operating expenses and capital expenditures;</w:t>
      </w:r>
    </w:p>
    <w:p>
      <w:pPr>
        <w:spacing w:after="0" w:line="117" w:lineRule="exact"/>
        <w:rPr>
          <w:rFonts w:ascii="Arial" w:cs="Arial" w:eastAsia="Arial" w:hAnsi="Arial"/>
          <w:sz w:val="18"/>
          <w:szCs w:val="18"/>
          <w:color w:val="auto"/>
        </w:rPr>
      </w:pPr>
    </w:p>
    <w:p>
      <w:pPr>
        <w:ind w:left="740" w:right="300" w:hanging="246"/>
        <w:spacing w:after="0" w:line="287"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ensure that we maintain an adequate depth and breadth of available products to meet evolving customer demands and respond swiftly and appropriately to new and changing styles, trends or desired consumer preferences;</w:t>
      </w:r>
    </w:p>
    <w:p>
      <w:pPr>
        <w:spacing w:after="0" w:line="44" w:lineRule="exact"/>
        <w:rPr>
          <w:rFonts w:ascii="Arial" w:cs="Arial" w:eastAsia="Arial" w:hAnsi="Arial"/>
          <w:sz w:val="18"/>
          <w:szCs w:val="18"/>
          <w:color w:val="auto"/>
        </w:rPr>
      </w:pPr>
    </w:p>
    <w:p>
      <w:pPr>
        <w:ind w:left="740" w:right="220" w:hanging="246"/>
        <w:spacing w:after="0" w:line="287"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maintain and grow our relationships with existing and new brand partners, including continuing to grow our Share by RTR and Exclusive Design offerings;</w:t>
      </w:r>
    </w:p>
    <w:p>
      <w:pPr>
        <w:spacing w:after="0" w:line="44" w:lineRule="exact"/>
        <w:rPr>
          <w:rFonts w:ascii="Arial" w:cs="Arial" w:eastAsia="Arial" w:hAnsi="Arial"/>
          <w:sz w:val="18"/>
          <w:szCs w:val="18"/>
          <w:color w:val="auto"/>
        </w:rPr>
      </w:pPr>
    </w:p>
    <w:p>
      <w:pPr>
        <w:ind w:left="740" w:right="340" w:hanging="246"/>
        <w:spacing w:after="0" w:line="287"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avoid disruptions in acquiring and distributing our products and offerings, including maintaining sufficient rental product levels to support demand;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customers with a high-quality experience, including customer service and support that meets their needs;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and enhance our reputation and the value of our brand;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integrate and retain talented personnel across all levels of our organization;</w:t>
      </w:r>
    </w:p>
    <w:p>
      <w:pPr>
        <w:spacing w:after="0" w:line="117" w:lineRule="exact"/>
        <w:rPr>
          <w:rFonts w:ascii="Arial" w:cs="Arial" w:eastAsia="Arial" w:hAnsi="Arial"/>
          <w:sz w:val="18"/>
          <w:szCs w:val="18"/>
          <w:color w:val="auto"/>
        </w:rPr>
      </w:pPr>
    </w:p>
    <w:p>
      <w:pPr>
        <w:ind w:left="740" w:right="100" w:hanging="246"/>
        <w:spacing w:after="0" w:line="287"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expand into new and penetrate existing geographic markets in the United States;</w:t>
      </w:r>
    </w:p>
    <w:p>
      <w:pPr>
        <w:spacing w:after="0" w:line="117"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develop new offerings and innovate and enhance our existing offerings and their features, including in response to new trends, competitive dynamics or the needs of customers and subscribers;</w:t>
      </w:r>
    </w:p>
    <w:p>
      <w:pPr>
        <w:spacing w:after="0" w:line="44"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manage our costs related to our business and operations;</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avoid or manage interruptions in our business from information technology downtime, cybersecurity incidents and other factors that could affect our physical and digital infrastructure; and</w:t>
      </w:r>
    </w:p>
    <w:p>
      <w:pPr>
        <w:spacing w:after="0" w:line="44"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identify and acquire, partner or invest in products, technologies, or businesses that we believe could complement or expand our business.</w:t>
      </w:r>
    </w:p>
    <w:p>
      <w:pPr>
        <w:spacing w:after="0" w:line="1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had, and may in the future continue to have, a material adverse impact on our business</w:t>
      </w:r>
      <w:r>
        <w:rPr>
          <w:rFonts w:ascii="Arial" w:cs="Arial" w:eastAsia="Arial" w:hAnsi="Arial"/>
          <w:sz w:val="18"/>
          <w:szCs w:val="18"/>
          <w:color w:val="auto"/>
        </w:rPr>
        <w: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COVID-19 pandemic and the travel restrictions, quarantines,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New variants of COVID-19, such as Delta and Omicron, continue to be identified and lead to evolving recommendations and restrictions by workforces and federal, state and local government officials. The global macroeconomic effects of the pandemic may persist for an indefinite period of time, even after the pandemic has subsided. In addition, we cannot predict the impact the COVID-19 pandemic has had and will have on our brand partners, manufacturers, vendors and other third-party service providers, and we may continue to be materially adversely impacted as a result of the negative past, present and future impact upon these parties.</w:t>
      </w:r>
    </w:p>
    <w:p>
      <w:pPr>
        <w:spacing w:after="0" w:line="18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COVID-19 pandemic materially adversely affected our operating and financial results during fiscal year 2020 due to the occurrence of the following events or circumstances, among others:</w:t>
      </w:r>
    </w:p>
    <w:p>
      <w:pPr>
        <w:spacing w:after="0" w:line="45" w:lineRule="exact"/>
        <w:rPr>
          <w:sz w:val="20"/>
          <w:szCs w:val="20"/>
          <w:color w:val="auto"/>
        </w:rPr>
      </w:pPr>
    </w:p>
    <w:p>
      <w:pPr>
        <w:ind w:left="740" w:right="620" w:hanging="246"/>
        <w:spacing w:after="0" w:line="287"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44" w:lineRule="exact"/>
        <w:rPr>
          <w:rFonts w:ascii="Arial" w:cs="Arial" w:eastAsia="Arial" w:hAnsi="Arial"/>
          <w:sz w:val="18"/>
          <w:szCs w:val="18"/>
          <w:color w:val="auto"/>
        </w:rPr>
      </w:pPr>
    </w:p>
    <w:p>
      <w:pPr>
        <w:ind w:left="740" w:right="20" w:hanging="246"/>
        <w:spacing w:after="0" w:line="318" w:lineRule="auto"/>
        <w:tabs>
          <w:tab w:leader="none" w:pos="7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significant number of subscribers paused or canceled their subscriptions or downgraded to lower-priced plans, and we experienced significant decreased demand for our Reserve offering and customers canceled their existing orders for special events;</w:t>
      </w:r>
    </w:p>
    <w:p>
      <w:pPr>
        <w:spacing w:after="0" w:line="21" w:lineRule="exact"/>
        <w:rPr>
          <w:rFonts w:ascii="Arial" w:cs="Arial" w:eastAsia="Arial" w:hAnsi="Arial"/>
          <w:sz w:val="17"/>
          <w:szCs w:val="17"/>
          <w:color w:val="auto"/>
        </w:rPr>
      </w:pPr>
    </w:p>
    <w:p>
      <w:pPr>
        <w:ind w:left="740" w:right="140" w:hanging="246"/>
        <w:spacing w:after="0" w:line="287"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subscribers engaged less, which impacted the success of our organic marketing and reduced the volume of our data and business insights;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of the operations of our brand partners and delays in shipment and delivery of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pausing all of our paid marketing spend and eliminating or significantly reducing investments in growth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carrying more products relative to customer demand, negatively impacting gross margins;</w:t>
      </w:r>
    </w:p>
    <w:p>
      <w:pPr>
        <w:spacing w:after="0" w:line="117"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performance-based revenue share payments to brands were decreased due to lower total revenue, impacting our brand partner relationships and value proposition;</w:t>
      </w:r>
    </w:p>
    <w:p>
      <w:pPr>
        <w:spacing w:after="0" w:line="44" w:lineRule="exact"/>
        <w:rPr>
          <w:rFonts w:ascii="Arial" w:cs="Arial" w:eastAsia="Arial" w:hAnsi="Arial"/>
          <w:sz w:val="18"/>
          <w:szCs w:val="18"/>
          <w:color w:val="auto"/>
        </w:rPr>
      </w:pPr>
    </w:p>
    <w:p>
      <w:pPr>
        <w:ind w:left="740" w:right="460" w:hanging="246"/>
        <w:spacing w:after="0" w:line="287" w:lineRule="auto"/>
        <w:tabs>
          <w:tab w:leader="none" w:pos="7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implementing temporary salary cuts, employee layoffs and furloughs, and pausing recruiting efforts, which negatively impacted employee morale and resulted in an increase in regrettable employee attrition;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closure of our brick-and-mortar retail stores, which was perceived negatively by some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60" w:firstLine="486"/>
        <w:spacing w:after="0" w:line="287" w:lineRule="auto"/>
        <w:rPr>
          <w:sz w:val="20"/>
          <w:szCs w:val="20"/>
          <w:color w:val="auto"/>
        </w:rPr>
      </w:pPr>
      <w:r>
        <w:rPr>
          <w:rFonts w:ascii="Arial" w:cs="Arial" w:eastAsia="Arial" w:hAnsi="Arial"/>
          <w:sz w:val="18"/>
          <w:szCs w:val="18"/>
          <w:color w:val="auto"/>
        </w:rPr>
        <w:t>In fiscal year 2021, our operating and financial results continued to be impacted by the COVID-19 pandemic. In the fourth quarter of fiscal year 2021, the Omicron variant negatively impacted us in three key ways by:</w:t>
      </w:r>
    </w:p>
    <w:p>
      <w:pPr>
        <w:spacing w:after="0" w:line="45" w:lineRule="exact"/>
        <w:rPr>
          <w:sz w:val="20"/>
          <w:szCs w:val="20"/>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significantly decreasing revenue from our Reserve business as most holiday events were canceled;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reducing subscriber acquisition in the second half of the quarter;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driving a higher rate of subscriber pause.</w:t>
      </w:r>
    </w:p>
    <w:p>
      <w:pPr>
        <w:spacing w:after="0" w:line="22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fiscal year 2021, results also continued to be impacted by consumers working primarily from home and by special events and occasions not yet being back to pre-pandemic levels.</w:t>
      </w:r>
    </w:p>
    <w:p>
      <w:pPr>
        <w:spacing w:after="0" w:line="153"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As the recovery period continues, particularly in the United States, the effects of the COVID-19 pandemic, including the identification and spread of new variants of the virus, may continue to have a negative impact on our business operations and long-term financial results of operations due to the occurrence of the following events or circumstances, among others:</w:t>
      </w:r>
    </w:p>
    <w:p>
      <w:pPr>
        <w:spacing w:after="0" w:line="63" w:lineRule="exact"/>
        <w:rPr>
          <w:sz w:val="20"/>
          <w:szCs w:val="20"/>
          <w:color w:val="auto"/>
        </w:rPr>
      </w:pPr>
    </w:p>
    <w:p>
      <w:pPr>
        <w:ind w:left="740" w:right="60" w:hanging="246"/>
        <w:spacing w:after="0" w:line="268"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difficulty in accurately predicting the timing of potential new variants and/or the pace of our business recovery, particularly changes in demand, subscriber levels and pause activity, and Reserve and Resale orders, leading to potentially over-spending and lower profitability if demand and engagement are not as expected;</w:t>
      </w:r>
    </w:p>
    <w:p>
      <w:pPr>
        <w:spacing w:after="0" w:line="62" w:lineRule="exact"/>
        <w:rPr>
          <w:rFonts w:ascii="Arial" w:cs="Arial" w:eastAsia="Arial" w:hAnsi="Arial"/>
          <w:sz w:val="18"/>
          <w:szCs w:val="18"/>
          <w:color w:val="auto"/>
        </w:rPr>
      </w:pPr>
    </w:p>
    <w:p>
      <w:pPr>
        <w:ind w:left="740" w:right="500" w:hanging="246"/>
        <w:spacing w:after="0" w:line="287"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meet increased demand and provide an optimal customer experience as a result of difficulty in hiring additional employees, particularly in our fulfillment, operations and customer experience functions;</w:t>
      </w:r>
    </w:p>
    <w:p>
      <w:pPr>
        <w:spacing w:after="0" w:line="44" w:lineRule="exact"/>
        <w:rPr>
          <w:rFonts w:ascii="Arial" w:cs="Arial" w:eastAsia="Arial" w:hAnsi="Arial"/>
          <w:sz w:val="18"/>
          <w:szCs w:val="18"/>
          <w:color w:val="auto"/>
        </w:rPr>
      </w:pPr>
    </w:p>
    <w:p>
      <w:pPr>
        <w:ind w:left="740" w:right="440" w:hanging="246"/>
        <w:spacing w:after="0" w:line="287"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continuing supply chain disruptions and/or disruptions in the operations of our brand partners, which could impact our ability to acquire an adequate depth and breadth of products at favorable prices in a timely manner to match demand; and</w:t>
      </w:r>
    </w:p>
    <w:p>
      <w:pPr>
        <w:spacing w:after="0" w:line="44"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resurgences of the COVID-19 pandemic that lead to new or additional shelter-in-place orders, travel advisories, and/or reduced social activities and events, which may dampen future demand for our products and offering.</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continued scope and duration of the pandemic, whether additional actions may be taken to contain the virus, the impact on our customers and partners, the speed and extent to which markets fully recover from the disruptions caused by the pandemic, and the impact of these factors on our business, will depend on future developments that are highly uncertain and cannot be predicted with confidence. In addition, to the extent COVID-19 adversely affects our operations and global economic conditions more generally, it may also have the effect of heightening many of the other risks described in these Risk Factors.</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Part I, Item 2, “Management’s Discussion and Analysis of Financial Position and Results of Operations” for more details on the impact of the COVID-19 pandemic.</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fashion industry is highly competitive and rapidly changing, and we may not be able to compete effectively</w:t>
      </w:r>
      <w:r>
        <w:rPr>
          <w:rFonts w:ascii="Arial" w:cs="Arial" w:eastAsia="Arial" w:hAnsi="Arial"/>
          <w:sz w:val="18"/>
          <w:szCs w:val="18"/>
          <w:color w:val="auto"/>
        </w:rPr>
        <w:t>.</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our ability to compete effectively depends on many factors within and beyond our control, including:</w:t>
      </w:r>
    </w:p>
    <w:p>
      <w:pPr>
        <w:spacing w:after="0" w:line="117" w:lineRule="exact"/>
        <w:rPr>
          <w:sz w:val="20"/>
          <w:szCs w:val="20"/>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normalize fashion rental and change traditional retail shopping habits and norms;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how effectively differentiated our offerings and value proposition are from those of our competitors;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how effectively we market and communicate how to use our Subscription and Reserve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expand and maintain an appealing depth and breadth of our products to meet customer demand;</w:t>
      </w:r>
    </w:p>
    <w:p>
      <w:pPr>
        <w:spacing w:after="0" w:line="117" w:lineRule="exact"/>
        <w:rPr>
          <w:rFonts w:ascii="Arial" w:cs="Arial" w:eastAsia="Arial" w:hAnsi="Arial"/>
          <w:sz w:val="18"/>
          <w:szCs w:val="18"/>
          <w:color w:val="auto"/>
        </w:rPr>
      </w:pPr>
    </w:p>
    <w:p>
      <w:pPr>
        <w:ind w:left="740" w:hanging="246"/>
        <w:spacing w:after="0" w:line="287"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new brand partners and retain existing brand partners in our Share by RTR and Exclusive Design programs and acquire products on favorable and efficient terms;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speed and cost at which we can deliver products to our customers and the ease with which they can return our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customer service;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further developing our data science capabilities for brand partners;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services to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diversity, and quality of brands that we or our competitors offer;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at which we are able to offer our Subscription, Reserve and Resale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reverse-logistics processes in delivering products in good condition to customers;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anticipating and successfully responding to changing apparel trends and consumer shopping preferences.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Many competitors or potential competitors may have longer operating histories, greater brand recognition, existing consumer and supplier relationships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They may be willing to price their products and services more aggressively in order to gain market share or generally employ a low-cost pricing model and be able to manufacture goods on a more cost-effective basis because they are producing higher volumes and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18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8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40"/>
        <w:spacing w:after="0" w:line="272" w:lineRule="auto"/>
        <w:rPr>
          <w:sz w:val="20"/>
          <w:szCs w:val="20"/>
          <w:color w:val="auto"/>
        </w:rPr>
      </w:pPr>
      <w:r>
        <w:rPr>
          <w:rFonts w:ascii="Arial" w:cs="Arial" w:eastAsia="Arial" w:hAnsi="Arial"/>
          <w:sz w:val="18"/>
          <w:szCs w:val="18"/>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8"/>
          <w:szCs w:val="18"/>
          <w:b w:val="1"/>
          <w:bCs w:val="1"/>
          <w:color w:val="auto"/>
        </w:rPr>
        <w:t>.</w:t>
      </w:r>
    </w:p>
    <w:p>
      <w:pPr>
        <w:spacing w:after="0" w:line="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growth of our business is dependent upon our ability to continue to grow by cost-effectively adding new customers. Historically, a substantial portion of new customer acquisition has originated from organic word-of-mouth and other non-paid referrals. Although we will continue to encourage customer engagement, loyalty, and word-of-mouth referrals, there is no guarantee that we will be successful and our organic growth may decline. Paid marketing is also a key part of our growth strategy and while we previously paused paid marketing during portions of the pandemic as a result of COVID-19, we have increased our spending and plan to significantly increase spending and run marketing campaigns to acquire additional subscribers and customers, all of which could impact our overall profitability. We may incur marketing expenses significantly in advance of the time we anticipate recognized revenue associated with such expenses, our paid marketing may not effectively reach potential customers or be cost effective, changes in regulations or third-party interference could limit the ability of search engines and social media platforms for marketing, potential customers may decide not to rent through our platform or the spend of new customers may not yield the intended return on investment, any of which could negatively affect our results of operations. Moreover customer preferences may change and customers may not rent through our platform as frequently or spend as much with us. If we are not able to continue to expand our customer base through cost-effective methods, our revenue may grow slower than expected or decline. Relatedly, an inability to attract and retain customers could harm our ability to attract and retain brand partners, who may decide to partner with alternative platforms.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retain customers, our business, financial condition, and results of operations would be harmed</w:t>
      </w:r>
      <w:r>
        <w:rPr>
          <w:rFonts w:ascii="Arial" w:cs="Arial" w:eastAsia="Arial" w:hAnsi="Arial"/>
          <w:sz w:val="18"/>
          <w:szCs w:val="18"/>
          <w:color w:val="auto"/>
        </w:rPr>
        <w:t>.</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high proportion of our revenue comes from highly engaged subscribers. A decrease in the number of existing customers or a reduction in the amount existing customers spend on our offerings could negatively affect our operating results.</w:t>
      </w:r>
    </w:p>
    <w:p>
      <w:pPr>
        <w:spacing w:after="0" w:line="15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Our number of customers and the amounts they spend on our offerings may decline materially or fluctuate as a result of many factors, including, among other things:</w:t>
      </w:r>
    </w:p>
    <w:p>
      <w:pPr>
        <w:spacing w:after="0" w:line="45" w:lineRule="exact"/>
        <w:rPr>
          <w:sz w:val="20"/>
          <w:szCs w:val="20"/>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quality, consumer appeal, price, and reliability of our offerings;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dissatisfaction with changes we make to our offerings and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perceived value of our offerings, especially in response to price increases;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quality control the products delivered to our customers and their fit;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ensuring on-time delivery of orders;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ease with which customers can find items they are looking for;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negative customer service experience;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intense competition in the fashion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publicity that impacts our brand and reputation;</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consumer preferences regarding the use of pre-loved apparel;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market acceptance of our business model;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unpredictable nature of the impact of the COVID-19 pandemic or a future outbreak of disease or similar public health concern;</w:t>
      </w:r>
    </w:p>
    <w:p>
      <w:pPr>
        <w:spacing w:after="0" w:line="117" w:lineRule="exact"/>
        <w:rPr>
          <w:rFonts w:ascii="Arial" w:cs="Arial" w:eastAsia="Arial" w:hAnsi="Arial"/>
          <w:sz w:val="18"/>
          <w:szCs w:val="18"/>
          <w:color w:val="auto"/>
        </w:rPr>
      </w:pPr>
    </w:p>
    <w:p>
      <w:pPr>
        <w:ind w:left="740" w:right="540" w:hanging="246"/>
        <w:spacing w:after="0" w:line="287" w:lineRule="auto"/>
        <w:tabs>
          <w:tab w:leader="none" w:pos="7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(or perceived failure) to meet customer expectations regarding our environmental, social and governance (“ESG”), initiatives;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efficiency of our historic or current customer acquisition methods.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existing customers no longer find our offerings and products appealing or appropriately priced or if we are unable to provide high-quality support to customers to help them resolve issues in a timely and acceptable manner, they may stop using our offerings, negative publicity may be generated and word-of-mouth and other referrals may be hampered. For example, we recently announced a price increase for our subscription plans. If our customers no longer perceive our subscription plans as appropriately priced and cancel or pause their subscriptions, our business and financial results could be harmed. Even if our existing customers continue to find our offerings and products appealing and our customer service satisfactory, they may decide to downgrade to a less frequent, lower cost subscription and rent fewer items over time as their demand for apparel and accessories declines. For example, as a result of changes to daily life due to the COVID-19 pandemic, including increased rates of working remotely from home, many customers’ demands for a variety of apparel was, and in the future may be, reduced or eliminated. If customers who rent most frequently and rent a significant amount of items from us were to make fewer or lower priced rentals or stop using our offerings, our financial results could be negatively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r>
        <w:rPr>
          <w:rFonts w:ascii="Arial" w:cs="Arial" w:eastAsia="Arial" w:hAnsi="Arial"/>
          <w:sz w:val="18"/>
          <w:szCs w:val="18"/>
          <w:color w:val="auto"/>
        </w:rPr>
        <w:t>.</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had a net loss of $ (42.5) million and $ (211.8) million for the three months ended April 30, 2022 and year ended January 31, 2022, respectively, and have in the past had net losses. As of April 30, 2022, we had an accumulated deficit of $(843.7)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7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ability to generate profit depends on our ability to grow revenues and drive operational efficiencies in our business to generate better margins. We expect to incur increased operating costs and may continue to generate net losses in the near term in order to:</w:t>
      </w:r>
    </w:p>
    <w:p>
      <w:pPr>
        <w:spacing w:after="0" w:line="45" w:lineRule="exact"/>
        <w:rPr>
          <w:sz w:val="20"/>
          <w:szCs w:val="20"/>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acquire products;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the engagement, and improve the experience, of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drive customer acquisition and brand awareness through marketing and promotional initiatives;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enhance our website and mobile offerings and functionality;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 in our operations, including our logistics fulfillment and capacity, to support the growth in our business.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may discover that these initiatives are more expensive than we currently anticipate, and we may not succeed in increasing our revenue sufficiently to offset these expenses or realize the benefits we anticipate. We will also face greater compliance costs associated with the increased scope of our business and being a public company. Any failure to adequately increase revenue or manage operating costs could prevent us from achieving or sustaining profitability. We may not realize the operating efficiencies we expect to achieve through our efforts to scale the business, reduce friction in the rental experience, and optimize costs. As such, due to these factors and others, we may not be able to achieve or sustain profitability in the near term or at all. If we are unable to achieve or sustain profitability, the value of our business and the trading price of our Class A common stock may be negatively impacted.</w:t>
      </w:r>
    </w:p>
    <w:p>
      <w:pPr>
        <w:spacing w:after="0" w:line="293"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8"/>
          <w:szCs w:val="18"/>
          <w:color w:val="auto"/>
        </w:rPr>
        <w:t>.</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decisions may make it difficult for us to respond rapidly to new or changing apparel trends or customer acceptance of products chosen by us. In addition, external events may disrupt or change customer preferences and behaviors in ways we are not able to anticipate. For example, the COVID-19 pandemic has resulted in significant changes to daily life, working arrangements, and social events, which has impacted the type of apparel our customers seek to rent. We generally enter into purchase contracts in advance of anticipated rentals and typically before apparel trends are confirmed by customer rentals. We have not always predicted our customers’ preferences and acceptance levels of our products with accuracy.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286"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8"/>
          <w:szCs w:val="18"/>
          <w:color w:val="auto"/>
        </w:rPr>
        <w:t>.</w:t>
      </w:r>
    </w:p>
    <w:p>
      <w:pPr>
        <w:spacing w:after="0" w:line="3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currently rely on several third-party national and regional shipping vendors for our outbound and inbound logistics. A substantial portion of our shipments to and from customers are currently conducted through a single vendor—we have from time to time transitioned, and are currently in the process of transitioning, shipments from this vendor to multiple other vendors, and we cannot predict how this transition may impact our costs and our customer sentiment and satisfaction.</w:t>
      </w:r>
    </w:p>
    <w:p>
      <w:pPr>
        <w:spacing w:after="0" w:line="17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Additionally, our business relies on the successful management of reverse logistics needed to ingest, clean, and restock returned items quickly and efficiently in order to offer them for rental or resale to other customers. If we are not able to negotiate acceptable pricing and other terms with these vendors or they experience performance problems or other difficulties, our operating results and customers’ experience could be negatively impacted.</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on time,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 shipping delays, or result in an increase of their prices. We have recently experienced increased shipping costs, and these costs may continue to increase in the future.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85" w:lineRule="exact"/>
        <w:rPr>
          <w:sz w:val="20"/>
          <w:szCs w:val="20"/>
          <w:color w:val="auto"/>
        </w:rPr>
      </w:pPr>
    </w:p>
    <w:p>
      <w:pPr>
        <w:jc w:val="both"/>
        <w:ind w:right="460"/>
        <w:spacing w:after="0" w:line="262" w:lineRule="auto"/>
        <w:rPr>
          <w:sz w:val="20"/>
          <w:szCs w:val="20"/>
          <w:color w:val="auto"/>
        </w:rPr>
      </w:pPr>
      <w:r>
        <w:rPr>
          <w:rFonts w:ascii="Arial" w:cs="Arial" w:eastAsia="Arial" w:hAnsi="Arial"/>
          <w:sz w:val="18"/>
          <w:szCs w:val="18"/>
          <w:color w:val="auto"/>
        </w:rPr>
        <w:t>In addition to offering the ability to return products through our third-party shipping vendors, we offer multiple physical drop-off points for customers located in certain cities, including, for example, New York City, Boston, Nashville, Houston, and San Francisco to return their orders. In the event that we do not successfully manage these logistics, it will make it more difficult for us to maintain our products, and satisfy our customers which will negatively affect our brand,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0"/>
        <w:spacing w:after="0" w:line="294" w:lineRule="auto"/>
        <w:rPr>
          <w:sz w:val="20"/>
          <w:szCs w:val="20"/>
          <w:color w:val="auto"/>
        </w:rPr>
      </w:pPr>
      <w:r>
        <w:rPr>
          <w:rFonts w:ascii="Arial" w:cs="Arial" w:eastAsia="Arial" w:hAnsi="Arial"/>
          <w:sz w:val="18"/>
          <w:szCs w:val="18"/>
          <w:b w:val="1"/>
          <w:bCs w:val="1"/>
          <w:i w:val="1"/>
          <w:iCs w:val="1"/>
          <w:color w:val="auto"/>
        </w:rPr>
        <w:t>If we are unable to accurately forecast customer demand, acquire and manage our products effectively and plan for future expenses, our operating results could be adversely affected.</w:t>
      </w:r>
    </w:p>
    <w:p>
      <w:pPr>
        <w:spacing w:after="0" w:line="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vulnerable to demand and pricing shifts and to suboptimal selection and timing of product purchases. We obtain substantially all of our products directly from over 800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on a timely basis. We typically do not enter into long-term contracts with our brand and manufacturing partners and, as such, we operate without significant contractual assurances of continued supply, pricing or access to products. Although we believe we have had limited attrition of brand partners to date, a brand partner could choose to no longer work with us or provide less favorable terms for a variety of reasons, including as a result of the COVID-19 pandemic and resulting impacts.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partners relationships.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fiscal year 2021, we expanded our relationships with brand partners and we are continuing to work to increase the proportion of our products procured under Exclusive Designs arrangements, which reduces our upfront cost of products.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(3)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1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As a result of the COVID-19 pandemic, most of our product sourcing in fiscal years 2020 and 2021 was handled remotely via video and teleconference instead of in-person. Future extended disruptions in travel may limit our ability to source products in-person, which may lead to suboptimal products and harm our business. For the next several quarters, we anticipate facing, and having to address challenges relating to, inefficiencies in the global transportation network as a result of the COVID-19 pandemic that may also impact our business operations. Additionally, oil supply disruptions related to Russia’s invasion of Ukraine have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also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1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89"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8"/>
          <w:szCs w:val="18"/>
          <w:color w:val="auto"/>
        </w:rPr>
        <w:t>.</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Maintaining and enhancing our appeal and reputation as a stylish, revolutionary and trusted brand is critical to attracting and retaining customers and brand partners. The successful promotion of our brand and awareness of our offerings and products will depend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will depend largely on our ability to provide a compelling customer value proposition for our rental and resale offerings and continued customer engagement and word of mouth organic marketing. Brand promotion activities may not yield increased revenue, and even if they do, the increased revenue may not offset the expenses we incur in promoting and maintaining our brand and reputation.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8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81"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If we are not able to keep pace with technological changes and enhance our current offerings and develop new offerings to respond to the changing needs of partners and customers, our business, financial performance, and growth may be harmed</w:t>
      </w:r>
      <w:r>
        <w:rPr>
          <w:rFonts w:ascii="Arial" w:cs="Arial" w:eastAsia="Arial" w:hAnsi="Arial"/>
          <w:sz w:val="18"/>
          <w:szCs w:val="18"/>
          <w:color w:val="auto"/>
        </w:rPr>
        <w:t>.</w:t>
      </w:r>
    </w:p>
    <w:p>
      <w:pPr>
        <w:spacing w:after="0" w:line="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industry is characterized by rapidly changing technology, new service and product introductions, and changing customer demands and preferences, and we are not able to predict the effect of these changes on our business.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We have increased our Resale offering, which could introduce the uncertainty of merchandise returns and negatively impact our business. We also have expanded the categories of products we offer, such as kidswear and home accessories, and may further expand our categories in the future. These new plans and offerings do not have demonstrably long track records of success for us.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new offerings may have lower margins than we anticipate or than existing offerings, and our revenue from the new offerings may not be enough to offset the cost of developing and maintaining them, which could adversely affect our business, financial performance, and growth.</w:t>
      </w:r>
    </w:p>
    <w:p>
      <w:pPr>
        <w:spacing w:after="0" w:line="293"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rely heavily on in-house proprietary technology, third-party software, and customized off-the-shelf technology solutions across our business.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these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technology underlying our platform is highly interconnected and complex and may contain undetected errors or vulnerabilities. Due to the interconnected nature of the software underlying our platform, updates to parts of our code, third-party code, and application programming interfaces,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97"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8"/>
          <w:szCs w:val="18"/>
          <w:color w:val="auto"/>
        </w:rPr>
        <w:t>.</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ability to effectively manage our business, particularly our product management, order and fulfillment operations, depends significantly on the reliability and capacity of the Internet and our in-house proprietary technology, third-party software and infrastructure, and customized off-the-shelf solutions (collectively, “IT Systems”). We also collect, process and store sensitive and confidential information, including our proprietary business information and information regarding our customers, employees, suppliers and business partners, including personally identifiable information. The secure processing, maintenance and transmission of this information is critical to our operations. Our IT Systems or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loss or long-term network or operational outages. In addition, we may have to upgrade our existing IT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IT Systems and those of our third-party service providers and business partners may be vulnerable to security incidents, attacks by hackers, acts of vandalism, malware, social engineering, denial or degradation of service attacks, computer viruses, software bugs or vulnerabilities, supply chain attacks, phishing attacks, ransomware attacks, misplaced or lost data, human errors, malicious insiders or other similar events. If unauthorized parties gain access to our IT Systems or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prevents such payments. In addition, employees may intentionally or inadvertently cause data or security incidents that result in unauthorized release of personal or confidential information. Because the techniques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of the aforementioned types of cyberattacks and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The security measures we employ to prevent, detect, and mitigate potential harm to our users from the theft of or misuse of user credentials on our network may not be effective in every instance.</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rely on a number of third-party providers of products and services to operate our critical internal and external operations, such as the processing of confidential and personally identifiable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information they process on our behalf and may not be able to contain or recover from such incidents or to notify us in a timely manner. Moreover, we or our third-party service providers may be more vulnerable to such attacks in remote work environments, which have increased in response to the COVID-19 pandemic. Any cyberattack, security incident, or material disruption or slowdown affecting our IT Systems or those of our third-party service providers or business partners, could have a material adverse effect on our business, financial condition, and results of operations.</w:t>
      </w:r>
    </w:p>
    <w:p>
      <w:pPr>
        <w:spacing w:after="0" w:line="18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While we maintain cyber insurance that may help provide coverage for these types of events, we cannot provide assurances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(the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278"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Our e-commerce business faces distinct risks, such as fulfillment of orders, and our failure to successfully manage these risks could have a negative impact on our profitability.</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rental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Risks associated with our e-commerce business include:</w:t>
      </w:r>
    </w:p>
    <w:p>
      <w:pPr>
        <w:spacing w:after="0" w:line="117" w:lineRule="exact"/>
        <w:rPr>
          <w:sz w:val="20"/>
          <w:szCs w:val="20"/>
          <w:color w:val="auto"/>
        </w:rPr>
      </w:pPr>
    </w:p>
    <w:p>
      <w:pPr>
        <w:ind w:left="740" w:hanging="246"/>
        <w:spacing w:after="0" w:line="268" w:lineRule="auto"/>
        <w:tabs>
          <w:tab w:leader="none" w:pos="7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uncertainties associated with our website and mobile application including changes in required technology interfaces, website downtime and other technical failures, costs and technical issues as we upgrade our systems software, inadequate system capacity, computer viruses, human error, security incidents, legal claims related to our systems operations and fulfillment;</w:t>
      </w:r>
    </w:p>
    <w:p>
      <w:pPr>
        <w:spacing w:after="0" w:line="62"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in internet service or power outages;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reliance on third parties for computer hardware and software, as well as delivery of products to our customers;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rapid technology changes;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credit or debit card fraud and other payment processing related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applicable federal, state and international regulations;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cybersecurity, consumer privacy and consumer protection concerns and regulation;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disasters or adverse weather conditions.</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we must keep up to date with competitive technology trends, including the use of new or improved technology,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of operations may fluctuate, which may make it difficult to predict our future performance</w:t>
      </w:r>
      <w:r>
        <w:rPr>
          <w:rFonts w:ascii="Arial" w:cs="Arial" w:eastAsia="Arial" w:hAnsi="Arial"/>
          <w:sz w:val="18"/>
          <w:szCs w:val="18"/>
          <w:color w:val="auto"/>
        </w:rPr>
        <w: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section, factors that may contribute to the variability of our quarterly and annual results include:</w:t>
      </w:r>
    </w:p>
    <w:p>
      <w:pPr>
        <w:spacing w:after="0" w:line="71" w:lineRule="exact"/>
        <w:rPr>
          <w:sz w:val="20"/>
          <w:szCs w:val="20"/>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success in attracting and retaining customers and subscribers;</w:t>
      </w:r>
    </w:p>
    <w:p>
      <w:pPr>
        <w:spacing w:after="0" w:line="117" w:lineRule="exact"/>
        <w:rPr>
          <w:rFonts w:ascii="Arial" w:cs="Arial" w:eastAsia="Arial" w:hAnsi="Arial"/>
          <w:sz w:val="18"/>
          <w:szCs w:val="18"/>
          <w:color w:val="auto"/>
        </w:rPr>
      </w:pPr>
    </w:p>
    <w:p>
      <w:pPr>
        <w:ind w:left="740" w:right="720" w:hanging="246"/>
        <w:spacing w:after="0" w:line="28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and timing of our fulfillment costs, operating expenses and capital expenditures;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success of product launches, including new services and features we may introduce;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our marketing and promotional efforts;</w:t>
      </w:r>
    </w:p>
    <w:p>
      <w:pPr>
        <w:spacing w:after="0" w:line="117" w:lineRule="exact"/>
        <w:rPr>
          <w:rFonts w:ascii="Arial" w:cs="Arial" w:eastAsia="Arial" w:hAnsi="Arial"/>
          <w:sz w:val="18"/>
          <w:szCs w:val="18"/>
          <w:color w:val="auto"/>
        </w:rPr>
      </w:pPr>
    </w:p>
    <w:p>
      <w:pPr>
        <w:ind w:left="740" w:right="180" w:hanging="246"/>
        <w:spacing w:after="0" w:line="318" w:lineRule="auto"/>
        <w:tabs>
          <w:tab w:leader="none" w:pos="7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adverse economic and market conditions, such as those related to the COVID-19 pandemic, and other adverse global events that negatively impact commerce and consumer behavior and that could lead to inflationary pressures and supply chain disruptions;</w:t>
      </w:r>
    </w:p>
    <w:p>
      <w:pPr>
        <w:spacing w:after="0" w:line="21" w:lineRule="exact"/>
        <w:rPr>
          <w:rFonts w:ascii="Arial" w:cs="Arial" w:eastAsia="Arial" w:hAnsi="Arial"/>
          <w:sz w:val="17"/>
          <w:szCs w:val="17"/>
          <w:color w:val="auto"/>
        </w:rPr>
      </w:pPr>
    </w:p>
    <w:p>
      <w:pPr>
        <w:ind w:left="740" w:right="500" w:hanging="246"/>
        <w:spacing w:after="0" w:line="28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or defects in our software or operations, such as privacy or data security incidents, outages, or other incidents that impact the availability, reliability, or performance of our business;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competitive developments and our response to those developments;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manage our business and future growth;</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recruit and retain employees including fulfillment center labor to process, itemize, list, pack and ship our products; and</w:t>
      </w:r>
    </w:p>
    <w:p>
      <w:pPr>
        <w:spacing w:after="0" w:line="117" w:lineRule="exact"/>
        <w:rPr>
          <w:rFonts w:ascii="Arial" w:cs="Arial" w:eastAsia="Arial" w:hAnsi="Arial"/>
          <w:sz w:val="18"/>
          <w:szCs w:val="18"/>
          <w:color w:val="auto"/>
        </w:rPr>
      </w:pPr>
    </w:p>
    <w:p>
      <w:pPr>
        <w:ind w:left="740" w:right="280" w:hanging="246"/>
        <w:spacing w:after="0" w:line="287" w:lineRule="auto"/>
        <w:tabs>
          <w:tab w:leader="none" w:pos="7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which may affect the way we recognize and report our financial results.</w:t>
      </w:r>
    </w:p>
    <w:p>
      <w:pPr>
        <w:spacing w:after="0" w:line="15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Fluctuations in our operating results and key metrics may be particularly pronounced in the current economic environment due to the uncertainty caused by, and the unprecedented nature of, the COVID-19 pandemic, consumer spending patterns, and the impacts and timing of the reopening of the offline economy and lessening of restrictions on movement. Fluctuations in our operating results and key metrics may cause those results to fall below our financial guidance or other projections, or the expectations of analysts or investors, which could cause the price of our Class A common stock to decline.</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11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 We expect that an increased focus on ESG considerations will affect some aspects of our operations.</w:t>
      </w:r>
    </w:p>
    <w:p>
      <w:pPr>
        <w:spacing w:after="0" w:line="29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have and plan to continue undertaking ESG initiatives. Any failure by us to meet our Impact Strategy goals or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 In addition, achieving our ESG initiatives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potential or current investors may elect to invest with our competitors instead.</w:t>
      </w:r>
    </w:p>
    <w:p>
      <w:pPr>
        <w:spacing w:after="0" w:line="18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 Alternatively, if we are unable to satisfy such new criteria, investors may conclude that our policies with respect to corporate responsibility are inadequate. We risk damage to our brand and reputation in the event that our corporate responsibility procedures or standards do not meet the standards set by various constituencies.</w:t>
      </w:r>
    </w:p>
    <w:p>
      <w:pPr>
        <w:spacing w:after="0" w:line="19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In light of investors’ and other stakeholders’ increased focus on ESG matters, there can be no certainty that we will manage such issues successfully, or that we will successfully meet society’s ESG expectations or achieve our ESG goals and financial goals.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We rely on the experience and expertise of our Co-Founder and Chief Executive Officer, senior management team, key technical and strategic employees and hourly personnel.</w:t>
      </w:r>
    </w:p>
    <w:p>
      <w:pPr>
        <w:spacing w:after="0" w:line="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18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In addition, our future success will depend upon our ability to attract and retain employees for key roles, such as engineering, data science, analytics, buying and planning, and logistics, as well as hourly fulfillment workers and customer service agents. Such efforts will require significant time, expense, and attention as there is intense competition for such individuals, particularly in New York City, Galway, New Jersey and Texas, and new hires require significant training and time before they achieve full productivity. In addition to maintaining competitive wage and salary levels, which are likely to increase further due to inflation and the potential minimum wage increases, prospective and existing employees often consider the value of the equity awards they may receive in connection with their employment. If the perceived value of our equity awards declines or experiences significant volatility, it may adversely affect our ability to recruit and retain key employees.</w:t>
      </w:r>
    </w:p>
    <w:p>
      <w:pPr>
        <w:spacing w:after="0" w:line="16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Our corporate employees primarily worked remotely from March 2020 to April 2022. As COVID-19 restrictions lifted, we have recently reopened our offices and moved to a hybrid working model for New York City and Galway, in which employees will be present in the office two to three days per week. If the hybrid model is not aligned with our employees’ preferences, it may adversely affect our ability to recruit and retain employees. In addition, the hybrid model may negatively impact our company culture, collaboration and productivity.</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recently experienced and may in the future experience voluntary attrition at significant rates for various reasons, including challenging labor market conditions such as rising wages and a decreased level of workforce participation. If we are unable to attract and retain qualified employees in a timely fashion, particularly in critical areas of operations such as engineering, data science and analytics, and our hourly fulfillment workers, our ability to achieve our strategic objectives will be adversely impacted, and our business and future growth prospects will be harmed.</w:t>
      </w:r>
    </w:p>
    <w:p>
      <w:pPr>
        <w:spacing w:after="0" w:line="289" w:lineRule="exact"/>
        <w:rPr>
          <w:sz w:val="20"/>
          <w:szCs w:val="20"/>
          <w:color w:val="auto"/>
        </w:rPr>
      </w:pPr>
    </w:p>
    <w:p>
      <w:pPr>
        <w:ind w:right="700"/>
        <w:spacing w:after="0" w:line="294" w:lineRule="auto"/>
        <w:rPr>
          <w:sz w:val="20"/>
          <w:szCs w:val="20"/>
          <w:color w:val="auto"/>
        </w:rPr>
      </w:pPr>
      <w:r>
        <w:rPr>
          <w:rFonts w:ascii="Arial" w:cs="Arial" w:eastAsia="Arial" w:hAnsi="Arial"/>
          <w:sz w:val="18"/>
          <w:szCs w:val="18"/>
          <w:b w:val="1"/>
          <w:bCs w:val="1"/>
          <w:i w:val="1"/>
          <w:iCs w:val="1"/>
          <w:color w:val="auto"/>
        </w:rPr>
        <w:t>We believe that our company culture has contributed to our success and if we cannot maintain this culture as we grow, our business could be harmed.</w:t>
      </w:r>
    </w:p>
    <w:p>
      <w:pPr>
        <w:spacing w:after="0" w:line="31"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63" w:lineRule="exact"/>
        <w:rPr>
          <w:sz w:val="20"/>
          <w:szCs w:val="20"/>
          <w:color w:val="auto"/>
        </w:rPr>
      </w:pPr>
    </w:p>
    <w:p>
      <w:pPr>
        <w:ind w:left="740" w:right="360" w:hanging="246"/>
        <w:spacing w:after="0" w:line="28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44" w:lineRule="exact"/>
        <w:rPr>
          <w:rFonts w:ascii="Arial" w:cs="Arial" w:eastAsia="Arial" w:hAnsi="Arial"/>
          <w:sz w:val="18"/>
          <w:szCs w:val="18"/>
          <w:color w:val="auto"/>
        </w:rPr>
      </w:pPr>
    </w:p>
    <w:p>
      <w:pPr>
        <w:ind w:left="740" w:right="580" w:hanging="246"/>
        <w:spacing w:after="0" w:line="28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increasing size, complexity and geographic diversity of our workforce, and our ability to promote a uniform and consistent culture across all our offices and employees;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employee and market perception of our ESG efforts, which may impact employee morale and recruiting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740" w:right="580" w:hanging="246"/>
        <w:spacing w:after="0" w:line="287" w:lineRule="auto"/>
        <w:tabs>
          <w:tab w:leader="none" w:pos="7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move to a hybrid working model for corporate employees in New York City and Galway and the remote working model for customer service employees;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particular, Diversity, Equity and Inclusion is a strategic imperative for us.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result in negative publicity, affect the confidence of our stockholders, regulators and other parties and could have a material adverse effect on our business, financial condition and operating results.</w:t>
      </w:r>
    </w:p>
    <w:p>
      <w:pPr>
        <w:spacing w:after="0" w:line="292" w:lineRule="exact"/>
        <w:rPr>
          <w:sz w:val="20"/>
          <w:szCs w:val="20"/>
          <w:color w:val="auto"/>
        </w:rPr>
      </w:pPr>
    </w:p>
    <w:p>
      <w:pPr>
        <w:ind w:right="800"/>
        <w:spacing w:after="0" w:line="294" w:lineRule="auto"/>
        <w:rPr>
          <w:sz w:val="20"/>
          <w:szCs w:val="20"/>
          <w:color w:val="auto"/>
        </w:rPr>
      </w:pPr>
      <w:r>
        <w:rPr>
          <w:rFonts w:ascii="Arial" w:cs="Arial" w:eastAsia="Arial" w:hAnsi="Arial"/>
          <w:sz w:val="18"/>
          <w:szCs w:val="18"/>
          <w:b w:val="1"/>
          <w:bCs w:val="1"/>
          <w:i w:val="1"/>
          <w:iCs w:val="1"/>
          <w:color w:val="auto"/>
        </w:rPr>
        <w:t>Material changes in the pricing practices of our brand and manufacturing partners and/or the costs of raw materials could negatively impact our profitability.</w:t>
      </w:r>
    </w:p>
    <w:p>
      <w:pPr>
        <w:spacing w:after="0" w:line="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we and/or our partners might not be able to locate alternative suppliers of materials of comparable quality at an acceptable price. For example, disruptions in the supply chain as a result of the COVID-19 pandemic and related inflationary environment has increased raw material costs, impacting pricing of our products, and caused shipping delays for certain of our products.</w:t>
      </w:r>
    </w:p>
    <w:p>
      <w:pPr>
        <w:spacing w:after="0" w:line="292"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8"/>
          <w:szCs w:val="18"/>
          <w:color w:val="auto"/>
        </w:rPr>
        <w:t>.</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COVID-19 pandemic and related responses and have seen negative impacts on customer demand at varying levels as a result. For example, we experienced a significant decrease in consumer demand during the COVID-19 pandemic due to shelter-at-home orders and more limited social events, increased unemployment and work-from-home trends, and general economic uncertainty.</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Furthermore, increases in consumer discretionary spending may be temporary, such as those related to the tail of the COVID-19 pandemic in the United States, and consumer spending may decrease again. Economic conditions in certain regions may also be affected by natural disasters, such as hurricanes, tropical storms, earthquakes, and wildfires; other public health crises; wars, terrorism and political tensions; and other major unforeseen events. Although we believe the value proposition of our offering and business model is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and Adjusted EBITDA. In challenging and uncertain economic environments, we cannot predict when macroeconomic uncertainty may arise, whether or when such circumstances may improve or worsen or what impact such circumstances could have on our business. Any of these developments could harm our business, financial condition and results of operations.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affected by seasonality.</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business is subject to seasonal fluctuations. We typically realize a higher portion of revenue from our Reserve rentals during our third and fourth fiscal quarter as a result of increased wedding and holiday events. However, in fiscal year 2020 and fiscal year 2021 we saw fewer large-scale holiday and special events due to the COVID-19 pandemic.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Adverse events, such as higher unemployment, deteriorating economic conditions, or fewer large-scale holiday and special events due to the COVID-19 pandemic, can deter consumers from shopping and renting. Any significant decrease in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including as a result of the COVID-19 pandemic, could have a disproportionate effect on our results of operations for our entire fiscal year.</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anticipation of increased rental activity during seasonal peaks, we may incur significant additional expenses, including additional marketing and additional staffing in our customer support operations. In addition, we may experience an increase in our net shipping costs due to ensuring timely delivery for peak seasons. In the future, our seasonal revenue patterns may become more pronounced or may change, may strain our personnel and operational activities, and may cause a shortfall in net sales as compared with expenses in a given period, which could substantially harm our business, financial condition and results of operations.</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Furthermore, our rapid growth in recent years may obscure the extent to which seasonality trends have affected our business and may continue to affect our business, and the effects of the COVID-19 pandemic may alter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89"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r>
        <w:rPr>
          <w:rFonts w:ascii="Arial" w:cs="Arial" w:eastAsia="Arial" w:hAnsi="Arial"/>
          <w:sz w:val="18"/>
          <w:szCs w:val="18"/>
          <w:color w:val="auto"/>
        </w:rPr>
        <w:t>.</w:t>
      </w:r>
    </w:p>
    <w:p>
      <w:pPr>
        <w:spacing w:after="0" w:line="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obtain rental products, for marketing, and for headcount or other operating expenses and capital expenditures,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 Additionally, weakness and volatility in capital markets and the economy in general could limit our access to capital markets and increase our costs of borrowing.</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325"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April 30, 2022, we had $265.2 million aggregate principal amount of borrowings under a credit facility with Double Helix Pte Ltd. as administrative agent for Temasek Holdings (the “Amended Temasek Facility”).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6 —Long-Term Debt” in the Notes to Condensed Consolidated Financial Statements for more information on our indebtedness.</w:t>
      </w:r>
    </w:p>
    <w:p>
      <w:pPr>
        <w:spacing w:after="0" w:line="292"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Our Amended Temasek Facility contains financial covenants and other restrictions on our actions that may limit our operational flexibility or otherwise adversely affect our business, financial condition and results of operations.</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terms of our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Amended Temasek Facility includes a minimum liquidity maintenance covenant of $50.0 million and amends the call protection applicable to the loans outstanding thereunder. The terms of our Amended Temasek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failure by us to comply with the covenants specified in the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condensed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8"/>
          <w:szCs w:val="18"/>
          <w:color w:val="auto"/>
        </w:rPr>
        <w:t>.</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preparation of our consolidated financial statements as of January 31, 2021, we identified material weaknesses in our internal control over financial reporting, as described below. As of April 30, 2022, these material weaknesses were still in the process of being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did not design and maintain effective controls to ensure (i) the appropriate segregation of duties in the operation of manual controls and (ii) journal entries were reviewed at the appropriate level of precision.</w:t>
      </w:r>
    </w:p>
    <w:p>
      <w:pPr>
        <w:spacing w:after="0" w:line="15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6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7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8"/>
          <w:szCs w:val="18"/>
          <w:color w:val="auto"/>
        </w:rPr>
        <w:t>.</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Although we have already hired additional employees to assist us in complying with these requirements, we intend to invest substantial resources in our compliance efforts, including hiring more employees or engaging outside consultants, which will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8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8"/>
          <w:szCs w:val="18"/>
          <w:color w:val="auto"/>
        </w:rPr>
        <w:t>.</w:t>
      </w:r>
    </w:p>
    <w:p>
      <w:pPr>
        <w:spacing w:after="0" w:line="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not required, pursuant to Section 404 of the Sarbanes-Oxley Act (“Section 404”), to furnish a report by management on, among other things, the effectiveness of our internal control over financial reporting until the year following our first annual report required to be filed with the SEC.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material weaknesses in internal control over financial reporting identified in connection with the audit of our financial statements as of and for the fiscal year 2020,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63" w:lineRule="exact"/>
        <w:rPr>
          <w:sz w:val="20"/>
          <w:szCs w:val="20"/>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auditor attestation requirements of Section 404;</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7" w:lineRule="exact"/>
        <w:rPr>
          <w:rFonts w:ascii="Arial" w:cs="Arial" w:eastAsia="Arial" w:hAnsi="Arial"/>
          <w:sz w:val="18"/>
          <w:szCs w:val="18"/>
          <w:color w:val="auto"/>
        </w:rPr>
      </w:pPr>
    </w:p>
    <w:p>
      <w:pPr>
        <w:ind w:left="740" w:right="140" w:hanging="246"/>
        <w:spacing w:after="0" w:line="287"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stockholder vote on executive compensation and non-binding advisory stockholder vote to approve any golden parachute payments not previously approved.</w:t>
      </w:r>
    </w:p>
    <w:p>
      <w:pPr>
        <w:spacing w:after="0" w:line="15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an emerging growth company until the earliest of:</w:t>
      </w:r>
    </w:p>
    <w:p>
      <w:pPr>
        <w:spacing w:after="0" w:line="117" w:lineRule="exact"/>
        <w:rPr>
          <w:sz w:val="20"/>
          <w:szCs w:val="20"/>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$1.07 billion or more;</w:t>
      </w:r>
    </w:p>
    <w:p>
      <w:pPr>
        <w:spacing w:after="0" w:line="117" w:lineRule="exact"/>
        <w:rPr>
          <w:rFonts w:ascii="Arial" w:cs="Arial" w:eastAsia="Arial" w:hAnsi="Arial"/>
          <w:sz w:val="18"/>
          <w:szCs w:val="18"/>
          <w:color w:val="auto"/>
        </w:rPr>
      </w:pPr>
    </w:p>
    <w:p>
      <w:pPr>
        <w:ind w:left="740" w:right="660" w:hanging="246"/>
        <w:spacing w:after="0" w:line="287" w:lineRule="auto"/>
        <w:tabs>
          <w:tab w:leader="none" w:pos="7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we have, during the previous rolling three-year period, issued more than $1 billion in non-convertible debt securities;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22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281"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8"/>
          <w:szCs w:val="18"/>
          <w:b w:val="1"/>
          <w:bCs w:val="1"/>
          <w:color w:val="auto"/>
        </w:rPr>
        <w:t>.</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success will depend,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74" w:lineRule="exact"/>
        <w:rPr>
          <w:sz w:val="20"/>
          <w:szCs w:val="20"/>
          <w:color w:val="auto"/>
        </w:rPr>
      </w:pPr>
    </w:p>
    <w:p>
      <w:pPr>
        <w:ind w:left="740" w:right="960" w:hanging="246"/>
        <w:spacing w:after="0" w:line="287"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partnership or acquisition may disrupt our ongoing business, divert resources, increase our expenses, and distract our management;</w:t>
      </w:r>
    </w:p>
    <w:p>
      <w:pPr>
        <w:spacing w:after="0" w:line="44" w:lineRule="exact"/>
        <w:rPr>
          <w:rFonts w:ascii="Arial" w:cs="Arial" w:eastAsia="Arial" w:hAnsi="Arial"/>
          <w:sz w:val="18"/>
          <w:szCs w:val="18"/>
          <w:color w:val="auto"/>
        </w:rPr>
      </w:pPr>
    </w:p>
    <w:p>
      <w:pPr>
        <w:ind w:left="740" w:right="120" w:hanging="246"/>
        <w:spacing w:after="0" w:line="262" w:lineRule="auto"/>
        <w:tabs>
          <w:tab w:leader="none" w:pos="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right="760" w:hanging="246"/>
        <w:spacing w:after="0" w:line="287"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offerings, technologies, personnel, or operations of any company that we partner with or acquire; and</w:t>
      </w:r>
    </w:p>
    <w:p>
      <w:pPr>
        <w:spacing w:after="0" w:line="44" w:lineRule="exact"/>
        <w:rPr>
          <w:rFonts w:ascii="Arial" w:cs="Arial" w:eastAsia="Arial" w:hAnsi="Arial"/>
          <w:sz w:val="18"/>
          <w:szCs w:val="18"/>
          <w:color w:val="auto"/>
        </w:rPr>
      </w:pPr>
    </w:p>
    <w:p>
      <w:pPr>
        <w:ind w:left="740" w:right="40" w:hanging="246"/>
        <w:spacing w:after="0" w:line="268" w:lineRule="auto"/>
        <w:tabs>
          <w:tab w:leader="none" w:pos="7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occurrence of any of these foregoing risks could adversely affect our business, financial condition, and results of operations and expose us to unknown risks or liabilities.</w:t>
      </w:r>
    </w:p>
    <w:p>
      <w:pPr>
        <w:spacing w:after="0" w:line="263"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r>
        <w:rPr>
          <w:rFonts w:ascii="Arial" w:cs="Arial" w:eastAsia="Arial" w:hAnsi="Arial"/>
          <w:sz w:val="18"/>
          <w:szCs w:val="18"/>
          <w:color w:val="auto"/>
        </w:rPr>
        <w:t>.</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9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8"/>
          <w:szCs w:val="18"/>
          <w:color w:val="auto"/>
        </w:rPr>
        <w:t>.</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We base our estimates on historical experience and on various other assumptions that we believe to be reasonable under the circumstances, as provided in Part I, Item 2, “Management’s Discussion and Analysis of Financial Condition and Results of Operations— Critical Accounting Policies and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and the valuation of share-based compensation and warrants.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95"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5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29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Expansion of our operations internationally requires management attention and resources, involves additional risks, and may be unsuccessful.</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68" w:lineRule="exact"/>
        <w:rPr>
          <w:sz w:val="20"/>
          <w:szCs w:val="20"/>
          <w:color w:val="auto"/>
        </w:rPr>
      </w:pPr>
    </w:p>
    <w:p>
      <w:pPr>
        <w:ind w:left="740" w:right="720" w:hanging="246"/>
        <w:spacing w:after="0" w:line="287"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acceptance of our offerings and the concept of renting apparel and accessories and the need to localize our products offerings;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7" w:lineRule="exact"/>
        <w:rPr>
          <w:rFonts w:ascii="Arial" w:cs="Arial" w:eastAsia="Arial" w:hAnsi="Arial"/>
          <w:sz w:val="18"/>
          <w:szCs w:val="18"/>
          <w:color w:val="auto"/>
        </w:rPr>
      </w:pPr>
    </w:p>
    <w:p>
      <w:pPr>
        <w:ind w:left="740" w:right="60" w:hanging="246"/>
        <w:spacing w:after="0" w:line="287" w:lineRule="auto"/>
        <w:tabs>
          <w:tab w:leader="none" w:pos="7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export quotas, custom duties, or other trade restrictions, or any unexpected changes thereto; and</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and Regulatory Environment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a large number of U.S. and non-U.S. laws and regulations, many of which are evolving.</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8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8"/>
          <w:szCs w:val="18"/>
          <w:b w:val="1"/>
          <w:bCs w:val="1"/>
          <w:color w:val="auto"/>
        </w:rPr>
        <w:t>.</w:t>
      </w:r>
    </w:p>
    <w:p>
      <w:pPr>
        <w:spacing w:after="0" w:line="5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w:t>
      </w:r>
    </w:p>
    <w:p>
      <w:pPr>
        <w:spacing w:after="0" w:line="1" w:lineRule="exact"/>
        <w:rPr>
          <w:sz w:val="20"/>
          <w:szCs w:val="20"/>
          <w:color w:val="auto"/>
        </w:rPr>
      </w:pPr>
    </w:p>
    <w:p>
      <w:pPr>
        <w:ind w:firstLine="8"/>
        <w:spacing w:after="0" w:line="251" w:lineRule="auto"/>
        <w:tabs>
          <w:tab w:leader="none" w:pos="1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301"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8"/>
          <w:szCs w:val="18"/>
          <w:color w:val="auto"/>
        </w:rPr>
        <w:t>.</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313"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8"/>
          <w:szCs w:val="18"/>
          <w:color w:val="auto"/>
        </w:rPr>
        <w:t>.</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8"/>
          <w:szCs w:val="18"/>
          <w:b w:val="1"/>
          <w:bCs w:val="1"/>
          <w:color w:val="auto"/>
        </w:rPr>
        <w:t>.</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 source software continue to be licensed under open 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9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93" w:lineRule="exact"/>
        <w:rPr>
          <w:sz w:val="20"/>
          <w:szCs w:val="20"/>
          <w:color w:val="auto"/>
        </w:rPr>
      </w:pPr>
    </w:p>
    <w:p>
      <w:pPr>
        <w:jc w:val="both"/>
        <w:ind w:right="180"/>
        <w:spacing w:after="0" w:line="272"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w:t>
      </w:r>
    </w:p>
    <w:p>
      <w:pPr>
        <w:spacing w:after="0" w:line="17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(the “CPRA”), passed in California in November 2020. The CPRA will restrict use of certain categories of sensitive personal information that we handle; further restrict the use of cross-context behavioral advertising techniques on which our products and offerings may rely on in the future; expand requirements on businesses that “sell” personal information under the CCPA to businesses like ours that “share” it; require all businesses with any California employees to limit uses of employee data; establish restrictions on the retention of personal information; expand the types of data security incidents subject to the private right of action; and establish the California Privacy Protection Agency to implement and enforce the new law, as well as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privacy legislation in the United States. For example, in March 2021, Virginia enacted the Virginia Consumer Data Protection Act (the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1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the Telephone Consumer Protection Act (the “TCPA”), imposes significant restrictions on the ability to make telephone calls or send text messages to mobile telephone numbers without the prior consent of the person being contacted. We use text messages frequently to communicate service-related issues to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(the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are also subject to the European Union General Data Protection Regulation (the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constantly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w:t>
      </w: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 or 4% of the annual global revenues of the noncompliant entity, whichever is greater.</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as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9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8"/>
          <w:szCs w:val="18"/>
          <w:color w:val="auto"/>
        </w:rPr>
        <w:t>.</w:t>
      </w:r>
    </w:p>
    <w:p>
      <w:pPr>
        <w:spacing w:after="0" w:line="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as a public company, our business and financial condition will become more visible,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89"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8"/>
          <w:szCs w:val="18"/>
          <w:color w:val="auto"/>
        </w:rPr>
        <w:t>.</w:t>
      </w:r>
    </w:p>
    <w:p>
      <w:pPr>
        <w:spacing w:after="0" w:line="3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and the health and safety of our employees.</w:t>
      </w:r>
    </w:p>
    <w:p>
      <w:pPr>
        <w:spacing w:after="0" w:line="6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Failure to comply with such laws and regulations, which tend to become more stringent over time,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even if non-hazardous,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8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Furthermore, we rely on third-party suppliers to provide chemicals, cleaning supplies, and handling instructions that comply with applicable health, safety and environmental regulations. A failure of such suppliers to abide by applicable regulations or the terms of our contractual relationships may subject us to material liabilities.</w:t>
      </w:r>
    </w:p>
    <w:p>
      <w:pPr>
        <w:spacing w:after="0" w:line="281"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8"/>
          <w:szCs w:val="18"/>
          <w:color w:val="auto"/>
        </w:rPr>
        <w:t>.</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April 30, 2022, we had federal net operating loss carryforwards of $560.5 million, $152.1 million of which will expire at various times through 2038. Furthermore, we had state net operating loss carryforwards of $ 32.0 million, which will expire at various times through 2041. Portions of these net operating loss carryforwards could expire unused and be unavailable to offset future income tax liabilities. Under the legislation enacted in 2017, commonly referred to as the Tax Cuts and Jobs Act (the “Tax Act”), as modified by the Coronavirus Aid, Relief, and Economic Security (the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We may experience additional ownership changes as a result of subsequent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r>
        <w:rPr>
          <w:rFonts w:ascii="Arial" w:cs="Arial" w:eastAsia="Arial" w:hAnsi="Arial"/>
          <w:sz w:val="18"/>
          <w:szCs w:val="18"/>
          <w:color w:val="auto"/>
        </w:rPr>
        <w:t>.</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45" w:lineRule="exact"/>
        <w:rPr>
          <w:sz w:val="20"/>
          <w:szCs w:val="20"/>
          <w:color w:val="auto"/>
        </w:rPr>
      </w:pPr>
    </w:p>
    <w:p>
      <w:pPr>
        <w:ind w:left="740" w:right="120" w:hanging="246"/>
        <w:spacing w:after="0" w:line="287" w:lineRule="auto"/>
        <w:tabs>
          <w:tab w:leader="none" w:pos="7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United States or foreign tax laws, tax treaties, and regulations or the interpretation of them;</w:t>
      </w:r>
    </w:p>
    <w:p>
      <w:pPr>
        <w:spacing w:after="0" w:line="117" w:lineRule="exact"/>
        <w:rPr>
          <w:rFonts w:ascii="Arial" w:cs="Arial" w:eastAsia="Arial" w:hAnsi="Arial"/>
          <w:sz w:val="18"/>
          <w:szCs w:val="18"/>
          <w:color w:val="auto"/>
        </w:rPr>
      </w:pPr>
    </w:p>
    <w:p>
      <w:pPr>
        <w:ind w:left="740" w:right="100" w:hanging="246"/>
        <w:spacing w:after="0" w:line="318" w:lineRule="auto"/>
        <w:tabs>
          <w:tab w:leader="none" w:pos="7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21" w:lineRule="exact"/>
        <w:rPr>
          <w:rFonts w:ascii="Arial" w:cs="Arial" w:eastAsia="Arial" w:hAnsi="Arial"/>
          <w:sz w:val="17"/>
          <w:szCs w:val="17"/>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Tax Act enacted many significant changes to the U.S. tax laws. Future guidance from the IRS and other tax authorities with respect to the Tax Act may affect us, and certain aspects of the Tax Act could be repealed or modified in future legislation. In addition, proposals have been made by the current presidential administration and congress that could enact significant changes to the taxation of business entities including, among others, a permanent increase in the corporate income tax rate, an increase in the tax rate applicable to the global intangible low-taxed income and elimination of certain exemptions, and the imposition of minimum taxes or surtaxes on certain types of income. We are currently unable to predict whether such changes will occur and, if so, the ultimate impact on our business. To the extent that such changes have a negative impact on us, our suppliers or our customers, including as a result of related uncertainty, these changes may materially and adversely impact our business, financial condition, results of operations and cash flows.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brand and manufacturing partners from whom our products are sourced or co-manufactured.</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obtain substantially all of our products directly from over 800 brand partners through Wholesale, Share by RTR, and Exclusive Designs arrangements with designer and/or manufacturing partners. The benefits we currently experience from these relationships could be adversely affected if they:</w:t>
      </w:r>
    </w:p>
    <w:p>
      <w:pPr>
        <w:spacing w:after="0" w:line="63" w:lineRule="exact"/>
        <w:rPr>
          <w:sz w:val="20"/>
          <w:szCs w:val="20"/>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discontinue selling products to us or manufacturing our Exclusive Designs;</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into arrangements with competitors that could impair our ability to source their products, including by giving our competitors exclusivity arrangements or limiting our access to certain products;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raise the prices they charge us;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are not satisfied with the value proposition we offer them;</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 not view our brand favorably;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pricing terms to require us to pay a significant portion of the cost of items on delivery or upfront;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negative publicity or reputational issues;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 not follow our vendor code of conduct and/or violate legal and regulatory requirements;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supply chain disruptions that cause lead times to be lengthened; or</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 to execute on the design we have provided for co-manufactured products.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brand partners and manufacturers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8"/>
          <w:szCs w:val="18"/>
          <w:color w:val="auto"/>
        </w:rPr>
        <w:t>.</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for any reason, the attractiveness of our business to customers could be adversely affected.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289" w:lineRule="exact"/>
        <w:rPr>
          <w:sz w:val="20"/>
          <w:szCs w:val="20"/>
          <w:color w:val="auto"/>
        </w:rPr>
      </w:pPr>
    </w:p>
    <w:p>
      <w:pPr>
        <w:ind w:right="1300"/>
        <w:spacing w:after="0" w:line="294" w:lineRule="auto"/>
        <w:rPr>
          <w:sz w:val="20"/>
          <w:szCs w:val="20"/>
          <w:color w:val="auto"/>
        </w:rPr>
      </w:pPr>
      <w:r>
        <w:rPr>
          <w:rFonts w:ascii="Arial" w:cs="Arial" w:eastAsia="Arial" w:hAnsi="Arial"/>
          <w:sz w:val="18"/>
          <w:szCs w:val="18"/>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8"/>
          <w:szCs w:val="18"/>
          <w:color w:val="auto"/>
        </w:rPr>
        <w:t>.</w:t>
      </w:r>
    </w:p>
    <w:p>
      <w:pPr>
        <w:spacing w:after="0" w:line="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very recently migrated a substantial portion of our primary production environment, core architecture, and data centers to a new third-party cloud provider, which provides a distributed computing infrastructure as a service platform for business operations. We also use another third-party cloud provider for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and internal tools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93"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8"/>
          <w:szCs w:val="18"/>
          <w:color w:val="auto"/>
        </w:rPr>
        <w:t>.</w:t>
      </w:r>
    </w:p>
    <w:p>
      <w:pPr>
        <w:spacing w:after="0" w:line="5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9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8"/>
          <w:szCs w:val="18"/>
          <w:color w:val="auto"/>
        </w:rPr>
        <w:t>.</w:t>
      </w:r>
    </w:p>
    <w:p>
      <w:pPr>
        <w:spacing w:after="0" w:line="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1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losses from fraud</w:t>
      </w:r>
      <w:r>
        <w:rPr>
          <w:rFonts w:ascii="Arial" w:cs="Arial" w:eastAsia="Arial" w:hAnsi="Arial"/>
          <w:sz w:val="18"/>
          <w:szCs w:val="18"/>
          <w:color w:val="auto"/>
        </w:rPr>
        <w: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spacing w:after="0" w:line="295" w:lineRule="exact"/>
        <w:rPr>
          <w:sz w:val="20"/>
          <w:szCs w:val="20"/>
          <w:color w:val="auto"/>
        </w:rPr>
      </w:pPr>
    </w:p>
    <w:p>
      <w:pPr>
        <w:ind w:right="800"/>
        <w:spacing w:after="0" w:line="294" w:lineRule="auto"/>
        <w:rPr>
          <w:sz w:val="20"/>
          <w:szCs w:val="20"/>
          <w:color w:val="auto"/>
        </w:rPr>
      </w:pPr>
      <w:r>
        <w:rPr>
          <w:rFonts w:ascii="Arial" w:cs="Arial" w:eastAsia="Arial" w:hAnsi="Arial"/>
          <w:sz w:val="18"/>
          <w:szCs w:val="18"/>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8"/>
          <w:szCs w:val="18"/>
          <w:color w:val="auto"/>
        </w:rPr>
        <w:t>.</w:t>
      </w:r>
    </w:p>
    <w:p>
      <w:pPr>
        <w:spacing w:after="0" w:line="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8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Class A Common Stock</w:t>
      </w:r>
    </w:p>
    <w:p>
      <w:pPr>
        <w:spacing w:after="0" w:line="225"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b w:val="1"/>
          <w:bCs w:val="1"/>
          <w:i w:val="1"/>
          <w:iCs w:val="1"/>
          <w:color w:val="auto"/>
        </w:rPr>
        <w:t>The dual class structure of our common stock and stockholders’ agreement among us and certain stockholders has the effect of concentrating voting control with those stockholders who held our capital stock prior to the listing of our Class A common stock on Nasdaq, including our Co-Founders, and their affiliates, which will limit an investor’s ability to influence the outcome of important transactions, including a change of control</w:t>
      </w:r>
      <w:r>
        <w:rPr>
          <w:rFonts w:ascii="Arial" w:cs="Arial" w:eastAsia="Arial" w:hAnsi="Arial"/>
          <w:sz w:val="18"/>
          <w:szCs w:val="18"/>
          <w:color w:val="auto"/>
        </w:rPr>
        <w:t>.</w:t>
      </w:r>
    </w:p>
    <w:p>
      <w:pPr>
        <w:spacing w:after="0" w:line="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Because of the twenty-to-one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the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our investors may be unable to sell shares at or above the price they paid for them</w:t>
      </w:r>
      <w:r>
        <w:rPr>
          <w:rFonts w:ascii="Arial" w:cs="Arial" w:eastAsia="Arial" w:hAnsi="Arial"/>
          <w:sz w:val="18"/>
          <w:szCs w:val="18"/>
          <w:color w:val="auto"/>
        </w:rPr>
        <w:t>.</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the risk factors described in this Quarterly Report, and others beyond our control, including:</w:t>
      </w:r>
    </w:p>
    <w:p>
      <w:pPr>
        <w:spacing w:after="0" w:line="45" w:lineRule="exact"/>
        <w:rPr>
          <w:sz w:val="20"/>
          <w:szCs w:val="20"/>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or other operating metrics;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or our failure to meet these projections;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perceived adequacy of our ESG efforts;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positive or negative publicity;</w:t>
      </w:r>
    </w:p>
    <w:p>
      <w:pPr>
        <w:spacing w:after="0" w:line="117" w:lineRule="exact"/>
        <w:rPr>
          <w:rFonts w:ascii="Arial" w:cs="Arial" w:eastAsia="Arial" w:hAnsi="Arial"/>
          <w:sz w:val="18"/>
          <w:szCs w:val="18"/>
          <w:color w:val="auto"/>
        </w:rPr>
      </w:pPr>
    </w:p>
    <w:p>
      <w:pPr>
        <w:ind w:left="740" w:right="360" w:hanging="246"/>
        <w:spacing w:after="0" w:line="287"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line="287"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 including changes in e-commerce and tax laws;</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17" w:lineRule="exact"/>
        <w:rPr>
          <w:rFonts w:ascii="Arial" w:cs="Arial" w:eastAsia="Arial" w:hAnsi="Arial"/>
          <w:sz w:val="18"/>
          <w:szCs w:val="18"/>
          <w:color w:val="auto"/>
        </w:rPr>
      </w:pPr>
    </w:p>
    <w:p>
      <w:pPr>
        <w:ind w:left="740" w:right="780" w:hanging="246"/>
        <w:spacing w:after="0" w:line="287" w:lineRule="auto"/>
        <w:tabs>
          <w:tab w:leader="none" w:pos="7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pace of the COVID-19 pandemic recovery and its impact on our business or the fashion industry and sharing economy generally;</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materially adversely affect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insiders have the ability to control or significantly influence all matters submitted to stockholders for approval.</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executive officers, directors, and greater than 5% stockholders, in the aggregate, beneficially own over 50% of our outstanding common stock as of April 30, 2022.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broad discretion in the use of our cash resources and may not use them effectively</w:t>
      </w:r>
      <w:r>
        <w:rPr>
          <w:rFonts w:ascii="Arial" w:cs="Arial" w:eastAsia="Arial" w:hAnsi="Arial"/>
          <w:sz w:val="18"/>
          <w:szCs w:val="18"/>
          <w:color w:val="auto"/>
        </w:rPr>
        <w: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management has broad discretion in the application of our cash resources, including the proceeds from our IPO,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r>
        <w:rPr>
          <w:rFonts w:ascii="Arial" w:cs="Arial" w:eastAsia="Arial" w:hAnsi="Arial"/>
          <w:sz w:val="18"/>
          <w:szCs w:val="18"/>
          <w:color w:val="auto"/>
        </w:rPr>
        <w:t>.</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provide assurance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30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8"/>
          <w:szCs w:val="18"/>
          <w:color w:val="auto"/>
        </w:rPr>
        <w:t>.</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93"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r>
        <w:rPr>
          <w:rFonts w:ascii="Arial" w:cs="Arial" w:eastAsia="Arial" w:hAnsi="Arial"/>
          <w:sz w:val="18"/>
          <w:szCs w:val="18"/>
          <w:color w:val="auto"/>
        </w:rPr>
        <w:t>.</w:t>
      </w:r>
    </w:p>
    <w:p>
      <w:pPr>
        <w:spacing w:after="0" w:line="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trading market for our common stock depends in part on the research and reports that analysts publish about our business.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r>
        <w:rPr>
          <w:rFonts w:ascii="Arial" w:cs="Arial" w:eastAsia="Arial" w:hAnsi="Arial"/>
          <w:sz w:val="18"/>
          <w:szCs w:val="18"/>
          <w:color w:val="auto"/>
        </w:rPr>
        <w:t>.</w:t>
      </w:r>
    </w:p>
    <w:p>
      <w:pPr>
        <w:spacing w:after="0" w:line="117"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future, we may sell additional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8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our executive officers, directors and the holders of substantially all of our outstanding stock prior to our IPO signed lock-up agreements with the underwriters that, subject to certain customary exceptions, restricted the sale of the shares of our common stock and certain other securities held by them for 180 days following the date of the final prospectus filed in connection with our initial public offering. The lock-up agreements expired on April 25, 2022. As these resale restrictions have lapsed, the market price of our common stock could decline if the holders of those shares sell them or are perceived by the market as intending to sell them. These factors could also make it more difficult for us to raise additional funds through future offerings of our shares of Class A common stock or other securities.</w:t>
      </w:r>
    </w:p>
    <w:p>
      <w:pPr>
        <w:spacing w:after="0" w:line="292"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r>
        <w:rPr>
          <w:rFonts w:ascii="Arial" w:cs="Arial" w:eastAsia="Arial" w:hAnsi="Arial"/>
          <w:sz w:val="18"/>
          <w:szCs w:val="18"/>
          <w:color w:val="auto"/>
        </w:rPr>
        <w:t>.</w:t>
      </w:r>
    </w:p>
    <w:p>
      <w:pPr>
        <w:spacing w:after="0" w:line="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declared or paid any cash dividends on our Class A common stock, and we do not intend to pay any cash dividends in the foreseeable future. We expect to retain future earnings, if any, to fund the development and growth of our business and for general corporate purposes. Any future determination to pay dividends on our capital stock will be at the discretion of our board of directors. Furthermore, our ability to pay dividends may also be restricted by the terms of our Amended Temasek Facility or any future debt or preferred equity securities of us or our subsidiaries. Accordingly, investors may need to sell their shares of our Class A common stock to realize a return on their investment, and investors may not be able to sell their shares at or above the price they paid for them.</w:t>
      </w:r>
    </w:p>
    <w:p>
      <w:pPr>
        <w:spacing w:after="0" w:line="292"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8"/>
          <w:szCs w:val="18"/>
          <w:color w:val="auto"/>
        </w:rPr>
        <w:t>.</w:t>
      </w:r>
    </w:p>
    <w:p>
      <w:pPr>
        <w:spacing w:after="0" w:line="5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There are provisions in our Amended Charter and Amended Bylaws that may make it difficult for a third party to acquire, or attempt to acquire, control of our company, even if a change in control were considered favorable by our stockholders. These anti-takeover provisions include:</w:t>
      </w:r>
    </w:p>
    <w:p>
      <w:pPr>
        <w:spacing w:after="0" w:line="63" w:lineRule="exact"/>
        <w:rPr>
          <w:sz w:val="20"/>
          <w:szCs w:val="20"/>
          <w:color w:val="auto"/>
        </w:rPr>
      </w:pPr>
    </w:p>
    <w:p>
      <w:pPr>
        <w:ind w:left="740" w:right="20" w:hanging="246"/>
        <w:spacing w:after="0" w:line="287"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that our board of directors could use to implement a stockholder rights plan;</w:t>
      </w:r>
    </w:p>
    <w:p>
      <w:pPr>
        <w:spacing w:after="0" w:line="44" w:lineRule="exact"/>
        <w:rPr>
          <w:rFonts w:ascii="Arial" w:cs="Arial" w:eastAsia="Arial" w:hAnsi="Arial"/>
          <w:sz w:val="18"/>
          <w:szCs w:val="18"/>
          <w:color w:val="auto"/>
        </w:rPr>
      </w:pPr>
    </w:p>
    <w:p>
      <w:pPr>
        <w:ind w:left="740" w:right="40" w:hanging="246"/>
        <w:spacing w:after="0" w:line="262" w:lineRule="auto"/>
        <w:tabs>
          <w:tab w:leader="none" w:pos="7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68"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directors to fill all board vacancies, subject to the rights granted pursuant to the stockholders’ agreement;</w:t>
      </w:r>
    </w:p>
    <w:p>
      <w:pPr>
        <w:spacing w:after="0" w:line="117" w:lineRule="exact"/>
        <w:rPr>
          <w:rFonts w:ascii="Arial" w:cs="Arial" w:eastAsia="Arial" w:hAnsi="Arial"/>
          <w:sz w:val="18"/>
          <w:szCs w:val="18"/>
          <w:color w:val="auto"/>
        </w:rPr>
      </w:pPr>
    </w:p>
    <w:p>
      <w:pPr>
        <w:ind w:left="740" w:right="260" w:hanging="246"/>
        <w:spacing w:after="0" w:line="287"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44" w:lineRule="exact"/>
        <w:rPr>
          <w:rFonts w:ascii="Arial" w:cs="Arial" w:eastAsia="Arial" w:hAnsi="Arial"/>
          <w:sz w:val="18"/>
          <w:szCs w:val="18"/>
          <w:color w:val="auto"/>
        </w:rPr>
      </w:pPr>
    </w:p>
    <w:p>
      <w:pPr>
        <w:ind w:left="740" w:right="1020" w:hanging="246"/>
        <w:spacing w:after="0" w:line="287" w:lineRule="auto"/>
        <w:tabs>
          <w:tab w:leader="none" w:pos="7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for stockholder director nominees and annual meeting matters (other than the parties to our stockholders; agreement for nominations made pursuant to the terms of the stockholders’ agreement);</w:t>
      </w:r>
    </w:p>
    <w:p>
      <w:pPr>
        <w:spacing w:after="0" w:line="44"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directors to amend our Amended Bylaws without stockholder consent;</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Charter and Amended Bylaws; and</w:t>
      </w:r>
    </w:p>
    <w:p>
      <w:pPr>
        <w:spacing w:after="0" w:line="117" w:lineRule="exact"/>
        <w:rPr>
          <w:rFonts w:ascii="Arial" w:cs="Arial" w:eastAsia="Arial" w:hAnsi="Arial"/>
          <w:sz w:val="18"/>
          <w:szCs w:val="18"/>
          <w:color w:val="auto"/>
        </w:rPr>
      </w:pPr>
    </w:p>
    <w:p>
      <w:pPr>
        <w:ind w:left="740" w:hanging="246"/>
        <w:spacing w:after="0"/>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Although we have opted out of Section 203 of the General Corporation Law of the State of Delaware (the “DGCL”),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1"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8"/>
          <w:szCs w:val="18"/>
          <w:color w:val="auto"/>
        </w:rPr>
        <w:t>.</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Securities Exchange Act of 1934, as amended, or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286"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Amended Charter provides that the doctrine of “corporate opportunity” does not apply with respect to any directors (or their affiliates) who are not our employees.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offer and sale of the Class A common stock sold in the IPO was registered under the Securities Act pursuant to a registration statement on Form S-1 (File No. 333-260027), which was declared effective by the SEC on October 26, 2021.</w:t>
      </w:r>
    </w:p>
    <w:p>
      <w:pPr>
        <w:spacing w:after="0" w:line="18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filed with the SEC on October 27, 2021 pursuant to Rule 424(b) under the Securities Act of 1933.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0" w:lineRule="exact"/>
        <w:rPr>
          <w:sz w:val="20"/>
          <w:szCs w:val="20"/>
          <w:color w:val="auto"/>
        </w:rPr>
      </w:pPr>
    </w:p>
    <w:p>
      <w:pPr>
        <w:ind w:left="740" w:hanging="246"/>
        <w:spacing w:after="0"/>
        <w:tabs>
          <w:tab w:leader="none" w:pos="740" w:val="left"/>
        </w:tabs>
        <w:numPr>
          <w:ilvl w:val="0"/>
          <w:numId w:val="47"/>
        </w:numPr>
        <w:rPr>
          <w:rFonts w:ascii="Calibri" w:cs="Calibri" w:eastAsia="Calibri" w:hAnsi="Calibri"/>
          <w:sz w:val="20"/>
          <w:szCs w:val="20"/>
          <w:color w:val="auto"/>
        </w:rPr>
      </w:pPr>
      <w:r>
        <w:rPr>
          <w:rFonts w:ascii="Arial" w:cs="Arial" w:eastAsia="Arial" w:hAnsi="Arial"/>
          <w:sz w:val="18"/>
          <w:szCs w:val="18"/>
          <w:color w:val="auto"/>
        </w:rPr>
        <w:t>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Incorporated by Reference</w:t>
            </w:r>
          </w:p>
        </w:tc>
        <w:tc>
          <w:tcPr>
            <w:tcW w:w="80" w:type="dxa"/>
            <w:vAlign w:val="bottom"/>
          </w:tcPr>
          <w:p>
            <w:pPr>
              <w:spacing w:after="0"/>
              <w:rPr>
                <w:sz w:val="17"/>
                <w:szCs w:val="17"/>
                <w:color w:val="auto"/>
              </w:rPr>
            </w:pPr>
          </w:p>
        </w:tc>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23"/>
        </w:trPr>
        <w:tc>
          <w:tcPr>
            <w:tcW w:w="880" w:type="dxa"/>
            <w:vAlign w:val="bottom"/>
            <w:gridSpan w:val="2"/>
            <w:vMerge w:val="restart"/>
          </w:tcPr>
          <w:p>
            <w:pPr>
              <w:ind w:left="160"/>
              <w:spacing w:after="0" w:line="157" w:lineRule="exact"/>
              <w:rPr>
                <w:sz w:val="20"/>
                <w:szCs w:val="20"/>
                <w:color w:val="auto"/>
              </w:rPr>
            </w:pPr>
            <w:r>
              <w:rPr>
                <w:rFonts w:ascii="Arial" w:cs="Arial" w:eastAsia="Arial" w:hAnsi="Arial"/>
                <w:sz w:val="14"/>
                <w:szCs w:val="14"/>
                <w:b w:val="1"/>
                <w:bCs w:val="1"/>
                <w:color w:val="auto"/>
              </w:rPr>
              <w:t>Exhibit</w:t>
            </w: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80" w:type="dxa"/>
            <w:vAlign w:val="bottom"/>
            <w:gridSpan w:val="2"/>
            <w:vMerge w:val="continue"/>
          </w:tcPr>
          <w:p>
            <w:pPr>
              <w:spacing w:after="0"/>
              <w:rPr>
                <w:sz w:val="11"/>
                <w:szCs w:val="11"/>
                <w:color w:val="auto"/>
              </w:rPr>
            </w:pPr>
          </w:p>
        </w:tc>
        <w:tc>
          <w:tcPr>
            <w:tcW w:w="5260" w:type="dxa"/>
            <w:vAlign w:val="bottom"/>
            <w:gridSpan w:val="13"/>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80" w:type="dxa"/>
            <w:vAlign w:val="bottom"/>
            <w:vMerge w:val="restart"/>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1"/>
                <w:szCs w:val="11"/>
                <w:color w:val="auto"/>
              </w:rPr>
            </w:pPr>
          </w:p>
        </w:tc>
        <w:tc>
          <w:tcPr>
            <w:tcW w:w="1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1"/>
                <w:szCs w:val="11"/>
                <w:color w:val="auto"/>
              </w:rPr>
            </w:pPr>
          </w:p>
        </w:tc>
        <w:tc>
          <w:tcPr>
            <w:tcW w:w="70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1"/>
                <w:szCs w:val="11"/>
                <w:color w:val="auto"/>
              </w:rPr>
            </w:pPr>
          </w:p>
        </w:tc>
        <w:tc>
          <w:tcPr>
            <w:tcW w:w="9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Filing date</w:t>
            </w:r>
          </w:p>
        </w:tc>
        <w:tc>
          <w:tcPr>
            <w:tcW w:w="80" w:type="dxa"/>
            <w:vAlign w:val="bottom"/>
          </w:tcPr>
          <w:p>
            <w:pPr>
              <w:spacing w:after="0"/>
              <w:rPr>
                <w:sz w:val="11"/>
                <w:szCs w:val="11"/>
                <w:color w:val="auto"/>
              </w:rPr>
            </w:pPr>
          </w:p>
        </w:tc>
        <w:tc>
          <w:tcPr>
            <w:tcW w:w="1160" w:type="dxa"/>
            <w:vAlign w:val="bottom"/>
          </w:tcPr>
          <w:p>
            <w:pPr>
              <w:spacing w:after="0" w:line="13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201"/>
        </w:trPr>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7"/>
                <w:szCs w:val="17"/>
                <w:color w:val="auto"/>
              </w:rPr>
            </w:pPr>
          </w:p>
        </w:tc>
        <w:tc>
          <w:tcPr>
            <w:tcW w:w="5260" w:type="dxa"/>
            <w:vAlign w:val="bottom"/>
            <w:tcBorders>
              <w:bottom w:val="single" w:sz="8" w:color="auto"/>
            </w:tcBorders>
            <w:gridSpan w:val="13"/>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8"/>
        </w:trPr>
        <w:tc>
          <w:tcPr>
            <w:tcW w:w="800" w:type="dxa"/>
            <w:vAlign w:val="bottom"/>
          </w:tcPr>
          <w:p>
            <w:pPr>
              <w:ind w:lef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5340" w:type="dxa"/>
            <w:vAlign w:val="bottom"/>
            <w:gridSpan w:val="14"/>
          </w:tcPr>
          <w:p>
            <w:pPr>
              <w:ind w:left="20"/>
              <w:spacing w:after="0"/>
              <w:rPr>
                <w:rFonts w:ascii="Arial" w:cs="Arial" w:eastAsia="Arial" w:hAnsi="Arial"/>
                <w:sz w:val="18"/>
                <w:szCs w:val="18"/>
                <w:color w:val="0000FF"/>
              </w:rPr>
            </w:pPr>
            <w:hyperlink r:id="rId130">
              <w:r>
                <w:rPr>
                  <w:rFonts w:ascii="Arial" w:cs="Arial" w:eastAsia="Arial" w:hAnsi="Arial"/>
                  <w:sz w:val="18"/>
                  <w:szCs w:val="18"/>
                  <w:color w:val="0000FF"/>
                </w:rPr>
                <w:t>Amended &amp; Restated Certificate of Incorporation</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0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3880" w:type="dxa"/>
            <w:vAlign w:val="bottom"/>
            <w:tcBorders>
              <w:top w:val="single" w:sz="8" w:color="0000FF"/>
            </w:tcBorders>
            <w:gridSpan w:val="5"/>
          </w:tcPr>
          <w:p>
            <w:pPr>
              <w:ind w:left="20"/>
              <w:spacing w:after="0"/>
              <w:rPr>
                <w:rFonts w:ascii="Arial" w:cs="Arial" w:eastAsia="Arial" w:hAnsi="Arial"/>
                <w:sz w:val="18"/>
                <w:szCs w:val="18"/>
                <w:color w:val="0000FF"/>
              </w:rPr>
            </w:pPr>
            <w:hyperlink r:id="rId131">
              <w:r>
                <w:rPr>
                  <w:rFonts w:ascii="Arial" w:cs="Arial" w:eastAsia="Arial" w:hAnsi="Arial"/>
                  <w:sz w:val="18"/>
                  <w:szCs w:val="18"/>
                  <w:color w:val="0000FF"/>
                </w:rPr>
                <w:t>Amended &amp; Restated Bylaws</w:t>
              </w:r>
            </w:hyperlink>
          </w:p>
        </w:tc>
        <w:tc>
          <w:tcPr>
            <w:tcW w:w="1460" w:type="dxa"/>
            <w:vAlign w:val="bottom"/>
            <w:gridSpan w:val="9"/>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10/29/2021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5340" w:type="dxa"/>
            <w:vAlign w:val="bottom"/>
            <w:gridSpan w:val="14"/>
          </w:tcPr>
          <w:p>
            <w:pPr>
              <w:ind w:left="20"/>
              <w:spacing w:after="0"/>
              <w:rPr>
                <w:sz w:val="20"/>
                <w:szCs w:val="20"/>
                <w:color w:val="auto"/>
              </w:rPr>
            </w:pPr>
            <w:r>
              <w:rPr>
                <w:rFonts w:ascii="Arial" w:cs="Arial" w:eastAsia="Arial" w:hAnsi="Arial"/>
                <w:sz w:val="18"/>
                <w:szCs w:val="18"/>
                <w:color w:val="0000FF"/>
              </w:rPr>
              <w:t>Amendment to Amended and Restated Employment Agreement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60" w:type="dxa"/>
            <w:vAlign w:val="bottom"/>
            <w:tcBorders>
              <w:top w:val="single" w:sz="8" w:color="0000FF"/>
              <w:bottom w:val="single" w:sz="8" w:color="0000FF"/>
            </w:tcBorders>
            <w:gridSpan w:val="6"/>
          </w:tcPr>
          <w:p>
            <w:pPr>
              <w:ind w:left="20"/>
              <w:spacing w:after="0" w:line="182" w:lineRule="exact"/>
              <w:rPr>
                <w:sz w:val="20"/>
                <w:szCs w:val="20"/>
                <w:color w:val="auto"/>
              </w:rPr>
            </w:pPr>
            <w:r>
              <w:rPr>
                <w:rFonts w:ascii="Arial" w:cs="Arial" w:eastAsia="Arial" w:hAnsi="Arial"/>
                <w:sz w:val="18"/>
                <w:szCs w:val="18"/>
                <w:color w:val="0000FF"/>
                <w:w w:val="98"/>
              </w:rPr>
              <w:t>by and between the Company and Jennifer Y. Hyman</w:t>
            </w:r>
          </w:p>
        </w:tc>
        <w:tc>
          <w:tcPr>
            <w:tcW w:w="840" w:type="dxa"/>
            <w:vAlign w:val="bottom"/>
            <w:tcBorders>
              <w:top w:val="single" w:sz="8" w:color="0000FF"/>
            </w:tcBorders>
            <w:gridSpan w:val="6"/>
          </w:tcPr>
          <w:p>
            <w:pPr>
              <w:spacing w:after="0"/>
              <w:rPr>
                <w:sz w:val="15"/>
                <w:szCs w:val="15"/>
                <w:color w:val="auto"/>
              </w:rPr>
            </w:pPr>
          </w:p>
        </w:tc>
        <w:tc>
          <w:tcPr>
            <w:tcW w:w="24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4860" w:type="dxa"/>
            <w:vAlign w:val="bottom"/>
            <w:tcBorders>
              <w:bottom w:val="single" w:sz="8" w:color="0000FF"/>
            </w:tcBorders>
            <w:gridSpan w:val="10"/>
          </w:tcPr>
          <w:p>
            <w:pPr>
              <w:ind w:left="20"/>
              <w:spacing w:after="0"/>
              <w:rPr>
                <w:rFonts w:ascii="Arial" w:cs="Arial" w:eastAsia="Arial" w:hAnsi="Arial"/>
                <w:sz w:val="18"/>
                <w:szCs w:val="18"/>
                <w:color w:val="0000FF"/>
                <w:w w:val="99"/>
              </w:rPr>
            </w:pPr>
            <w:hyperlink r:id="rId132">
              <w:r>
                <w:rPr>
                  <w:rFonts w:ascii="Arial" w:cs="Arial" w:eastAsia="Arial" w:hAnsi="Arial"/>
                  <w:sz w:val="18"/>
                  <w:szCs w:val="18"/>
                  <w:color w:val="0000FF"/>
                  <w:w w:val="99"/>
                </w:rPr>
                <w:t>Partial Termination and Second Amendment of Lease, dated</w:t>
              </w:r>
            </w:hyperlink>
          </w:p>
        </w:tc>
        <w:tc>
          <w:tcPr>
            <w:tcW w:w="480" w:type="dxa"/>
            <w:vAlign w:val="bottom"/>
            <w:gridSpan w:val="4"/>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10-K</w:t>
            </w:r>
          </w:p>
        </w:tc>
        <w:tc>
          <w:tcPr>
            <w:tcW w:w="1160" w:type="dxa"/>
            <w:vAlign w:val="bottom"/>
          </w:tcPr>
          <w:p>
            <w:pPr>
              <w:ind w:left="20"/>
              <w:spacing w:after="0"/>
              <w:rPr>
                <w:sz w:val="20"/>
                <w:szCs w:val="20"/>
                <w:color w:val="auto"/>
              </w:rPr>
            </w:pPr>
            <w:r>
              <w:rPr>
                <w:rFonts w:ascii="Arial" w:cs="Arial" w:eastAsia="Arial" w:hAnsi="Arial"/>
                <w:sz w:val="18"/>
                <w:szCs w:val="18"/>
                <w:color w:val="auto"/>
              </w:rPr>
              <w:t>001-40958</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4/14/2022</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340" w:type="dxa"/>
            <w:vAlign w:val="bottom"/>
            <w:gridSpan w:val="14"/>
          </w:tcPr>
          <w:p>
            <w:pPr>
              <w:ind w:left="20"/>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February 16, 2022, by and between 10 Jay Master Tenant LLC</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top w:val="single" w:sz="8" w:color="0000FF"/>
              <w:bottom w:val="single" w:sz="8" w:color="0000FF"/>
            </w:tcBorders>
            <w:gridSpan w:val="3"/>
          </w:tcPr>
          <w:p>
            <w:pPr>
              <w:ind w:left="20"/>
              <w:spacing w:after="0" w:line="169" w:lineRule="exact"/>
              <w:rPr>
                <w:rFonts w:ascii="Arial" w:cs="Arial" w:eastAsia="Arial" w:hAnsi="Arial"/>
                <w:sz w:val="18"/>
                <w:szCs w:val="18"/>
                <w:color w:val="0000FF"/>
                <w:w w:val="98"/>
              </w:rPr>
            </w:pPr>
            <w:hyperlink r:id="rId132">
              <w:r>
                <w:rPr>
                  <w:rFonts w:ascii="Arial" w:cs="Arial" w:eastAsia="Arial" w:hAnsi="Arial"/>
                  <w:sz w:val="18"/>
                  <w:szCs w:val="18"/>
                  <w:color w:val="0000FF"/>
                  <w:w w:val="98"/>
                </w:rPr>
                <w:t>and the Company</w:t>
              </w:r>
            </w:hyperlink>
          </w:p>
        </w:tc>
        <w:tc>
          <w:tcPr>
            <w:tcW w:w="3560" w:type="dxa"/>
            <w:vAlign w:val="bottom"/>
            <w:tcBorders>
              <w:top w:val="single" w:sz="8" w:color="0000FF"/>
            </w:tcBorders>
            <w:gridSpan w:val="8"/>
          </w:tcPr>
          <w:p>
            <w:pPr>
              <w:spacing w:after="0"/>
              <w:rPr>
                <w:sz w:val="14"/>
                <w:szCs w:val="14"/>
                <w:color w:val="auto"/>
              </w:rPr>
            </w:pPr>
          </w:p>
        </w:tc>
        <w:tc>
          <w:tcPr>
            <w:tcW w:w="34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0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5340" w:type="dxa"/>
            <w:vAlign w:val="bottom"/>
            <w:gridSpan w:val="14"/>
          </w:tcPr>
          <w:p>
            <w:pPr>
              <w:ind w:left="20"/>
              <w:spacing w:after="0"/>
              <w:rPr>
                <w:sz w:val="20"/>
                <w:szCs w:val="20"/>
                <w:color w:val="auto"/>
              </w:rPr>
            </w:pPr>
            <w:r>
              <w:rPr>
                <w:rFonts w:ascii="Arial" w:cs="Arial" w:eastAsia="Arial" w:hAnsi="Arial"/>
                <w:sz w:val="18"/>
                <w:szCs w:val="18"/>
                <w:color w:val="0000FF"/>
              </w:rPr>
              <w:t>Certification of Chief Executive Officer pursuant to Rule 13a-</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40" w:type="dxa"/>
            <w:vAlign w:val="bottom"/>
            <w:tcBorders>
              <w:top w:val="single" w:sz="8" w:color="0000FF"/>
            </w:tcBorders>
            <w:gridSpan w:val="9"/>
          </w:tcPr>
          <w:p>
            <w:pPr>
              <w:ind w:left="20"/>
              <w:spacing w:after="0" w:line="182" w:lineRule="exact"/>
              <w:rPr>
                <w:sz w:val="20"/>
                <w:szCs w:val="20"/>
                <w:color w:val="auto"/>
              </w:rPr>
            </w:pPr>
            <w:r>
              <w:rPr>
                <w:rFonts w:ascii="Arial" w:cs="Arial" w:eastAsia="Arial" w:hAnsi="Arial"/>
                <w:sz w:val="18"/>
                <w:szCs w:val="18"/>
                <w:color w:val="0000FF"/>
              </w:rPr>
              <w:t>14(a)/15d-14(a)</w:t>
            </w:r>
          </w:p>
        </w:tc>
        <w:tc>
          <w:tcPr>
            <w:tcW w:w="50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5340" w:type="dxa"/>
            <w:vAlign w:val="bottom"/>
            <w:gridSpan w:val="14"/>
          </w:tcPr>
          <w:p>
            <w:pPr>
              <w:ind w:left="20"/>
              <w:spacing w:after="0"/>
              <w:rPr>
                <w:sz w:val="20"/>
                <w:szCs w:val="20"/>
                <w:color w:val="auto"/>
              </w:rPr>
            </w:pPr>
            <w:r>
              <w:rPr>
                <w:rFonts w:ascii="Arial" w:cs="Arial" w:eastAsia="Arial" w:hAnsi="Arial"/>
                <w:sz w:val="18"/>
                <w:szCs w:val="18"/>
                <w:color w:val="0000FF"/>
              </w:rPr>
              <w:t>Certification of Chief Financial Officer pursuant to Rule 13a-</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60" w:type="dxa"/>
            <w:vAlign w:val="bottom"/>
            <w:tcBorders>
              <w:top w:val="single" w:sz="8" w:color="0000FF"/>
            </w:tcBorders>
            <w:gridSpan w:val="7"/>
          </w:tcPr>
          <w:p>
            <w:pPr>
              <w:ind w:left="20"/>
              <w:spacing w:after="0" w:line="182" w:lineRule="exact"/>
              <w:rPr>
                <w:sz w:val="20"/>
                <w:szCs w:val="20"/>
                <w:color w:val="auto"/>
              </w:rPr>
            </w:pPr>
            <w:r>
              <w:rPr>
                <w:rFonts w:ascii="Arial" w:cs="Arial" w:eastAsia="Arial" w:hAnsi="Arial"/>
                <w:sz w:val="18"/>
                <w:szCs w:val="18"/>
                <w:color w:val="0000FF"/>
              </w:rPr>
              <w:t>14(a)/15d-14(a)</w:t>
            </w:r>
          </w:p>
        </w:tc>
        <w:tc>
          <w:tcPr>
            <w:tcW w:w="60" w:type="dxa"/>
            <w:vAlign w:val="bottom"/>
          </w:tcPr>
          <w:p>
            <w:pPr>
              <w:spacing w:after="0"/>
              <w:rPr>
                <w:sz w:val="15"/>
                <w:szCs w:val="15"/>
                <w:color w:val="auto"/>
              </w:rPr>
            </w:pPr>
          </w:p>
        </w:tc>
        <w:tc>
          <w:tcPr>
            <w:tcW w:w="52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 w:type="dxa"/>
            <w:vAlign w:val="bottom"/>
          </w:tcPr>
          <w:p>
            <w:pPr>
              <w:ind w:lef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5340" w:type="dxa"/>
            <w:vAlign w:val="bottom"/>
            <w:gridSpan w:val="14"/>
          </w:tcPr>
          <w:p>
            <w:pPr>
              <w:ind w:left="20"/>
              <w:spacing w:after="0"/>
              <w:rPr>
                <w:sz w:val="20"/>
                <w:szCs w:val="20"/>
                <w:color w:val="auto"/>
              </w:rPr>
            </w:pPr>
            <w:r>
              <w:rPr>
                <w:rFonts w:ascii="Arial" w:cs="Arial" w:eastAsia="Arial" w:hAnsi="Arial"/>
                <w:sz w:val="18"/>
                <w:szCs w:val="18"/>
                <w:color w:val="0000FF"/>
              </w:rPr>
              <w:t>Certification of Chief Executive Officer pursuant to 18 U.S.C.</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20" w:type="dxa"/>
            <w:vAlign w:val="bottom"/>
            <w:tcBorders>
              <w:top w:val="single" w:sz="8" w:color="0000FF"/>
            </w:tcBorders>
            <w:gridSpan w:val="8"/>
          </w:tcPr>
          <w:p>
            <w:pPr>
              <w:ind w:left="20"/>
              <w:spacing w:after="0" w:line="182" w:lineRule="exact"/>
              <w:rPr>
                <w:sz w:val="20"/>
                <w:szCs w:val="20"/>
                <w:color w:val="auto"/>
              </w:rPr>
            </w:pPr>
            <w:r>
              <w:rPr>
                <w:rFonts w:ascii="Arial" w:cs="Arial" w:eastAsia="Arial" w:hAnsi="Arial"/>
                <w:sz w:val="18"/>
                <w:szCs w:val="18"/>
                <w:color w:val="0000FF"/>
              </w:rPr>
              <w:t>Section 1350</w:t>
            </w:r>
          </w:p>
        </w:tc>
        <w:tc>
          <w:tcPr>
            <w:tcW w:w="52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8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0" w:type="dxa"/>
            <w:vAlign w:val="bottom"/>
          </w:tcPr>
          <w:p>
            <w:pPr>
              <w:ind w:left="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5340" w:type="dxa"/>
            <w:vAlign w:val="bottom"/>
            <w:gridSpan w:val="14"/>
          </w:tcPr>
          <w:p>
            <w:pPr>
              <w:ind w:left="20"/>
              <w:spacing w:after="0"/>
              <w:rPr>
                <w:sz w:val="20"/>
                <w:szCs w:val="20"/>
                <w:color w:val="auto"/>
              </w:rPr>
            </w:pPr>
            <w:r>
              <w:rPr>
                <w:rFonts w:ascii="Arial" w:cs="Arial" w:eastAsia="Arial" w:hAnsi="Arial"/>
                <w:sz w:val="18"/>
                <w:szCs w:val="18"/>
                <w:color w:val="0000FF"/>
              </w:rPr>
              <w:t>Certification of Chief Financial Officer pursuant to 18 U.S.C.</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60" w:type="dxa"/>
            <w:vAlign w:val="bottom"/>
            <w:tcBorders>
              <w:top w:val="single" w:sz="8" w:color="0000FF"/>
            </w:tcBorders>
            <w:gridSpan w:val="7"/>
          </w:tcPr>
          <w:p>
            <w:pPr>
              <w:ind w:left="20"/>
              <w:spacing w:after="0" w:line="182" w:lineRule="exact"/>
              <w:rPr>
                <w:sz w:val="20"/>
                <w:szCs w:val="20"/>
                <w:color w:val="auto"/>
              </w:rPr>
            </w:pPr>
            <w:r>
              <w:rPr>
                <w:rFonts w:ascii="Arial" w:cs="Arial" w:eastAsia="Arial" w:hAnsi="Arial"/>
                <w:sz w:val="18"/>
                <w:szCs w:val="18"/>
                <w:color w:val="0000FF"/>
              </w:rPr>
              <w:t>Section 1350</w:t>
            </w:r>
          </w:p>
        </w:tc>
        <w:tc>
          <w:tcPr>
            <w:tcW w:w="580" w:type="dxa"/>
            <w:vAlign w:val="bottom"/>
            <w:gridSpan w:val="7"/>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80" w:type="dxa"/>
            <w:vAlign w:val="bottom"/>
            <w:gridSpan w:val="1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5340" w:type="dxa"/>
            <w:vAlign w:val="bottom"/>
            <w:gridSpan w:val="14"/>
          </w:tcPr>
          <w:p>
            <w:pPr>
              <w:ind w:left="20"/>
              <w:spacing w:after="0"/>
              <w:rPr>
                <w:sz w:val="20"/>
                <w:szCs w:val="20"/>
                <w:color w:val="auto"/>
              </w:rPr>
            </w:pPr>
            <w:r>
              <w:rPr>
                <w:rFonts w:ascii="Arial" w:cs="Arial" w:eastAsia="Arial" w:hAnsi="Arial"/>
                <w:sz w:val="18"/>
                <w:szCs w:val="18"/>
                <w:color w:val="auto"/>
              </w:rPr>
              <w:t>Inline XBRL Instance Document - the instance document does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40" w:type="dxa"/>
            <w:vAlign w:val="bottom"/>
            <w:gridSpan w:val="14"/>
          </w:tcPr>
          <w:p>
            <w:pPr>
              <w:ind w:left="20"/>
              <w:spacing w:after="0" w:line="189" w:lineRule="exact"/>
              <w:rPr>
                <w:sz w:val="20"/>
                <w:szCs w:val="20"/>
                <w:color w:val="auto"/>
              </w:rPr>
            </w:pPr>
            <w:r>
              <w:rPr>
                <w:rFonts w:ascii="Arial" w:cs="Arial" w:eastAsia="Arial" w:hAnsi="Arial"/>
                <w:sz w:val="18"/>
                <w:szCs w:val="18"/>
                <w:color w:val="auto"/>
              </w:rPr>
              <w:t>not appear in the Interactive Data File because its XBRL tags are</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40" w:type="dxa"/>
            <w:vAlign w:val="bottom"/>
            <w:gridSpan w:val="14"/>
          </w:tcPr>
          <w:p>
            <w:pPr>
              <w:ind w:left="20"/>
              <w:spacing w:after="0"/>
              <w:rPr>
                <w:sz w:val="20"/>
                <w:szCs w:val="20"/>
                <w:color w:val="auto"/>
              </w:rPr>
            </w:pPr>
            <w:r>
              <w:rPr>
                <w:rFonts w:ascii="Arial" w:cs="Arial" w:eastAsia="Arial" w:hAnsi="Arial"/>
                <w:sz w:val="18"/>
                <w:szCs w:val="18"/>
                <w:color w:val="auto"/>
              </w:rPr>
              <w:t>embedded within the Inline XBRL document.</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534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534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Calculation Linkbase</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40" w:type="dxa"/>
            <w:vAlign w:val="bottom"/>
            <w:gridSpan w:val="14"/>
          </w:tcPr>
          <w:p>
            <w:pPr>
              <w:ind w:left="20"/>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534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534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4"/>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534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Presentation Linkbase</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40" w:type="dxa"/>
            <w:vAlign w:val="bottom"/>
            <w:gridSpan w:val="14"/>
          </w:tcPr>
          <w:p>
            <w:pPr>
              <w:ind w:left="20"/>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5340" w:type="dxa"/>
            <w:vAlign w:val="bottom"/>
            <w:gridSpan w:val="14"/>
          </w:tcPr>
          <w:p>
            <w:pPr>
              <w:ind w:left="20"/>
              <w:spacing w:after="0"/>
              <w:rPr>
                <w:sz w:val="20"/>
                <w:szCs w:val="20"/>
                <w:color w:val="auto"/>
              </w:rPr>
            </w:pPr>
            <w:r>
              <w:rPr>
                <w:rFonts w:ascii="Arial" w:cs="Arial" w:eastAsia="Arial" w:hAnsi="Arial"/>
                <w:sz w:val="18"/>
                <w:szCs w:val="18"/>
                <w:color w:val="auto"/>
              </w:rPr>
              <w:t>Cover Page Interactive Data File (formatted as Inline XBRL and</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5340" w:type="dxa"/>
            <w:vAlign w:val="bottom"/>
            <w:gridSpan w:val="14"/>
          </w:tcPr>
          <w:p>
            <w:pPr>
              <w:ind w:left="20"/>
              <w:spacing w:after="0"/>
              <w:rPr>
                <w:sz w:val="20"/>
                <w:szCs w:val="20"/>
                <w:color w:val="auto"/>
              </w:rPr>
            </w:pPr>
            <w:r>
              <w:rPr>
                <w:rFonts w:ascii="Arial" w:cs="Arial" w:eastAsia="Arial" w:hAnsi="Arial"/>
                <w:sz w:val="18"/>
                <w:szCs w:val="18"/>
                <w:color w:val="auto"/>
              </w:rPr>
              <w:t>contained in Exhibit 101)</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ind w:left="5520" w:right="1840" w:hanging="5512"/>
        <w:spacing w:after="0" w:line="976" w:lineRule="auto"/>
        <w:tabs>
          <w:tab w:leader="none" w:pos="1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Regulation S-K, Item (601)(b)(10)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7" w:right="399" w:bottom="1440" w:gutter="0" w:footer="0" w:header="0"/>
        </w:sectPr>
      </w:pPr>
    </w:p>
    <w:bookmarkStart w:id="90" w:name="page91"/>
    <w:bookmarkEnd w:id="90"/>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RENT THE RUNWAY, INC.</w:t>
      </w:r>
    </w:p>
    <w:p>
      <w:pPr>
        <w:spacing w:after="0" w:line="266" w:lineRule="exact"/>
        <w:rPr>
          <w:sz w:val="20"/>
          <w:szCs w:val="20"/>
          <w:color w:val="auto"/>
        </w:rPr>
      </w:pPr>
    </w:p>
    <w:p>
      <w:pPr>
        <w:ind w:left="20"/>
        <w:spacing w:after="0"/>
        <w:tabs>
          <w:tab w:leader="none" w:pos="5920" w:val="left"/>
          <w:tab w:leader="none" w:pos="6380" w:val="left"/>
        </w:tabs>
        <w:rPr>
          <w:sz w:val="20"/>
          <w:szCs w:val="20"/>
          <w:color w:val="auto"/>
        </w:rPr>
      </w:pPr>
      <w:r>
        <w:rPr>
          <w:rFonts w:ascii="Arial" w:cs="Arial" w:eastAsia="Arial" w:hAnsi="Arial"/>
          <w:sz w:val="18"/>
          <w:szCs w:val="18"/>
          <w:color w:val="auto"/>
        </w:rPr>
        <w:t>Date: June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34925</wp:posOffset>
            </wp:positionV>
            <wp:extent cx="30861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Scarlett O’Sullivan</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820"/>
          </w:cols>
          <w:pgMar w:left="320" w:top="1255" w:right="75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3456940</wp:posOffset>
            </wp:positionH>
            <wp:positionV relativeFrom="page">
              <wp:posOffset>911860</wp:posOffset>
            </wp:positionV>
            <wp:extent cx="625475" cy="831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62547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RENT THE RUNWAY, INC.</w:t>
      </w:r>
    </w:p>
    <w:p>
      <w:pPr>
        <w:jc w:val="center"/>
        <w:spacing w:after="0"/>
        <w:rPr>
          <w:sz w:val="20"/>
          <w:szCs w:val="20"/>
          <w:color w:val="auto"/>
        </w:rPr>
      </w:pPr>
      <w:r>
        <w:rPr>
          <w:rFonts w:ascii="Arial" w:cs="Arial" w:eastAsia="Arial" w:hAnsi="Arial"/>
          <w:sz w:val="20"/>
          <w:szCs w:val="20"/>
          <w:color w:val="auto"/>
        </w:rPr>
        <w:t>10 JAY STREET</w:t>
      </w:r>
    </w:p>
    <w:p>
      <w:pPr>
        <w:jc w:val="center"/>
        <w:spacing w:after="0"/>
        <w:rPr>
          <w:sz w:val="20"/>
          <w:szCs w:val="20"/>
          <w:color w:val="auto"/>
        </w:rPr>
      </w:pPr>
      <w:r>
        <w:rPr>
          <w:rFonts w:ascii="Arial" w:cs="Arial" w:eastAsia="Arial" w:hAnsi="Arial"/>
          <w:sz w:val="20"/>
          <w:szCs w:val="20"/>
          <w:color w:val="auto"/>
        </w:rPr>
        <w:t>BROOKLYN, NEW YORK 11201</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May 18, 2022</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Ms. Jennifer Y. Hyman</w:t>
      </w:r>
    </w:p>
    <w:p>
      <w:pPr>
        <w:spacing w:after="0"/>
        <w:rPr>
          <w:sz w:val="20"/>
          <w:szCs w:val="20"/>
          <w:color w:val="auto"/>
        </w:rPr>
      </w:pPr>
      <w:r>
        <w:rPr>
          <w:rFonts w:ascii="Arial" w:cs="Arial" w:eastAsia="Arial" w:hAnsi="Arial"/>
          <w:sz w:val="20"/>
          <w:szCs w:val="20"/>
          <w:color w:val="auto"/>
        </w:rPr>
        <w:t>via email: jh@renttherunway.com</w:t>
      </w:r>
    </w:p>
    <w:p>
      <w:pPr>
        <w:spacing w:after="0" w:line="198" w:lineRule="exact"/>
        <w:rPr>
          <w:sz w:val="20"/>
          <w:szCs w:val="20"/>
          <w:color w:val="auto"/>
        </w:rPr>
      </w:pPr>
    </w:p>
    <w:p>
      <w:pPr>
        <w:ind w:right="5320"/>
        <w:spacing w:after="0" w:line="243" w:lineRule="auto"/>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Amended and Restated Employment Agreement Amendment</w:t>
      </w:r>
      <w:r>
        <w:rPr>
          <w:rFonts w:ascii="Arial" w:cs="Arial" w:eastAsia="Arial" w:hAnsi="Arial"/>
          <w:sz w:val="20"/>
          <w:szCs w:val="20"/>
          <w:color w:val="auto"/>
        </w:rPr>
        <w:t xml:space="preserve"> Dear Jenn:</w:t>
      </w:r>
    </w:p>
    <w:p>
      <w:pPr>
        <w:spacing w:after="0" w:line="142" w:lineRule="exact"/>
        <w:rPr>
          <w:sz w:val="20"/>
          <w:szCs w:val="20"/>
          <w:color w:val="auto"/>
        </w:rPr>
      </w:pPr>
    </w:p>
    <w:p>
      <w:pPr>
        <w:jc w:val="both"/>
        <w:ind w:hanging="1"/>
        <w:spacing w:after="0" w:line="220" w:lineRule="auto"/>
        <w:rPr>
          <w:sz w:val="20"/>
          <w:szCs w:val="20"/>
          <w:color w:val="auto"/>
        </w:rPr>
      </w:pPr>
      <w:r>
        <w:rPr>
          <w:rFonts w:ascii="Arial" w:cs="Arial" w:eastAsia="Arial" w:hAnsi="Arial"/>
          <w:sz w:val="20"/>
          <w:szCs w:val="20"/>
          <w:color w:val="auto"/>
        </w:rPr>
        <w:t>This Letter Agreement constitutes an amendment to the Amended and Restated Employment Agreement between you and Rent the Runway,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dated as of October 5, 2021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Capitalized terms used in this Letter Agreement and not defined shall have the meaning given such terms in the Employment Agreement.</w:t>
      </w:r>
    </w:p>
    <w:p>
      <w:pPr>
        <w:spacing w:after="0" w:line="158" w:lineRule="exact"/>
        <w:rPr>
          <w:sz w:val="20"/>
          <w:szCs w:val="20"/>
          <w:color w:val="auto"/>
        </w:rPr>
      </w:pPr>
    </w:p>
    <w:p>
      <w:pPr>
        <w:jc w:val="both"/>
        <w:ind w:firstLine="6"/>
        <w:spacing w:after="0" w:line="227" w:lineRule="auto"/>
        <w:tabs>
          <w:tab w:leader="none" w:pos="636"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Annual Bonus</w:t>
      </w:r>
      <w:r>
        <w:rPr>
          <w:rFonts w:ascii="Arial" w:cs="Arial" w:eastAsia="Arial" w:hAnsi="Arial"/>
          <w:sz w:val="20"/>
          <w:szCs w:val="20"/>
          <w:color w:val="auto"/>
        </w:rPr>
        <w:t>. For fiscal year 2022 and thereafter during the Term, you will be eligible for an Annual Bonus pursuant to the terms of the Company’s annual incentive program or arrangement as in effect from time to time, with a target bonus opportunity of 100% of your Salary as in effect on the last day of the applicable fiscal year.</w:t>
      </w:r>
    </w:p>
    <w:p>
      <w:pPr>
        <w:spacing w:after="0" w:line="170" w:lineRule="exact"/>
        <w:rPr>
          <w:rFonts w:ascii="Arial" w:cs="Arial" w:eastAsia="Arial" w:hAnsi="Arial"/>
          <w:sz w:val="20"/>
          <w:szCs w:val="20"/>
          <w:color w:val="auto"/>
        </w:rPr>
      </w:pPr>
    </w:p>
    <w:p>
      <w:pPr>
        <w:jc w:val="both"/>
        <w:ind w:firstLine="6"/>
        <w:spacing w:after="0" w:line="245" w:lineRule="auto"/>
        <w:tabs>
          <w:tab w:leader="none" w:pos="636" w:val="left"/>
        </w:tabs>
        <w:numPr>
          <w:ilvl w:val="0"/>
          <w:numId w:val="49"/>
        </w:numPr>
        <w:rPr>
          <w:rFonts w:ascii="Arial" w:cs="Arial" w:eastAsia="Arial" w:hAnsi="Arial"/>
          <w:sz w:val="20"/>
          <w:szCs w:val="20"/>
          <w:color w:val="auto"/>
        </w:rPr>
      </w:pPr>
      <w:r>
        <w:rPr>
          <w:rFonts w:ascii="Arial" w:cs="Arial" w:eastAsia="Arial" w:hAnsi="Arial"/>
          <w:sz w:val="20"/>
          <w:szCs w:val="20"/>
          <w:color w:val="auto"/>
        </w:rPr>
        <w:t>Except as expressly provided for in this Letter Agreement, the Employment Agreement and its terms and conditions remain in full force and effect and unchanged by this Letter Agreement. This Letter Agreement is to be governed by and construed in accordance with the laws of the State of New York without regard to the choice of law principles thereof. The provisions of Section 17 of the Employment Agreement with respect to dispute resolution shall apply to this Letter Agreement.</w:t>
      </w:r>
    </w:p>
    <w:p>
      <w:pPr>
        <w:spacing w:after="0" w:line="181" w:lineRule="exact"/>
        <w:rPr>
          <w:rFonts w:ascii="Arial" w:cs="Arial" w:eastAsia="Arial" w:hAnsi="Arial"/>
          <w:sz w:val="20"/>
          <w:szCs w:val="20"/>
          <w:color w:val="auto"/>
        </w:rPr>
      </w:pPr>
    </w:p>
    <w:p>
      <w:pPr>
        <w:ind w:firstLine="6"/>
        <w:spacing w:after="0" w:line="271" w:lineRule="auto"/>
        <w:tabs>
          <w:tab w:leader="none" w:pos="636" w:val="left"/>
        </w:tabs>
        <w:numPr>
          <w:ilvl w:val="0"/>
          <w:numId w:val="49"/>
        </w:numPr>
        <w:rPr>
          <w:rFonts w:ascii="Arial" w:cs="Arial" w:eastAsia="Arial" w:hAnsi="Arial"/>
          <w:sz w:val="20"/>
          <w:szCs w:val="20"/>
          <w:color w:val="auto"/>
        </w:rPr>
      </w:pPr>
      <w:r>
        <w:rPr>
          <w:rFonts w:ascii="Arial" w:cs="Arial" w:eastAsia="Arial" w:hAnsi="Arial"/>
          <w:sz w:val="20"/>
          <w:szCs w:val="20"/>
          <w:color w:val="auto"/>
        </w:rPr>
        <w:t>Please acknowledge your agreement to the terms and conditions set forth in this letter by signing and dating this letter in the space provided below.</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Very truly yours,</w:t>
      </w:r>
    </w:p>
    <w:p>
      <w:pPr>
        <w:sectPr>
          <w:pgSz w:w="11900" w:h="16838" w:orient="portrait"/>
          <w:cols w:equalWidth="0" w:num="1">
            <w:col w:w="11240"/>
          </w:cols>
          <w:pgMar w:left="320" w:top="1440" w:right="339" w:bottom="1440" w:gutter="0" w:footer="0" w:header="0"/>
        </w:sectPr>
      </w:pPr>
    </w:p>
    <w:bookmarkStart w:id="92" w:name="page93"/>
    <w:bookmarkEnd w:id="92"/>
    <w:p>
      <w:pPr>
        <w:spacing w:after="0"/>
        <w:rPr>
          <w:sz w:val="20"/>
          <w:szCs w:val="20"/>
          <w:color w:val="auto"/>
        </w:rPr>
      </w:pPr>
      <w:r>
        <w:rPr>
          <w:rFonts w:ascii="Arial" w:cs="Arial" w:eastAsia="Arial" w:hAnsi="Arial"/>
          <w:sz w:val="20"/>
          <w:szCs w:val="20"/>
          <w:color w:val="auto"/>
        </w:rPr>
        <w:t>__</w:t>
      </w:r>
      <w:r>
        <w:rPr>
          <w:rFonts w:ascii="Arial" w:cs="Arial" w:eastAsia="Arial" w:hAnsi="Arial"/>
          <w:sz w:val="20"/>
          <w:szCs w:val="20"/>
          <w:u w:val="single" w:color="auto"/>
          <w:color w:val="auto"/>
        </w:rPr>
        <w:t>/s/ Andrea Alexander</w:t>
      </w:r>
      <w:r>
        <w:rPr>
          <w:rFonts w:ascii="Arial" w:cs="Arial" w:eastAsia="Arial" w:hAnsi="Arial"/>
          <w:sz w:val="20"/>
          <w:szCs w:val="20"/>
          <w:color w:val="auto"/>
        </w:rPr>
        <w:t>________</w:t>
      </w:r>
    </w:p>
    <w:p>
      <w:pPr>
        <w:spacing w:after="0" w:line="197" w:lineRule="auto"/>
        <w:rPr>
          <w:sz w:val="20"/>
          <w:szCs w:val="20"/>
          <w:color w:val="auto"/>
        </w:rPr>
      </w:pPr>
      <w:r>
        <w:rPr>
          <w:rFonts w:ascii="Arial" w:cs="Arial" w:eastAsia="Arial" w:hAnsi="Arial"/>
          <w:sz w:val="20"/>
          <w:szCs w:val="20"/>
          <w:color w:val="auto"/>
        </w:rPr>
        <w:t>Andrea Alexander</w:t>
      </w:r>
    </w:p>
    <w:p>
      <w:pPr>
        <w:spacing w:after="0"/>
        <w:rPr>
          <w:sz w:val="20"/>
          <w:szCs w:val="20"/>
          <w:color w:val="auto"/>
        </w:rPr>
      </w:pPr>
      <w:r>
        <w:rPr>
          <w:rFonts w:ascii="Arial" w:cs="Arial" w:eastAsia="Arial" w:hAnsi="Arial"/>
          <w:sz w:val="20"/>
          <w:szCs w:val="20"/>
          <w:color w:val="auto"/>
        </w:rPr>
        <w:t>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Agreed and Accepted: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_</w:t>
      </w:r>
      <w:r>
        <w:rPr>
          <w:rFonts w:ascii="Arial" w:cs="Arial" w:eastAsia="Arial" w:hAnsi="Arial"/>
          <w:sz w:val="20"/>
          <w:szCs w:val="20"/>
          <w:u w:val="single" w:color="auto"/>
          <w:color w:val="auto"/>
        </w:rPr>
        <w:t>/s/ Jennifer Y. Hyman</w:t>
      </w:r>
      <w:r>
        <w:rPr>
          <w:rFonts w:ascii="Arial" w:cs="Arial" w:eastAsia="Arial" w:hAnsi="Arial"/>
          <w:sz w:val="20"/>
          <w:szCs w:val="20"/>
          <w:color w:val="auto"/>
        </w:rPr>
        <w:t>________</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Jennifer Y. Hyman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US-DOCS\130735044.1</w:t>
      </w:r>
    </w:p>
    <w:p>
      <w:pPr>
        <w:sectPr>
          <w:pgSz w:w="11900" w:h="16838" w:orient="portrait"/>
          <w:cols w:equalWidth="0" w:num="1">
            <w:col w:w="10139"/>
          </w:cols>
          <w:pgMar w:left="320" w:top="1391"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Jennifer Y. Hyman, certify that:</w:t>
      </w:r>
    </w:p>
    <w:p>
      <w:pPr>
        <w:spacing w:after="0" w:line="239" w:lineRule="exact"/>
        <w:rPr>
          <w:sz w:val="20"/>
          <w:szCs w:val="20"/>
          <w:color w:val="auto"/>
        </w:rPr>
      </w:pPr>
    </w:p>
    <w:p>
      <w:pPr>
        <w:ind w:left="700" w:hanging="368"/>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38" w:lineRule="exact"/>
        <w:rPr>
          <w:rFonts w:ascii="Arial" w:cs="Arial" w:eastAsia="Arial" w:hAnsi="Arial"/>
          <w:sz w:val="18"/>
          <w:szCs w:val="18"/>
          <w:color w:val="auto"/>
        </w:rPr>
      </w:pPr>
    </w:p>
    <w:p>
      <w:pPr>
        <w:ind w:left="660" w:right="80" w:hanging="328"/>
        <w:spacing w:after="0" w:line="253"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660" w:right="140" w:hanging="328"/>
        <w:spacing w:after="0" w:line="245"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ind w:left="660" w:right="140" w:hanging="328"/>
        <w:spacing w:after="0" w:line="271"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ind w:left="1300" w:right="20" w:hanging="320"/>
        <w:spacing w:after="0" w:line="253"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300" w:hanging="320"/>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300" w:right="300" w:hanging="320"/>
        <w:spacing w:after="0" w:line="253" w:lineRule="auto"/>
        <w:tabs>
          <w:tab w:leader="none" w:pos="1291"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ind w:left="1300" w:right="60" w:hanging="320"/>
        <w:spacing w:after="0" w:line="245"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left="660" w:right="360" w:hanging="328"/>
        <w:spacing w:after="0" w:line="253"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jc w:val="both"/>
        <w:ind w:left="1300" w:right="440" w:hanging="320"/>
        <w:spacing w:after="0" w:line="253"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1300" w:right="780" w:hanging="320"/>
        <w:spacing w:after="0" w:line="271"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June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34925</wp:posOffset>
            </wp:positionV>
            <wp:extent cx="37115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Jennifer Y. Hyman</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Scarlett O’Sullivan, certify that:</w:t>
      </w:r>
    </w:p>
    <w:p>
      <w:pPr>
        <w:spacing w:after="0" w:line="239" w:lineRule="exact"/>
        <w:rPr>
          <w:sz w:val="20"/>
          <w:szCs w:val="20"/>
          <w:color w:val="auto"/>
        </w:rPr>
      </w:pPr>
    </w:p>
    <w:p>
      <w:pPr>
        <w:ind w:left="700" w:hanging="368"/>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 the Runway, Inc.;</w:t>
      </w:r>
    </w:p>
    <w:p>
      <w:pPr>
        <w:spacing w:after="0" w:line="238" w:lineRule="exact"/>
        <w:rPr>
          <w:rFonts w:ascii="Arial" w:cs="Arial" w:eastAsia="Arial" w:hAnsi="Arial"/>
          <w:sz w:val="18"/>
          <w:szCs w:val="18"/>
          <w:color w:val="auto"/>
        </w:rPr>
      </w:pPr>
    </w:p>
    <w:p>
      <w:pPr>
        <w:ind w:left="660" w:right="80" w:hanging="328"/>
        <w:spacing w:after="0" w:line="253"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660" w:right="140" w:hanging="328"/>
        <w:spacing w:after="0" w:line="245"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ind w:left="660" w:right="140" w:hanging="328"/>
        <w:spacing w:after="0" w:line="271"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ind w:left="1300" w:right="20" w:hanging="320"/>
        <w:spacing w:after="0" w:line="253" w:lineRule="auto"/>
        <w:tabs>
          <w:tab w:leader="none" w:pos="128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300" w:hanging="320"/>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300" w:right="300" w:hanging="320"/>
        <w:spacing w:after="0" w:line="253" w:lineRule="auto"/>
        <w:tabs>
          <w:tab w:leader="none" w:pos="1291"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ind w:left="1300" w:right="60" w:hanging="320"/>
        <w:spacing w:after="0" w:line="245" w:lineRule="auto"/>
        <w:tabs>
          <w:tab w:leader="none" w:pos="128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ind w:left="660" w:right="360" w:hanging="328"/>
        <w:spacing w:after="0" w:line="253"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jc w:val="both"/>
        <w:ind w:left="1300" w:right="440" w:hanging="320"/>
        <w:spacing w:after="0" w:line="253" w:lineRule="auto"/>
        <w:tabs>
          <w:tab w:leader="none" w:pos="128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1300" w:right="780" w:hanging="320"/>
        <w:spacing w:after="0" w:line="271" w:lineRule="auto"/>
        <w:tabs>
          <w:tab w:leader="none" w:pos="128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June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34925</wp:posOffset>
            </wp:positionV>
            <wp:extent cx="37115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Scarlett O’Sullivan</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 Jennifer Y. Hyman, the Chief Executive Officer of Rent the Runway, Inc., certify, pursuant to 18 U.S.C. Section 1350, as adopted pursuant to Section 906 of the Sarbanes-Oxley Act of 2002, that the Quarterly Report on Form 10-Q of Rent the Runway, Inc. for the quarterly period ended April 30, 2022, fully complies with the requirements of Section 13(a) or 15(d) of the Securities Exchange Act of 1934 and that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June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34925</wp:posOffset>
            </wp:positionV>
            <wp:extent cx="3711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Jennifer Y. Hyman</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I, Scarlett O’Sullivan, the Chief Financial Officer of Rent the Runway, Inc., certify, pursuant to 18 U.S.C. Section 1350, as adopted pursuant to Section 906 of the Sarbanes-Oxley Act of 2002, that the Quarterly Report on Form 10-Q of Rent the Runway, Inc. for the quarterly period ended April 30, 2022, fully complies with the requirements of Section 13(a) or 15(d) of the Securities Exchange Act of 1934 and that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4240" w:val="left"/>
          <w:tab w:leader="none" w:pos="6840" w:val="left"/>
        </w:tabs>
        <w:rPr>
          <w:sz w:val="20"/>
          <w:szCs w:val="20"/>
          <w:color w:val="auto"/>
        </w:rPr>
      </w:pPr>
      <w:r>
        <w:rPr>
          <w:rFonts w:ascii="Arial" w:cs="Arial" w:eastAsia="Arial" w:hAnsi="Arial"/>
          <w:sz w:val="18"/>
          <w:szCs w:val="18"/>
          <w:color w:val="auto"/>
        </w:rPr>
        <w:t>Date: June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34925</wp:posOffset>
            </wp:positionV>
            <wp:extent cx="37115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43"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Scarlett O’Sullivan</w:t>
      </w:r>
    </w:p>
    <w:p>
      <w:pPr>
        <w:spacing w:after="0" w:line="50"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4"/>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decimal"/>
      <w:start w:val="7"/>
    </w:lvl>
  </w:abstractNum>
  <w:abstractNum w:abstractNumId="11">
    <w:nsid w:val="737B8DDC"/>
    <w:multiLevelType w:val="hybridMultilevel"/>
    <w:lvl w:ilvl="0">
      <w:lvlJc w:val="left"/>
      <w:lvlText w:val="%1."/>
      <w:numFmt w:val="decimal"/>
      <w:start w:val="9"/>
    </w:lvl>
  </w:abstractNum>
  <w:abstractNum w:abstractNumId="12">
    <w:nsid w:val="6CEAF087"/>
    <w:multiLevelType w:val="hybridMultilevel"/>
    <w:lvl w:ilvl="0">
      <w:lvlJc w:val="left"/>
      <w:lvlText w:val="%1."/>
      <w:numFmt w:val="decimal"/>
      <w:start w:val="10"/>
    </w:lvl>
  </w:abstractNum>
  <w:abstractNum w:abstractNumId="13">
    <w:nsid w:val="22221A70"/>
    <w:multiLevelType w:val="hybridMultilevel"/>
    <w:lvl w:ilvl="0">
      <w:lvlJc w:val="left"/>
      <w:lvlText w:val="%1."/>
      <w:numFmt w:val="decimal"/>
      <w:start w:val="12"/>
    </w:lvl>
  </w:abstractNum>
  <w:abstractNum w:abstractNumId="14">
    <w:nsid w:val="4516DDE9"/>
    <w:multiLevelType w:val="hybridMultilevel"/>
    <w:lvl w:ilvl="0">
      <w:lvlJc w:val="left"/>
      <w:lvlText w:val="%1."/>
      <w:numFmt w:val="decimal"/>
      <w:start w:val="13"/>
    </w:lvl>
  </w:abstractNum>
  <w:abstractNum w:abstractNumId="15">
    <w:nsid w:val="3006C83E"/>
    <w:multiLevelType w:val="hybridMultilevel"/>
    <w:lvl w:ilvl="0">
      <w:lvlJc w:val="left"/>
      <w:lvlText w:val="%1."/>
      <w:numFmt w:val="decimal"/>
      <w:start w:val="14"/>
    </w:lvl>
  </w:abstractNum>
  <w:abstractNum w:abstractNumId="16">
    <w:nsid w:val="614FD4A1"/>
    <w:multiLevelType w:val="hybridMultilevel"/>
    <w:lvl w:ilvl="0">
      <w:lvlJc w:val="left"/>
      <w:lvlText w:val="1"/>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2"/>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jpe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30" Type="http://schemas.openxmlformats.org/officeDocument/2006/relationships/hyperlink" Target="https://www.sec.gov/Archives/edgar/data/0001468327/000119312521313321/d211519dex31.htm" TargetMode="External"/><Relationship Id="rId131" Type="http://schemas.openxmlformats.org/officeDocument/2006/relationships/hyperlink" Target="https://www.sec.gov/Archives/edgar/data/0001468327/000119312521313321/d211519dex32.htm" TargetMode="External"/><Relationship Id="rId132" Type="http://schemas.openxmlformats.org/officeDocument/2006/relationships/hyperlink" Target="https://www.sec.gov/Archives/edgar/data/0001468327/000146832722000047/exhibit102710jaylease2nda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2022-06-10T08:12:17Z</dcterms:created>
  <dcterms:modified xsi:type="dcterms:W3CDTF">2022-06-10T08:12:17Z</dcterms:modified>
</cp:coreProperties>
</file>