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spacing w:after="0" w:line="207" w:lineRule="exact"/>
        <w:tabs>
          <w:tab w:leader="none" w:pos="2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June 9, 2022, Rent the Runway, Inc. (the “Company”) issued a press release announcing its financial results for the quarter ended April 30, 2022.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June 9, 2022</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June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Scarlett O’Sullivan</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First Quarter 2022 Results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Strong revenue momentum: Q1 2022 revenue up 100% year-over-year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Achieves record ending Active Subscriber count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Significant increase in Gross Margin to 34%, up 9 percentage points YoY</w:t>
      </w:r>
    </w:p>
    <w:p>
      <w:pPr>
        <w:spacing w:after="0" w:line="364"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color w:val="auto"/>
        </w:rPr>
        <w:t xml:space="preserve">New York (June 9, 2022) </w:t>
      </w:r>
      <w:r>
        <w:rPr>
          <w:rFonts w:ascii="Arial" w:cs="Arial" w:eastAsia="Arial" w:hAnsi="Arial"/>
          <w:sz w:val="20"/>
          <w:szCs w:val="20"/>
          <w:color w:val="auto"/>
        </w:rPr>
        <w:t>- Rent the Runway, Inc. (“Rent the Runway”) (NASDAQ: RENT), the world’s first and largest shared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designer closet platform, today reported financial results for the fiscal quarter ended April 30, 2022.</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“I’m excited to share that we exceeded our Q1 guidance across all key metrics both on the top and bottom lines, growing revenue 100% YoY and gross margin by 9 points YoY. Our strong performance is evidence of our firm position in the broader experience economy, which has enabled us to make significant progress on our path to profitability and achieve record ending Active Subscribers in the first quarter of 2022,” said Jennifer Hyman, CEO and Co-Founder of Rent the Runway. “Rent the Runway has never been more relevant than it is today. Whether our customers are traveling, dining out, attending events, heading back to the office, or simply hanging out with friends, they are turning to our platform for a more affordable, convenient and sustainable way to express their joy and infuse fashion variety into virtually every use case in their lives.”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CFO Scarlett O’Sullivan stated, “We are pleased by our Q1'22 performance post Omicron and are also encouraged by the strong momentum we see carrying into Q2'22. From a profitability standpoint, we continued to improve our gross margin and Adjusted EBITDA margin in Q1'22, both of which are up significantly YoY. Underscoring our confidence in the business, we are reiterating our outlook of 45%-50% YoY revenue growth in fiscal year 2022, and our target of Adjusted EBITDA breakeven in the next 2-4 quarters, while progressing towards our top priority of free cash flow breakeven in the mid-term.”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2022 Key Metrics and Financial Highlights</w:t>
      </w:r>
    </w:p>
    <w:p>
      <w:pPr>
        <w:spacing w:after="0" w:line="43" w:lineRule="exact"/>
        <w:rPr>
          <w:sz w:val="20"/>
          <w:szCs w:val="20"/>
          <w:color w:val="auto"/>
        </w:rPr>
      </w:pPr>
    </w:p>
    <w:p>
      <w:pPr>
        <w:ind w:left="480" w:hanging="310"/>
        <w:spacing w:after="0"/>
        <w:tabs>
          <w:tab w:leader="none" w:pos="4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Revenue was $67.1 million, a 100% increase year-over-year from $33.5 million in the first quarter of fiscal year 2021.</w:t>
      </w:r>
    </w:p>
    <w:p>
      <w:pPr>
        <w:spacing w:after="0" w:line="26" w:lineRule="exact"/>
        <w:rPr>
          <w:rFonts w:ascii="Arial" w:cs="Arial" w:eastAsia="Arial" w:hAnsi="Arial"/>
          <w:sz w:val="20"/>
          <w:szCs w:val="20"/>
          <w:b w:val="1"/>
          <w:bCs w:val="1"/>
          <w:color w:val="auto"/>
        </w:rPr>
      </w:pPr>
    </w:p>
    <w:p>
      <w:pPr>
        <w:ind w:left="500" w:right="440" w:hanging="330"/>
        <w:spacing w:after="0" w:line="273"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134,998 ending Active Subscribers, representing an increase of 82% year-over-year from 74,018 at the end of the first quarter of fiscal year 2021.</w:t>
      </w:r>
    </w:p>
    <w:p>
      <w:pPr>
        <w:spacing w:after="0" w:line="2" w:lineRule="exact"/>
        <w:rPr>
          <w:rFonts w:ascii="Arial" w:cs="Arial" w:eastAsia="Arial" w:hAnsi="Arial"/>
          <w:sz w:val="20"/>
          <w:szCs w:val="20"/>
          <w:b w:val="1"/>
          <w:bCs w:val="1"/>
          <w:color w:val="auto"/>
        </w:rPr>
      </w:pPr>
    </w:p>
    <w:p>
      <w:pPr>
        <w:ind w:left="500" w:right="440" w:hanging="330"/>
        <w:spacing w:after="0" w:line="273"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177,213 ending Total Subscribers, representing an increase of 70% year-over-year from 104,138 at the end of the first quarter of fiscal year 2021.</w:t>
      </w:r>
    </w:p>
    <w:p>
      <w:pPr>
        <w:spacing w:after="0" w:line="3" w:lineRule="exact"/>
        <w:rPr>
          <w:rFonts w:ascii="Arial" w:cs="Arial" w:eastAsia="Arial" w:hAnsi="Arial"/>
          <w:sz w:val="20"/>
          <w:szCs w:val="20"/>
          <w:b w:val="1"/>
          <w:bCs w:val="1"/>
          <w:color w:val="auto"/>
        </w:rPr>
      </w:pPr>
    </w:p>
    <w:p>
      <w:pPr>
        <w:ind w:left="500" w:right="220" w:hanging="330"/>
        <w:spacing w:after="0" w:line="273"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Gross Profit was $22.5 million which increased from $8.1 million in the first quarter of 2021. Gross Margin was 33.5%, as compared to 24.2% in the first quarter of fiscal year 2021.</w:t>
      </w:r>
    </w:p>
    <w:p>
      <w:pPr>
        <w:spacing w:after="0" w:line="3" w:lineRule="exact"/>
        <w:rPr>
          <w:rFonts w:ascii="Arial" w:cs="Arial" w:eastAsia="Arial" w:hAnsi="Arial"/>
          <w:sz w:val="20"/>
          <w:szCs w:val="20"/>
          <w:b w:val="1"/>
          <w:bCs w:val="1"/>
          <w:color w:val="auto"/>
        </w:rPr>
      </w:pPr>
    </w:p>
    <w:p>
      <w:pPr>
        <w:ind w:left="500" w:right="920" w:hanging="330"/>
        <w:spacing w:after="0" w:line="300"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Net Loss was $(42.5) million, as compared to $(42.3) million in the first quarter of fiscal year 2021. Net Loss as a percentage of revenue was (63.3)%, as compared to (126.3)% in the first quarter of fiscal year 2021.</w:t>
      </w:r>
    </w:p>
    <w:p>
      <w:pPr>
        <w:sectPr>
          <w:pgSz w:w="11900" w:h="16838" w:orient="portrait"/>
          <w:cols w:equalWidth="0" w:num="1">
            <w:col w:w="11240"/>
          </w:cols>
          <w:pgMar w:left="320" w:top="1101" w:right="339" w:bottom="1440" w:gutter="0" w:footer="0" w:header="0"/>
        </w:sectPr>
      </w:pPr>
    </w:p>
    <w:bookmarkStart w:id="4" w:name="page5"/>
    <w:bookmarkEnd w:id="4"/>
    <w:p>
      <w:pPr>
        <w:ind w:left="500" w:hanging="330"/>
        <w:spacing w:after="0" w:line="31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$(8.8) million, as compared to $(6.2) million in the first quarter of fiscal year 2021. Adjusted EBITDA margin was (13.1)%, as compared to (18.5)% in the first quarter of fiscal year 2021.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First Quarter Business Highlights</w:t>
      </w:r>
    </w:p>
    <w:p>
      <w:pPr>
        <w:spacing w:after="0" w:line="272" w:lineRule="exact"/>
        <w:rPr>
          <w:sz w:val="20"/>
          <w:szCs w:val="20"/>
          <w:color w:val="auto"/>
        </w:rPr>
      </w:pPr>
    </w:p>
    <w:p>
      <w:pPr>
        <w:ind w:left="500" w:right="400" w:hanging="330"/>
        <w:spacing w:after="0" w:line="289" w:lineRule="auto"/>
        <w:tabs>
          <w:tab w:leader="none" w:pos="488" w:val="left"/>
        </w:tabs>
        <w:numPr>
          <w:ilvl w:val="0"/>
          <w:numId w:val="4"/>
        </w:numPr>
        <w:rPr>
          <w:rFonts w:ascii="Arial" w:cs="Arial" w:eastAsia="Arial" w:hAnsi="Arial"/>
          <w:sz w:val="19"/>
          <w:szCs w:val="19"/>
          <w:b w:val="1"/>
          <w:bCs w:val="1"/>
          <w:color w:val="auto"/>
        </w:rPr>
      </w:pPr>
      <w:r>
        <w:rPr>
          <w:rFonts w:ascii="Arial" w:cs="Arial" w:eastAsia="Arial" w:hAnsi="Arial"/>
          <w:sz w:val="19"/>
          <w:szCs w:val="19"/>
          <w:color w:val="auto"/>
        </w:rPr>
        <w:t>Significant growth in ending Active Subscribers: 82% increase in Active Subscribers year-over-year and 17% increase quarter-over-quarter representing highest end-of-quarter Active Subscriber count since the launch of subscription.</w:t>
      </w:r>
    </w:p>
    <w:p>
      <w:pPr>
        <w:ind w:left="500" w:right="16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Continued to drive strong subscriber engagement, with 28% of subscribers adding one or more paid additional items into their subscription program.</w:t>
      </w:r>
    </w:p>
    <w:p>
      <w:pPr>
        <w:spacing w:after="0" w:line="1" w:lineRule="exact"/>
        <w:rPr>
          <w:rFonts w:ascii="Arial" w:cs="Arial" w:eastAsia="Arial" w:hAnsi="Arial"/>
          <w:sz w:val="20"/>
          <w:szCs w:val="20"/>
          <w:color w:val="auto"/>
        </w:rPr>
      </w:pPr>
    </w:p>
    <w:p>
      <w:pPr>
        <w:ind w:left="500" w:right="116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Continued to drive growth in Exclusive Designs, with non-Wholesale product acquisition on track to represent approximately 60% of product acquisition in fiscal year 2022.</w:t>
      </w:r>
    </w:p>
    <w:p>
      <w:pPr>
        <w:spacing w:after="0" w:line="1" w:lineRule="exact"/>
        <w:rPr>
          <w:rFonts w:ascii="Arial" w:cs="Arial" w:eastAsia="Arial" w:hAnsi="Arial"/>
          <w:sz w:val="20"/>
          <w:szCs w:val="20"/>
          <w:color w:val="auto"/>
        </w:rPr>
      </w:pPr>
    </w:p>
    <w:p>
      <w:pPr>
        <w:ind w:left="500" w:right="80" w:hanging="330"/>
        <w:spacing w:after="0" w:line="273"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Launched six new Exclusive Designs collections and one new designer, Osman. On track to launch four new designers in Q2'22, including Esteban Cortezar, Busayo, Jonathan Saunders, and Pamela Love, and to offer nearly 20 Exclusive Design partners for fiscal year 2022, around half of which are new.</w:t>
      </w:r>
    </w:p>
    <w:p>
      <w:pPr>
        <w:spacing w:after="0" w:line="2" w:lineRule="exact"/>
        <w:rPr>
          <w:rFonts w:ascii="Arial" w:cs="Arial" w:eastAsia="Arial" w:hAnsi="Arial"/>
          <w:sz w:val="20"/>
          <w:szCs w:val="20"/>
          <w:color w:val="auto"/>
        </w:rPr>
      </w:pPr>
    </w:p>
    <w:p>
      <w:pPr>
        <w:ind w:left="500" w:right="20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Expanded at-home pickup to over 20 markets covering well over 1/3 of our subscriber base and remain on track to bring the offering to over half of our subscriber base by year-end.</w:t>
      </w:r>
    </w:p>
    <w:p>
      <w:pPr>
        <w:spacing w:after="0" w:line="1" w:lineRule="exact"/>
        <w:rPr>
          <w:rFonts w:ascii="Arial" w:cs="Arial" w:eastAsia="Arial" w:hAnsi="Arial"/>
          <w:sz w:val="20"/>
          <w:szCs w:val="20"/>
          <w:color w:val="auto"/>
        </w:rPr>
      </w:pPr>
    </w:p>
    <w:p>
      <w:pPr>
        <w:ind w:left="500" w:right="120" w:hanging="330"/>
        <w:spacing w:after="0" w:line="288"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Continued to expand upon automation and productivity initiatives in our fulfillment centers, leveraging RFID technology to roll out Digital Issue Tagging software to drive greater efficiency in our quality control process and generate data to enhance garment longevity.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the second quarter of fiscal year 2022, Rent the Runway expects:</w:t>
      </w:r>
    </w:p>
    <w:p>
      <w:pPr>
        <w:spacing w:after="0" w:line="40" w:lineRule="exact"/>
        <w:rPr>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in the range of $72.0 million to $74.0 million</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of $(4.0) million to $(3.0) million</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2022, Rent the Runway expects:</w:t>
      </w:r>
    </w:p>
    <w:p>
      <w:pPr>
        <w:spacing w:after="0" w:line="31" w:lineRule="exact"/>
        <w:rPr>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in the range of $295.0 million to $305.0 million</w:t>
      </w:r>
    </w:p>
    <w:p>
      <w:pPr>
        <w:spacing w:after="0" w:line="35" w:lineRule="exact"/>
        <w:rPr>
          <w:rFonts w:ascii="Arial" w:cs="Arial" w:eastAsia="Arial" w:hAnsi="Arial"/>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 of (6)% to (5)%</w:t>
      </w:r>
    </w:p>
    <w:p>
      <w:pPr>
        <w:spacing w:after="0" w:line="270" w:lineRule="exact"/>
        <w:rPr>
          <w:sz w:val="20"/>
          <w:szCs w:val="20"/>
          <w:color w:val="auto"/>
        </w:rPr>
      </w:pPr>
    </w:p>
    <w:p>
      <w:pPr>
        <w:ind w:right="620"/>
        <w:spacing w:after="0" w:line="314" w:lineRule="auto"/>
        <w:rPr>
          <w:sz w:val="20"/>
          <w:szCs w:val="20"/>
          <w:color w:val="auto"/>
        </w:rPr>
      </w:pPr>
      <w:r>
        <w:rPr>
          <w:rFonts w:ascii="Arial" w:cs="Arial" w:eastAsia="Arial" w:hAnsi="Arial"/>
          <w:sz w:val="20"/>
          <w:szCs w:val="20"/>
          <w:color w:val="auto"/>
        </w:rPr>
        <w:t>Please see our first quarter 2022 earnings presentation at https://investors.renttherunway.com/ under the “Presentations” section for supplemental guidance.</w:t>
      </w:r>
    </w:p>
    <w:p>
      <w:pPr>
        <w:sectPr>
          <w:pgSz w:w="11900" w:h="16838" w:orient="portrait"/>
          <w:cols w:equalWidth="0" w:num="1">
            <w:col w:w="11180"/>
          </w:cols>
          <w:pgMar w:left="320" w:top="1103" w:right="3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first quarter 2022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Rent the Runway will host a conference call and webcast to discuss its first quarter 2022 financial results and provide a business update today at 4:30 pm EDT.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The financial results and live webcast will be accessible through the Investor Relations section of Rent the Runway’s website at </w:t>
      </w:r>
      <w:r>
        <w:rPr>
          <w:rFonts w:ascii="Arial" w:cs="Arial" w:eastAsia="Arial" w:hAnsi="Arial"/>
          <w:sz w:val="20"/>
          <w:szCs w:val="20"/>
          <w:u w:val="single" w:color="auto"/>
          <w:color w:val="212D3D"/>
        </w:rPr>
        <w:t>https://investors.renttherunway.com/</w:t>
      </w:r>
      <w:r>
        <w:rPr>
          <w:rFonts w:ascii="Arial" w:cs="Arial" w:eastAsia="Arial" w:hAnsi="Arial"/>
          <w:sz w:val="20"/>
          <w:szCs w:val="20"/>
          <w:color w:val="212D3D"/>
        </w:rPr>
        <w:t xml:space="preserve"> </w:t>
      </w:r>
      <w:r>
        <w:rPr>
          <w:rFonts w:ascii="Arial" w:cs="Arial" w:eastAsia="Arial" w:hAnsi="Arial"/>
          <w:sz w:val="20"/>
          <w:szCs w:val="20"/>
          <w:color w:val="000000"/>
        </w:rPr>
        <w:t>under the “Events” section. To access the call through a conference line, dial 1-877-407-3982 (in the U.S.) or 1-201-493-6780 (international callers).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-352425</wp:posOffset>
            </wp:positionV>
            <wp:extent cx="511746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17465" cy="137160"/>
                    </a:xfrm>
                    <a:prstGeom prst="rect">
                      <a:avLst/>
                    </a:prstGeom>
                    <a:noFill/>
                  </pic:spPr>
                </pic:pic>
              </a:graphicData>
            </a:graphic>
          </wp:anchor>
        </w:drawing>
      </w:r>
    </w:p>
    <w:p>
      <w:pPr>
        <w:spacing w:after="0" w:line="14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A replay of the conference call will be posted shortly after the call and will be available for at least fourteen days. To access the replay, dial 1-844-512-2921 (in the U.S.) or 1-412-317-6671 (international callers). The access code for the replay is 13729962.</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over 800 designer brands. The Closet in the Cloud offers a wide assortment of millions of items for every occasion, from evening wear and accessories to ready-to-wear, workwear, denim, casual, maternity, outerwear, blouses, knitwear, loungewear, jewelry, handbags, activewear, ski wear, home goods and kidswear.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8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future product launches, business objectives, and subscriber trends. Forward-looking statements are inherently subject to risks and uncertainties, some of which cannot be predicted or quantified.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w:t>
      </w:r>
    </w:p>
    <w:p>
      <w:pPr>
        <w:sectPr>
          <w:pgSz w:w="11900" w:h="16838" w:orient="portrait"/>
          <w:cols w:equalWidth="0" w:num="1">
            <w:col w:w="11240"/>
          </w:cols>
          <w:pgMar w:left="320" w:top="1101" w:right="339" w:bottom="1440" w:gutter="0" w:footer="0" w:header="0"/>
        </w:sectPr>
      </w:pPr>
    </w:p>
    <w:bookmarkStart w:id="6" w:name="page7"/>
    <w:bookmarkEnd w:id="6"/>
    <w:p>
      <w:pPr>
        <w:jc w:val="both"/>
        <w:spacing w:after="0" w:line="276" w:lineRule="auto"/>
        <w:rPr>
          <w:sz w:val="20"/>
          <w:szCs w:val="20"/>
          <w:color w:val="auto"/>
        </w:rPr>
      </w:pPr>
      <w:r>
        <w:rPr>
          <w:rFonts w:ascii="Arial" w:cs="Arial" w:eastAsia="Arial" w:hAnsi="Arial"/>
          <w:sz w:val="20"/>
          <w:szCs w:val="20"/>
          <w:color w:val="auto"/>
        </w:rPr>
        <w:t>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COVID-19 pandemic; the highly competitive and rapidly changing nature of the global fashion industry; our ability to cost-effectively grow our customer base; any failure to retain customers; our ability to accurately forecast customer demand, manage our offerings effectively and plan for future expenses; risks related to shipping, logistics and our supply chain;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to adequately maintain and protect our intellectual property and proprietary rights; compliance with data privacy, data security, data protection and consumer protection laws and industry standards; risks associated with our brand partners; reliance on third parties for elements of the payment processing infrastructure underlying our business;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 Additional information regarding these and other risks and uncertainties that could cause actual results to differ materially from the Company’s expectations is included in our Annual Report on Form 10-K for the year ended January 31, 2022, as will be updated in our Quarterly Report on Form 10-Q for the quarter ended April 30, 2022. Except as required by law, we do not undertake any obligation to publicly update or revise any forward-looking statement, whether as a result of new information, future developments,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cost of our products and fulfillment costs are included.</w:t>
      </w:r>
    </w:p>
    <w:p>
      <w:pPr>
        <w:sectPr>
          <w:pgSz w:w="11900" w:h="16838" w:orient="portrait"/>
          <w:cols w:equalWidth="0" w:num="1">
            <w:col w:w="11240"/>
          </w:cols>
          <w:pgMar w:left="320" w:top="131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assets, certain non-recurring, one-time costs (see below footnotes to reconciliation table), income taxes, other income and expense, gain / loss on warrant liability revaluation, net, and other gains / losses. Adjusted EBITDA margin is defined as Adjusted EBITDA calculated as a percentage of revenue.</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With respect to our expectations under "Financial Outlook" above, reconciliation of Adjusted EBITDA and Adjusted EBITDA margin guidance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Janine Stichter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Alison Rappaport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40"/>
          </w:cols>
          <w:pgMar w:left="320" w:top="1101" w:right="339" w:bottom="1440" w:gutter="0" w:footer="0" w:header="0"/>
        </w:sectPr>
      </w:pPr>
    </w:p>
    <w:bookmarkStart w:id="8" w:name="page9"/>
    <w:bookmarkEnd w:id="8"/>
    <w:p>
      <w:pPr>
        <w:ind w:left="4200"/>
        <w:spacing w:after="0"/>
        <w:rPr>
          <w:sz w:val="20"/>
          <w:szCs w:val="20"/>
          <w:color w:val="auto"/>
        </w:rPr>
      </w:pPr>
      <w:r>
        <w:rPr>
          <w:rFonts w:ascii="Arial" w:cs="Arial" w:eastAsia="Arial" w:hAnsi="Arial"/>
          <w:sz w:val="20"/>
          <w:szCs w:val="20"/>
          <w:b w:val="1"/>
          <w:bCs w:val="1"/>
          <w:color w:val="auto"/>
        </w:rPr>
        <w:t>Rent the Runway, Inc.</w:t>
      </w:r>
    </w:p>
    <w:p>
      <w:pPr>
        <w:ind w:left="328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60"/>
        <w:spacing w:after="0"/>
        <w:rPr>
          <w:sz w:val="20"/>
          <w:szCs w:val="20"/>
          <w:color w:val="auto"/>
        </w:rPr>
      </w:pPr>
      <w:r>
        <w:rPr>
          <w:rFonts w:ascii="Arial" w:cs="Arial" w:eastAsia="Arial" w:hAnsi="Arial"/>
          <w:sz w:val="20"/>
          <w:szCs w:val="20"/>
          <w:b w:val="1"/>
          <w:bCs w:val="1"/>
          <w:color w:val="auto"/>
        </w:rPr>
        <w:t>(in millions)</w:t>
      </w:r>
    </w:p>
    <w:p>
      <w:pPr>
        <w:ind w:left="47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7"/>
                <w:szCs w:val="17"/>
                <w:color w:val="auto"/>
              </w:rPr>
            </w:pPr>
          </w:p>
        </w:tc>
        <w:tc>
          <w:tcPr>
            <w:tcW w:w="1260" w:type="dxa"/>
            <w:vAlign w:val="bottom"/>
          </w:tcPr>
          <w:p>
            <w:pPr>
              <w:jc w:val="right"/>
              <w:ind w:right="275"/>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219.0</w:t>
            </w:r>
          </w:p>
        </w:tc>
        <w:tc>
          <w:tcPr>
            <w:tcW w:w="100" w:type="dxa"/>
            <w:vAlign w:val="bottom"/>
          </w:tcPr>
          <w:p>
            <w:pPr>
              <w:spacing w:after="0"/>
              <w:rPr>
                <w:sz w:val="22"/>
                <w:szCs w:val="22"/>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247.6</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264.7</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40"/>
        </w:trPr>
        <w:tc>
          <w:tcPr>
            <w:tcW w:w="7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Redeemable Preferred Stock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22"/>
                <w:szCs w:val="22"/>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260.8</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420" w:type="dxa"/>
            <w:vAlign w:val="bottom"/>
          </w:tcPr>
          <w:p>
            <w:pPr>
              <w:spacing w:after="0"/>
              <w:rPr>
                <w:sz w:val="20"/>
                <w:szCs w:val="20"/>
                <w:color w:val="auto"/>
              </w:rPr>
            </w:pPr>
            <w:r>
              <w:rPr>
                <w:rFonts w:ascii="Arial" w:cs="Arial" w:eastAsia="Arial" w:hAnsi="Arial"/>
                <w:sz w:val="17"/>
                <w:szCs w:val="17"/>
                <w:color w:val="auto"/>
              </w:rPr>
              <w:t>Redeemable preferred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872.2</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(843.7)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(801.2)</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redeemable preferred stock and stockholders’ equity (deficit)</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r>
              <w:rPr>
                <w:rFonts w:ascii="Arial" w:cs="Arial" w:eastAsia="Arial" w:hAnsi="Arial"/>
                <w:sz w:val="18"/>
                <w:szCs w:val="18"/>
                <w:color w:val="auto"/>
              </w:rPr>
              <w:t>Revenue:</w:t>
            </w: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97"/>
        </w:trPr>
        <w:tc>
          <w:tcPr>
            <w:tcW w:w="636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42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6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
        </w:trPr>
        <w:tc>
          <w:tcPr>
            <w:tcW w:w="636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3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636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636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63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636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0"/>
        </w:trPr>
        <w:tc>
          <w:tcPr>
            <w:tcW w:w="636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36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6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97"/>
        </w:trPr>
        <w:tc>
          <w:tcPr>
            <w:tcW w:w="6360" w:type="dxa"/>
            <w:vAlign w:val="bottom"/>
          </w:tcPr>
          <w:p>
            <w:pPr>
              <w:spacing w:after="0"/>
              <w:rPr>
                <w:sz w:val="20"/>
                <w:szCs w:val="20"/>
                <w:color w:val="auto"/>
              </w:rPr>
            </w:pPr>
            <w:r>
              <w:rPr>
                <w:rFonts w:ascii="Arial" w:cs="Arial" w:eastAsia="Arial" w:hAnsi="Arial"/>
                <w:sz w:val="18"/>
                <w:szCs w:val="18"/>
                <w:color w:val="auto"/>
              </w:rPr>
              <w:t>Gain / (loss) on warrant liability revaluation, net</w:t>
            </w:r>
          </w:p>
        </w:tc>
        <w:tc>
          <w:tcPr>
            <w:tcW w:w="420" w:type="dxa"/>
            <w:vAlign w:val="bottom"/>
          </w:tcPr>
          <w:p>
            <w:pPr>
              <w:spacing w:after="0"/>
              <w:rPr>
                <w:sz w:val="24"/>
                <w:szCs w:val="2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360" w:type="dxa"/>
            <w:vAlign w:val="bottom"/>
          </w:tcPr>
          <w:p>
            <w:pPr>
              <w:ind w:left="880"/>
              <w:spacing w:after="0"/>
              <w:rPr>
                <w:sz w:val="20"/>
                <w:szCs w:val="20"/>
                <w:color w:val="auto"/>
              </w:rPr>
            </w:pPr>
            <w:r>
              <w:rPr>
                <w:rFonts w:ascii="Arial" w:cs="Arial" w:eastAsia="Arial" w:hAnsi="Arial"/>
                <w:sz w:val="18"/>
                <w:szCs w:val="18"/>
                <w:color w:val="auto"/>
              </w:rPr>
              <w:t>Net loss before income tax benefit / (expense)</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420" w:type="dxa"/>
            <w:vAlign w:val="bottom"/>
          </w:tcPr>
          <w:p>
            <w:pPr>
              <w:spacing w:after="0"/>
              <w:rPr>
                <w:sz w:val="23"/>
                <w:szCs w:val="2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6360" w:type="dxa"/>
            <w:vAlign w:val="bottom"/>
          </w:tcPr>
          <w:p>
            <w:pPr>
              <w:ind w:left="98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w:t>
            </w: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3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63,431,165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11,287,251</w:t>
            </w:r>
          </w:p>
        </w:tc>
        <w:tc>
          <w:tcPr>
            <w:tcW w:w="0" w:type="dxa"/>
            <w:vAlign w:val="bottom"/>
          </w:tcPr>
          <w:p>
            <w:pPr>
              <w:spacing w:after="0"/>
              <w:rPr>
                <w:sz w:val="1"/>
                <w:szCs w:val="1"/>
                <w:color w:val="auto"/>
              </w:rPr>
            </w:pPr>
          </w:p>
        </w:tc>
      </w:tr>
      <w:tr>
        <w:trPr>
          <w:trHeight w:val="235"/>
        </w:trPr>
        <w:tc>
          <w:tcPr>
            <w:tcW w:w="6360" w:type="dxa"/>
            <w:vAlign w:val="bottom"/>
          </w:tcPr>
          <w:p>
            <w:pPr>
              <w:ind w:left="160"/>
              <w:spacing w:after="0"/>
              <w:rPr>
                <w:sz w:val="20"/>
                <w:szCs w:val="20"/>
                <w:color w:val="auto"/>
              </w:rPr>
            </w:pPr>
            <w:r>
              <w:rPr>
                <w:rFonts w:ascii="Arial" w:cs="Arial" w:eastAsia="Arial" w:hAnsi="Arial"/>
                <w:sz w:val="18"/>
                <w:szCs w:val="18"/>
                <w:color w:val="auto"/>
              </w:rPr>
              <w:t>common stockholders, basic and diluted</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1101" w:right="899" w:bottom="1440" w:gutter="0" w:footer="0" w:header="0"/>
        </w:sectPr>
      </w:pPr>
    </w:p>
    <w:bookmarkStart w:id="10" w:name="page11"/>
    <w:bookmarkEnd w:id="10"/>
    <w:p>
      <w:pPr>
        <w:ind w:left="454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100"/>
          </w:cols>
          <w:pgMar w:left="380" w:top="110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write-off of fixed assets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Remeasurement of warrant liability</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issuance of redeemable preferred stock</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exercise of stock options under stock incentive plan</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Principal repayments on long-term debt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25292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2021</w:t>
            </w:r>
          </w:p>
        </w:tc>
      </w:tr>
      <w:tr>
        <w:trPr>
          <w:trHeight w:val="440"/>
        </w:trPr>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24"/>
                <w:szCs w:val="24"/>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(42.3)</w:t>
            </w:r>
          </w:p>
        </w:tc>
      </w:tr>
      <w:tr>
        <w:trPr>
          <w:trHeight w:val="486"/>
        </w:trPr>
        <w:tc>
          <w:tcPr>
            <w:tcW w:w="440" w:type="dxa"/>
            <w:vAlign w:val="bottom"/>
          </w:tcPr>
          <w:p>
            <w:pPr>
              <w:spacing w:after="0"/>
              <w:rPr>
                <w:sz w:val="24"/>
                <w:szCs w:val="24"/>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11.0</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1.7</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5.1</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43"/>
        </w:trPr>
        <w:tc>
          <w:tcPr>
            <w:tcW w:w="44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11.2</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2.2</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1.9</w:t>
            </w:r>
          </w:p>
        </w:tc>
      </w:tr>
      <w:tr>
        <w:trPr>
          <w:trHeight w:val="243"/>
        </w:trPr>
        <w:tc>
          <w:tcPr>
            <w:tcW w:w="44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486"/>
        </w:trPr>
        <w:tc>
          <w:tcPr>
            <w:tcW w:w="440" w:type="dxa"/>
            <w:vAlign w:val="bottom"/>
          </w:tcPr>
          <w:p>
            <w:pPr>
              <w:spacing w:after="0"/>
              <w:rPr>
                <w:sz w:val="24"/>
                <w:szCs w:val="24"/>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0.8</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2.9</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2.7</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0.1</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33"/>
        </w:trPr>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1.6</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2.8</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73"/>
        </w:trPr>
        <w:tc>
          <w:tcPr>
            <w:tcW w:w="44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4"/>
                <w:szCs w:val="24"/>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17.1</w:t>
            </w:r>
          </w:p>
        </w:tc>
      </w:tr>
      <w:tr>
        <w:trPr>
          <w:trHeight w:val="270"/>
        </w:trPr>
        <w:tc>
          <w:tcPr>
            <w:tcW w:w="440" w:type="dxa"/>
            <w:vAlign w:val="bottom"/>
          </w:tcPr>
          <w:p>
            <w:pPr>
              <w:spacing w:after="0"/>
              <w:rPr>
                <w:sz w:val="23"/>
                <w:szCs w:val="23"/>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1.3</w:t>
            </w:r>
          </w:p>
        </w:tc>
      </w:tr>
      <w:tr>
        <w:trPr>
          <w:trHeight w:val="270"/>
        </w:trPr>
        <w:tc>
          <w:tcPr>
            <w:tcW w:w="440" w:type="dxa"/>
            <w:vAlign w:val="bottom"/>
          </w:tcPr>
          <w:p>
            <w:pPr>
              <w:spacing w:after="0"/>
              <w:rPr>
                <w:sz w:val="23"/>
                <w:szCs w:val="23"/>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70"/>
        </w:trPr>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17.9</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7.6</w:t>
            </w:r>
          </w:p>
        </w:tc>
      </w:tr>
      <w:tr>
        <w:trPr>
          <w:trHeight w:val="270"/>
        </w:trPr>
        <w:tc>
          <w:tcPr>
            <w:tcW w:w="440" w:type="dxa"/>
            <w:vAlign w:val="bottom"/>
          </w:tcPr>
          <w:p>
            <w:pPr>
              <w:spacing w:after="0"/>
              <w:rPr>
                <w:sz w:val="23"/>
                <w:szCs w:val="23"/>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259.6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109.2</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229.8</w:t>
            </w:r>
          </w:p>
        </w:tc>
        <w:tc>
          <w:tcPr>
            <w:tcW w:w="100" w:type="dxa"/>
            <w:vAlign w:val="bottom"/>
          </w:tcPr>
          <w:p>
            <w:pPr>
              <w:spacing w:after="0"/>
              <w:rPr>
                <w:sz w:val="18"/>
                <w:szCs w:val="18"/>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116.8</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400" w:space="720"/>
            <w:col w:w="3980"/>
          </w:cols>
          <w:pgMar w:left="380" w:top="1101" w:right="419" w:bottom="1440" w:gutter="0" w:footer="0" w:header="0"/>
          <w:type w:val="continuous"/>
        </w:sectPr>
      </w:pPr>
    </w:p>
    <w:bookmarkStart w:id="11" w:name="page12"/>
    <w:bookmarkEnd w:id="11"/>
    <w:p>
      <w:pPr>
        <w:ind w:left="42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Condensed Consolidated Statements of Cash Flow</w:t>
      </w:r>
    </w:p>
    <w:p>
      <w:pPr>
        <w:ind w:left="4740"/>
        <w:spacing w:after="0"/>
        <w:rPr>
          <w:sz w:val="20"/>
          <w:szCs w:val="20"/>
          <w:color w:val="auto"/>
        </w:rPr>
      </w:pPr>
      <w:r>
        <w:rPr>
          <w:rFonts w:ascii="Arial" w:cs="Arial" w:eastAsia="Arial" w:hAnsi="Arial"/>
          <w:sz w:val="20"/>
          <w:szCs w:val="20"/>
          <w:b w:val="1"/>
          <w:bCs w:val="1"/>
          <w:color w:val="auto"/>
        </w:rPr>
        <w:t>(in millions)</w:t>
      </w:r>
    </w:p>
    <w:p>
      <w:pPr>
        <w:ind w:left="48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620"/>
          </w:cols>
          <w:pgMar w:left="640" w:top="110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leases payments (reimbursements),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leases right-of-use asset amortization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ROU assets obtained in exchange for lease liabilities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911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599"/>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219.0</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103.8</w:t>
            </w:r>
          </w:p>
        </w:tc>
      </w:tr>
      <w:tr>
        <w:trPr>
          <w:trHeight w:val="230"/>
        </w:trPr>
        <w:tc>
          <w:tcPr>
            <w:tcW w:w="3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43"/>
        </w:trPr>
        <w:tc>
          <w:tcPr>
            <w:tcW w:w="32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229.8</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116.8</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73"/>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2">
            <w:col w:w="7060" w:space="560"/>
            <w:col w:w="3000"/>
          </w:cols>
          <w:pgMar w:left="640" w:top="1101" w:right="639" w:bottom="1440" w:gutter="0" w:footer="0" w:header="0"/>
          <w:type w:val="continuous"/>
        </w:sectPr>
      </w:pPr>
    </w:p>
    <w:bookmarkStart w:id="12" w:name="page13"/>
    <w:bookmarkEnd w:id="12"/>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right="120"/>
        <w:spacing w:after="0" w:line="243"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pacing w:after="0" w:line="33" w:lineRule="exact"/>
        <w:rPr>
          <w:sz w:val="20"/>
          <w:szCs w:val="20"/>
          <w:color w:val="auto"/>
        </w:rPr>
      </w:pPr>
    </w:p>
    <w:p>
      <w:pPr>
        <w:ind w:left="7773"/>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32385</wp:posOffset>
            </wp:positionV>
            <wp:extent cx="2442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76" w:lineRule="exact"/>
        <w:rPr>
          <w:sz w:val="20"/>
          <w:szCs w:val="20"/>
          <w:color w:val="auto"/>
        </w:rPr>
      </w:pPr>
    </w:p>
    <w:p>
      <w:pPr>
        <w:ind w:left="7633"/>
        <w:spacing w:after="0"/>
        <w:tabs>
          <w:tab w:leader="none" w:pos="9613"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32385</wp:posOffset>
            </wp:positionV>
            <wp:extent cx="2442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76" w:lineRule="exact"/>
        <w:rPr>
          <w:sz w:val="20"/>
          <w:szCs w:val="20"/>
          <w:color w:val="auto"/>
        </w:rPr>
      </w:pPr>
    </w:p>
    <w:p>
      <w:pPr>
        <w:ind w:left="8373"/>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313"/>
          </w:cols>
          <w:pgMar w:left="247" w:top="1101" w:right="339" w:bottom="1440" w:gutter="0" w:footer="0" w:header="0"/>
        </w:sectPr>
      </w:pPr>
    </w:p>
    <w:p>
      <w:pPr>
        <w:spacing w:after="0" w:line="72"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loss</w:t>
      </w:r>
    </w:p>
    <w:p>
      <w:pPr>
        <w:spacing w:after="0" w:line="8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77"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2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0" w:lineRule="exact"/>
        <w:rPr>
          <w:sz w:val="20"/>
          <w:szCs w:val="20"/>
          <w:color w:val="auto"/>
        </w:rPr>
      </w:pPr>
    </w:p>
    <w:p>
      <w:pPr>
        <w:ind w:left="93"/>
        <w:spacing w:after="0"/>
        <w:rPr>
          <w:sz w:val="20"/>
          <w:szCs w:val="20"/>
          <w:color w:val="auto"/>
        </w:rPr>
      </w:pPr>
      <w:r>
        <w:rPr>
          <w:rFonts w:ascii="Arial" w:cs="Arial" w:eastAsia="Arial" w:hAnsi="Arial"/>
          <w:sz w:val="17"/>
          <w:szCs w:val="17"/>
          <w:color w:val="auto"/>
        </w:rPr>
        <w:t xml:space="preserve">(Gain) / loss on warrant liability revaluation, net </w:t>
      </w:r>
      <w:r>
        <w:rPr>
          <w:rFonts w:ascii="Arial" w:cs="Arial" w:eastAsia="Arial" w:hAnsi="Arial"/>
          <w:sz w:val="22"/>
          <w:szCs w:val="22"/>
          <w:color w:val="auto"/>
          <w:vertAlign w:val="superscript"/>
        </w:rPr>
        <w:t>(6)</w:t>
      </w:r>
    </w:p>
    <w:p>
      <w:pPr>
        <w:spacing w:after="0" w:line="5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(7)</w:t>
      </w:r>
    </w:p>
    <w:p>
      <w:pPr>
        <w:spacing w:after="0" w:line="62" w:lineRule="exact"/>
        <w:rPr>
          <w:sz w:val="20"/>
          <w:szCs w:val="20"/>
          <w:color w:val="auto"/>
        </w:rPr>
      </w:pPr>
    </w:p>
    <w:p>
      <w:pPr>
        <w:ind w:left="93"/>
        <w:spacing w:after="0"/>
        <w:rPr>
          <w:sz w:val="20"/>
          <w:szCs w:val="20"/>
          <w:color w:val="auto"/>
        </w:rPr>
      </w:pPr>
      <w:r>
        <w:rPr>
          <w:rFonts w:ascii="Arial" w:cs="Arial" w:eastAsia="Arial" w:hAnsi="Arial"/>
          <w:sz w:val="18"/>
          <w:szCs w:val="18"/>
          <w:color w:val="auto"/>
        </w:rPr>
        <w:t>Adjusted EBITDA</w:t>
      </w:r>
    </w:p>
    <w:p>
      <w:pPr>
        <w:spacing w:after="0" w:line="117"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200" w:hanging="1197"/>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(42.5)</w:t>
      </w:r>
    </w:p>
    <w:p>
      <w:pPr>
        <w:spacing w:after="0" w:line="90"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9.3</w:t>
      </w:r>
    </w:p>
    <w:p>
      <w:pPr>
        <w:spacing w:after="0" w:line="9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13.6</w:t>
      </w:r>
    </w:p>
    <w:p>
      <w:pPr>
        <w:spacing w:after="0" w:line="9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4.2</w:t>
      </w:r>
    </w:p>
    <w:p>
      <w:pPr>
        <w:spacing w:after="0" w:line="9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5.5</w:t>
      </w:r>
    </w:p>
    <w:p>
      <w:pPr>
        <w:spacing w:after="0" w:line="9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0.6</w:t>
      </w:r>
    </w:p>
    <w:p>
      <w:pPr>
        <w:spacing w:after="0" w:line="9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0.3</w:t>
      </w:r>
    </w:p>
    <w:p>
      <w:pPr>
        <w:spacing w:after="0" w:line="9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11912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84" w:lineRule="exact"/>
        <w:rPr>
          <w:sz w:val="20"/>
          <w:szCs w:val="20"/>
          <w:color w:val="auto"/>
        </w:rPr>
      </w:pPr>
    </w:p>
    <w:p>
      <w:pPr>
        <w:ind w:left="1300" w:hanging="1297"/>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(8.8)</w:t>
      </w:r>
    </w:p>
    <w:p>
      <w:pPr>
        <w:spacing w:after="0" w:line="14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11912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-153035</wp:posOffset>
            </wp:positionV>
            <wp:extent cx="11912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152" w:hanging="1152"/>
        <w:spacing w:after="0"/>
        <w:tabs>
          <w:tab w:leader="none" w:pos="1152" w:val="left"/>
        </w:tabs>
        <w:numPr>
          <w:ilvl w:val="0"/>
          <w:numId w:val="9"/>
        </w:numPr>
        <w:rPr>
          <w:rFonts w:ascii="Arial" w:cs="Arial" w:eastAsia="Arial" w:hAnsi="Arial"/>
          <w:sz w:val="18"/>
          <w:szCs w:val="18"/>
          <w:color w:val="auto"/>
        </w:rPr>
      </w:pPr>
      <w:r>
        <w:rPr>
          <w:rFonts w:ascii="Arial" w:cs="Arial" w:eastAsia="Arial" w:hAnsi="Arial"/>
          <w:sz w:val="18"/>
          <w:szCs w:val="18"/>
          <w:color w:val="auto"/>
        </w:rPr>
        <w:t>(42.3)</w:t>
      </w:r>
    </w:p>
    <w:p>
      <w:pPr>
        <w:spacing w:after="0" w:line="90" w:lineRule="exact"/>
        <w:rPr>
          <w:rFonts w:ascii="Arial" w:cs="Arial" w:eastAsia="Arial" w:hAnsi="Arial"/>
          <w:sz w:val="18"/>
          <w:szCs w:val="18"/>
          <w:color w:val="auto"/>
        </w:rPr>
      </w:pPr>
    </w:p>
    <w:p>
      <w:pPr>
        <w:ind w:left="1212"/>
        <w:spacing w:after="0"/>
        <w:rPr>
          <w:rFonts w:ascii="Arial" w:cs="Arial" w:eastAsia="Arial" w:hAnsi="Arial"/>
          <w:sz w:val="18"/>
          <w:szCs w:val="18"/>
          <w:color w:val="auto"/>
        </w:rPr>
      </w:pPr>
      <w:r>
        <w:rPr>
          <w:rFonts w:ascii="Arial" w:cs="Arial" w:eastAsia="Arial" w:hAnsi="Arial"/>
          <w:sz w:val="18"/>
          <w:szCs w:val="18"/>
          <w:color w:val="auto"/>
        </w:rPr>
        <w:t>14.5</w:t>
      </w:r>
    </w:p>
    <w:p>
      <w:pPr>
        <w:spacing w:after="0" w:line="90" w:lineRule="exact"/>
        <w:rPr>
          <w:rFonts w:ascii="Arial" w:cs="Arial" w:eastAsia="Arial" w:hAnsi="Arial"/>
          <w:sz w:val="18"/>
          <w:szCs w:val="18"/>
          <w:color w:val="auto"/>
        </w:rPr>
      </w:pPr>
    </w:p>
    <w:p>
      <w:pPr>
        <w:ind w:left="1212"/>
        <w:spacing w:after="0"/>
        <w:rPr>
          <w:rFonts w:ascii="Arial" w:cs="Arial" w:eastAsia="Arial" w:hAnsi="Arial"/>
          <w:sz w:val="18"/>
          <w:szCs w:val="18"/>
          <w:color w:val="auto"/>
        </w:rPr>
      </w:pPr>
      <w:r>
        <w:rPr>
          <w:rFonts w:ascii="Arial" w:cs="Arial" w:eastAsia="Arial" w:hAnsi="Arial"/>
          <w:sz w:val="18"/>
          <w:szCs w:val="18"/>
          <w:color w:val="auto"/>
        </w:rPr>
        <w:t>12.7</w:t>
      </w:r>
    </w:p>
    <w:p>
      <w:pPr>
        <w:spacing w:after="0" w:line="90" w:lineRule="exact"/>
        <w:rPr>
          <w:rFonts w:ascii="Arial" w:cs="Arial" w:eastAsia="Arial" w:hAnsi="Arial"/>
          <w:sz w:val="18"/>
          <w:szCs w:val="18"/>
          <w:color w:val="auto"/>
        </w:rPr>
      </w:pPr>
    </w:p>
    <w:p>
      <w:pPr>
        <w:ind w:left="1312"/>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90" w:lineRule="exact"/>
        <w:rPr>
          <w:rFonts w:ascii="Arial" w:cs="Arial" w:eastAsia="Arial" w:hAnsi="Arial"/>
          <w:sz w:val="18"/>
          <w:szCs w:val="18"/>
          <w:color w:val="auto"/>
        </w:rPr>
      </w:pPr>
    </w:p>
    <w:p>
      <w:pPr>
        <w:ind w:left="1312"/>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90" w:lineRule="exact"/>
        <w:rPr>
          <w:rFonts w:ascii="Arial" w:cs="Arial" w:eastAsia="Arial" w:hAnsi="Arial"/>
          <w:sz w:val="18"/>
          <w:szCs w:val="18"/>
          <w:color w:val="auto"/>
        </w:rPr>
      </w:pPr>
    </w:p>
    <w:p>
      <w:pPr>
        <w:ind w:left="1312"/>
        <w:spacing w:after="0"/>
        <w:rPr>
          <w:rFonts w:ascii="Arial" w:cs="Arial" w:eastAsia="Arial" w:hAnsi="Arial"/>
          <w:sz w:val="18"/>
          <w:szCs w:val="18"/>
          <w:color w:val="auto"/>
        </w:rPr>
      </w:pPr>
      <w:r>
        <w:rPr>
          <w:rFonts w:ascii="Arial" w:cs="Arial" w:eastAsia="Arial" w:hAnsi="Arial"/>
          <w:sz w:val="18"/>
          <w:szCs w:val="18"/>
          <w:color w:val="auto"/>
        </w:rPr>
        <w:t>1.4</w:t>
      </w:r>
    </w:p>
    <w:p>
      <w:pPr>
        <w:spacing w:after="0" w:line="90" w:lineRule="exact"/>
        <w:rPr>
          <w:rFonts w:ascii="Arial" w:cs="Arial" w:eastAsia="Arial" w:hAnsi="Arial"/>
          <w:sz w:val="18"/>
          <w:szCs w:val="18"/>
          <w:color w:val="auto"/>
        </w:rPr>
      </w:pPr>
    </w:p>
    <w:p>
      <w:pPr>
        <w:ind w:left="1312"/>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90" w:lineRule="exact"/>
        <w:rPr>
          <w:rFonts w:ascii="Arial" w:cs="Arial" w:eastAsia="Arial" w:hAnsi="Arial"/>
          <w:sz w:val="18"/>
          <w:szCs w:val="18"/>
          <w:color w:val="auto"/>
        </w:rPr>
      </w:pPr>
    </w:p>
    <w:p>
      <w:pPr>
        <w:ind w:left="1252"/>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90" w:lineRule="exact"/>
        <w:rPr>
          <w:rFonts w:ascii="Arial" w:cs="Arial" w:eastAsia="Arial" w:hAnsi="Arial"/>
          <w:sz w:val="18"/>
          <w:szCs w:val="18"/>
          <w:color w:val="auto"/>
        </w:rPr>
      </w:pPr>
    </w:p>
    <w:p>
      <w:pPr>
        <w:ind w:left="139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157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84" w:lineRule="exact"/>
        <w:rPr>
          <w:sz w:val="20"/>
          <w:szCs w:val="20"/>
          <w:color w:val="auto"/>
        </w:rPr>
      </w:pPr>
    </w:p>
    <w:p>
      <w:pPr>
        <w:ind w:left="1252" w:hanging="1252"/>
        <w:spacing w:after="0"/>
        <w:tabs>
          <w:tab w:leader="none" w:pos="12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(6.2)</w:t>
      </w:r>
    </w:p>
    <w:p>
      <w:pPr>
        <w:spacing w:after="0" w:line="144" w:lineRule="exact"/>
        <w:rPr>
          <w:rFonts w:ascii="Arial" w:cs="Arial" w:eastAsia="Arial" w:hAnsi="Arial"/>
          <w:sz w:val="18"/>
          <w:szCs w:val="18"/>
          <w:color w:val="auto"/>
        </w:rPr>
      </w:pPr>
    </w:p>
    <w:p>
      <w:pPr>
        <w:ind w:left="1152"/>
        <w:spacing w:after="0"/>
        <w:rPr>
          <w:rFonts w:ascii="Arial" w:cs="Arial" w:eastAsia="Arial" w:hAnsi="Arial"/>
          <w:sz w:val="18"/>
          <w:szCs w:val="18"/>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-179070</wp:posOffset>
            </wp:positionV>
            <wp:extent cx="11576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-153035</wp:posOffset>
            </wp:positionV>
            <wp:extent cx="1157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3">
            <w:col w:w="6153" w:space="720"/>
            <w:col w:w="1840" w:space="188"/>
            <w:col w:w="2412"/>
          </w:cols>
          <w:pgMar w:left="247" w:top="1101" w:right="339" w:bottom="1440" w:gutter="0" w:footer="0" w:header="0"/>
          <w:type w:val="continuous"/>
        </w:sectPr>
      </w:pPr>
    </w:p>
    <w:p>
      <w:pPr>
        <w:spacing w:after="0" w:line="369" w:lineRule="exact"/>
        <w:rPr>
          <w:sz w:val="20"/>
          <w:szCs w:val="20"/>
          <w:color w:val="auto"/>
        </w:rPr>
      </w:pPr>
    </w:p>
    <w:p>
      <w:pPr>
        <w:ind w:left="313" w:hanging="313"/>
        <w:spacing w:after="0"/>
        <w:tabs>
          <w:tab w:leader="none" w:pos="313" w:val="left"/>
        </w:tabs>
        <w:numPr>
          <w:ilvl w:val="0"/>
          <w:numId w:val="11"/>
        </w:numPr>
        <w:rPr>
          <w:rFonts w:ascii="Arial" w:cs="Arial" w:eastAsia="Arial" w:hAnsi="Arial"/>
          <w:sz w:val="9"/>
          <w:szCs w:val="9"/>
          <w:color w:val="auto"/>
        </w:rPr>
      </w:pPr>
      <w:r>
        <w:rPr>
          <w:rFonts w:ascii="Arial" w:cs="Arial" w:eastAsia="Arial" w:hAnsi="Arial"/>
          <w:sz w:val="14"/>
          <w:szCs w:val="14"/>
          <w:color w:val="auto"/>
        </w:rPr>
        <w:t>Includes debt discount amortization of $1.0 million in the three months ended April 30, 2022 and $2.2 million in the three months ended April 30, 2021.</w:t>
      </w:r>
    </w:p>
    <w:p>
      <w:pPr>
        <w:spacing w:after="0" w:line="107" w:lineRule="exact"/>
        <w:rPr>
          <w:rFonts w:ascii="Arial" w:cs="Arial" w:eastAsia="Arial" w:hAnsi="Arial"/>
          <w:sz w:val="9"/>
          <w:szCs w:val="9"/>
          <w:color w:val="auto"/>
        </w:rPr>
      </w:pPr>
    </w:p>
    <w:p>
      <w:pPr>
        <w:ind w:left="313" w:hanging="313"/>
        <w:spacing w:after="0"/>
        <w:tabs>
          <w:tab w:leader="none" w:pos="31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57" w:lineRule="exact"/>
        <w:rPr>
          <w:rFonts w:ascii="Arial" w:cs="Arial" w:eastAsia="Arial" w:hAnsi="Arial"/>
          <w:sz w:val="19"/>
          <w:szCs w:val="19"/>
          <w:color w:val="auto"/>
          <w:vertAlign w:val="superscript"/>
        </w:rPr>
      </w:pPr>
    </w:p>
    <w:p>
      <w:pPr>
        <w:ind w:left="313" w:hanging="313"/>
        <w:spacing w:after="0" w:line="205" w:lineRule="auto"/>
        <w:tabs>
          <w:tab w:leader="none" w:pos="313"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Reflects the non-cash expense for share-based compensation.</w:t>
      </w:r>
    </w:p>
    <w:p>
      <w:pPr>
        <w:spacing w:after="0" w:line="95" w:lineRule="exact"/>
        <w:rPr>
          <w:rFonts w:ascii="Arial" w:cs="Arial" w:eastAsia="Arial" w:hAnsi="Arial"/>
          <w:sz w:val="23"/>
          <w:szCs w:val="23"/>
          <w:color w:val="auto"/>
          <w:vertAlign w:val="superscript"/>
        </w:rPr>
      </w:pPr>
    </w:p>
    <w:p>
      <w:pPr>
        <w:ind w:left="313" w:hanging="313"/>
        <w:spacing w:after="0" w:line="222" w:lineRule="auto"/>
        <w:tabs>
          <w:tab w:leader="none" w:pos="31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106" w:lineRule="exact"/>
        <w:rPr>
          <w:rFonts w:ascii="Arial" w:cs="Arial" w:eastAsia="Arial" w:hAnsi="Arial"/>
          <w:sz w:val="19"/>
          <w:szCs w:val="19"/>
          <w:color w:val="auto"/>
          <w:vertAlign w:val="superscript"/>
        </w:rPr>
      </w:pPr>
    </w:p>
    <w:p>
      <w:pPr>
        <w:ind w:left="333" w:right="200" w:hanging="333"/>
        <w:spacing w:after="0" w:line="325" w:lineRule="auto"/>
        <w:tabs>
          <w:tab w:leader="none" w:pos="326" w:val="left"/>
        </w:tabs>
        <w:numPr>
          <w:ilvl w:val="0"/>
          <w:numId w:val="11"/>
        </w:numPr>
        <w:rPr>
          <w:rFonts w:ascii="Arial" w:cs="Arial" w:eastAsia="Arial" w:hAnsi="Arial"/>
          <w:sz w:val="9"/>
          <w:szCs w:val="9"/>
          <w:color w:val="auto"/>
        </w:rPr>
      </w:pPr>
      <w:r>
        <w:rPr>
          <w:rFonts w:ascii="Arial" w:cs="Arial" w:eastAsia="Arial" w:hAnsi="Arial"/>
          <w:sz w:val="14"/>
          <w:szCs w:val="14"/>
          <w:color w:val="auto"/>
        </w:rPr>
        <w:t>Non-recurring adjustments for the three months ended April 30, 2022 includes $0.3 million of costs related to public company SOX readiness and the three months ended April 30, 2021 includes $1.0 million of costs primarily associated with public readiness preparation.</w:t>
      </w:r>
    </w:p>
    <w:p>
      <w:pPr>
        <w:spacing w:after="0" w:line="49" w:lineRule="exact"/>
        <w:rPr>
          <w:rFonts w:ascii="Arial" w:cs="Arial" w:eastAsia="Arial" w:hAnsi="Arial"/>
          <w:sz w:val="9"/>
          <w:szCs w:val="9"/>
          <w:color w:val="auto"/>
        </w:rPr>
      </w:pPr>
    </w:p>
    <w:p>
      <w:pPr>
        <w:ind w:left="333" w:hanging="333"/>
        <w:spacing w:after="0" w:line="222" w:lineRule="auto"/>
        <w:tabs>
          <w:tab w:leader="none" w:pos="326"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Reflects the expense associated with revaluing prior liability classified lender warrants to the respective fair value at period end. As of April 30, 2022, all outstanding warrants are equity classified and therefore do not require remeasurement going forward.</w:t>
      </w:r>
    </w:p>
    <w:p>
      <w:pPr>
        <w:spacing w:after="0" w:line="80" w:lineRule="exact"/>
        <w:rPr>
          <w:rFonts w:ascii="Arial" w:cs="Arial" w:eastAsia="Arial" w:hAnsi="Arial"/>
          <w:sz w:val="19"/>
          <w:szCs w:val="19"/>
          <w:color w:val="auto"/>
          <w:vertAlign w:val="superscript"/>
        </w:rPr>
      </w:pPr>
    </w:p>
    <w:p>
      <w:pPr>
        <w:ind w:left="333" w:right="280" w:hanging="333"/>
        <w:spacing w:after="0" w:line="222" w:lineRule="auto"/>
        <w:tabs>
          <w:tab w:leader="none" w:pos="326"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79"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1"/>
        </w:numPr>
        <w:rPr>
          <w:rFonts w:ascii="Arial" w:cs="Arial" w:eastAsia="Arial" w:hAnsi="Arial"/>
          <w:sz w:val="19"/>
          <w:szCs w:val="19"/>
          <w:color w:val="auto"/>
          <w:vertAlign w:val="subscript"/>
        </w:rPr>
      </w:pPr>
      <w:r>
        <w:rPr>
          <w:rFonts w:ascii="Arial" w:cs="Arial" w:eastAsia="Arial" w:hAnsi="Arial"/>
          <w:sz w:val="14"/>
          <w:szCs w:val="14"/>
          <w:color w:val="auto"/>
        </w:rPr>
        <w:t>Adjusted EBITDA Margin calculated as Adjusted EBITDA as a percentage of revenue.</w:t>
      </w:r>
    </w:p>
    <w:sectPr>
      <w:pgSz w:w="11900" w:h="16838" w:orient="portrait"/>
      <w:cols w:equalWidth="0" w:num="1">
        <w:col w:w="11313"/>
      </w:cols>
      <w:pgMar w:left="247" w:top="110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2022-06-09T15:12:44Z</dcterms:created>
  <dcterms:modified xsi:type="dcterms:W3CDTF">2022-06-09T15:12:44Z</dcterms:modified>
</cp:coreProperties>
</file>