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19"/>
        <w:spacing w:after="0" w:line="235" w:lineRule="auto"/>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20, 2025</w:t>
      </w:r>
    </w:p>
    <w:p>
      <w:pPr>
        <w:spacing w:after="0" w:line="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Rent the Runway,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ectPr>
          <w:pgSz w:w="11900" w:h="16838" w:orient="portrait"/>
          <w:cols w:equalWidth="0" w:num="1">
            <w:col w:w="11240"/>
          </w:cols>
          <w:pgMar w:left="320" w:top="1037" w:right="339" w:bottom="1440" w:gutter="0" w:footer="0" w:header="0"/>
        </w:sectPr>
      </w:pPr>
    </w:p>
    <w:p>
      <w:pPr>
        <w:spacing w:after="0" w:line="230"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001-40958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80-0376379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1037" w:right="33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Jay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Brooklyn, New York 11201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524-6860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shd w:val="clear" w:color="auto" w:fill="FEFEFE"/>
          </w:tcPr>
          <w:p>
            <w:pPr>
              <w:spacing w:after="0"/>
              <w:rPr>
                <w:sz w:val="18"/>
                <w:szCs w:val="18"/>
                <w:color w:val="auto"/>
              </w:rPr>
            </w:pPr>
          </w:p>
        </w:tc>
        <w:tc>
          <w:tcPr>
            <w:tcW w:w="3700" w:type="dxa"/>
            <w:vAlign w:val="bottom"/>
            <w:gridSpan w:val="2"/>
            <w:shd w:val="clear" w:color="auto" w:fill="FEFEFE"/>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70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72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w:t>
            </w:r>
          </w:p>
        </w:tc>
        <w:tc>
          <w:tcPr>
            <w:tcW w:w="120" w:type="dxa"/>
            <w:vAlign w:val="bottom"/>
            <w:tcBorders>
              <w:top w:val="single" w:sz="8" w:color="FEFEFE"/>
            </w:tcBorders>
            <w:shd w:val="clear" w:color="auto" w:fill="FEFEFE"/>
          </w:tcPr>
          <w:p>
            <w:pPr>
              <w:spacing w:after="0"/>
              <w:rPr>
                <w:sz w:val="18"/>
                <w:szCs w:val="18"/>
                <w:color w:val="auto"/>
              </w:rPr>
            </w:pPr>
          </w:p>
        </w:tc>
        <w:tc>
          <w:tcPr>
            <w:tcW w:w="3600" w:type="dxa"/>
            <w:vAlign w:val="bottom"/>
            <w:tcBorders>
              <w:top w:val="single" w:sz="8" w:color="auto"/>
            </w:tcBorders>
            <w:shd w:val="clear" w:color="auto" w:fill="FEFEFE"/>
          </w:tcPr>
          <w:p>
            <w:pPr>
              <w:spacing w:after="0"/>
              <w:rPr>
                <w:sz w:val="18"/>
                <w:szCs w:val="18"/>
                <w:color w:val="auto"/>
              </w:rPr>
            </w:pPr>
          </w:p>
        </w:tc>
        <w:tc>
          <w:tcPr>
            <w:tcW w:w="100" w:type="dxa"/>
            <w:vAlign w:val="bottom"/>
            <w:tcBorders>
              <w:top w:val="single" w:sz="8" w:color="FEFEFE"/>
            </w:tcBorders>
            <w:shd w:val="clear" w:color="auto" w:fill="FEFEFE"/>
          </w:tcPr>
          <w:p>
            <w:pPr>
              <w:spacing w:after="0"/>
              <w:rPr>
                <w:sz w:val="18"/>
                <w:szCs w:val="18"/>
                <w:color w:val="auto"/>
              </w:rPr>
            </w:pPr>
          </w:p>
        </w:tc>
        <w:tc>
          <w:tcPr>
            <w:tcW w:w="3700" w:type="dxa"/>
            <w:vAlign w:val="bottom"/>
            <w:tcBorders>
              <w:top w:val="single" w:sz="8" w:color="auto"/>
            </w:tcBorders>
            <w:shd w:val="clear" w:color="auto" w:fill="FEFEFE"/>
          </w:tcPr>
          <w:p>
            <w:pPr>
              <w:spacing w:after="0"/>
              <w:rPr>
                <w:sz w:val="18"/>
                <w:szCs w:val="18"/>
                <w:color w:val="auto"/>
              </w:rPr>
            </w:pPr>
          </w:p>
        </w:tc>
      </w:tr>
      <w:tr>
        <w:trPr>
          <w:trHeight w:val="234"/>
        </w:trPr>
        <w:tc>
          <w:tcPr>
            <w:tcW w:w="37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20" w:type="dxa"/>
            <w:vAlign w:val="bottom"/>
            <w:shd w:val="clear" w:color="auto" w:fill="FEFEFE"/>
          </w:tcPr>
          <w:p>
            <w:pPr>
              <w:spacing w:after="0"/>
              <w:rPr>
                <w:sz w:val="20"/>
                <w:szCs w:val="20"/>
                <w:color w:val="auto"/>
              </w:rPr>
            </w:pPr>
          </w:p>
        </w:tc>
        <w:tc>
          <w:tcPr>
            <w:tcW w:w="3700" w:type="dxa"/>
            <w:vAlign w:val="bottom"/>
            <w:gridSpan w:val="2"/>
            <w:shd w:val="clear" w:color="auto" w:fill="FEFEFE"/>
          </w:tcPr>
          <w:p>
            <w:pPr>
              <w:jc w:val="center"/>
              <w:ind w:right="100"/>
              <w:spacing w:after="0"/>
              <w:rPr>
                <w:sz w:val="20"/>
                <w:szCs w:val="20"/>
                <w:color w:val="auto"/>
              </w:rPr>
            </w:pPr>
            <w:r>
              <w:rPr>
                <w:rFonts w:ascii="Times New Roman" w:cs="Times New Roman" w:eastAsia="Times New Roman" w:hAnsi="Times New Roman"/>
                <w:sz w:val="18"/>
                <w:szCs w:val="18"/>
                <w:color w:val="auto"/>
              </w:rPr>
              <w:t>RENT</w:t>
            </w:r>
          </w:p>
        </w:tc>
        <w:tc>
          <w:tcPr>
            <w:tcW w:w="370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20" w:type="dxa"/>
            <w:vAlign w:val="bottom"/>
            <w:shd w:val="clear" w:color="auto" w:fill="FEFEFE"/>
          </w:tcPr>
          <w:p>
            <w:pPr>
              <w:spacing w:after="0"/>
              <w:rPr>
                <w:sz w:val="2"/>
                <w:szCs w:val="2"/>
                <w:color w:val="auto"/>
              </w:rPr>
            </w:pPr>
          </w:p>
        </w:tc>
        <w:tc>
          <w:tcPr>
            <w:tcW w:w="120" w:type="dxa"/>
            <w:vAlign w:val="bottom"/>
            <w:shd w:val="clear" w:color="auto" w:fill="FEFEFE"/>
          </w:tcPr>
          <w:p>
            <w:pPr>
              <w:spacing w:after="0"/>
              <w:rPr>
                <w:sz w:val="2"/>
                <w:szCs w:val="2"/>
                <w:color w:val="auto"/>
              </w:rPr>
            </w:pPr>
          </w:p>
        </w:tc>
        <w:tc>
          <w:tcPr>
            <w:tcW w:w="3600" w:type="dxa"/>
            <w:vAlign w:val="bottom"/>
            <w:shd w:val="clear" w:color="auto" w:fill="FEFEFE"/>
          </w:tcPr>
          <w:p>
            <w:pPr>
              <w:spacing w:after="0"/>
              <w:rPr>
                <w:sz w:val="2"/>
                <w:szCs w:val="2"/>
                <w:color w:val="auto"/>
              </w:rPr>
            </w:pPr>
          </w:p>
        </w:tc>
        <w:tc>
          <w:tcPr>
            <w:tcW w:w="100" w:type="dxa"/>
            <w:vAlign w:val="bottom"/>
            <w:shd w:val="clear" w:color="auto" w:fill="FEFEFE"/>
          </w:tcPr>
          <w:p>
            <w:pPr>
              <w:spacing w:after="0"/>
              <w:rPr>
                <w:sz w:val="2"/>
                <w:szCs w:val="2"/>
                <w:color w:val="auto"/>
              </w:rPr>
            </w:pPr>
          </w:p>
        </w:tc>
        <w:tc>
          <w:tcPr>
            <w:tcW w:w="3700" w:type="dxa"/>
            <w:vAlign w:val="bottom"/>
            <w:shd w:val="clear" w:color="auto" w:fill="FEFEFE"/>
          </w:tcPr>
          <w:p>
            <w:pPr>
              <w:spacing w:after="0"/>
              <w:rPr>
                <w:sz w:val="2"/>
                <w:szCs w:val="2"/>
                <w:color w:val="auto"/>
              </w:rPr>
            </w:pP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Recapitalization Transactions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August 20, 2025, Rent the Runway, Inc. (the “Company”) entered into an exchange agreement (the “Exchange Agreement”) between the Company and CHS US Investments LLC (the “Lender”), the lender under the Company’s credit agreement, dated as of July 23, 2018, by and among the Company, as borrower, the lenders from time to time party thereto and CHS (US) Management LLC (as successor-in-interest to Double Helix Pte Ltd.), as administrative agent (“Agent”) (as amended, restated, supplemented, revised or otherwise modified to date, the “Existing Credit Agreement”), in connection with the Company’s proposed recapitalization transactions (the “Recapitalization Transactions”) to enhance the Company’s financial position and financial flexibility by significantly reducing its existing indebtedness, improving its borrowing rate and extending the maturity of its remaining indebtedness, as further described below. Capitalized terms used but not otherwise defined herein have the meaning set forth in the Exchange Agreement.</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its entry into the Exchange Agreement, on August 20, 2025, the Company also entered into (i) an investor rights agreement (the “Investor Rights Agreement”), by and among the Company, Lender, Gateway Runway, LLC (“Nexus”), S3 RR Aggregator, LLC (“Story3” and, collectively with Nexus and Lender, the “Investor Group”) and certain entities affiliated with Jennifer Hyman, (ii) an amendment to the employment agreement with Ms. Hyman, the Company’s Co-Founder, Chief Executive Officer, President and Chair (the “Amended Employment Agreement”), (iii) an amendment to the Rent the Runway, Inc. Transaction Bonus Plan (the “Amended Transaction Bonus Plan”), (iv) a rights offering backstop agreement (the “Rights Offering Backstop Agreement”), by and among the Company and the Investor Group, (v) a debt and equity purchase agreement (the “Debt and Equity Purchase Agreement”), by and among the Company, Agent and the Investor Group, and (vi) a conversion notice and proxy (the “Conversion Notice and Proxy”) with each of the holders of the Company’s Class B common stock, par value $0.001 per share (the “Class B Common Stock”), each as further described below.</w:t>
      </w:r>
    </w:p>
    <w:p>
      <w:pPr>
        <w:spacing w:after="0" w:line="18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addition, upon the closing of the Exchange Transactions (as defined below) (the “Closing”), the Company shall enter into an amended and restated credit agreement (the “New Credit Agreement”), by and among the Company, as borrower, Agent, as the administrative agent, and the Investor Group, substantially in the form of Exhibit F to the Exchange Agreement, to evidence the new term loans that will result, upon the Closing, from the transactions described below.</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Company’s board of directors (the “Board”), acting on the unanimous recommendation of the finance committee of the Board (the “Finance Committee”), with the Finance Committee being comprised of independent and disinterested directors formed for the purpose of considering potential financing and strategic transactions, such as the Recapitalization Transactions, unanimously (with Ms. Hyman abstaining) (i) determined that the terms of the Exchange Agreement and the other Principal Transaction Documents and the Transactions, including the Exchange Transactions (as defined below), are fair to, and in the best interests of, the Company and the Company’s stockholders, (ii) determined that it is in the best interests of the Company and the Company’s stockholders and declared it advisable that the Company enter into the Exchange Agreement and the other Principal Transaction Documents,</w:t>
      </w:r>
    </w:p>
    <w:p>
      <w:pPr>
        <w:spacing w:after="0" w:line="5" w:lineRule="exact"/>
        <w:rPr>
          <w:sz w:val="20"/>
          <w:szCs w:val="20"/>
          <w:color w:val="auto"/>
        </w:rPr>
      </w:pPr>
    </w:p>
    <w:p>
      <w:pPr>
        <w:ind w:firstLine="8"/>
        <w:spacing w:after="0" w:line="25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execution and delivery by the Company of the Exchange Agreement and the other Principal Transaction Documents, the performance by the Company of its covenants and agreements contained therein and the consummation of the Transactions upon the terms and subject to the conditions contained therein, (iv) resolved to recommend that the Company’s stockholders vote to approve the issuance of the Exchange Stock (as defined below) and the issuance of shares of the Company’s Class A common stock, par value $0.001 per share (the “Class A Common Stock” and, together with the Class B Common Stock, the “Common Stock”) issuable pursuant to the Rights Offering Backstop Agreement, the MIP (as defined below) and the Thirteenth Amended and Restated Certificate of Incorporation of the Company (the “Amended and Restated Charter”), substantially in the form of Exhibit D to the Exchange Agreement, to be effective immediately prior to the Closing, in each case, pursuant to the terms of the Exchange Agreement, and (v) directed that the matters in clause (iv) be submitted for approval by the Company’s stockholders.</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Pursuant to the Exchange Agreement, at the Closing, Lender would (i) exchange $100 million of existing outstanding indebtedness owing to Lender under the Existing Credit Agreement on a dollar-for-dollar cashless basis for new term loans under the New Credit Agreement (“Exchange Consideration Term Loans”) and (ii) contribute all outstanding indebtedness owing to Lender under the Existing Credit Agreement in excess thereof to the Company in exchange for newly issued shares of the Class A Common Stock, equal to 86% of the number of shares of Common Stock outstanding as of the Closing (after giving effect to the Conversions (as defined below), but before giving effect to the Rights Offering (as defined below) and the MIP Pool (as defined below)) (the “Exchange Stock”) (collectively, the “Exchange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Exchange Agreement, all of the holders of the Class B Common Stock (the “Proxy Stockholders”) executed and delivered a Conversion Notice and Proxy (collectively, the “Conversion Notices”), pursuant to which each such Proxy Stockholder (i) opted to convert his, her or its respective shares of Class B Common Stock into shares of Class A Common Stock pursuant to the Company’s certificate of incorporation, effective immediately prior to (A) the effectiveness of the Amended and Restated Charter, or (B) if stockholder approval of the Amended and Restated Charter is not obtained, the Closing (the “Conversions”), and (ii) granted to certain officers of the Company, at the request of the Board, a proxy to vote (or cause to be voted) all shares of Common Stock held by such Proxy Stockholders at the meeting of stockholders to be held to obtain the approval of all actions presented to the Company’s stockholders by the Board that are necessary and desirable in connection with the Recapitalization Transactions, including the issuance of the Exchange Stock, to the extent required by Nasdaq rules, the issuance of shares issuable pursuant to the Rights Offering Backstop Agreement, and the Amended and Restated Charter (the proxy described in this clause (ii), the “Proxy”).</w:t>
      </w:r>
    </w:p>
    <w:p>
      <w:pPr>
        <w:spacing w:after="0" w:line="18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Closing is not subject to a financing condition, but is subject to certain conditions to Closing, including (i) approval of the Company’s stockholders (the “Company Stockholder Approval”) of the issuance of the Exchange Stock pursuant to the Exchange Agreement and the amendment and restatement of the Company’s Amended and Restated 2021 Incentive Award Plan (as further described below), (ii) absence of any order or injunction prohibiting the consummation of the Transactions, (iii) consummation of the Rights Offering, (iv) substantially simultaneous consummation of the sale transactions contemplated by the Debt and Equity Purchase Agreement, (v) entry by the Company and the Investor Group into the New Credit Agreement and effectiveness thereof, (vi) adoption of amended and restated bylaws, (vii) subject in certain cases to customary materiality qualifiers, the accuracy of the representations and warranties contained in the Exchange Agreement and compliance with the covenants contained in the Exchange Agreement and (viii) no Company Material Adverse Effect having occurred since the date of the Exchange Agreement that is continuing.</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Exchange Agreement contains customary representations, warranties and covenants, including, among others, covenants by the Company to conduct its businesses in the ordinary course between the execution of the Exchange Agreement and the Closing, not to engage in certain kinds of transactions during such period (including payment of dividends outside of the ordinary course or as otherwise permitted under the Exchange Agreement), to convene and hold a meeting of its stockholders to consider and vote upon Company Stockholder Approval, to seek approval from the Company’s stockholders of the Amended and Restated Charter, to conduct the Rights Offering, and, subject to certain customary exceptions, for the Board to recommend that its stockholders approve the issuance of the Exchange Stock pursuant to the Exchange Agreement, to the extent required by Nasdaq rules, the issuance of shares issuable pursuant to the Rights Offering Backstop Agreement, and the Amended and Restated Charter. The Exchange Agreement also contains customary representations, warranties and covenants of Lender.</w:t>
      </w:r>
    </w:p>
    <w:p>
      <w:pPr>
        <w:spacing w:after="0" w:line="19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Exchange Agreement contains a customary “no-shop” provision that restricts the Company’s ability to, among other things, solicit Takeover Proposals from third parties and to provide non-public information to, and engage in discussions or negotiations with, third parties regarding Takeover Proposals. The “no-shop” provision allows the Company, under certain circumstances and in compliance with certain obligations set forth in the Exchange Agreement, to provide non-public information to any person and its representatives that has made a bona fide Takeover Proposal that either constitutes, or would reasonably be expected to lead to, a Takeover Proposal.</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Exchange Agreement contains certain termination rights for both the Company and Lender. The Company shall pay to Lender a fee of $6,000,000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 Lender terminates the Exchange Agreement as a result of an Adverse Recommendation Change by the Board; (ii) the Company terminates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Agreement to enter into a definitive agreement for a Superior Proposal; or (iii) a Takeover Proposal has been made and thereafter the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is terminated as a result of the Exchange Transactions not having been consummated on or before 11:59 p.m., Eastern time, on February 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(as such date may be extended pursuant to any written agreement to so extend that is executed by the Company and Lender),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Approval not having been obtained, the Company’s breach of its representations, warranties or covenants in a manner that would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conditions to Closing to not be met or a Proxy Stockholder having rescinded, revoked, withdrawn, repudiated or challenged the validity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of their respective Conversion Notices or Proxy (a “Proxy Revocation”), and within 12 months of such termination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consummates a specified Takeover Proposal or enters into a definitive agreement providing for a specified Takeover Proposal.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pay to Lender a fee of $2,000,000 if Lender terminates the Exchange Agreement as a result of a Proxy Revocation (which shall be creditable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$6,000,000 termination fee). The Exchange Agreement also provides that either party may specifically enforce the other party’s obligations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Agreement.</w:t>
      </w:r>
    </w:p>
    <w:p>
      <w:pPr>
        <w:spacing w:after="0" w:line="20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Pursuant to the Exchange Agreement, Lender and the Company shall take all actions as may be necessary to cause, upon the Closing, the Board to consist of seven members, including Ms. Hyman, a director selected by Ms. Hyman and approved by the Investor Group, a director designated by Nexus, a director designated by Story3 and three directors designated by the Board and subject to the approval of the Investor Majority (as defined in the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 w:name="page4"/>
    <w:bookmarkEnd w:id="3"/>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terms of the Exchange Agreement does not purport to be complete and is qualified in its entirety by the full text of the agreement, a copy of which is attached hereto as Exhibit 10.1 and incorporated herein by reference.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New Credit Agreement Terms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New Credit Agreement, when entered into in accordance with the terms of the Exchange Agreement, will amend and restate the Existing Credit Agreement and provide for $120 million in aggregate principal amount of term loans comprised of (x) $100 million of Exchange Consideration Term Loans and (y) $20 million of new money term loans to be provided by the Investor Group at the Closing (the “New Money Term Loans”). All such term loans would mature on the fourth anniversary of the Closing and bear interest, at the Company’s option, at either (i) a bank reference rate, plus 4.00% or (ii) term SOFR plus 5.00%, in each case per annum. The New Credit Agreement would also modify the Existing Credit Agreement in certain other respects, including by temporarily reducing the minimum liquidity maintenance covenant from $30 million to $15 million, which reduced minimum liquidity maintenance covenant applies during the period from the Closing Date until February 20, 2027 and thereafter reverts to $30 million.</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terms of the New Credit Agreement does not purport to be complete and is qualified in its entirety by the full text of the form of such agreement attached to the Exchange Agreement, which is attached hereto as Exhibit F to Exhibit 10.1 and incorporated herein by reference.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 and Equity Purchase Agreement</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Pursuant to the Debt and Equity Purchase Agreement, subject to the terms and conditions thereof, each of Nexus and Story3 has agreed to enter into the New Credit Agreement, to provide its share of the New Money Term Loans, and to purchase (i) $15 million of the Exchange Consideration Term Loans and (ii) 15% of the Exchange Stock from Lender for an aggregate purchase price of $15 million immediately following the Closing. Consummation of the sale transactions under the Debt and Equity Purchase Agreement is conditioned only on the substantially simultaneous closing of the Exchange Transactions.</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terms of the Debt and Equity Purchase Agreement does not purport to be complete and is qualified in its entirety by the full text of the Debt and Equity Purchase Agreement.</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Pursuant to the Investor Rights Agreement, which takes effect upon the closing of the Exchange Transactions, the Company will be required to prepare and file with the Securities and Exchange Commission (the “SEC”), within 20 days following the Closing, a shelf registration statement registering the resale of Class A Common Stock held by Ms. Hyman and the Investor Group, and will grant certain demand, piggyback and shelf registration rights to Ms. Hyman and the Investor Group.</w:t>
      </w:r>
    </w:p>
    <w:p>
      <w:pPr>
        <w:spacing w:after="0" w:line="180" w:lineRule="exact"/>
        <w:rPr>
          <w:sz w:val="20"/>
          <w:szCs w:val="20"/>
          <w:color w:val="auto"/>
        </w:rPr>
      </w:pPr>
    </w:p>
    <w:p>
      <w:pPr>
        <w:ind w:right="200" w:firstLine="324"/>
        <w:spacing w:after="0" w:line="253" w:lineRule="auto"/>
        <w:rPr>
          <w:sz w:val="20"/>
          <w:szCs w:val="20"/>
          <w:color w:val="auto"/>
        </w:rPr>
      </w:pPr>
      <w:r>
        <w:rPr>
          <w:rFonts w:ascii="Times New Roman" w:cs="Times New Roman" w:eastAsia="Times New Roman" w:hAnsi="Times New Roman"/>
          <w:sz w:val="18"/>
          <w:szCs w:val="18"/>
          <w:color w:val="auto"/>
        </w:rPr>
        <w:t>The Investor Rights Agreement also provides for certain Board designation rights of the Investor Group and Ms. Hyman following the Closing. Pursuant to the Investor Rights Agreement, for so long as they meet certain minimum ownership thresholds, each of Nexus and Story3 will be entitled to designate one director to the Board, and the Board will designate three directors to the Board, subject to the approval of the Investor Majority and after considering in good faith Ms. Hyman’s views in connection therewith. In addition, the Investor Rights Agreement provides that, so long as Ms. Hyman serves as Chief Executive Officer of the Company, she will be designated as a member of the Board, and, for so long as she continues to own a specified minimum number of Class A Common Stock, Ms. Hyman will be entitled to appoint one additional director to the Board, subject to the reasonable approval of the Investor Majority. Subject to certain minimum ownership thresholds, each of Ms. Hyman, Nexus and Story3 would also be entitled to appoint a non-voting Board observer, and the Lender would be entitled to appoint two non-voting Board observers; provided, that (i) each of Story3 and Nexus shall have the right to designate one Board observer in total pursuant to the Investor Rights Agreement and the New Credit Agreement and (ii) the Lender shall have the right to designate two Board observers in total pursuant to the Investor Rights Agreement and the New Credit Agreement.</w:t>
      </w:r>
    </w:p>
    <w:p>
      <w:pPr>
        <w:spacing w:after="0" w:line="19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terms of the Investor Rights Agreement does not purport to be complete and is qualified in its entirety by the full text of the agreement, a copy of which is attached hereto as Exhibit 10.2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18"/>
          <w:szCs w:val="18"/>
          <w:i w:val="1"/>
          <w:iCs w:val="1"/>
          <w:color w:val="auto"/>
        </w:rPr>
        <w:t>Rights Offering Backstop Agreement</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Pursuant to the Exchange Agreement, the Company has agreed to prepare and file with the SEC a registration statement on Form S-1 in connection with a $12,500,000 rights offering by the Company (the “Rights Offering”). Under the Rights Offering Backstop Agreement, the Investor Group agreed to purchase from the Company, at a price of $4.08 per share, all unsubscribed shares of the Class A Common Stock to be issued in connection with the Rights Offering, on the terms and subject to the conditions set forth in the Rights Offering Backstop Agreement. The completion of the Rights Offering, as well as the Investor Group’s obligations to complete the purchase of shares pursuant to the Rights Offering Backstop Agreement, are subject to certain customary conditions, including among others, that a registration statement with respect to the Rights Offering has been declared and remains effective and, to the extent required by Nasdaq rules, stockholder approval of the purchase of shares pursuant to the Rights Offering Backstop Agreement.</w:t>
      </w:r>
    </w:p>
    <w:p>
      <w:pPr>
        <w:spacing w:after="0" w:line="18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terms of the Rights Offering Backstop Agreement does not purport to be complete and is qualified in its entirety by the full text of the agreement, a copy of which is attached hereto as Exhibit 10.3 and incorporated herein by reference.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Fourteenth Amendment</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Concurrently with entry into the Exchange Agreement, the Company entered into a Fourteenth Amendment to the Existing Credit Agreement. The Fourteenth Amendment provides that, until the Relief Termination Date (as defined therein), (i) interest that would otherwise be payable in cash will be capitalized and (ii) the liquidity financial covenant level will be reduced to $15 million. In addition, the Fourteenth Amendment increases the number of Board observers permitted to be designated by the Agent from one to two and defers the operation of certain other financial covenants until the end of the fiscal year ending January 31, 2026. Relief under the Fourteenth Amendment generally continues until the earliest of the Outside Date (as defined in the Exchange Agreement), termination of the Exchange Agreement (with an additional 30-day relief period in certain circumstances) and the occurrence of the Closing.</w:t>
      </w:r>
    </w:p>
    <w:p>
      <w:pPr>
        <w:spacing w:after="0" w:line="18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terms of the Fourteenth Amendment does not purport to be complete and is qualified in its entirety by the full text of the agreement, a copy of which is attached hereto as Exhibit 10.4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with respect to the Exchange Agreement and the issuance of the Exchange Stock is incorporated by reference into this Item 3.02.</w:t>
      </w:r>
    </w:p>
    <w:p>
      <w:pPr>
        <w:spacing w:after="0" w:line="158" w:lineRule="exact"/>
        <w:rPr>
          <w:sz w:val="20"/>
          <w:szCs w:val="20"/>
          <w:color w:val="auto"/>
        </w:rPr>
      </w:pPr>
    </w:p>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Management Incentive Plan</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Exchange Agreement requires that the Company take all actions necessary to increase the maximum number of shares of Class A Common Stock authorized for issuance under the Company’s Amended and Restated 2021 Incentive Award Plan, subject to stockholder and Board approval, by a number of shares of Class A Common Stock (such shares, the “MIP Pool”) equal to approximately 18.3% of the shares of Class A Common Stock outstanding immediately prior to the Closing, determined on a fully diluted basis (the “MIP”).</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Amendment to Ms. Hyman’s Employment Agreement</w:t>
      </w:r>
    </w:p>
    <w:p>
      <w:pPr>
        <w:spacing w:after="0" w:line="227"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Exchange Agreement and with effectiveness contingent on the Closing, on August 20, 2025, the Company and Ms. Hyman entered into the Amended Employment Agreement. The Amended Employment Agreement provides, among other things, for an initial term that expires on January 31, 2030, subject to automatic one-year extensions unless one party provides the other with notice not more than 90 days prior to the expiration of the term.</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Amended Employment Agreement further provides that, within 30 days following the Closing, the Company will grant Ms. Hyman an award from the MIP Pool in respect of 5% of the shares of Class A Common Stock outstanding immediately following the Closing in accordance with the Exchange Agreement, assuming target-level performance, or 7.5% assuming maximum performance.</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addition, the Amended Employment Agreement reduces the cash severance that Ms. Hyman is eligible to receive. Under the terms of the Amended Employment Agreement, Ms. Hyman will be eligible for a cash severance payment in an amount equal to (i) her applicable “severance multiplier,” multiplied by (ii) her then-current annual base salary and annual target bonus. Her “severance multiplier” will be equal to 1.5 in the event that during either the 12-month period following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5" w:name="page6"/>
    <w:bookmarkEnd w:id="5"/>
    <w:p>
      <w:pPr>
        <w:ind w:right="60"/>
        <w:spacing w:after="0" w:line="261" w:lineRule="auto"/>
        <w:rPr>
          <w:sz w:val="20"/>
          <w:szCs w:val="20"/>
          <w:color w:val="auto"/>
        </w:rPr>
      </w:pPr>
      <w:r>
        <w:rPr>
          <w:rFonts w:ascii="Times New Roman" w:cs="Times New Roman" w:eastAsia="Times New Roman" w:hAnsi="Times New Roman"/>
          <w:sz w:val="18"/>
          <w:szCs w:val="18"/>
          <w:color w:val="auto"/>
        </w:rPr>
        <w:t>Closing or the 24-month period following a “change in control,” her employment is terminated by the Company without “cause” or, in certain specified circumstances, she resigns for “good reason” (each, as defined in the Amended Employment Agreement). Her severance multiplier will be 1.0 in the event that her employment is terminated by the Company without cause or she resigns for good reason other than under the circumstances described in the immediately preceding sentence.</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Transaction Bonus Plan Amendment</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Exchange Agreement, on August 20, 2025, the Compensation Committee of the Board approved the Amended Transaction Bonus Plan. The Amended Transaction Bonus Plan provides that each participant will no longer be eligible for the participant’s free cash flow bonus and the participant’s base transaction bonus (the “Base Transaction Bonus”) will not be paid in full upon the Closing. Instead, the Base Transaction Bonus will be paid 25% at Closing (the “Closing Installment”), 6.25% on the 18-month, 24-month, 30-month and 36-month anniversaries of the Closing (each, a “Semi-Annual Installment”), with the final 50% becoming payable on the earlier of January 31, 2030, and the date of a change in control (which does not include the Recapitalization Transactions), in the case of the final 50%, based on the satisfaction of financial or stock price-based performance measures (as applicable), provided that the participant remains employed through the date each Base Transaction Bonus installment is paid. The Closing Installment and each Semi-Annual Installment are subject to repayment to the Company, net of taxes paid with respect thereto, if the participant terminates their employment prior to the applicable vesting date other than due to a “good leaver termination” (as defined in the Amended Transaction Bonus Plan). The Closing Installment will vest 25% on each of the first four anniversaries of the Closing, the first Semi-Annual Installment will vest 33% on each of the second, third and fourth anniversary of the Closing, the second and third Semi-Annual Installments will each vest 50% on each of the third and fourth anniversary of the Closing, and the fourth Semi-Annual Installment will fully vest on the fourth anniversary of the Closing.</w:t>
      </w:r>
    </w:p>
    <w:p>
      <w:pPr>
        <w:spacing w:after="0" w:line="190"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Amended Transaction Bonus Plan will be automatically void and the existing Transaction Bonus Plan will continue in effect, if the Exchange Agreement is terminated and the Closing does not occur.</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terms of the Amended Transaction Bonus Plan does not purport to be complete and is qualified in its entirety by the full text of the agreement, a copy of which is attached hereto as Exhibit 10.5 and incorporated herein by reference.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Director Resignation</w:t>
      </w:r>
    </w:p>
    <w:p>
      <w:pPr>
        <w:spacing w:after="0" w:line="227"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On August 19, 2025, Gwyneth Paltrow, a member of the Board, tendered her resignation from the Board and all committees on which she served, effective immediately. Ms. Paltrow’s resignation was not a result of any disagreement with the Company on any matter relating to the Company’s operations, policies or practices.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Contingent Resignations</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August 20, 2025, Timothy Bixby, Jennifer Fleiss, Scott Friend, Beth Kaplan, Daniel Rosensweig and Michael Roth tendered their resignation from the Board and all committees on which they serve, contingent upon the consummation of the Recapitalization Transactions and the Board accepting such resignations, to be effective upon acceptance. The resignations were not a result of any disagreement with the Company on any matter relating to the Company's operations, policies or practices, and were tendered solely to facilitate the Recapitalization Transactions and reconstitute the Board pursuant to the terms of the Exchange Agreement, as described above.</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August 21, 2025, the Company issued a press release announcing entry into the Recapitalization Transactions. A copy of the press release is attached hereto as Exhibit 99.1 to this Current Report on Form 8-K and is incorporated herein by reference. On August 21, 2025, the letter attached hereto as Exhibit 99.2 to this Current Report on Form 8-K was disseminated in connection with the announcement of the Recapitalization Transactions and is incorporated herein by reference.</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Important Information for Investors and Stockholders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issuance of the Exchange Stock in connection with the Recapitalization Transactions will be submitted to the Company’s stockholders for their consideration, and the Company will file a proxy statement with the SEC to be used to solicit stockholder approval of the proposed transactions, as well as other relevant documents concerning the Recapitalization Transactions. </w:t>
      </w:r>
      <w:r>
        <w:rPr>
          <w:rFonts w:ascii="Times New Roman" w:cs="Times New Roman" w:eastAsia="Times New Roman" w:hAnsi="Times New Roman"/>
          <w:sz w:val="18"/>
          <w:szCs w:val="18"/>
          <w:b w:val="1"/>
          <w:bCs w:val="1"/>
          <w:color w:val="auto"/>
        </w:rPr>
        <w:t>The Company’s stockholders are urged to read the proxy statement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proposed Recapitalization Transactions when it becomes available and any other relevant documents filed with the SEC, as well as any amendments or supplements to those documents, because they will contain important information. </w:t>
      </w:r>
      <w:r>
        <w:rPr>
          <w:rFonts w:ascii="Times New Roman" w:cs="Times New Roman" w:eastAsia="Times New Roman" w:hAnsi="Times New Roman"/>
          <w:sz w:val="18"/>
          <w:szCs w:val="18"/>
          <w:color w:val="auto"/>
        </w:rPr>
        <w:t>The proxy statement, as well as other filings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containing information about the Company, will be available on the SEC’s website (http://www.sec.gov). Copies of the proxy statement and any documents incorporated by reference therein will also be provided to the Company’s stockholders, without charge, by directing a request to: Rent the Runway, Inc., 10 Jay Street, Brooklyn, New York 11201, Attention: Corporate Secretary, or investors@renttherunway.com.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 w:name="page7"/>
    <w:bookmarkEnd w:id="6"/>
    <w:p>
      <w:pPr>
        <w:ind w:left="180"/>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and its directors, executive officers and other members of its management and employees may be deemed to be participants in the solicitation of proxies from the Company’s stockholders in favor of the Recapitalization Transactions. Information concerning persons who may be deemed participants in the solicitation of the Company’s stockholders under the rules of the SEC will be set forth in the proxy statement when it is filed with the SEC.</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These statements include, but are not limited to, the timing, completion and anticipated benefits of the proposed Recapitalization Transactions and the Rights Offering, the ability to obtain stockholder approval, future investments in the Company’s business, statements regarding the Company’s business strategy and objectives, and the impact of the Recapitalization Transactions on the Company’s multi-year transformational plan.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are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the Company’s control, that could cause actual performance or results to differ materially from those expressed in or suggested by the forward-looking statements.</w:t>
      </w:r>
    </w:p>
    <w:p>
      <w:pPr>
        <w:spacing w:after="0" w:line="19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light of these risks and uncertainties, the forward-looking events and circumstances discussed in this Current Report on Form 8-K may not occur and actual results could differ materially from those anticipated or implied in the forward-looking statements. These risks and uncertainties include: the completion of the proposed Recapitalization Transactions on anticipated terms, or at all, and timing of completion, including obtaining approval for the proposed Recapitalization Transactions from the Company’s stockholders; anticipated tax treatment, unforeseen liabilities, future capital expenditures, revenues, expenses, earnings, economic performance, indebtedness, financial condition, losses, future prospects, business and management strategies for the management, expansion and growth of the Company’s operations and other conditions to the completion of the proposed Recapitalization Transactions, including the possibility that any of the anticipated benefits of the proposed Recapitalization Transactions will not be realized or will not be realized within the expected time period; potential litigation relating to the proposed Recapitalization Transactions that could be instituted against the Company or its directors and officers; the risk that disruptions from the proposed Recapitalization Transactions will harm the Company’s business, including current plans and operations and that management’s time and attention will be diverted on transaction-related issues; potential adverse reactions or changes to business relationships resulting from the announcement or completion of the proposed Recapitalization Transactions; rating agency actions; potential business uncertainty, including the outcome of commercial negotiations and changes to existing business relationships during the pendency of the proposed Recapitalization Transactions that could affect the Company’s financial performance and operating results; certain restrictions during the pendency of the proposed Recapitalization Transactions that may impact the Company’s ability to pursue certain business opportunities or strategic transactions or otherwise operate the Company’s business; dilution caused by the Company’s issuance of additional shares of the Class A Common Stock in connection with the proposed Recapitalization Transactions; the possibility that the Recapitalization Transactions may be more expensive to complete than anticipated, including as a result of unexpected factors or events; the Company’s ability to drive future growth or manage the Company’s growth effectively; the highly competitive and rapidly changing nature of the global fashion industry; risks related to the macroeconomic environment; changes in global trade policies, tariffs, and other measures that could restrict international trade; the Company’s ability to cost-effectively grow its customer base; any failure to attract or retain customers; the Company’s ability to accurately forecast customer demand, acquire and manage the Company’s offerings effectively and plan for future expenses; risks arising from the restructuring of the Company’s operations; the Company’s reliance on the effective operation of proprietary technology systems and software as well as those of third-party vendors and service providers; risks related to shipping, logistics and the Company’s supply chain; the Company’s ability to remediate its material weaknesses in its internal control over financial reporting; laws and regulations applicable to the Company’s business; the Company’s reliance on the experience and expertise of its senior management and other key personnel; the Company’s ability to adequately obtain, maintain, protect and enforce its intellectual property and proprietary rights; compliance with data privacy, data security, data protection and consumer protection laws and industry standards; risks associated with the Company’s brand and manufacturing partners; the Company’s reliance on third parties to provide payment processing infrastructure underlying its business; the Company’s dependence on online sources to attract consumers and promote its business which may be affected by third-party interference or cause its customer acquisition costs to 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7" w:name="page8"/>
    <w:bookmarkEnd w:id="7"/>
    <w:p>
      <w:pPr>
        <w:ind w:right="140"/>
        <w:spacing w:after="0" w:line="266" w:lineRule="auto"/>
        <w:rPr>
          <w:sz w:val="20"/>
          <w:szCs w:val="20"/>
          <w:color w:val="auto"/>
        </w:rPr>
      </w:pPr>
      <w:r>
        <w:rPr>
          <w:rFonts w:ascii="Times New Roman" w:cs="Times New Roman" w:eastAsia="Times New Roman" w:hAnsi="Times New Roman"/>
          <w:sz w:val="18"/>
          <w:szCs w:val="18"/>
          <w:color w:val="auto"/>
        </w:rPr>
        <w:t>failure by the Company, the Company’s brand partners, or third party manufacturers to comply with its vendor code of conduct or other laws; risks related to the Company’s debt, including the Company’s ability to comply with covenants in the Company’s credit facility; risks related to the Class A Common Stock and ownership structure; and risks related to future pandemics or public health crises.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Information regarding risks and uncertainties that could cause actual results to differ materially from the Company’s expectations is included in the Company’s Quarterly Report on Form 10-Q for the quarter ended April 30, 2025, and in the section entitled “Risk Factors” in the Company’s other periodic reports filed with the SEC. Except as required by law, the Company does not undertake any obligation to publicly update or revise any forward-looking statement, whether as a result of new information, future developments, or otherwise.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7960" w:type="dxa"/>
            <w:vAlign w:val="bottom"/>
            <w:tcBorders>
              <w:bottom w:val="single" w:sz="8" w:color="auto"/>
            </w:tcBorders>
            <w:gridSpan w:val="8"/>
          </w:tcPr>
          <w:p>
            <w:pPr>
              <w:ind w:left="2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40" w:type="dxa"/>
            <w:vAlign w:val="bottom"/>
          </w:tcPr>
          <w:p>
            <w:pPr>
              <w:spacing w:after="0"/>
              <w:rPr>
                <w:sz w:val="15"/>
                <w:szCs w:val="15"/>
                <w:color w:val="auto"/>
              </w:rPr>
            </w:pPr>
          </w:p>
        </w:tc>
        <w:tc>
          <w:tcPr>
            <w:tcW w:w="320" w:type="dxa"/>
            <w:vAlign w:val="bottom"/>
            <w:tcBorders>
              <w:bottom w:val="single" w:sz="8" w:color="0000EE"/>
            </w:tcBorders>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40" w:type="dxa"/>
            <w:vAlign w:val="bottom"/>
            <w:tcBorders>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w w:val="99"/>
              </w:rPr>
              <w:t>Exchange Agreement, dated August 20, 2025, by and between the Company and Lender</w:t>
            </w:r>
          </w:p>
        </w:tc>
        <w:tc>
          <w:tcPr>
            <w:tcW w:w="3960" w:type="dxa"/>
            <w:vAlign w:val="bottom"/>
            <w:gridSpan w:val="5"/>
          </w:tcPr>
          <w:p>
            <w:pPr>
              <w:spacing w:after="0"/>
              <w:rPr>
                <w:sz w:val="15"/>
                <w:szCs w:val="15"/>
                <w:color w:val="auto"/>
              </w:rPr>
            </w:pPr>
          </w:p>
        </w:tc>
      </w:tr>
      <w:tr>
        <w:trPr>
          <w:trHeight w:val="223"/>
        </w:trPr>
        <w:tc>
          <w:tcPr>
            <w:tcW w:w="5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Investor Rights Agreement, dated August 20, 2025, by and among the Company, the Investor Group and entities affiliated with Jennifer</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Hyman</w:t>
            </w:r>
          </w:p>
        </w:tc>
      </w:tr>
      <w:tr>
        <w:trPr>
          <w:trHeight w:val="20"/>
        </w:trPr>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Rights Offering Backstop Agreement, dated August 20, 2025, by and among the Company and the Investor Group</w:t>
            </w:r>
          </w:p>
        </w:tc>
      </w:tr>
      <w:tr>
        <w:trPr>
          <w:trHeight w:val="20"/>
        </w:trPr>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Fourteenth Amendment to the Credit Agreement, dated August 20, 2025, by and among the Company, CHS (US) Management LLC, as the</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administrative agent, and Lender</w:t>
            </w:r>
          </w:p>
        </w:tc>
      </w:tr>
      <w:tr>
        <w:trPr>
          <w:trHeight w:val="20"/>
        </w:trPr>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Amendment No. 2 to Rent the Runway, Inc. Transaction Bonus Plan</w:t>
            </w:r>
          </w:p>
        </w:tc>
      </w:tr>
      <w:tr>
        <w:trPr>
          <w:trHeight w:val="20"/>
        </w:trPr>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Press release, dated August 21, 2025, announcing the Recapitalization Transactions</w:t>
            </w:r>
          </w:p>
        </w:tc>
      </w:tr>
      <w:tr>
        <w:trPr>
          <w:trHeight w:val="20"/>
        </w:trPr>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Letter from the Chief Executive Officer of Rent the Runway, Inc. to Employees, dated August 21, 2025</w:t>
            </w:r>
          </w:p>
        </w:tc>
      </w:tr>
      <w:tr>
        <w:trPr>
          <w:trHeight w:val="20"/>
        </w:trPr>
        <w:tc>
          <w:tcPr>
            <w:tcW w:w="2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20" w:type="dxa"/>
            <w:vAlign w:val="bottom"/>
            <w:gridSpan w:val="6"/>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r>
      <w:tr>
        <w:trPr>
          <w:trHeight w:val="264"/>
        </w:trPr>
        <w:tc>
          <w:tcPr>
            <w:tcW w:w="260" w:type="dxa"/>
            <w:vAlign w:val="bottom"/>
            <w:gridSpan w:val="2"/>
          </w:tcPr>
          <w:p>
            <w:pPr>
              <w:spacing w:after="0"/>
              <w:rPr>
                <w:sz w:val="22"/>
                <w:szCs w:val="22"/>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8" w:name="page9"/>
    <w:bookmarkEnd w:id="8"/>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36" w:right="9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EXCHANGE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August 20,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CHS US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788670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756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1.02  Terms Defined Elsewhere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1.03  Interpretation; Disclosure Letter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7"/>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Exchange Transactions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2.01  Contribution and Exchange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2.02  Satisfaction of Equity Exchange Obligations and Debt Exchange Obligations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2.03</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2.04  Post-Closing Officers and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3.01  Organization, Standing and Power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3.02</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3.03  Authority; Execution and Delivery; Enforceability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3.04  No Conflicts; Consents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3.05</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3.06  SEC Documents; Undisclosed Liabilities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3.07</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Supplied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3.08  Absence of Certain Changes or Events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3.09</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Matters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3.10</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3.11  Compliance with Applicable Laws; Permits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3.12</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3.13  Material Contracts; Debt Instruments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3.14</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Property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3.15</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3.16  Labor and Employment Matters; ERISA Documents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3.17  Privacy and Data Security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3.18</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 Transactions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3.19</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7"/>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3.20</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Anti-Takeover Statutes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3.21  Brokers and Other Advisors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3.22  Opinion of Financial Advisor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97"/>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Lender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4.01  Organization, Standing and Power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97"/>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4.02  Authority; Execution and Delivery; Enforceability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4.03  No Conflicts; Consents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4.04</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4.05</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Accredited Investor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4.06</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4.07</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Sophistication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4.08</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4.09</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Information Supplied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4.10  Interested Stockholder; Ownership</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 Relating to Conduct of Business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5.01  Conduct of Business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5.02</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Solicitation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Additional Agreements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6.01  Preparation of the Proxy Statement; Stockholders Meeting</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6.02</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Offering</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6.03  Reasonable Best Efforts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6.04</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6.05</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Takeover Laws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6.06  Indemnification and Insurance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6.07</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 Announcements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6.08</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Litigation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6.09</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Percentage Ownership</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6.10</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6.11  Amended and Restated Charter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9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Precedent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7.01  Conditions to Each Party’s Obligation to Effect the Transactions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7.02  Conditions to Obligations of Lender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7.03  Conditions to Obligation of the Company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9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Termination, Amendment and Waiver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8.01</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8.02  Effect of Termination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8.03</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8.04</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 Waiver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General Provisions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7"/>
        </w:trPr>
        <w:tc>
          <w:tcPr>
            <w:tcW w:w="8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9.01  Nonsurvival of Representations and Warranties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7"/>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9.02</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 w:name="page13"/>
    <w:bookmarkEnd w:id="12"/>
    <w:tbl>
      <w:tblPr>
        <w:tblLayout w:type="fixed"/>
        <w:tblInd w:w="50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7"/>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9.06  Entire Agreement; No Third-Party Beneficiaries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7"/>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9.09  Enforcement; Exclusive Jurisdiction; Waiver of Jury Trial</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Impairment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Release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97"/>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9.12  No Other Representations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 Proxy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B – Post-Closing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Transaction Bonus Plan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Conversion Notice and Proxy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Amended and Restated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Form of Amended and Restated Charter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 Form of Investor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 – Form of New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 – Form of Rights Offering Backstop Agreement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EXCHANGE AGREEMENT</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EXCHANGE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August 20,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between CHS US Investments LLC, a Cayman limited liability company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Rent the Runway,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Lender and the Company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is party to that certain Credit Agreement, dated as of July 23, 2018, by and among the Company, as borrower, Lender, in its capacity as lender, and CHS (US) Management LLC (as successor-in-interest to Double Helix Pte Ltd.), in its capacity as administrative agent for Lender (“</w:t>
      </w:r>
      <w:r>
        <w:rPr>
          <w:rFonts w:ascii="Times New Roman" w:cs="Times New Roman" w:eastAsia="Times New Roman" w:hAnsi="Times New Roman"/>
          <w:sz w:val="18"/>
          <w:szCs w:val="18"/>
          <w:u w:val="single" w:color="auto"/>
          <w:color w:val="auto"/>
        </w:rPr>
        <w:t>Existing Agent</w:t>
      </w:r>
      <w:r>
        <w:rPr>
          <w:rFonts w:ascii="Times New Roman" w:cs="Times New Roman" w:eastAsia="Times New Roman" w:hAnsi="Times New Roman"/>
          <w:sz w:val="18"/>
          <w:szCs w:val="18"/>
          <w:color w:val="auto"/>
        </w:rPr>
        <w:t>”) (as amended, restated, amended and restated, supplemented or otherwise modified to date,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Lender and the Company have agreed to consummate the Exchange Transactions (as defined herein) at the Closing (as defined herein) upon the terms and subject to the conditions set forth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previously established a Finance Committee of the Company Board (the “</w:t>
      </w:r>
      <w:r>
        <w:rPr>
          <w:rFonts w:ascii="Times New Roman" w:cs="Times New Roman" w:eastAsia="Times New Roman" w:hAnsi="Times New Roman"/>
          <w:sz w:val="18"/>
          <w:szCs w:val="18"/>
          <w:u w:val="single" w:color="auto"/>
          <w:color w:val="auto"/>
        </w:rPr>
        <w:t>Finance Committee</w:t>
      </w:r>
      <w:r>
        <w:rPr>
          <w:rFonts w:ascii="Times New Roman" w:cs="Times New Roman" w:eastAsia="Times New Roman" w:hAnsi="Times New Roman"/>
          <w:sz w:val="18"/>
          <w:szCs w:val="18"/>
          <w:color w:val="auto"/>
        </w:rPr>
        <w:t>”) to, among other things, review, direct and oversee potential financing and strategic transactions;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the Finance Committee has (i) determined that the terms of this Agreement and the other Principal Transaction Documents (as defined herein) and the Transactions (as defined herein), including the Exchange Transactions (as defined herein), are fair to, and in the best interests of, the Company and its stockholders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xml:space="preserve">”), (ii) determined that it is in the best interests of the Company and the Company Stockholders and declared it advisable that the Company enter into this Agreement and the other Principal Transaction Documents, and (iii) resolved to recommend that the Company Board (a) adopt resolutions approving the execution and delivery by the Company of this Agreement and the other Principal Transaction Documents, the performance by the Company of its covenants and agreements contained herein and therein and the consummation of the Exchange Transactions and the other Transactions upon the terms and subject to the conditions contained herein and in the other Principal Transaction Documents, (b) adopt resolutions recommending that the Company Stockholders vote to approve (1) the issuance of the Exchange Stock (as defined herein) and shares of Class A Common Stock (as defined herein) issuable pursuant to the Rights Offering Backstop Agreement (as defined herein), (2) the MIP (as defined herein) and (3) the Amended and Restated Charter (as defined herein), in each case, pursuant to the terms of this Agreement, and (c) direct that the matters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 submitted for approval by the Company Stockholders at the Company Stockholders Meeting (as defined herein)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Finance Committee Recommendation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Company Board, acting upon the Finance Committee Recommendation, has (i) determined that the terms of this Agreement and the other Principal Transaction Documents and the Transactions, including the Exchange Transactions, are fair to, and in the best interests of, the Company and the Company Stockholders, (ii) determined that it is in the best interests of the Company and the Company Stockholders and declared it advisable that the Company enter into this Agreement and the other Principal Transaction Documents, (iii) approved the execution and delivery by the Company of this Agreement and the other Principal Transaction Documents, the performance by the Company of its covenants and agreements contained herein and therein and the consummation of the Exchange Transactions and the other Transactions upon the terms and subject to the conditions contained herein and in the other Principal Transaction Documents, (iv) resolved to recommend that the Company Stockholders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vote to approve (a) the issuance of the Exchange Stock and shares of Class A Common Stock issuable pursuant to the Rights Offering Backstop Agreement, (b) the MIP and (c) the Amended and Restated Charter, in each case, pursuant to the terms of this Agreement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xml:space="preserve">”), and (v) directed that the matters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 submitted for approval by the Company Stockholders at the Company Stockholders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Investment Committee of Lender has (i) declared it advisable that Lender enter into this Agreement and (ii) approved the execution and delivery by Lender of this Agreement and the other Transaction Documents (as defined herein), the performance by Lender of its covenants and agreements contained herein and therein and the consummation of the Exchange Transactions and the other Transactions upon the terms and subject to the conditions contained herein and in the other Transaction Documents;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Gateway Runway, LLC, a Delaware limited liability company (“</w:t>
      </w:r>
      <w:r>
        <w:rPr>
          <w:rFonts w:ascii="Times New Roman" w:cs="Times New Roman" w:eastAsia="Times New Roman" w:hAnsi="Times New Roman"/>
          <w:sz w:val="18"/>
          <w:szCs w:val="18"/>
          <w:u w:val="single" w:color="auto"/>
          <w:color w:val="auto"/>
        </w:rPr>
        <w:t>Nexus</w:t>
      </w:r>
      <w:r>
        <w:rPr>
          <w:rFonts w:ascii="Times New Roman" w:cs="Times New Roman" w:eastAsia="Times New Roman" w:hAnsi="Times New Roman"/>
          <w:sz w:val="18"/>
          <w:szCs w:val="18"/>
          <w:color w:val="auto"/>
        </w:rPr>
        <w:t>”), S3 RR Aggregator, LLC, a Delaware limited liability company (“</w:t>
      </w:r>
      <w:r>
        <w:rPr>
          <w:rFonts w:ascii="Times New Roman" w:cs="Times New Roman" w:eastAsia="Times New Roman" w:hAnsi="Times New Roman"/>
          <w:sz w:val="18"/>
          <w:szCs w:val="18"/>
          <w:u w:val="single" w:color="auto"/>
          <w:color w:val="auto"/>
        </w:rPr>
        <w:t>Story3</w:t>
      </w:r>
      <w:r>
        <w:rPr>
          <w:rFonts w:ascii="Times New Roman" w:cs="Times New Roman" w:eastAsia="Times New Roman" w:hAnsi="Times New Roman"/>
          <w:sz w:val="18"/>
          <w:szCs w:val="18"/>
          <w:color w:val="auto"/>
        </w:rPr>
        <w:t>” and collectively with Nexus and Lender, the “</w:t>
      </w:r>
      <w:r>
        <w:rPr>
          <w:rFonts w:ascii="Times New Roman" w:cs="Times New Roman" w:eastAsia="Times New Roman" w:hAnsi="Times New Roman"/>
          <w:sz w:val="18"/>
          <w:szCs w:val="18"/>
          <w:u w:val="single" w:color="auto"/>
          <w:color w:val="auto"/>
        </w:rPr>
        <w:t>Investor Group</w:t>
      </w:r>
      <w:r>
        <w:rPr>
          <w:rFonts w:ascii="Times New Roman" w:cs="Times New Roman" w:eastAsia="Times New Roman" w:hAnsi="Times New Roman"/>
          <w:sz w:val="18"/>
          <w:szCs w:val="18"/>
          <w:color w:val="auto"/>
        </w:rPr>
        <w:t>”), Lender and, solely with respect to certain sections thereof, the Company have executed and delivered that certain Debt and Equity Purchase Agreement, pursuant to which, among other things, (i) Nexus has agreed to purchase $15,000,000 of the New Term Loans (as defined herein) and 15% of the Exchange Stock from Lender for an aggregate purchase price of $15,000,000, and (ii) Story3 has agreed to purchase $15,000,000 of the New Term Loans and 15% of the Exchange Stock from Lender for an aggregate purchase price of $15,000,000 (the “</w:t>
      </w:r>
      <w:r>
        <w:rPr>
          <w:rFonts w:ascii="Times New Roman" w:cs="Times New Roman" w:eastAsia="Times New Roman" w:hAnsi="Times New Roman"/>
          <w:sz w:val="18"/>
          <w:szCs w:val="18"/>
          <w:u w:val="single" w:color="auto"/>
          <w:color w:val="auto"/>
        </w:rPr>
        <w:t>Debt and Equity Purchase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as a condition and material inducement to Lender’s willingness to enter into this Agreement and consummate the Transactions, (i) concurrently with the execution and delivery of this Agreement, the Company’s Chief Executive Officer has entered into an amendment to her amended and restated employment agreement with the Company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xml:space="preserve">”), which shall become effective upon the Closing, and (ii) prior to the execution and delivery of this Agreement, the Company entered into an amendment to the Transaction Bonus Plan,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Transaction Bonus Plan Amendment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WHEREAS, concurrently with the execution and delivery of this Agreement, as a condition and material inducement to Lender’s willingness to enter into this Agreement and consummate the Transactions, each Company Stockholder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Proxy Stockholders</w:t>
      </w:r>
      <w:r>
        <w:rPr>
          <w:rFonts w:ascii="Times New Roman" w:cs="Times New Roman" w:eastAsia="Times New Roman" w:hAnsi="Times New Roman"/>
          <w:sz w:val="18"/>
          <w:szCs w:val="18"/>
          <w:color w:val="auto"/>
        </w:rPr>
        <w:t xml:space="preserve">”) has executed and delivered to the Company and Lender a Conversion Notice and Proxy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Conversion Notices</w:t>
      </w:r>
      <w:r>
        <w:rPr>
          <w:rFonts w:ascii="Times New Roman" w:cs="Times New Roman" w:eastAsia="Times New Roman" w:hAnsi="Times New Roman"/>
          <w:sz w:val="18"/>
          <w:szCs w:val="18"/>
          <w:color w:val="auto"/>
        </w:rPr>
        <w:t>”), pursuant to which, each such Proxy Stockholder (i) has opted to convert his, her or its respective shares of Class B Common Stock (as defined herein) into shares of Class A Common Stock pursuant to Article IV and Section 4.7(a) of the Company Charter, effective immediately prior to</w:t>
      </w:r>
    </w:p>
    <w:p>
      <w:pPr>
        <w:spacing w:after="0" w:line="3" w:lineRule="exact"/>
        <w:rPr>
          <w:sz w:val="20"/>
          <w:szCs w:val="20"/>
          <w:color w:val="auto"/>
        </w:rPr>
      </w:pPr>
    </w:p>
    <w:p>
      <w:pPr>
        <w:jc w:val="both"/>
        <w:ind w:firstLine="8"/>
        <w:spacing w:after="0" w:line="253" w:lineRule="auto"/>
        <w:tabs>
          <w:tab w:leader="none" w:pos="2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Amended and Restated Charter, or (B) if the Amended and Restated Charter Approval (as defined herein) is not obtained at the Company Stockholders Meeting, the Closing (the “</w:t>
      </w:r>
      <w:r>
        <w:rPr>
          <w:rFonts w:ascii="Times New Roman" w:cs="Times New Roman" w:eastAsia="Times New Roman" w:hAnsi="Times New Roman"/>
          <w:sz w:val="18"/>
          <w:szCs w:val="18"/>
          <w:u w:val="single" w:color="auto"/>
          <w:color w:val="auto"/>
        </w:rPr>
        <w:t>Conversions</w:t>
      </w:r>
      <w:r>
        <w:rPr>
          <w:rFonts w:ascii="Times New Roman" w:cs="Times New Roman" w:eastAsia="Times New Roman" w:hAnsi="Times New Roman"/>
          <w:sz w:val="18"/>
          <w:szCs w:val="18"/>
          <w:color w:val="auto"/>
        </w:rPr>
        <w:t xml:space="preserve">”), and (ii) granted to certain officers of the Company, at the request of the Company Board, a proxy to vote (or cause to be voted) all shares of Company Common Stock held by them at the Company Stockholders Meeting in favor of the issuance of the Exchange Stock and the Amended and Restated Charter (the proxy described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in connection with the launch of the Rights Offering (as defined herein) pursuant to the terms of this Agreement, the Investor Group and the Company have entered into the Rights Offering Backstop Agreement (as defined herein); and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at the Closing, the Investor Group, the Agent and the Company will enter into the New Credit Agreement (as defined herein), and, concurrently with the execution and delivery of this Agreement, the Investor Group and the Company have entered into the Investor Rights Agreement (as defined herein), which Investor Rights Agreement will be effective at the Closing.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representations, warranties, covenants and agreements contained in this Agreement, and subject to the conditions set forth herein, the Parties hereby agree as follows:</w:t>
      </w:r>
    </w:p>
    <w:p>
      <w:pPr>
        <w:spacing w:after="0" w:line="1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means the Rent the Runway, Inc. Amended and Restated 2021 Incentive Award Plan.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suit, claim, arbitration, litigation, mediation, audit, investigation, examination or other proceeding, in each case, by or before any Governmental Authority.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another person that directly or indirectly, through one or more intermediaries, controls, is controlled by, or is under common control with, such first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CHS (US) Management LLC, in its capacity as the administrative agent for lenders under the New Credit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Bylaws</w:t>
      </w:r>
      <w:r>
        <w:rPr>
          <w:rFonts w:ascii="Times New Roman" w:cs="Times New Roman" w:eastAsia="Times New Roman" w:hAnsi="Times New Roman"/>
          <w:sz w:val="18"/>
          <w:szCs w:val="18"/>
          <w:color w:val="auto"/>
        </w:rPr>
        <w:t xml:space="preserve">” means the Amended and Restated Bylaws of the Company to be adopted by the Company Board prior to or substantially concurrently with the Closing,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Charter</w:t>
      </w:r>
      <w:r>
        <w:rPr>
          <w:rFonts w:ascii="Times New Roman" w:cs="Times New Roman" w:eastAsia="Times New Roman" w:hAnsi="Times New Roman"/>
          <w:sz w:val="18"/>
          <w:szCs w:val="18"/>
          <w:color w:val="auto"/>
        </w:rPr>
        <w:t xml:space="preserve">” means the Thirteenth Amended and Restated Certificate of Incorporation of the Company,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Charter Approval</w:t>
      </w:r>
      <w:r>
        <w:rPr>
          <w:rFonts w:ascii="Times New Roman" w:cs="Times New Roman" w:eastAsia="Times New Roman" w:hAnsi="Times New Roman"/>
          <w:sz w:val="18"/>
          <w:szCs w:val="18"/>
          <w:color w:val="auto"/>
        </w:rPr>
        <w:t>” means with respect to the Amended and Restated Charter, the affirmative vote of the holders of (i) a majority of the outstanding shares of Class B Common Stock voting separately as a class, and (ii) two-thirds of the voting power of all of the outstanding shares of Company Common Stock entitled to vote thereon, voting as a single class.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any Laws related to the prevention of bribery and corruption, including the Foreign Corrupt Practices Act of 1977 and the UK Bribery Act 2010.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Sherman Antitrust Act, the Clayton Antitrust Act of 1914, the Hart-Scott-Rodino Antitrust Improvements Act of 1976, as amended, and all other federal, state, foreign or supranational statutes, rules, regulations, orders, decrees and other laws that are designed or intended to prohibit, restrict or regulate actions having the purpose or effect of monopolization or restraint of trade or competition.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VWAP</w:t>
      </w:r>
      <w:r>
        <w:rPr>
          <w:rFonts w:ascii="Times New Roman" w:cs="Times New Roman" w:eastAsia="Times New Roman" w:hAnsi="Times New Roman"/>
          <w:sz w:val="18"/>
          <w:szCs w:val="18"/>
          <w:color w:val="auto"/>
        </w:rPr>
        <w:t>” per share over a certain period means the arithmetic average of the VWAP per share for each trading day in the relevant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day on which banks are required or authorized by Law to close in New York, New York.</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Class A common stock of the Company, par value $0.001.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Class B common stock of the Company, par value $0.001.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means the Amended and Restated Bylaws of the Company, as amended and as in effect on the Effective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means the Twelfth Amended and Restated Certificate of Incorporation of the Company, as amended and as in effect on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collectively, the Class A Common Stock and the Class B Common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(i) the Rent the Runway, Inc. 2009 Stock Incentive Plan, (ii) the Rent the Runway, Inc. 2019 Stock Incentive Plan and (iii) the 2021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Governing Documents</w:t>
      </w:r>
      <w:r>
        <w:rPr>
          <w:rFonts w:ascii="Times New Roman" w:cs="Times New Roman" w:eastAsia="Times New Roman" w:hAnsi="Times New Roman"/>
          <w:sz w:val="18"/>
          <w:szCs w:val="18"/>
          <w:color w:val="auto"/>
        </w:rPr>
        <w:t>” means the Company Bylaws and the Company Charter.</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change, effect, event, occurrence, state of facts or development that, taken alone or together with any other related or unrelated changes, effects, events, occurrences, states of facts or developments has had or would reasonably be expected to have a material adverse effect on (i) the business, financial condition or results of operations of the Company and its Subsidiaries, taken as a whole, or (ii) the ability of the Company to consummate the Exchange Transactions, except that, for purposes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definition, in no event shall any change, effect, event, occurrence, state of facts or development arising from or related to the following be deemed to be or constitute a Company Material Adverse Effect or be taken into account when determining whether a Company Material Adverse Effect has occurred or would reasonably be expected to occur: (A) changes in economic, business or regulatory conditions, including inflation, trade wars, international trade related matters, trade agreements, anti-dumping actions and other trade actions, tariffs, executive orders and similar occurrences, any changes affecting financial, credit, foreign exchange, interest rates or capital market conditions and changes in the conditions generally of the industries, businesses, geographies or segments in which the Company and its Subsidiaries operate; (B) conditions affecting the United States economy or the global economy generally or political conditions (including results of elections) in the United States or any other jurisdiction in the world, including supply chain disruptions; (C) war (whether or not declared), acts of war, the commencement, continuation or escalation of a war, and in each case, any escalations, new participants or other changes therein, military conflicts, terrorism, insurrection, cyber attacks, cyber crimes, sabotage, earthquakes, hurricanes, tsunamis, tornadoes, nuclear disasters, wildfires, floods, mudslides, or other natural disasters or weather conditions, or any escalation or worsening of the foregoing threatened or underway as of the Effective Date; (D) disease outbreaks, epidemics or pandemics, and any material worsening thereof after the Effective Date; (E) changes in the financial, banking, capital or securities markets in the United States or any other country in the world; (F) changes in GAAP or the binding interpretation thereof after the Effective Date; (G) changes in any Laws or the binding interpretation thereof after the Effective Date; (H) any failure in and of itself by the Company to meet any internal or published projections, forecasts, estimates or predictions in respect of revenues, earnings or other financial or operating metrics for any period after the Effective Date, or any change in and of itself in the market price or trading volume of the Company Common Stock (it being understood that the facts or causes underlying or contributing to any such failure or change may be considered in determining whether a Company Material Adverse Effect exists or has occurred or would reasonably be expected to exist or occur, except to the extent excluded by another clause of this definition); (I) changes in the Company’s credit rating (it being</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understood that the facts or causes underlying or contributing to any such failure or change may be considered in determining whether a Company Material Adverse Effect exists or has occurred or would reasonably be expected to exist or occur, except to the extent excluded by another clause of this definition);</w:t>
      </w:r>
    </w:p>
    <w:p>
      <w:pPr>
        <w:jc w:val="both"/>
        <w:ind w:firstLine="8"/>
        <w:spacing w:after="0" w:line="251" w:lineRule="auto"/>
        <w:tabs>
          <w:tab w:leader="none" w:pos="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consummation of this Agreement, the identity of Lender or the owners of Lender or the public announcement, pendency of the Exchange Transactions or any of the other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shall not diminish the effect of, and shall be disregarded for purposes of, the representations and warranties contained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(K) any action taken or omitted to be taken, at the written request of, or with the written consent of, Lender; (L) the matters set forth on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of the Company Disclosure Letter; or (M) the taking of any specific action required by, or the failure to take any specific action expressly prohibited by, this Agreement (other than in accordance with provisions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to the extent disproportionately affecting the Company and its Subsidiaries relative to other comparable companies in the industries in which the Company and its Subsidiaries operate, the incremental disproportionate adverse impact may be taken into account in determining whether a Company Material Adverse Effect has occurred or would reasonably be expected to occur, except to the extent excluded by another clause of this definition.</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Common Stock granted by the Company under a Company Equity Plan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each restricted stock unit granted by the Company under a Company Equity Plan.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following: (i) with respect to the issuance of the Exchange Stock pursuant to the terms of this Agreement, the affirmative vote of the holders of a majority of votes cast (excluding abstentions and broker non-votes) at a meeting at which a quorum is present; (ii) to the extent required by the requirements of Nasdaq with respect to the issuance of shares of Class A Common Stock issuable pursuant to the Rights Offering Backstop Agreement, the affirmative vote of the holders of a majority of votes cast (excluding abstentions and broker non-votes) at a meeting at which a quorum is present; and (iii) the Stockholder MIP Approval.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xml:space="preserve">” means any contract, lease, license, indenture, note, bond, agreement, permit, concession, franchise or other instrument, whether written or oral;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ERISA Document shall be deemed a Contract.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with respect to the relationship between or among two or more persons, means the possession, directly or indirectly, of the power to direct or cause the direction of the affairs or management of a person, whether through the ownership of voting securities, by Contract or otherwise, including the ownership, directly or indirectly, of securities having the power to elect a majority of the board of directors or similar body governing the affairs of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Exchange Obligations</w:t>
      </w:r>
      <w:r>
        <w:rPr>
          <w:rFonts w:ascii="Times New Roman" w:cs="Times New Roman" w:eastAsia="Times New Roman" w:hAnsi="Times New Roman"/>
          <w:sz w:val="18"/>
          <w:szCs w:val="18"/>
          <w:color w:val="auto"/>
        </w:rPr>
        <w:t>” means Existing Obligations in an aggregate amount equal to $100,000,000.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Affiliate</w:t>
      </w:r>
      <w:r>
        <w:rPr>
          <w:rFonts w:ascii="Times New Roman" w:cs="Times New Roman" w:eastAsia="Times New Roman" w:hAnsi="Times New Roman"/>
          <w:sz w:val="18"/>
          <w:szCs w:val="18"/>
          <w:color w:val="auto"/>
        </w:rPr>
        <w:t>” means any Affiliate of Lender designated by Lender to receive all or any portion of the Exchange Stock and/or New Term Loans on its behalf.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 as amended.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or Judgment relating to pollution, the protection, restoration or remediation of or prevention of harm to the environment or natural resources, or the protection of human health and safety, including any Law or Judgment relating to: (i) the exposure to, or Releases or threatened Releases of, Hazardous Substances; (ii) the generation, manufacture, processing, distribution, use, treatment, containment, disposal, storage, transport or handling of Hazardous Substances; or (iii) recordkeeping, notification, disclosure and reporting requirements respecting Hazardous Substances.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Governmental Authorizations relating to or required by Environmental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Exchange Obligations</w:t>
      </w:r>
      <w:r>
        <w:rPr>
          <w:rFonts w:ascii="Times New Roman" w:cs="Times New Roman" w:eastAsia="Times New Roman" w:hAnsi="Times New Roman"/>
          <w:sz w:val="18"/>
          <w:szCs w:val="18"/>
          <w:color w:val="auto"/>
        </w:rPr>
        <w:t>” means all Existing Obligations other than the Debt Exchange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Affiliates</w:t>
      </w:r>
      <w:r>
        <w:rPr>
          <w:rFonts w:ascii="Times New Roman" w:cs="Times New Roman" w:eastAsia="Times New Roman" w:hAnsi="Times New Roman"/>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Documents</w:t>
      </w:r>
      <w:r>
        <w:rPr>
          <w:rFonts w:ascii="Times New Roman" w:cs="Times New Roman" w:eastAsia="Times New Roman" w:hAnsi="Times New Roman"/>
          <w:sz w:val="18"/>
          <w:szCs w:val="18"/>
          <w:color w:val="auto"/>
        </w:rPr>
        <w:t xml:space="preserve">” means any material “employee benefit plan” as defined in Section 3(3) of ERISA (whether or not subject to ERISA) and any other employee benefit plans, programs, policies, agreements, or arrangements (whether qualified or nonqualified, registered or non-registered, funded or unfunded, insured or self-insured, or written or unwritten), any employment, consulting, independent contractor, severance pay, termination pay, notice of termination, salary continuation, bonus, incentive, supplemental unemployment benefit, stock appreciation, stock option, stock purchase, restricted stock unit, phantom stock, profits interest, profit participation, or other equity or equity-linked compensation, retention, stay bonus, change of control, transaction bonus, tax gross-up, employee loan, fringe benefit, vacation, paid time off, sick leave or other leave of absence, short- or long-term disability, accident, health, dental, prescription drug, retirement or retirement savings, savings, pension or supplemental pension, post-retirement medical or life insurance, health or welfare, profit sharing or deferred compensation plans, programs, policies, agreements or arrangements of any kind that are maintained or sponsored by the Company or its Subsidiaries for the benefit of their respective current or former employees and with respect to which the Company or its Subsidiaries have any current or contingent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ERISA Documents shall exclude each such plan to which the Company or any of its Subsidiaries contributes pursuant to applicable Law or which is maintained by a Governmental Authority.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Stock</w:t>
      </w:r>
      <w:r>
        <w:rPr>
          <w:rFonts w:ascii="Times New Roman" w:cs="Times New Roman" w:eastAsia="Times New Roman" w:hAnsi="Times New Roman"/>
          <w:sz w:val="18"/>
          <w:szCs w:val="18"/>
          <w:color w:val="auto"/>
        </w:rPr>
        <w:t xml:space="preserve">” means the smallest number of whole shares of newly issued shares of Class A Common Stock (with no fractions being issued), necessary to represent 86% of the shares of Company Common Stock as of the Closing (after giving effect to the Conversion and, for the avoidance of doubt the issuance of awards in accordance with </w:t>
      </w:r>
      <w:r>
        <w:rPr>
          <w:rFonts w:ascii="Times New Roman" w:cs="Times New Roman" w:eastAsia="Times New Roman" w:hAnsi="Times New Roman"/>
          <w:sz w:val="18"/>
          <w:szCs w:val="18"/>
          <w:u w:val="single" w:color="auto"/>
          <w:color w:val="auto"/>
        </w:rPr>
        <w:t>Section 5.01(a)(iv)(B)</w:t>
      </w:r>
      <w:r>
        <w:rPr>
          <w:rFonts w:ascii="Times New Roman" w:cs="Times New Roman" w:eastAsia="Times New Roman" w:hAnsi="Times New Roman"/>
          <w:sz w:val="18"/>
          <w:szCs w:val="18"/>
          <w:color w:val="auto"/>
        </w:rPr>
        <w:t>, if any, but before giving effect to the Rights Offering and the MIP) on a Fully Diluted Basis.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 Documents</w:t>
      </w:r>
      <w:r>
        <w:rPr>
          <w:rFonts w:ascii="Times New Roman" w:cs="Times New Roman" w:eastAsia="Times New Roman" w:hAnsi="Times New Roman"/>
          <w:sz w:val="18"/>
          <w:szCs w:val="18"/>
          <w:color w:val="auto"/>
        </w:rPr>
        <w:t>” means the Loan Documents (as defined in the Existing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Obligations</w:t>
      </w:r>
      <w:r>
        <w:rPr>
          <w:rFonts w:ascii="Times New Roman" w:cs="Times New Roman" w:eastAsia="Times New Roman" w:hAnsi="Times New Roman"/>
          <w:sz w:val="18"/>
          <w:szCs w:val="18"/>
          <w:color w:val="auto"/>
        </w:rPr>
        <w:t>” means all Indebtedness (as defined in the Existing Credit Agreement) under the Existing Credit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actual and intentional fraud under the laws of the State of Delaware with respect to the representations and warranties made by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by Lender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for the avoidance of doubt, does not include equitable fraud, constructive fraud, promissory fraud, unfair dealings fraud, or any torts (including fraud) based on negligence or recklessness).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Basis</w:t>
      </w:r>
      <w:r>
        <w:rPr>
          <w:rFonts w:ascii="Times New Roman" w:cs="Times New Roman" w:eastAsia="Times New Roman" w:hAnsi="Times New Roman"/>
          <w:sz w:val="18"/>
          <w:szCs w:val="18"/>
          <w:color w:val="auto"/>
        </w:rPr>
        <w:t>” means, as of any date of determination, the number of shares of Company Common Stock calculated on a pro forma basis assuming the conversion and exchange of all securities convertible into or exchangeable for shares of Company Common Stock and the exercise of all options, warrants and other rights to purchase Company Common Stock or such convertible or exchangeable securities, including all shares of Company Common Stock issuable upon the exercise or vesting of any outstanding Company Option or Company RSU as of such date, in each case, net of any applicable exercise price and whether or not such Company Option or Company RSU is vested or exercisable at such time (excluding any Company Option or Company RSU held by any Section 16 Officer which is canceled in exchange for the holder’s entitlement to receive an equity award grant following the Closing in accordance with the MIP Term Sheet).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domestic or foreign, national, supranational, federal, state, municipal, county, city, local or other administrative, legislative, regulatory or other governmental authority, commission, agency, court of competent jurisdiction or other judicial entity, tribunal, office, principality, registry, legislative, regulatory or self-regulatory body, instrumentality, or quasi-governmental agency, commission or authority or any arbitrator or arbitral tribunal.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material, substance, chemical or waste (or combination thereof) that (i) is listed, defined, designated, regulated or classified as hazardous, toxic, radioactive, dangerous, a pollutant, a contaminant, petroleum, oil, or words of similar meaning or effect under any Law or Judgment relating to pollution, waste, the environment or the protection of human health and safety; or (ii) can form the basis of any liability under any Law or Judgment relating to pollution, waste, the environment or the protection of human health and safety.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rights in: (i) patents, patent applications, and all related continuations, continuations-in-part, divisionals, reissues, re-examinations, substitutions and extensions thereof; (ii) trademarks, service marks, trade dress, logos, brand identifiers and other similar designations of source or origin; (iii) copyrights and works of authorship, whether or not copyrightable; (iv) trade secrets and other proprietary and confidential information; (v) domain names, URLs, websites, social media account names or identifiers, social media sites and pages, and data collected therefrom and all content thereon to the extent owned or controlled by the Company or its Subsidiaries; (vi) trade secrets, know-how, business and technical information knowhow, processes, techniques and other confidential or proprietary information and all rights therein, as well as all applications, registrations and renewals of any of the foregoing; and (vii) all other intellectual and related proprietary rights, whether protected, created, or arising by operation of Law.</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xml:space="preserve">” means that certain Investor Rights Agreement to be entered into concurrently with the execution and delivery of this Agreement (and effective at the Closing), by and among the Company and the Investor Group,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means any order, writ, injunction, decree, consent decree, judgment, award or settlement issued, promulgated, made, rendered or entered into by or with any Governmental Authority (in each case, whether temporary, preliminary or permanent).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each Party, the actual knowledge, after reasonable inquiry under the circumstances, of the individuals listed on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Disclosure Letter.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code, directive, law (including common law), ordinance, rule, constitution, treaty, convention, Judgment, regulation or other enforceability requirements imposed by a Governmental Authority.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Material Adverse Effect</w:t>
      </w:r>
      <w:r>
        <w:rPr>
          <w:rFonts w:ascii="Times New Roman" w:cs="Times New Roman" w:eastAsia="Times New Roman" w:hAnsi="Times New Roman"/>
          <w:sz w:val="18"/>
          <w:szCs w:val="18"/>
          <w:color w:val="auto"/>
        </w:rPr>
        <w:t>” means any change, effect, event, occurrence, state of facts or development that, taken alone or together with any other related or unrelated changes, effects, events, occurrences, states of facts or developments, has had or would reasonably be expected to have a material adverse effect on the ability of Lender to consummate the Transactions on a timely basis and in any event prior to the Outside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lien (statutory or otherwise), charge, license, option, right of first refusal, right of first offer, attachment, easement or other encumbrance.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MIP Term Sheet</w:t>
      </w:r>
      <w:r>
        <w:rPr>
          <w:rFonts w:ascii="Times New Roman" w:cs="Times New Roman" w:eastAsia="Times New Roman" w:hAnsi="Times New Roman"/>
          <w:sz w:val="18"/>
          <w:szCs w:val="18"/>
          <w:color w:val="auto"/>
        </w:rPr>
        <w:t xml:space="preserve">” means the MIP Term Sheet set forth on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Credit Agreement</w:t>
      </w:r>
      <w:r>
        <w:rPr>
          <w:rFonts w:ascii="Times New Roman" w:cs="Times New Roman" w:eastAsia="Times New Roman" w:hAnsi="Times New Roman"/>
          <w:sz w:val="18"/>
          <w:szCs w:val="18"/>
          <w:color w:val="auto"/>
        </w:rPr>
        <w:t xml:space="preserve">” means that certain Amended and Restated Credit Agreement, to be entered into at the Closing, by and among the Company, as borrower, the lenders party thereto, and Agent, as administrative agent for such lenders, in substantially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Term Loans</w:t>
      </w:r>
      <w:r>
        <w:rPr>
          <w:rFonts w:ascii="Times New Roman" w:cs="Times New Roman" w:eastAsia="Times New Roman" w:hAnsi="Times New Roman"/>
          <w:sz w:val="18"/>
          <w:szCs w:val="18"/>
          <w:color w:val="auto"/>
        </w:rPr>
        <w:t>” means the Exchanged Term Loans (as defined in the New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Treasury Department’s Office of Foreign Assets Control.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(i) mechanics’, materialmen’s, carriers’, suppliers’, repairers’ and other Liens arising or incurred in the ordinary course of business for amounts that are not yet delinquent or are being contested in good faith Actions and for which adequate reserves under GAAP have been reserved on the balance sheet of the Company or an applicable Subsidiary of the Company, (ii) Liens for Taxes not yet due and payable or which are being contested in good faith Actions and for which adequate reserves under GAAP have been reserved on the balance sheet of the Company or an applicable Subsidiary of the Company, (iii) nonexclusive licenses to Intellectual Property granted in the ordinary course of business, (iv) Liens arising through or under any landlords of leased real property in the ordinary course of business, (v) Liens arising in connection with or permitted by the Existing Credit Agreement or the New Credit Agreement, (vi) Liens incurred in the ordinary course of business since the date of the most recent consolidated balance sheet of the Company and not material to the Company and its Subsidiaries, taken as a whole, and (vii) Liens listed on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of the Company Disclosure Letter.</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partnership, company, limited liability company, trust, joint venture, association, Governmental Authority or other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has the same meaning as “personal data,” “personal information,” or other analogous terms under Privacy Requirements, including information that allows the identification of a natural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Transaction Documents</w:t>
      </w:r>
      <w:r>
        <w:rPr>
          <w:rFonts w:ascii="Times New Roman" w:cs="Times New Roman" w:eastAsia="Times New Roman" w:hAnsi="Times New Roman"/>
          <w:sz w:val="18"/>
          <w:szCs w:val="18"/>
          <w:color w:val="auto"/>
        </w:rPr>
        <w:t>” means this Agreement, the Investor Rights Agreement, the Employment Agreement, the Transaction Bonus Plan Amendment, the New Credit Agreement, the Rights Offering Backstop Agreement and the Conversion Notices.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Stockholder Proxy Revocation</w:t>
      </w:r>
      <w:r>
        <w:rPr>
          <w:rFonts w:ascii="Times New Roman" w:cs="Times New Roman" w:eastAsia="Times New Roman" w:hAnsi="Times New Roman"/>
          <w:sz w:val="18"/>
          <w:szCs w:val="18"/>
          <w:color w:val="auto"/>
        </w:rPr>
        <w:t>” means that, from the Effective Date through the earlier of the valid termination of this Agreement in accordance with its terms and the receipt of the Company Stockholder Approval, any Proxy Stockholder shall have rescinded, revoked, withdrawn, repudiated or challenged the validity or effectiveness of their respective Conversion Notices or Proxy.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Rent the Runway Limited</w:t>
      </w:r>
      <w:r>
        <w:rPr>
          <w:rFonts w:ascii="Times New Roman" w:cs="Times New Roman" w:eastAsia="Times New Roman" w:hAnsi="Times New Roman"/>
          <w:sz w:val="18"/>
          <w:szCs w:val="18"/>
          <w:color w:val="auto"/>
        </w:rPr>
        <w:t>” means Rent the Runway Limited, a private limited company incorporated under the laws of Ireland.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Offering Backstop Agreement</w:t>
      </w:r>
      <w:r>
        <w:rPr>
          <w:rFonts w:ascii="Times New Roman" w:cs="Times New Roman" w:eastAsia="Times New Roman" w:hAnsi="Times New Roman"/>
          <w:sz w:val="18"/>
          <w:szCs w:val="18"/>
          <w:color w:val="auto"/>
        </w:rPr>
        <w:t xml:space="preserve">” means that certain Rights Offering Backstop Agreement to be entered into concurrently with the execution and delivery of this Agreement in connection with the Rights Offering, by and among the Company and the Investor Group,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OFAC.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means all reports, schedules, registration statements, proxy statements and other documents (including all amendments, exhibits and schedules thereto) filed by the Company with the SEC since February 1,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 Officer</w:t>
      </w:r>
      <w:r>
        <w:rPr>
          <w:rFonts w:ascii="Times New Roman" w:cs="Times New Roman" w:eastAsia="Times New Roman" w:hAnsi="Times New Roman"/>
          <w:sz w:val="18"/>
          <w:szCs w:val="18"/>
          <w:color w:val="auto"/>
        </w:rPr>
        <w:t>” means an “officer” of the Company (as defined by Rule 16a-1 under the Exchange Act).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Business Conduct Laws</w:t>
      </w:r>
      <w:r>
        <w:rPr>
          <w:rFonts w:ascii="Times New Roman" w:cs="Times New Roman" w:eastAsia="Times New Roman" w:hAnsi="Times New Roman"/>
          <w:sz w:val="18"/>
          <w:szCs w:val="18"/>
          <w:color w:val="auto"/>
        </w:rPr>
        <w:t>” means (i) the Anti-Corruption Laws, (ii) all legal requirements imposing trade sanctions on any Person, including all legal requirements administered by OFAC, all sanctions laws or embargos imposed or administered by the U.S. Department of State, the United Nations Security Council, His Majesty’s Treasury or the European Union and all anti-boycott or anti-embargo laws, (iii) all legal requirements relating to the import, export, re-export, transfer of information, data, goods and technology, including the Export Administration Regulations administered by the U.S. Department of Commerce, the International Traffic in Arms Regulations administered by the U.S. Department of State and customs Laws administered by U.S. Customs and Border Protection, and (iv) the Money Laundering Control Act, the Currency and Foreign Transactions Reporting Act, the Uniting and Strengthening America by Providing Appropriate Tools Required to Intercept and Obstruct Terrorism Act of 2001, and other applicable legal requirements relating to money laundering.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(i) any and all U.S. federal, state, local, provincial, or foreign income, gross receipts, license, payroll, employment, excise, severance, stamp, occupation, premium, hospital, windfall profits, environmental, customs duties, capital stock, franchise, profits, withholding, social security (or similar, including FICA), unemployment, disability, real property, personal property, ad valorem, sales, use, transfer, registration, value added, alternative or add-on minimum, estimated, or other tax of any kind or any charge of any kind in the nature of (or similar to) taxes, including any interest, penalty, or addition thereto (including, for the avoidance of doubt, any interest, penalty or addition to tax relating to the reporting or failure to report a tax of any kind on any Tax Return), in each case whether</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disputed or not, and (ii) liability in respect of any items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payable by reason of contract (including any tax sharing agreement), assumption, transferee, successor or similar liability, bulk sales or similar liability, operation of law (including pursuant to Treasury Regulations Section 1.1502-6 (or any predecessor or successor thereof or any analogous or similar state, local, or foreign Law))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all U.S. federal, state, local, provincial and foreign Tax returns, declarations, statements, reports, schedules, claims for refunds, forms and information returns, elections relating to Taxes, and any amended Tax return, filed or required to be filed, including any exhibits and attachments to any of the above.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means each filing, notice, report, consent, registration, approval, permit, waiver or authorization required to be made with or obtained from any Person that is not a Governmental Authority in connection with the execution, delivery and performance of this Agreement and the consummation of the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Bonus Plan</w:t>
      </w:r>
      <w:r>
        <w:rPr>
          <w:rFonts w:ascii="Times New Roman" w:cs="Times New Roman" w:eastAsia="Times New Roman" w:hAnsi="Times New Roman"/>
          <w:sz w:val="18"/>
          <w:szCs w:val="18"/>
          <w:color w:val="auto"/>
        </w:rPr>
        <w:t>” means the Company Transaction Bonus Plan.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Investor Rights Agreement, the Employment Agreement, the Transaction Bonus Plan Amendment, the New Credit Agreement, the Debt and Equity Purchase Agreement, the Rights Offering Backstop Agreement, the Conversion Notices and all exhibits and schedules thereto and hereto and, as applicable, each other agreement contemplated to be entered into in connection with the Transactions.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Exchange Transactions and the other transactions contemplated by this Agreement and the other Transaction Documents.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per share volume-weighted average price as displayed under the heading “Bloomberg VWAP” on Bloomberg page “RENT &lt;equity&gt; AQR” (or its equivalent successor if such page is not available) in respect of the period from the scheduled open of trading until the scheduled close of trading of the primary trading session on such trading day (or, if such volume-weighted average price is not available, the market value per share of Class A Common Stock on such trading day determined in good faith, using a volume-weighted average method, by the Company).</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3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Section</w:t>
            </w:r>
          </w:p>
        </w:tc>
        <w:tc>
          <w:tcPr>
            <w:tcW w:w="3360" w:type="dxa"/>
            <w:vAlign w:val="bottom"/>
            <w:gridSpan w:val="6"/>
          </w:tcPr>
          <w:p>
            <w:pPr>
              <w:spacing w:after="0"/>
              <w:rPr>
                <w:sz w:val="18"/>
                <w:szCs w:val="18"/>
                <w:color w:val="auto"/>
              </w:rPr>
            </w:pPr>
          </w:p>
        </w:tc>
      </w:tr>
      <w:tr>
        <w:trPr>
          <w:trHeight w:val="412"/>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Acceptable Confidentiality Agreement</w:t>
            </w:r>
          </w:p>
        </w:tc>
        <w:tc>
          <w:tcPr>
            <w:tcW w:w="3200" w:type="dxa"/>
            <w:vAlign w:val="bottom"/>
          </w:tcPr>
          <w:p>
            <w:pPr>
              <w:spacing w:after="0"/>
              <w:rPr>
                <w:sz w:val="24"/>
                <w:szCs w:val="24"/>
                <w:color w:val="auto"/>
              </w:rPr>
            </w:pPr>
          </w:p>
        </w:tc>
        <w:tc>
          <w:tcPr>
            <w:tcW w:w="1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Section 5.02(h)</w:t>
            </w:r>
          </w:p>
        </w:tc>
        <w:tc>
          <w:tcPr>
            <w:tcW w:w="2780" w:type="dxa"/>
            <w:vAlign w:val="bottom"/>
          </w:tcPr>
          <w:p>
            <w:pPr>
              <w:spacing w:after="0"/>
              <w:rPr>
                <w:sz w:val="24"/>
                <w:szCs w:val="24"/>
                <w:color w:val="auto"/>
              </w:rPr>
            </w:pPr>
          </w:p>
        </w:tc>
      </w:tr>
      <w:tr>
        <w:trPr>
          <w:trHeight w:val="196"/>
        </w:trPr>
        <w:tc>
          <w:tcPr>
            <w:tcW w:w="4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Acquisition Agreement</w:t>
            </w:r>
          </w:p>
        </w:tc>
        <w:tc>
          <w:tcPr>
            <w:tcW w:w="3200" w:type="dxa"/>
            <w:vAlign w:val="bottom"/>
          </w:tcPr>
          <w:p>
            <w:pPr>
              <w:spacing w:after="0"/>
              <w:rPr>
                <w:sz w:val="17"/>
                <w:szCs w:val="17"/>
                <w:color w:val="auto"/>
              </w:rPr>
            </w:pPr>
          </w:p>
        </w:tc>
        <w:tc>
          <w:tcPr>
            <w:tcW w:w="112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5.02(c)</w:t>
            </w:r>
          </w:p>
        </w:tc>
        <w:tc>
          <w:tcPr>
            <w:tcW w:w="2800" w:type="dxa"/>
            <w:vAlign w:val="bottom"/>
            <w:gridSpan w:val="2"/>
          </w:tcPr>
          <w:p>
            <w:pPr>
              <w:spacing w:after="0"/>
              <w:rPr>
                <w:sz w:val="17"/>
                <w:szCs w:val="17"/>
                <w:color w:val="auto"/>
              </w:rPr>
            </w:pPr>
          </w:p>
        </w:tc>
      </w:tr>
      <w:tr>
        <w:trPr>
          <w:trHeight w:val="196"/>
        </w:trPr>
        <w:tc>
          <w:tcPr>
            <w:tcW w:w="4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Adverse Recommendation Change</w:t>
            </w:r>
          </w:p>
        </w:tc>
        <w:tc>
          <w:tcPr>
            <w:tcW w:w="3200" w:type="dxa"/>
            <w:vAlign w:val="bottom"/>
          </w:tcPr>
          <w:p>
            <w:pPr>
              <w:spacing w:after="0"/>
              <w:rPr>
                <w:sz w:val="17"/>
                <w:szCs w:val="17"/>
                <w:color w:val="auto"/>
              </w:rPr>
            </w:pPr>
          </w:p>
        </w:tc>
        <w:tc>
          <w:tcPr>
            <w:tcW w:w="110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5.02(c)</w:t>
            </w:r>
          </w:p>
        </w:tc>
        <w:tc>
          <w:tcPr>
            <w:tcW w:w="2820" w:type="dxa"/>
            <w:vAlign w:val="bottom"/>
            <w:gridSpan w:val="3"/>
          </w:tcPr>
          <w:p>
            <w:pPr>
              <w:spacing w:after="0"/>
              <w:rPr>
                <w:sz w:val="17"/>
                <w:szCs w:val="17"/>
                <w:color w:val="auto"/>
              </w:rPr>
            </w:pPr>
          </w:p>
        </w:tc>
      </w:tr>
      <w:tr>
        <w:trPr>
          <w:trHeight w:val="21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3200" w:type="dxa"/>
            <w:vAlign w:val="bottom"/>
          </w:tcPr>
          <w:p>
            <w:pPr>
              <w:spacing w:after="0"/>
              <w:rPr>
                <w:sz w:val="18"/>
                <w:szCs w:val="18"/>
                <w:color w:val="auto"/>
              </w:rPr>
            </w:pPr>
          </w:p>
        </w:tc>
        <w:tc>
          <w:tcPr>
            <w:tcW w:w="3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194"/>
        </w:trPr>
        <w:tc>
          <w:tcPr>
            <w:tcW w:w="4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Bankruptcy and Equity Exception</w:t>
            </w:r>
          </w:p>
        </w:tc>
        <w:tc>
          <w:tcPr>
            <w:tcW w:w="3200" w:type="dxa"/>
            <w:vAlign w:val="bottom"/>
          </w:tcPr>
          <w:p>
            <w:pPr>
              <w:spacing w:after="0"/>
              <w:rPr>
                <w:sz w:val="16"/>
                <w:szCs w:val="16"/>
                <w:color w:val="auto"/>
              </w:rPr>
            </w:pPr>
          </w:p>
        </w:tc>
        <w:tc>
          <w:tcPr>
            <w:tcW w:w="112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w w:val="99"/>
              </w:rPr>
              <w:t>Section 3.03(a)</w:t>
            </w:r>
          </w:p>
        </w:tc>
        <w:tc>
          <w:tcPr>
            <w:tcW w:w="2800" w:type="dxa"/>
            <w:vAlign w:val="bottom"/>
            <w:gridSpan w:val="2"/>
          </w:tcPr>
          <w:p>
            <w:pPr>
              <w:spacing w:after="0"/>
              <w:rPr>
                <w:sz w:val="16"/>
                <w:szCs w:val="16"/>
                <w:color w:val="auto"/>
              </w:rPr>
            </w:pPr>
          </w:p>
        </w:tc>
      </w:tr>
      <w:tr>
        <w:trPr>
          <w:trHeight w:val="196"/>
        </w:trPr>
        <w:tc>
          <w:tcPr>
            <w:tcW w:w="4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Base Amount</w:t>
            </w:r>
          </w:p>
        </w:tc>
        <w:tc>
          <w:tcPr>
            <w:tcW w:w="3200" w:type="dxa"/>
            <w:vAlign w:val="bottom"/>
          </w:tcPr>
          <w:p>
            <w:pPr>
              <w:spacing w:after="0"/>
              <w:rPr>
                <w:sz w:val="17"/>
                <w:szCs w:val="17"/>
                <w:color w:val="auto"/>
              </w:rPr>
            </w:pPr>
          </w:p>
        </w:tc>
        <w:tc>
          <w:tcPr>
            <w:tcW w:w="112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6.06(c)</w:t>
            </w:r>
          </w:p>
        </w:tc>
        <w:tc>
          <w:tcPr>
            <w:tcW w:w="2800" w:type="dxa"/>
            <w:vAlign w:val="bottom"/>
            <w:gridSpan w:val="2"/>
          </w:tcPr>
          <w:p>
            <w:pPr>
              <w:spacing w:after="0"/>
              <w:rPr>
                <w:sz w:val="17"/>
                <w:szCs w:val="17"/>
                <w:color w:val="auto"/>
              </w:rPr>
            </w:pPr>
          </w:p>
        </w:tc>
      </w:tr>
      <w:tr>
        <w:trPr>
          <w:trHeight w:val="196"/>
        </w:trPr>
        <w:tc>
          <w:tcPr>
            <w:tcW w:w="4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Capitalization Date</w:t>
            </w:r>
          </w:p>
        </w:tc>
        <w:tc>
          <w:tcPr>
            <w:tcW w:w="3200" w:type="dxa"/>
            <w:vAlign w:val="bottom"/>
          </w:tcPr>
          <w:p>
            <w:pPr>
              <w:spacing w:after="0"/>
              <w:rPr>
                <w:sz w:val="17"/>
                <w:szCs w:val="17"/>
                <w:color w:val="auto"/>
              </w:rPr>
            </w:pPr>
          </w:p>
        </w:tc>
        <w:tc>
          <w:tcPr>
            <w:tcW w:w="114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3.02(b)</w:t>
            </w:r>
          </w:p>
        </w:tc>
        <w:tc>
          <w:tcPr>
            <w:tcW w:w="2780" w:type="dxa"/>
            <w:vAlign w:val="bottom"/>
          </w:tcPr>
          <w:p>
            <w:pPr>
              <w:spacing w:after="0"/>
              <w:rPr>
                <w:sz w:val="17"/>
                <w:szCs w:val="17"/>
                <w:color w:val="auto"/>
              </w:rPr>
            </w:pPr>
          </w:p>
        </w:tc>
      </w:tr>
      <w:tr>
        <w:trPr>
          <w:trHeight w:val="196"/>
        </w:trPr>
        <w:tc>
          <w:tcPr>
            <w:tcW w:w="4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Claim</w:t>
            </w:r>
          </w:p>
        </w:tc>
        <w:tc>
          <w:tcPr>
            <w:tcW w:w="3200" w:type="dxa"/>
            <w:vAlign w:val="bottom"/>
          </w:tcPr>
          <w:p>
            <w:pPr>
              <w:spacing w:after="0"/>
              <w:rPr>
                <w:sz w:val="17"/>
                <w:szCs w:val="17"/>
                <w:color w:val="auto"/>
              </w:rPr>
            </w:pPr>
          </w:p>
        </w:tc>
        <w:tc>
          <w:tcPr>
            <w:tcW w:w="112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6.06(a)</w:t>
            </w:r>
          </w:p>
        </w:tc>
        <w:tc>
          <w:tcPr>
            <w:tcW w:w="2800" w:type="dxa"/>
            <w:vAlign w:val="bottom"/>
            <w:gridSpan w:val="2"/>
          </w:tcPr>
          <w:p>
            <w:pPr>
              <w:spacing w:after="0"/>
              <w:rPr>
                <w:sz w:val="17"/>
                <w:szCs w:val="17"/>
                <w:color w:val="auto"/>
              </w:rPr>
            </w:pPr>
          </w:p>
        </w:tc>
      </w:tr>
      <w:tr>
        <w:trPr>
          <w:trHeight w:val="196"/>
        </w:trPr>
        <w:tc>
          <w:tcPr>
            <w:tcW w:w="4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Clearance Date</w:t>
            </w:r>
          </w:p>
        </w:tc>
        <w:tc>
          <w:tcPr>
            <w:tcW w:w="3200" w:type="dxa"/>
            <w:vAlign w:val="bottom"/>
          </w:tcPr>
          <w:p>
            <w:pPr>
              <w:spacing w:after="0"/>
              <w:rPr>
                <w:sz w:val="17"/>
                <w:szCs w:val="17"/>
                <w:color w:val="auto"/>
              </w:rPr>
            </w:pPr>
          </w:p>
        </w:tc>
        <w:tc>
          <w:tcPr>
            <w:tcW w:w="110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6.01(a)</w:t>
            </w:r>
          </w:p>
        </w:tc>
        <w:tc>
          <w:tcPr>
            <w:tcW w:w="2820" w:type="dxa"/>
            <w:vAlign w:val="bottom"/>
            <w:gridSpan w:val="3"/>
          </w:tcPr>
          <w:p>
            <w:pPr>
              <w:spacing w:after="0"/>
              <w:rPr>
                <w:sz w:val="17"/>
                <w:szCs w:val="17"/>
                <w:color w:val="auto"/>
              </w:rPr>
            </w:pPr>
          </w:p>
        </w:tc>
      </w:tr>
      <w:tr>
        <w:trPr>
          <w:trHeight w:val="196"/>
        </w:trPr>
        <w:tc>
          <w:tcPr>
            <w:tcW w:w="4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Closing</w:t>
            </w:r>
          </w:p>
        </w:tc>
        <w:tc>
          <w:tcPr>
            <w:tcW w:w="3200" w:type="dxa"/>
            <w:vAlign w:val="bottom"/>
          </w:tcPr>
          <w:p>
            <w:pPr>
              <w:spacing w:after="0"/>
              <w:rPr>
                <w:sz w:val="17"/>
                <w:szCs w:val="17"/>
                <w:color w:val="auto"/>
              </w:rPr>
            </w:pPr>
          </w:p>
        </w:tc>
        <w:tc>
          <w:tcPr>
            <w:tcW w:w="9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2.03</w:t>
            </w:r>
          </w:p>
        </w:tc>
        <w:tc>
          <w:tcPr>
            <w:tcW w:w="3000" w:type="dxa"/>
            <w:vAlign w:val="bottom"/>
            <w:gridSpan w:val="4"/>
          </w:tcPr>
          <w:p>
            <w:pPr>
              <w:spacing w:after="0"/>
              <w:rPr>
                <w:sz w:val="17"/>
                <w:szCs w:val="17"/>
                <w:color w:val="auto"/>
              </w:rPr>
            </w:pPr>
          </w:p>
        </w:tc>
      </w:tr>
      <w:tr>
        <w:trPr>
          <w:trHeight w:val="196"/>
        </w:trPr>
        <w:tc>
          <w:tcPr>
            <w:tcW w:w="4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Closing Date</w:t>
            </w:r>
          </w:p>
        </w:tc>
        <w:tc>
          <w:tcPr>
            <w:tcW w:w="3200" w:type="dxa"/>
            <w:vAlign w:val="bottom"/>
          </w:tcPr>
          <w:p>
            <w:pPr>
              <w:spacing w:after="0"/>
              <w:rPr>
                <w:sz w:val="17"/>
                <w:szCs w:val="17"/>
                <w:color w:val="auto"/>
              </w:rPr>
            </w:pPr>
          </w:p>
        </w:tc>
        <w:tc>
          <w:tcPr>
            <w:tcW w:w="9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2.03</w:t>
            </w:r>
          </w:p>
        </w:tc>
        <w:tc>
          <w:tcPr>
            <w:tcW w:w="3020" w:type="dxa"/>
            <w:vAlign w:val="bottom"/>
            <w:gridSpan w:val="5"/>
          </w:tcPr>
          <w:p>
            <w:pPr>
              <w:spacing w:after="0"/>
              <w:rPr>
                <w:sz w:val="17"/>
                <w:szCs w:val="17"/>
                <w:color w:val="auto"/>
              </w:rPr>
            </w:pPr>
          </w:p>
        </w:tc>
      </w:tr>
      <w:tr>
        <w:trPr>
          <w:trHeight w:val="21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3200" w:type="dxa"/>
            <w:vAlign w:val="bottom"/>
          </w:tcPr>
          <w:p>
            <w:pPr>
              <w:spacing w:after="0"/>
              <w:rPr>
                <w:sz w:val="18"/>
                <w:szCs w:val="18"/>
                <w:color w:val="auto"/>
              </w:rPr>
            </w:pPr>
          </w:p>
        </w:tc>
        <w:tc>
          <w:tcPr>
            <w:tcW w:w="3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3200" w:type="dxa"/>
            <w:vAlign w:val="bottom"/>
          </w:tcPr>
          <w:p>
            <w:pPr>
              <w:spacing w:after="0"/>
              <w:rPr>
                <w:sz w:val="20"/>
                <w:szCs w:val="20"/>
                <w:color w:val="auto"/>
              </w:rPr>
            </w:pPr>
          </w:p>
        </w:tc>
        <w:tc>
          <w:tcPr>
            <w:tcW w:w="3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324"/>
        </w:trPr>
        <w:tc>
          <w:tcPr>
            <w:tcW w:w="5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4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Company Capital Stock</w:t>
            </w:r>
          </w:p>
        </w:tc>
        <w:tc>
          <w:tcPr>
            <w:tcW w:w="3220" w:type="dxa"/>
            <w:vAlign w:val="bottom"/>
          </w:tcPr>
          <w:p>
            <w:pPr>
              <w:spacing w:after="0"/>
              <w:rPr>
                <w:sz w:val="16"/>
                <w:szCs w:val="16"/>
                <w:color w:val="auto"/>
              </w:rPr>
            </w:pPr>
          </w:p>
        </w:tc>
        <w:tc>
          <w:tcPr>
            <w:tcW w:w="110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w w:val="98"/>
              </w:rPr>
              <w:t>Section 3.02(a)</w:t>
            </w:r>
          </w:p>
        </w:tc>
        <w:tc>
          <w:tcPr>
            <w:tcW w:w="2820" w:type="dxa"/>
            <w:vAlign w:val="bottom"/>
            <w:gridSpan w:val="7"/>
          </w:tcPr>
          <w:p>
            <w:pPr>
              <w:spacing w:after="0"/>
              <w:rPr>
                <w:sz w:val="16"/>
                <w:szCs w:val="16"/>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 Disclosure Letter</w:t>
            </w:r>
          </w:p>
        </w:tc>
        <w:tc>
          <w:tcPr>
            <w:tcW w:w="32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Article III</w:t>
            </w:r>
          </w:p>
        </w:tc>
        <w:tc>
          <w:tcPr>
            <w:tcW w:w="3200" w:type="dxa"/>
            <w:vAlign w:val="bottom"/>
            <w:gridSpan w:val="11"/>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 Financial Advisor</w:t>
            </w:r>
          </w:p>
        </w:tc>
        <w:tc>
          <w:tcPr>
            <w:tcW w:w="3220" w:type="dxa"/>
            <w:vAlign w:val="bottom"/>
          </w:tcPr>
          <w:p>
            <w:pPr>
              <w:spacing w:after="0"/>
              <w:rPr>
                <w:sz w:val="17"/>
                <w:szCs w:val="17"/>
                <w:color w:val="auto"/>
              </w:rPr>
            </w:pPr>
          </w:p>
        </w:tc>
        <w:tc>
          <w:tcPr>
            <w:tcW w:w="9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3.21</w:t>
            </w:r>
          </w:p>
        </w:tc>
        <w:tc>
          <w:tcPr>
            <w:tcW w:w="3000" w:type="dxa"/>
            <w:vAlign w:val="bottom"/>
            <w:gridSpan w:val="9"/>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 Material Contracts</w:t>
            </w:r>
          </w:p>
        </w:tc>
        <w:tc>
          <w:tcPr>
            <w:tcW w:w="3220" w:type="dxa"/>
            <w:vAlign w:val="bottom"/>
          </w:tcPr>
          <w:p>
            <w:pPr>
              <w:spacing w:after="0"/>
              <w:rPr>
                <w:sz w:val="17"/>
                <w:szCs w:val="17"/>
                <w:color w:val="auto"/>
              </w:rPr>
            </w:pPr>
          </w:p>
        </w:tc>
        <w:tc>
          <w:tcPr>
            <w:tcW w:w="11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3.13(a)</w:t>
            </w:r>
          </w:p>
        </w:tc>
        <w:tc>
          <w:tcPr>
            <w:tcW w:w="2800" w:type="dxa"/>
            <w:vAlign w:val="bottom"/>
            <w:gridSpan w:val="6"/>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 Permits</w:t>
            </w:r>
          </w:p>
        </w:tc>
        <w:tc>
          <w:tcPr>
            <w:tcW w:w="3220" w:type="dxa"/>
            <w:vAlign w:val="bottom"/>
          </w:tcPr>
          <w:p>
            <w:pPr>
              <w:spacing w:after="0"/>
              <w:rPr>
                <w:sz w:val="17"/>
                <w:szCs w:val="17"/>
                <w:color w:val="auto"/>
              </w:rPr>
            </w:pPr>
          </w:p>
        </w:tc>
        <w:tc>
          <w:tcPr>
            <w:tcW w:w="11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3.11(b)</w:t>
            </w:r>
          </w:p>
        </w:tc>
        <w:tc>
          <w:tcPr>
            <w:tcW w:w="2780" w:type="dxa"/>
            <w:vAlign w:val="bottom"/>
            <w:gridSpan w:val="5"/>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 Preferred Stock</w:t>
            </w:r>
          </w:p>
        </w:tc>
        <w:tc>
          <w:tcPr>
            <w:tcW w:w="3220" w:type="dxa"/>
            <w:vAlign w:val="bottom"/>
          </w:tcPr>
          <w:p>
            <w:pPr>
              <w:spacing w:after="0"/>
              <w:rPr>
                <w:sz w:val="17"/>
                <w:szCs w:val="17"/>
                <w:color w:val="auto"/>
              </w:rPr>
            </w:pPr>
          </w:p>
        </w:tc>
        <w:tc>
          <w:tcPr>
            <w:tcW w:w="11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3.02(a)</w:t>
            </w:r>
          </w:p>
        </w:tc>
        <w:tc>
          <w:tcPr>
            <w:tcW w:w="2800" w:type="dxa"/>
            <w:vAlign w:val="bottom"/>
            <w:gridSpan w:val="6"/>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 Related Parties</w:t>
            </w:r>
          </w:p>
        </w:tc>
        <w:tc>
          <w:tcPr>
            <w:tcW w:w="3220" w:type="dxa"/>
            <w:vAlign w:val="bottom"/>
          </w:tcPr>
          <w:p>
            <w:pPr>
              <w:spacing w:after="0"/>
              <w:rPr>
                <w:sz w:val="17"/>
                <w:szCs w:val="17"/>
                <w:color w:val="auto"/>
              </w:rPr>
            </w:pPr>
          </w:p>
        </w:tc>
        <w:tc>
          <w:tcPr>
            <w:tcW w:w="3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Section 8.02(b)(vi)</w:t>
            </w: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 Released Parties</w:t>
            </w:r>
          </w:p>
        </w:tc>
        <w:tc>
          <w:tcPr>
            <w:tcW w:w="3220" w:type="dxa"/>
            <w:vAlign w:val="bottom"/>
          </w:tcPr>
          <w:p>
            <w:pPr>
              <w:spacing w:after="0"/>
              <w:rPr>
                <w:sz w:val="17"/>
                <w:szCs w:val="17"/>
                <w:color w:val="auto"/>
              </w:rPr>
            </w:pPr>
          </w:p>
        </w:tc>
        <w:tc>
          <w:tcPr>
            <w:tcW w:w="1360" w:type="dxa"/>
            <w:vAlign w:val="bottom"/>
            <w:tcBorders>
              <w:top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Section 9.11(a)</w:t>
            </w:r>
          </w:p>
        </w:tc>
        <w:tc>
          <w:tcPr>
            <w:tcW w:w="256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 Releasing Parties</w:t>
            </w:r>
          </w:p>
        </w:tc>
        <w:tc>
          <w:tcPr>
            <w:tcW w:w="3220" w:type="dxa"/>
            <w:vAlign w:val="bottom"/>
          </w:tcPr>
          <w:p>
            <w:pPr>
              <w:spacing w:after="0"/>
              <w:rPr>
                <w:sz w:val="17"/>
                <w:szCs w:val="17"/>
                <w:color w:val="auto"/>
              </w:rPr>
            </w:pPr>
          </w:p>
        </w:tc>
        <w:tc>
          <w:tcPr>
            <w:tcW w:w="11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9.11(b)</w:t>
            </w:r>
          </w:p>
        </w:tc>
        <w:tc>
          <w:tcPr>
            <w:tcW w:w="2780" w:type="dxa"/>
            <w:vAlign w:val="bottom"/>
            <w:gridSpan w:val="5"/>
          </w:tcPr>
          <w:p>
            <w:pPr>
              <w:spacing w:after="0"/>
              <w:rPr>
                <w:sz w:val="17"/>
                <w:szCs w:val="17"/>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Stockholders</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4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Company Stockholders Meeting</w:t>
            </w:r>
          </w:p>
        </w:tc>
        <w:tc>
          <w:tcPr>
            <w:tcW w:w="3220" w:type="dxa"/>
            <w:vAlign w:val="bottom"/>
          </w:tcPr>
          <w:p>
            <w:pPr>
              <w:spacing w:after="0"/>
              <w:rPr>
                <w:sz w:val="16"/>
                <w:szCs w:val="16"/>
                <w:color w:val="auto"/>
              </w:rPr>
            </w:pPr>
          </w:p>
        </w:tc>
        <w:tc>
          <w:tcPr>
            <w:tcW w:w="1160" w:type="dxa"/>
            <w:vAlign w:val="bottom"/>
            <w:tcBorders>
              <w:bottom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Section 6.01(b)</w:t>
            </w:r>
          </w:p>
        </w:tc>
        <w:tc>
          <w:tcPr>
            <w:tcW w:w="2760" w:type="dxa"/>
            <w:vAlign w:val="bottom"/>
            <w:gridSpan w:val="4"/>
          </w:tcPr>
          <w:p>
            <w:pPr>
              <w:spacing w:after="0"/>
              <w:rPr>
                <w:sz w:val="16"/>
                <w:szCs w:val="16"/>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Consent</w:t>
            </w:r>
          </w:p>
        </w:tc>
        <w:tc>
          <w:tcPr>
            <w:tcW w:w="3220" w:type="dxa"/>
            <w:vAlign w:val="bottom"/>
          </w:tcPr>
          <w:p>
            <w:pPr>
              <w:spacing w:after="0"/>
              <w:rPr>
                <w:sz w:val="17"/>
                <w:szCs w:val="17"/>
                <w:color w:val="auto"/>
              </w:rPr>
            </w:pPr>
          </w:p>
        </w:tc>
        <w:tc>
          <w:tcPr>
            <w:tcW w:w="11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3.04(b)</w:t>
            </w:r>
          </w:p>
        </w:tc>
        <w:tc>
          <w:tcPr>
            <w:tcW w:w="2760" w:type="dxa"/>
            <w:vAlign w:val="bottom"/>
            <w:gridSpan w:val="4"/>
          </w:tcPr>
          <w:p>
            <w:pPr>
              <w:spacing w:after="0"/>
              <w:rPr>
                <w:sz w:val="17"/>
                <w:szCs w:val="17"/>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Conversion Notices</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Debt and Equity Purchase Agreement</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194"/>
        </w:trPr>
        <w:tc>
          <w:tcPr>
            <w:tcW w:w="4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Effective Time</w:t>
            </w:r>
          </w:p>
        </w:tc>
        <w:tc>
          <w:tcPr>
            <w:tcW w:w="3220" w:type="dxa"/>
            <w:vAlign w:val="bottom"/>
          </w:tcPr>
          <w:p>
            <w:pPr>
              <w:spacing w:after="0"/>
              <w:rPr>
                <w:sz w:val="16"/>
                <w:szCs w:val="16"/>
                <w:color w:val="auto"/>
              </w:rPr>
            </w:pPr>
          </w:p>
        </w:tc>
        <w:tc>
          <w:tcPr>
            <w:tcW w:w="90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7"/>
              </w:rPr>
              <w:t>Section 2.03</w:t>
            </w:r>
          </w:p>
        </w:tc>
        <w:tc>
          <w:tcPr>
            <w:tcW w:w="3020" w:type="dxa"/>
            <w:vAlign w:val="bottom"/>
            <w:gridSpan w:val="10"/>
          </w:tcPr>
          <w:p>
            <w:pPr>
              <w:spacing w:after="0"/>
              <w:rPr>
                <w:sz w:val="16"/>
                <w:szCs w:val="16"/>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4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Employment Laws</w:t>
            </w:r>
          </w:p>
        </w:tc>
        <w:tc>
          <w:tcPr>
            <w:tcW w:w="3220" w:type="dxa"/>
            <w:vAlign w:val="bottom"/>
          </w:tcPr>
          <w:p>
            <w:pPr>
              <w:spacing w:after="0"/>
              <w:rPr>
                <w:sz w:val="16"/>
                <w:szCs w:val="16"/>
                <w:color w:val="auto"/>
              </w:rPr>
            </w:pPr>
          </w:p>
        </w:tc>
        <w:tc>
          <w:tcPr>
            <w:tcW w:w="1120" w:type="dxa"/>
            <w:vAlign w:val="bottom"/>
            <w:tcBorders>
              <w:bottom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w w:val="99"/>
              </w:rPr>
              <w:t>Section 3.16(a)</w:t>
            </w:r>
          </w:p>
        </w:tc>
        <w:tc>
          <w:tcPr>
            <w:tcW w:w="2800" w:type="dxa"/>
            <w:vAlign w:val="bottom"/>
            <w:gridSpan w:val="6"/>
          </w:tcPr>
          <w:p>
            <w:pPr>
              <w:spacing w:after="0"/>
              <w:rPr>
                <w:sz w:val="16"/>
                <w:szCs w:val="16"/>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Exchange Act</w:t>
            </w:r>
          </w:p>
        </w:tc>
        <w:tc>
          <w:tcPr>
            <w:tcW w:w="3220" w:type="dxa"/>
            <w:vAlign w:val="bottom"/>
          </w:tcPr>
          <w:p>
            <w:pPr>
              <w:spacing w:after="0"/>
              <w:rPr>
                <w:sz w:val="17"/>
                <w:szCs w:val="17"/>
                <w:color w:val="auto"/>
              </w:rPr>
            </w:pPr>
          </w:p>
        </w:tc>
        <w:tc>
          <w:tcPr>
            <w:tcW w:w="11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3.04(b)</w:t>
            </w:r>
          </w:p>
        </w:tc>
        <w:tc>
          <w:tcPr>
            <w:tcW w:w="2760" w:type="dxa"/>
            <w:vAlign w:val="bottom"/>
            <w:gridSpan w:val="4"/>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Exchange Transactions</w:t>
            </w:r>
          </w:p>
        </w:tc>
        <w:tc>
          <w:tcPr>
            <w:tcW w:w="3220" w:type="dxa"/>
            <w:vAlign w:val="bottom"/>
          </w:tcPr>
          <w:p>
            <w:pPr>
              <w:spacing w:after="0"/>
              <w:rPr>
                <w:sz w:val="17"/>
                <w:szCs w:val="17"/>
                <w:color w:val="auto"/>
              </w:rPr>
            </w:pPr>
          </w:p>
        </w:tc>
        <w:tc>
          <w:tcPr>
            <w:tcW w:w="110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2.01(c)</w:t>
            </w:r>
          </w:p>
        </w:tc>
        <w:tc>
          <w:tcPr>
            <w:tcW w:w="2820" w:type="dxa"/>
            <w:vAlign w:val="bottom"/>
            <w:gridSpan w:val="7"/>
          </w:tcPr>
          <w:p>
            <w:pPr>
              <w:spacing w:after="0"/>
              <w:rPr>
                <w:sz w:val="17"/>
                <w:szCs w:val="17"/>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Existing Agent</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Existing Credit Agreement</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4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Fairness Opinion</w:t>
            </w:r>
          </w:p>
        </w:tc>
        <w:tc>
          <w:tcPr>
            <w:tcW w:w="3220" w:type="dxa"/>
            <w:vAlign w:val="bottom"/>
          </w:tcPr>
          <w:p>
            <w:pPr>
              <w:spacing w:after="0"/>
              <w:rPr>
                <w:sz w:val="16"/>
                <w:szCs w:val="16"/>
                <w:color w:val="auto"/>
              </w:rPr>
            </w:pPr>
          </w:p>
        </w:tc>
        <w:tc>
          <w:tcPr>
            <w:tcW w:w="90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7"/>
              </w:rPr>
              <w:t>Section 3.22</w:t>
            </w:r>
          </w:p>
        </w:tc>
        <w:tc>
          <w:tcPr>
            <w:tcW w:w="3020" w:type="dxa"/>
            <w:vAlign w:val="bottom"/>
            <w:gridSpan w:val="10"/>
          </w:tcPr>
          <w:p>
            <w:pPr>
              <w:spacing w:after="0"/>
              <w:rPr>
                <w:sz w:val="16"/>
                <w:szCs w:val="16"/>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Committee</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Committee Recommendation</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4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3220" w:type="dxa"/>
            <w:vAlign w:val="bottom"/>
          </w:tcPr>
          <w:p>
            <w:pPr>
              <w:spacing w:after="0"/>
              <w:rPr>
                <w:sz w:val="16"/>
                <w:szCs w:val="16"/>
                <w:color w:val="auto"/>
              </w:rPr>
            </w:pPr>
          </w:p>
        </w:tc>
        <w:tc>
          <w:tcPr>
            <w:tcW w:w="1120" w:type="dxa"/>
            <w:vAlign w:val="bottom"/>
            <w:tcBorders>
              <w:bottom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w w:val="99"/>
              </w:rPr>
              <w:t>Section 3.06(a)</w:t>
            </w:r>
          </w:p>
        </w:tc>
        <w:tc>
          <w:tcPr>
            <w:tcW w:w="2800" w:type="dxa"/>
            <w:vAlign w:val="bottom"/>
            <w:gridSpan w:val="6"/>
          </w:tcPr>
          <w:p>
            <w:pPr>
              <w:spacing w:after="0"/>
              <w:rPr>
                <w:sz w:val="16"/>
                <w:szCs w:val="16"/>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Share by RTR Contracts</w:t>
            </w:r>
          </w:p>
        </w:tc>
        <w:tc>
          <w:tcPr>
            <w:tcW w:w="3220" w:type="dxa"/>
            <w:vAlign w:val="bottom"/>
          </w:tcPr>
          <w:p>
            <w:pPr>
              <w:spacing w:after="0"/>
              <w:rPr>
                <w:sz w:val="17"/>
                <w:szCs w:val="17"/>
                <w:color w:val="auto"/>
              </w:rPr>
            </w:pPr>
          </w:p>
        </w:tc>
        <w:tc>
          <w:tcPr>
            <w:tcW w:w="11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3.13(c)</w:t>
            </w:r>
          </w:p>
        </w:tc>
        <w:tc>
          <w:tcPr>
            <w:tcW w:w="2800" w:type="dxa"/>
            <w:vAlign w:val="bottom"/>
            <w:gridSpan w:val="6"/>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GAAP</w:t>
            </w:r>
          </w:p>
        </w:tc>
        <w:tc>
          <w:tcPr>
            <w:tcW w:w="3220" w:type="dxa"/>
            <w:vAlign w:val="bottom"/>
          </w:tcPr>
          <w:p>
            <w:pPr>
              <w:spacing w:after="0"/>
              <w:rPr>
                <w:sz w:val="17"/>
                <w:szCs w:val="17"/>
                <w:color w:val="auto"/>
              </w:rPr>
            </w:pPr>
          </w:p>
        </w:tc>
        <w:tc>
          <w:tcPr>
            <w:tcW w:w="11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3.06(a)</w:t>
            </w:r>
          </w:p>
        </w:tc>
        <w:tc>
          <w:tcPr>
            <w:tcW w:w="2800" w:type="dxa"/>
            <w:vAlign w:val="bottom"/>
            <w:gridSpan w:val="6"/>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Indemnified Person</w:t>
            </w:r>
          </w:p>
        </w:tc>
        <w:tc>
          <w:tcPr>
            <w:tcW w:w="3220" w:type="dxa"/>
            <w:vAlign w:val="bottom"/>
          </w:tcPr>
          <w:p>
            <w:pPr>
              <w:spacing w:after="0"/>
              <w:rPr>
                <w:sz w:val="17"/>
                <w:szCs w:val="17"/>
                <w:color w:val="auto"/>
              </w:rPr>
            </w:pPr>
          </w:p>
        </w:tc>
        <w:tc>
          <w:tcPr>
            <w:tcW w:w="110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6.06(a)</w:t>
            </w:r>
          </w:p>
        </w:tc>
        <w:tc>
          <w:tcPr>
            <w:tcW w:w="2820" w:type="dxa"/>
            <w:vAlign w:val="bottom"/>
            <w:gridSpan w:val="7"/>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Initial Press Release</w:t>
            </w:r>
          </w:p>
        </w:tc>
        <w:tc>
          <w:tcPr>
            <w:tcW w:w="3220" w:type="dxa"/>
            <w:vAlign w:val="bottom"/>
          </w:tcPr>
          <w:p>
            <w:pPr>
              <w:spacing w:after="0"/>
              <w:rPr>
                <w:sz w:val="17"/>
                <w:szCs w:val="17"/>
                <w:color w:val="auto"/>
              </w:rPr>
            </w:pPr>
          </w:p>
        </w:tc>
        <w:tc>
          <w:tcPr>
            <w:tcW w:w="9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6.07</w:t>
            </w:r>
          </w:p>
        </w:tc>
        <w:tc>
          <w:tcPr>
            <w:tcW w:w="3000" w:type="dxa"/>
            <w:vAlign w:val="bottom"/>
            <w:gridSpan w:val="9"/>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Intervening Event</w:t>
            </w:r>
          </w:p>
        </w:tc>
        <w:tc>
          <w:tcPr>
            <w:tcW w:w="3220" w:type="dxa"/>
            <w:vAlign w:val="bottom"/>
          </w:tcPr>
          <w:p>
            <w:pPr>
              <w:spacing w:after="0"/>
              <w:rPr>
                <w:sz w:val="17"/>
                <w:szCs w:val="17"/>
                <w:color w:val="auto"/>
              </w:rPr>
            </w:pPr>
          </w:p>
        </w:tc>
        <w:tc>
          <w:tcPr>
            <w:tcW w:w="11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5.02(h)</w:t>
            </w:r>
          </w:p>
        </w:tc>
        <w:tc>
          <w:tcPr>
            <w:tcW w:w="2760" w:type="dxa"/>
            <w:vAlign w:val="bottom"/>
            <w:gridSpan w:val="4"/>
          </w:tcPr>
          <w:p>
            <w:pPr>
              <w:spacing w:after="0"/>
              <w:rPr>
                <w:sz w:val="17"/>
                <w:szCs w:val="17"/>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Investor Group</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4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Leased Real Property</w:t>
            </w:r>
          </w:p>
        </w:tc>
        <w:tc>
          <w:tcPr>
            <w:tcW w:w="3220" w:type="dxa"/>
            <w:vAlign w:val="bottom"/>
          </w:tcPr>
          <w:p>
            <w:pPr>
              <w:spacing w:after="0"/>
              <w:rPr>
                <w:sz w:val="16"/>
                <w:szCs w:val="16"/>
                <w:color w:val="auto"/>
              </w:rPr>
            </w:pPr>
          </w:p>
        </w:tc>
        <w:tc>
          <w:tcPr>
            <w:tcW w:w="92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9"/>
              </w:rPr>
              <w:t>Section 3.14</w:t>
            </w:r>
          </w:p>
        </w:tc>
        <w:tc>
          <w:tcPr>
            <w:tcW w:w="3000" w:type="dxa"/>
            <w:vAlign w:val="bottom"/>
            <w:gridSpan w:val="9"/>
          </w:tcPr>
          <w:p>
            <w:pPr>
              <w:spacing w:after="0"/>
              <w:rPr>
                <w:sz w:val="16"/>
                <w:szCs w:val="16"/>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Legal Restraints</w:t>
            </w:r>
          </w:p>
        </w:tc>
        <w:tc>
          <w:tcPr>
            <w:tcW w:w="3220" w:type="dxa"/>
            <w:vAlign w:val="bottom"/>
          </w:tcPr>
          <w:p>
            <w:pPr>
              <w:spacing w:after="0"/>
              <w:rPr>
                <w:sz w:val="17"/>
                <w:szCs w:val="17"/>
                <w:color w:val="auto"/>
              </w:rPr>
            </w:pPr>
          </w:p>
        </w:tc>
        <w:tc>
          <w:tcPr>
            <w:tcW w:w="11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7.01(b)</w:t>
            </w:r>
          </w:p>
        </w:tc>
        <w:tc>
          <w:tcPr>
            <w:tcW w:w="2760" w:type="dxa"/>
            <w:vAlign w:val="bottom"/>
            <w:gridSpan w:val="4"/>
          </w:tcPr>
          <w:p>
            <w:pPr>
              <w:spacing w:after="0"/>
              <w:rPr>
                <w:sz w:val="17"/>
                <w:szCs w:val="17"/>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Lender</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4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Lender Proposal</w:t>
            </w:r>
          </w:p>
        </w:tc>
        <w:tc>
          <w:tcPr>
            <w:tcW w:w="3220" w:type="dxa"/>
            <w:vAlign w:val="bottom"/>
          </w:tcPr>
          <w:p>
            <w:pPr>
              <w:spacing w:after="0"/>
              <w:rPr>
                <w:sz w:val="16"/>
                <w:szCs w:val="16"/>
                <w:color w:val="auto"/>
              </w:rPr>
            </w:pPr>
          </w:p>
        </w:tc>
        <w:tc>
          <w:tcPr>
            <w:tcW w:w="1160" w:type="dxa"/>
            <w:vAlign w:val="bottom"/>
            <w:tcBorders>
              <w:bottom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Section 5.02(d)</w:t>
            </w:r>
          </w:p>
        </w:tc>
        <w:tc>
          <w:tcPr>
            <w:tcW w:w="2760" w:type="dxa"/>
            <w:vAlign w:val="bottom"/>
            <w:gridSpan w:val="4"/>
          </w:tcPr>
          <w:p>
            <w:pPr>
              <w:spacing w:after="0"/>
              <w:rPr>
                <w:sz w:val="16"/>
                <w:szCs w:val="16"/>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Lender Released Parties</w:t>
            </w:r>
          </w:p>
        </w:tc>
        <w:tc>
          <w:tcPr>
            <w:tcW w:w="3220" w:type="dxa"/>
            <w:vAlign w:val="bottom"/>
          </w:tcPr>
          <w:p>
            <w:pPr>
              <w:spacing w:after="0"/>
              <w:rPr>
                <w:sz w:val="17"/>
                <w:szCs w:val="17"/>
                <w:color w:val="auto"/>
              </w:rPr>
            </w:pPr>
          </w:p>
        </w:tc>
        <w:tc>
          <w:tcPr>
            <w:tcW w:w="11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9.11(b)</w:t>
            </w:r>
          </w:p>
        </w:tc>
        <w:tc>
          <w:tcPr>
            <w:tcW w:w="2780" w:type="dxa"/>
            <w:vAlign w:val="bottom"/>
            <w:gridSpan w:val="5"/>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Lender Releasing Parties</w:t>
            </w:r>
          </w:p>
        </w:tc>
        <w:tc>
          <w:tcPr>
            <w:tcW w:w="3220" w:type="dxa"/>
            <w:vAlign w:val="bottom"/>
          </w:tcPr>
          <w:p>
            <w:pPr>
              <w:spacing w:after="0"/>
              <w:rPr>
                <w:sz w:val="17"/>
                <w:szCs w:val="17"/>
                <w:color w:val="auto"/>
              </w:rPr>
            </w:pPr>
          </w:p>
        </w:tc>
        <w:tc>
          <w:tcPr>
            <w:tcW w:w="3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Section 9.11(a)</w:t>
            </w:r>
          </w:p>
        </w:tc>
      </w:tr>
      <w:tr>
        <w:trPr>
          <w:trHeight w:val="20"/>
        </w:trPr>
        <w:tc>
          <w:tcPr>
            <w:tcW w:w="4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Lender Supplied Information</w:t>
            </w:r>
          </w:p>
        </w:tc>
        <w:tc>
          <w:tcPr>
            <w:tcW w:w="3220" w:type="dxa"/>
            <w:vAlign w:val="bottom"/>
          </w:tcPr>
          <w:p>
            <w:pPr>
              <w:spacing w:after="0"/>
              <w:rPr>
                <w:sz w:val="17"/>
                <w:szCs w:val="17"/>
                <w:color w:val="auto"/>
              </w:rPr>
            </w:pPr>
          </w:p>
        </w:tc>
        <w:tc>
          <w:tcPr>
            <w:tcW w:w="11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6.01(a)</w:t>
            </w:r>
          </w:p>
        </w:tc>
        <w:tc>
          <w:tcPr>
            <w:tcW w:w="2800" w:type="dxa"/>
            <w:vAlign w:val="bottom"/>
            <w:gridSpan w:val="6"/>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Lookback Date</w:t>
            </w:r>
          </w:p>
        </w:tc>
        <w:tc>
          <w:tcPr>
            <w:tcW w:w="3220" w:type="dxa"/>
            <w:vAlign w:val="bottom"/>
          </w:tcPr>
          <w:p>
            <w:pPr>
              <w:spacing w:after="0"/>
              <w:rPr>
                <w:sz w:val="17"/>
                <w:szCs w:val="17"/>
                <w:color w:val="auto"/>
              </w:rPr>
            </w:pPr>
          </w:p>
        </w:tc>
        <w:tc>
          <w:tcPr>
            <w:tcW w:w="11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3.06(a)</w:t>
            </w:r>
          </w:p>
        </w:tc>
        <w:tc>
          <w:tcPr>
            <w:tcW w:w="2800" w:type="dxa"/>
            <w:vAlign w:val="bottom"/>
            <w:gridSpan w:val="6"/>
          </w:tcPr>
          <w:p>
            <w:pPr>
              <w:spacing w:after="0"/>
              <w:rPr>
                <w:sz w:val="17"/>
                <w:szCs w:val="17"/>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Nasdaq</w:t>
            </w:r>
          </w:p>
        </w:tc>
        <w:tc>
          <w:tcPr>
            <w:tcW w:w="3220" w:type="dxa"/>
            <w:vAlign w:val="bottom"/>
          </w:tcPr>
          <w:p>
            <w:pPr>
              <w:spacing w:after="0"/>
              <w:rPr>
                <w:sz w:val="17"/>
                <w:szCs w:val="17"/>
                <w:color w:val="auto"/>
              </w:rPr>
            </w:pPr>
          </w:p>
        </w:tc>
        <w:tc>
          <w:tcPr>
            <w:tcW w:w="11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3.04(b)</w:t>
            </w:r>
          </w:p>
        </w:tc>
        <w:tc>
          <w:tcPr>
            <w:tcW w:w="2760" w:type="dxa"/>
            <w:vAlign w:val="bottom"/>
            <w:gridSpan w:val="4"/>
          </w:tcPr>
          <w:p>
            <w:pPr>
              <w:spacing w:after="0"/>
              <w:rPr>
                <w:sz w:val="17"/>
                <w:szCs w:val="17"/>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Nexus</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4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Notice Period</w:t>
            </w:r>
          </w:p>
        </w:tc>
        <w:tc>
          <w:tcPr>
            <w:tcW w:w="3220" w:type="dxa"/>
            <w:vAlign w:val="bottom"/>
          </w:tcPr>
          <w:p>
            <w:pPr>
              <w:spacing w:after="0"/>
              <w:rPr>
                <w:sz w:val="16"/>
                <w:szCs w:val="16"/>
                <w:color w:val="auto"/>
              </w:rPr>
            </w:pPr>
          </w:p>
        </w:tc>
        <w:tc>
          <w:tcPr>
            <w:tcW w:w="1160" w:type="dxa"/>
            <w:vAlign w:val="bottom"/>
            <w:tcBorders>
              <w:bottom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Section 5.02(d)</w:t>
            </w:r>
          </w:p>
        </w:tc>
        <w:tc>
          <w:tcPr>
            <w:tcW w:w="2760" w:type="dxa"/>
            <w:vAlign w:val="bottom"/>
            <w:gridSpan w:val="4"/>
          </w:tcPr>
          <w:p>
            <w:pPr>
              <w:spacing w:after="0"/>
              <w:rPr>
                <w:sz w:val="16"/>
                <w:szCs w:val="16"/>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Outside Date</w:t>
            </w:r>
          </w:p>
        </w:tc>
        <w:tc>
          <w:tcPr>
            <w:tcW w:w="3220" w:type="dxa"/>
            <w:vAlign w:val="bottom"/>
          </w:tcPr>
          <w:p>
            <w:pPr>
              <w:spacing w:after="0"/>
              <w:rPr>
                <w:sz w:val="17"/>
                <w:szCs w:val="17"/>
                <w:color w:val="auto"/>
              </w:rPr>
            </w:pPr>
          </w:p>
        </w:tc>
        <w:tc>
          <w:tcPr>
            <w:tcW w:w="128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8.01(b)(i)</w:t>
            </w:r>
          </w:p>
        </w:tc>
        <w:tc>
          <w:tcPr>
            <w:tcW w:w="2640" w:type="dxa"/>
            <w:vAlign w:val="bottom"/>
            <w:gridSpan w:val="2"/>
          </w:tcPr>
          <w:p>
            <w:pPr>
              <w:spacing w:after="0"/>
              <w:rPr>
                <w:sz w:val="17"/>
                <w:szCs w:val="17"/>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Party or Parties</w:t>
            </w:r>
          </w:p>
        </w:tc>
        <w:tc>
          <w:tcPr>
            <w:tcW w:w="3220" w:type="dxa"/>
            <w:vAlign w:val="bottom"/>
          </w:tcPr>
          <w:p>
            <w:pPr>
              <w:spacing w:after="0"/>
              <w:rPr>
                <w:sz w:val="18"/>
                <w:szCs w:val="18"/>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194"/>
        </w:trPr>
        <w:tc>
          <w:tcPr>
            <w:tcW w:w="4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Post-Closing Board</w:t>
            </w:r>
          </w:p>
        </w:tc>
        <w:tc>
          <w:tcPr>
            <w:tcW w:w="3220" w:type="dxa"/>
            <w:vAlign w:val="bottom"/>
          </w:tcPr>
          <w:p>
            <w:pPr>
              <w:spacing w:after="0"/>
              <w:rPr>
                <w:sz w:val="16"/>
                <w:szCs w:val="16"/>
                <w:color w:val="auto"/>
              </w:rPr>
            </w:pPr>
          </w:p>
        </w:tc>
        <w:tc>
          <w:tcPr>
            <w:tcW w:w="1160" w:type="dxa"/>
            <w:vAlign w:val="bottom"/>
            <w:tcBorders>
              <w:bottom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Section 2.04(b)</w:t>
            </w:r>
          </w:p>
        </w:tc>
        <w:tc>
          <w:tcPr>
            <w:tcW w:w="2760" w:type="dxa"/>
            <w:vAlign w:val="bottom"/>
            <w:gridSpan w:val="4"/>
          </w:tcPr>
          <w:p>
            <w:pPr>
              <w:spacing w:after="0"/>
              <w:rPr>
                <w:sz w:val="16"/>
                <w:szCs w:val="16"/>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Post-Signing Return</w:t>
            </w:r>
          </w:p>
        </w:tc>
        <w:tc>
          <w:tcPr>
            <w:tcW w:w="3220" w:type="dxa"/>
            <w:vAlign w:val="bottom"/>
          </w:tcPr>
          <w:p>
            <w:pPr>
              <w:spacing w:after="0"/>
              <w:rPr>
                <w:sz w:val="17"/>
                <w:szCs w:val="17"/>
                <w:color w:val="auto"/>
              </w:rPr>
            </w:pPr>
          </w:p>
        </w:tc>
        <w:tc>
          <w:tcPr>
            <w:tcW w:w="3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Section 5.01(c)(i)</w:t>
            </w: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Privacy Requirements</w:t>
            </w:r>
          </w:p>
        </w:tc>
        <w:tc>
          <w:tcPr>
            <w:tcW w:w="3220" w:type="dxa"/>
            <w:vAlign w:val="bottom"/>
          </w:tcPr>
          <w:p>
            <w:pPr>
              <w:spacing w:after="0"/>
              <w:rPr>
                <w:sz w:val="17"/>
                <w:szCs w:val="17"/>
                <w:color w:val="auto"/>
              </w:rPr>
            </w:pPr>
          </w:p>
        </w:tc>
        <w:tc>
          <w:tcPr>
            <w:tcW w:w="90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3.17</w:t>
            </w:r>
          </w:p>
        </w:tc>
        <w:tc>
          <w:tcPr>
            <w:tcW w:w="360" w:type="dxa"/>
            <w:vAlign w:val="bottom"/>
            <w:tcBorders>
              <w:top w:val="single" w:sz="8" w:color="auto"/>
            </w:tcBorders>
            <w:gridSpan w:val="7"/>
          </w:tcPr>
          <w:p>
            <w:pPr>
              <w:spacing w:after="0"/>
              <w:rPr>
                <w:sz w:val="17"/>
                <w:szCs w:val="17"/>
                <w:color w:val="auto"/>
              </w:rPr>
            </w:pPr>
          </w:p>
        </w:tc>
        <w:tc>
          <w:tcPr>
            <w:tcW w:w="2660" w:type="dxa"/>
            <w:vAlign w:val="bottom"/>
            <w:gridSpan w:val="3"/>
          </w:tcPr>
          <w:p>
            <w:pPr>
              <w:spacing w:after="0"/>
              <w:rPr>
                <w:sz w:val="17"/>
                <w:szCs w:val="17"/>
                <w:color w:val="auto"/>
              </w:rPr>
            </w:pPr>
          </w:p>
        </w:tc>
      </w:tr>
      <w:tr>
        <w:trPr>
          <w:trHeight w:val="23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3220" w:type="dxa"/>
            <w:vAlign w:val="bottom"/>
          </w:tcPr>
          <w:p>
            <w:pPr>
              <w:spacing w:after="0"/>
              <w:rPr>
                <w:sz w:val="20"/>
                <w:szCs w:val="20"/>
                <w:color w:val="auto"/>
              </w:rPr>
            </w:pPr>
          </w:p>
        </w:tc>
        <w:tc>
          <w:tcPr>
            <w:tcW w:w="3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324"/>
        </w:trPr>
        <w:tc>
          <w:tcPr>
            <w:tcW w:w="4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Section 3.04(b)</w:t>
            </w:r>
          </w:p>
        </w:tc>
      </w:t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Proxy Stockholders</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Record Date</w:t>
            </w:r>
          </w:p>
        </w:tc>
        <w:tc>
          <w:tcPr>
            <w:tcW w:w="11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Section 6.01(b)</w:t>
            </w: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Representatives</w:t>
            </w: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5.02(a)</w:t>
            </w: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Rights Offering</w:t>
            </w:r>
          </w:p>
        </w:tc>
        <w:tc>
          <w:tcPr>
            <w:tcW w:w="9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6.02</w:t>
            </w:r>
          </w:p>
        </w:tc>
        <w:tc>
          <w:tcPr>
            <w:tcW w:w="180" w:type="dxa"/>
            <w:vAlign w:val="bottom"/>
          </w:tcPr>
          <w:p>
            <w:pPr>
              <w:spacing w:after="0"/>
              <w:rPr>
                <w:sz w:val="17"/>
                <w:szCs w:val="17"/>
                <w:color w:val="auto"/>
              </w:rPr>
            </w:pP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Rights Offering Registration Statement</w:t>
            </w:r>
          </w:p>
        </w:tc>
        <w:tc>
          <w:tcPr>
            <w:tcW w:w="9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6.02</w:t>
            </w:r>
          </w:p>
        </w:tc>
        <w:tc>
          <w:tcPr>
            <w:tcW w:w="180" w:type="dxa"/>
            <w:vAlign w:val="bottom"/>
          </w:tcPr>
          <w:p>
            <w:pPr>
              <w:spacing w:after="0"/>
              <w:rPr>
                <w:sz w:val="17"/>
                <w:szCs w:val="17"/>
                <w:color w:val="auto"/>
              </w:rPr>
            </w:pP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Sanctioned Country</w:t>
            </w: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3.11(d)</w:t>
            </w: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Sanctioned Person</w:t>
            </w: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3.11(d)</w:t>
            </w: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Sarbanes-Oxley Act</w:t>
            </w: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3.06(b)</w:t>
            </w: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w:t>
            </w: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3.04(b)</w:t>
            </w: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Securities Act</w:t>
            </w: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3.04(b)</w:t>
            </w: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Stockholder MIP Approval</w:t>
            </w:r>
          </w:p>
        </w:tc>
        <w:tc>
          <w:tcPr>
            <w:tcW w:w="9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6.04</w:t>
            </w:r>
          </w:p>
        </w:tc>
        <w:tc>
          <w:tcPr>
            <w:tcW w:w="200" w:type="dxa"/>
            <w:vAlign w:val="bottom"/>
            <w:gridSpan w:val="2"/>
          </w:tcPr>
          <w:p>
            <w:pPr>
              <w:spacing w:after="0"/>
              <w:rPr>
                <w:sz w:val="17"/>
                <w:szCs w:val="17"/>
                <w:color w:val="auto"/>
              </w:rPr>
            </w:pPr>
          </w:p>
        </w:tc>
      </w:t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Story3</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Superior Proposal</w:t>
            </w:r>
          </w:p>
        </w:tc>
        <w:tc>
          <w:tcPr>
            <w:tcW w:w="11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Section 5.02(h)</w:t>
            </w: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Takeover Laws</w:t>
            </w:r>
          </w:p>
        </w:tc>
        <w:tc>
          <w:tcPr>
            <w:tcW w:w="9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3.20</w:t>
            </w:r>
          </w:p>
        </w:tc>
        <w:tc>
          <w:tcPr>
            <w:tcW w:w="180" w:type="dxa"/>
            <w:vAlign w:val="bottom"/>
          </w:tcPr>
          <w:p>
            <w:pPr>
              <w:spacing w:after="0"/>
              <w:rPr>
                <w:sz w:val="17"/>
                <w:szCs w:val="17"/>
                <w:color w:val="auto"/>
              </w:rPr>
            </w:pP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Takeover Proposal</w:t>
            </w: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5.02(h)</w:t>
            </w: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Termination Fee</w:t>
            </w: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8.02(b)</w:t>
            </w:r>
          </w:p>
        </w:tc>
      </w:t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Bonus Plan Amendment</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Transaction Litigation</w:t>
            </w:r>
          </w:p>
        </w:tc>
        <w:tc>
          <w:tcPr>
            <w:tcW w:w="92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Section 6.08</w:t>
            </w:r>
          </w:p>
        </w:tc>
        <w:tc>
          <w:tcPr>
            <w:tcW w:w="180" w:type="dxa"/>
            <w:vAlign w:val="bottom"/>
          </w:tcPr>
          <w:p>
            <w:pPr>
              <w:spacing w:after="0"/>
              <w:rPr>
                <w:sz w:val="16"/>
                <w:szCs w:val="16"/>
                <w:color w:val="auto"/>
              </w:rPr>
            </w:pP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Triggering Notice</w:t>
            </w: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5.02(d)</w:t>
            </w: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Withdrawal Determination</w:t>
            </w: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5.02(d)</w:t>
            </w:r>
          </w:p>
        </w:tc>
      </w:tr>
    </w:tbl>
    <w:p>
      <w:pPr>
        <w:spacing w:after="0" w:line="225"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Interpretation; Disclosure Letter</w:t>
      </w:r>
      <w:r>
        <w:rPr>
          <w:rFonts w:ascii="Times New Roman" w:cs="Times New Roman" w:eastAsia="Times New Roman" w:hAnsi="Times New Roman"/>
          <w:sz w:val="18"/>
          <w:szCs w:val="18"/>
          <w:color w:val="auto"/>
        </w:rPr>
        <w:t>. Unless the context of this Agreement otherwise requires, when a reference is made in this Agreement to an Article, Section or Exhibit, such reference shall be to an Article, Section or Exhibit to this Agreement unless otherwise indicated. The preamble and the recitals set forth at the beginning of this Agreement are incorporated by reference into and made a part of this Agreement.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 “extent” and the phrase “to the extent” shall mean the degree to which a subject or thing extends, and such word or phrase shall not simply mean “if.” The word “will” shall be construed to have the same meaning and effect as the word “shall.” The words “or,” “any,” “neither,” “nor” or “either” shall not be exclusive. References to “this Agreement” shall include the Company Disclosure Letter.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References to any statute in this Agreement or any other Transaction Document shall be deemed to refer to such statute as amended from time to time and to any rules or regulations promulgated thereunder. References to any Contract in this Agreement or any other Transaction Document are to such Contract as amended, modified or supplemented (including by waiver or consent) from time to time in accordance with the terms hereof and thereof. The phrase “date hereof” or “date of this Agreement” shall be deemed to refer to the Effective Date. References from, to or through any date mean, unless otherwise specified, from and including, to and including or through and including, respectively, and not beyond such date. The measure of a period of one month or year for purposes of this Agreement will be the date of the following month or year corresponding to the starting date; and, if no corresponding date exists, then the end date of such period being measured will be the next actual date of the following month or year (for example, one month following February 18 is March 18 and one month following March 31 is May 1). The terms “ordinary course” and “ordinary course of business” refers to the ordinary course of business substantially consistent</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with past practice of the applicable person and its Subsidiaries. Unless the context otherwise requires, references to any Person include references to such Person’s successors and permitted assigns, and, in the case of any Governmental Authority, to any Person succeeding to its functions and capacities. The term “writing” means the representation or reproduction of words, symbols or other information in a visible form by any method or combination of methods, whether in electronic form or otherwise, and including writings delivered by electronic delivery, and “written” will be construed in the same manner. Each Party has participated in the drafting of this Agreement, which each Party acknowledges is the result of extensive negotiations among the Parties and their advisors, and the Parties agree that there shall not apply to this Agreement or any provision hereof any rule or presumption of interpreting this Agreement or any provision hereof against the draftsperson of this Agreement or any provision 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Exchange Transactions</w:t>
      </w:r>
    </w:p>
    <w:p>
      <w:pPr>
        <w:spacing w:after="0" w:line="20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Contribution and Exchange</w:t>
      </w:r>
      <w:r>
        <w:rPr>
          <w:rFonts w:ascii="Times New Roman" w:cs="Times New Roman" w:eastAsia="Times New Roman" w:hAnsi="Times New Roman"/>
          <w:sz w:val="18"/>
          <w:szCs w:val="18"/>
          <w:color w:val="auto"/>
        </w:rPr>
        <w:t>. Subject to the terms and conditions hereof, and in reliance upon the mutual representations and warranties set forth herein, at and effective as of the Closing:</w:t>
      </w:r>
    </w:p>
    <w:p>
      <w:pPr>
        <w:spacing w:after="0" w:line="162" w:lineRule="exact"/>
        <w:rPr>
          <w:sz w:val="20"/>
          <w:szCs w:val="20"/>
          <w:color w:val="auto"/>
        </w:rPr>
      </w:pPr>
    </w:p>
    <w:p>
      <w:pPr>
        <w:jc w:val="both"/>
        <w:ind w:firstLine="1304"/>
        <w:spacing w:after="0" w:line="261" w:lineRule="auto"/>
        <w:tabs>
          <w:tab w:leader="none" w:pos="19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Lender shall automatically (without a need for any further action on the part of, or notice to, Lender or any other Person) contribute, transfer, assign and convey, and shall be deemed to have contributed, transferred, assigned and conveyed, to the Company all of its rights, title and interest in, to and under its Equity Exchange Obligations in exchange for the Exchange Stock, and (ii) pursuant to the terms of the New Credit Agreement, the Debt Exchange Obligations shall be exchanged on a dollar-for-dollar cashless basis for the New Term Loans.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automatically (without a need for any further action on the part of, or notice to, the Company or any other Person) acquire and accept the contribution of the Equity Exchange Obligations and issue the Exchange Stock to Lender (or one or more of its Designated Affiliates) in book-entry form, free and clear of all Liens (other than any restrictions on transfer arising under applicable securities Laws). In furtherance of the foregoing, the Company shall cooperate with Lender and take such actions as may be reasonably necessary to (i) instruct the Company’s transfer agent to issue the Exchange Stock to Lender effective as of the Closing, and (ii) deliver to Lender evidence thereof in a form customarily delivered by the Company’s transfer agent.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shall cooperate with Lender and take such actions as may be reasonably necessary to effectuate the transfer of a portion of the Exchange Stock from Lender to Nexus and Story3 in accordance with the terms of the Debt and Equity Purchase Agreement, including by instructing the Company’s transfer agent to effectuate such transfers effective as of the Closing Date, and deliver to Lender evidence thereof in a form customarily delivered by the Company’s transfer agent.</w:t>
      </w:r>
    </w:p>
    <w:p>
      <w:pPr>
        <w:spacing w:after="0" w:line="179"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transactions described in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are referred to herein as the “</w:t>
      </w:r>
      <w:r>
        <w:rPr>
          <w:rFonts w:ascii="Times New Roman" w:cs="Times New Roman" w:eastAsia="Times New Roman" w:hAnsi="Times New Roman"/>
          <w:sz w:val="18"/>
          <w:szCs w:val="18"/>
          <w:u w:val="single" w:color="auto"/>
          <w:color w:val="auto"/>
        </w:rPr>
        <w:t>Exchange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Satisfaction of Equity Exchange Obligations and Debt Exchange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8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and in reliance upon the mutual representations and warranties set forth herein, at and effective as of the Closing (immediately after giving effect to the consummation of the Exchange Transactions), without a need for any further action on the part of, or notice to, Lender, the Existing Agent or any other Person, (i) the Equity Exchange Obligations shall automatically be deemed paid and satisfied in full and irrevocably discharged, extinguished, terminated and released, and (ii) pursuant to the New Credit Agreement, the Debt Exchange Obligations shall be exchanged on a dollar-for-dollar cashless basis for New Term Loans.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ind w:firstLine="1304"/>
        <w:spacing w:after="0" w:line="266" w:lineRule="auto"/>
        <w:tabs>
          <w:tab w:leader="none" w:pos="18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foregoing, Lender hereby ratifies any and all actions taken (or not taken) by the Existing Agent, in its capacity as such, that such Existing Agent may determine in its sole discretion to be necessary, advisable or desirable in carrying out, effectuating or otherwise in furtherance of the Exchange Transactions.</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Unless this Agreement shall have been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of the Exchange Transactions shall take place by means of a virtual closing through electronic exchange of signatures at 9:00 a.m., Eastern time, on the second (2nd) Business Day following the satisfaction or waiver (to the extent permitted herein and by applicable Law)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those conditions at such time) or on such other date, time or at such place as agreed to in writing by Lender and the Company.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and the time the Exchange Transactions become effective is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Post-Closing Officers and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8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xml:space="preserve">. Concurrently with the execution and delivery of this Agreement, each director of the Company other than Jennifer Y. Hyman has delivered to the Company his or her resignation from the Company Board and all applicable committees thereof, and the Company shall accept such resignations as are necessary to give effect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the Investor Rights Agreement, with such accepted resignations to be effective automatically and without further action by or on behalf of such director or any other person, upon the consummation of the Exchange Transactions.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Company Board</w:t>
      </w:r>
      <w:r>
        <w:rPr>
          <w:rFonts w:ascii="Times New Roman" w:cs="Times New Roman" w:eastAsia="Times New Roman" w:hAnsi="Times New Roman"/>
          <w:sz w:val="18"/>
          <w:szCs w:val="18"/>
          <w:color w:val="auto"/>
        </w:rPr>
        <w:t>. The Parties shall take all actions as may be necessary to cause, as of the Effective Time, (i) the number of directors constituting the board of directors of the Company (the “</w:t>
      </w:r>
      <w:r>
        <w:rPr>
          <w:rFonts w:ascii="Times New Roman" w:cs="Times New Roman" w:eastAsia="Times New Roman" w:hAnsi="Times New Roman"/>
          <w:sz w:val="18"/>
          <w:szCs w:val="18"/>
          <w:u w:val="single" w:color="auto"/>
          <w:color w:val="auto"/>
        </w:rPr>
        <w:t>Post-Closing Board</w:t>
      </w:r>
      <w:r>
        <w:rPr>
          <w:rFonts w:ascii="Times New Roman" w:cs="Times New Roman" w:eastAsia="Times New Roman" w:hAnsi="Times New Roman"/>
          <w:sz w:val="18"/>
          <w:szCs w:val="18"/>
          <w:color w:val="auto"/>
        </w:rPr>
        <w:t xml:space="preserve">”) to be seven, and (ii) the Post-Closing Board to be comprised of the individuals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8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the Company as of immediately prior to the Closing shall continue to be the officers of the Company as of the Effective Time, each to hold office in accordance with the Company Governing Documents, as amended, until their respective successors are duly appointed or until their earlier death, resignation or removal.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 represents and warrants to Lender that, except (i) as set forth in the SEC Documents (other than disclosures in the “Risk Factors” or “Forward-Looking Statements” sections or similarly captioned sections of any such filings or other forward-looking disclosures that are cautionary or predictive in nature) filed with the SEC and publicly available on the Electronic Data Gathering, Analysis and Retrieval database of the SEC at least two</w:t>
      </w:r>
    </w:p>
    <w:p>
      <w:pPr>
        <w:spacing w:after="0" w:line="1" w:lineRule="exact"/>
        <w:rPr>
          <w:sz w:val="20"/>
          <w:szCs w:val="20"/>
          <w:color w:val="auto"/>
        </w:rPr>
      </w:pPr>
    </w:p>
    <w:p>
      <w:pPr>
        <w:jc w:val="both"/>
        <w:ind w:firstLine="8"/>
        <w:spacing w:after="0" w:line="252" w:lineRule="auto"/>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to the Effective Date (it being acknowledged that nothing disclosed in the SEC Documents shall be deemed to modify or qualify the representations and warranties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(ii) as set forth in the letter (with specific reference to the particular Section or subsection corresponding to the representations and warranties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which the information set forth in such letter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information disclosed in one section of such letter corresponding to the representations and warranties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deemed to be disclosed in such other sections corresponding to the representations and warranties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which its relevance is reasonably apparent on the face of such disclosed information and without the need to examine underlying documentation), dated as of the Effective Date, from the Company to Lender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as of the Effective Date and as of the Closing:</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validly existing and in good standing under the Laws of the State of Delaware and has all requisite corporate power and authority necessary to own, lease and operate its properties and to carry on its business as presently conducted, except (other than with respect to the Company’s due incorporation, valid existence and good standing) as has not had, and would not reasonably be expected to have, individually or in the aggregate, a Company Material Adverse Effect. The Company is duly licensed or qualified to do business as a foreign corporation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that is a significant subsidiary under Regulation S-X (including, for the avoidance of doubt, Rent the Runway Limited) is a corporation, limited liability company, partnership or other entity duly incorporated, validly existing and in good standing (where such concept is recognized under applicable law) under the Laws of the jurisdiction of its incorporation or formation (as applicable). Each of the Company’s Subsidiaries that is a significant subsidiary under Regulation S-X (including, for the avoidance of doubt, Rent the Runway Limited) has all requisite corporate, limited liability company, partnership or other entity power and authority necessary to own or lease its properties and to carry on its business as presently conducted, except as has not had, and would not reasonably be expected to have, individually or in the aggregate, a Company Material Adverse Effect. Each of the Company’s Subsidiaries that is a significant subsidiary under Regulation S-X (including, for the avoidance of doubt, Rent the Runway Limited) is duly licensed or qualified to do business as a foreign corporation, limited liability company, partnership or other entity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and complete copy of each of the Company Governing Documents is included in the filed SEC Documents. The Company is not in violation of any of the Company Governing Documents in any material respect, and no Subsidiary of the Company is in violation of its organizational documents in any material respect.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8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authorized capital stock of the Company consists of 300,000,000 shares of Class A Common Stock, 50,000,000 shares of Class B Common Stock and 10,000,000 shares of preferred stock, $0.001 par value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5:00 p.m., Eastern time, on August 20, 2025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(i) (A) 3,941,332 shares of Class A Common Stock were issued and outstanding, (B) 155,699 shares of Class B Common Stock were issued and outstanding, (C) 0 shares of Class A Common Stock and 0 shares of Class B Common Stock were held in the Company’s treasury, (D) Company Options covering 29,034 shares of Company Common Stock were outstanding under the Company Equity Plans or otherwise, with a weighted average exercise price per share of $166.29, and (E) Company RSUs covering 214,465 shares of Company Common Stock were outstanding under the Company Equity Plans; (ii) 331,622 shares of Company Common Stock (in addition to shares of Company Common Stock subject to outstanding Company Options and Company RSUs) were reserved for issuance pursuant to the Company Equity Plans; (iii) no shares of Company Preferred Stock were issued or outstanding; and (iv) there were warrants to</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purchase 131,574 shares of Class A Common Stock at an average exercise price of $158.88 per share. No shares of capital stock of the Company are held by any of its Subsidiaries. All the outstanding shares of Company Common Stock are, and all shares of Company Common Stock reserved for issuance as described above shall be, if issued in accordance with the respective terms thereof (to the extent permitted by this Agreement), duly authorized, validly issued, fully paid and nonassessable and free of preemptive rights.</w:t>
      </w:r>
    </w:p>
    <w:p>
      <w:pPr>
        <w:spacing w:after="0" w:line="180" w:lineRule="exact"/>
        <w:rPr>
          <w:sz w:val="20"/>
          <w:szCs w:val="20"/>
          <w:color w:val="auto"/>
        </w:rPr>
      </w:pPr>
    </w:p>
    <w:p>
      <w:pPr>
        <w:jc w:val="both"/>
        <w:ind w:firstLine="1304"/>
        <w:spacing w:after="0" w:line="261" w:lineRule="auto"/>
        <w:tabs>
          <w:tab w:leader="none" w:pos="18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Company Common Stock are, and when issued in accordance with the terms hereof, the Exchange Stock will be, duly authorized and validly issued and fully paid and non-assessable. When issued in accordance with the terms hereof, the shares of Exchange Stock will be free and clear of all Liens (other than any restrictions on transfer arising under applicable securities Laws or restrictions under the Transaction Documents).</w:t>
      </w:r>
    </w:p>
    <w:p>
      <w:pPr>
        <w:spacing w:after="0" w:line="179"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Rights Offering, the Rights Offering Backstop Agreement or as otherwise expressly described in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subscription, warrant, option, convertible security or other right issued by the Company to purchase or acquire any shares of capital stock of the Company is authorized or outstanding; (ii) there is not any commitment of the Company to issue any subscription, warrant, option, convertible security or other such right or to issue or distribute to holders of any shares of its capital stock; (iii) there are no outstanding bonds, debentures, notes or other indebtedness of the Company having the right to vote (or convertible into, or exchangeable for, securities having the right to vote) on any matter on which holders of shares of Company Common Stock may vote; (iv) the Company has no obligation to purchase, redeem or otherwise acquire any shares of its capital stock or to pay any dividend or make any other distribution in respect thereof; and (v) there are no agreements between the Company and any holder of its capital stock relating to the acquisition, disposition or voting of the capital stock of the Company. No person or entity is entitled to any preemptive right granted by the Company with respect to the issuance of any capital stock of the Company.</w:t>
      </w:r>
    </w:p>
    <w:p>
      <w:pPr>
        <w:spacing w:after="0" w:line="193" w:lineRule="exact"/>
        <w:rPr>
          <w:rFonts w:ascii="Times New Roman" w:cs="Times New Roman" w:eastAsia="Times New Roman" w:hAnsi="Times New Roman"/>
          <w:sz w:val="18"/>
          <w:szCs w:val="18"/>
          <w:color w:val="auto"/>
        </w:rPr>
      </w:pPr>
    </w:p>
    <w:p>
      <w:pPr>
        <w:ind w:firstLine="1304"/>
        <w:spacing w:after="0" w:line="282" w:lineRule="auto"/>
        <w:tabs>
          <w:tab w:leader="none" w:pos="193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Class A Common Stock constitutes the only issued classes of shares or other securities of the Company or its Subsidiaries registered under the Exchange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Capitalization Date through the Effective Date, the Company has not issued or granted any shares of Company Capital Stock or any other securities of the Company or any of its Subsidiaries other than pursuant to the exercise or vesting of equity awards issued under a Company Equity Plan outstanding as of the Capitalization Date as set forth in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9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all requisite corporate power and authority to execute and deliver the Principal Transaction Documents to which it is a party and, subject to receipt of the Company Stockholder Approval and assuming the accuracy of the representations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to consummate the Transactions. Assuming the accuracy of the representations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execution, delivery and performance by the Company of each Principal Transaction Document to which it is a party and the consummation by the Company of the Transactions have been duly authorized by all necessary corporate action on the part of the Company and no other corporate proceedings on the part of the Company or the Company Stockholders are necessary to approve this Agreement and to consummate the Transactions, subject, in the case of the Exchange Transactions, the issuance of shares of Class A Common Stock issuable pursuant to the Rights Offering Backstop Agreement, the adoption of the MIP and the filing of the Amended and Restated Charter with the Secretary of State of Delaware, to receipt of the Company Stockholder Approval and the Amended and Restated Charter Approval, respectively. The Company has duly executed and delivered each Principal Transaction Document to which it is a party, and, assuming the due authorization, execution and delivery of such Principal Transaction Documents on behalf of the other parties hereto and thereto, each such Principal Transaction Document constitutes its legal, valid</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and binding obligation, enforceable against it in accordance with its terms, subject to such enforceability potentially being limited by (i) applicable bankruptcy, insolvency, reorganization, moratorium or other laws affecting the enforcement of creditors’ rights generally and (ii) general equitable principles (whether considered in a proceeding in equity or at law)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304"/>
        <w:spacing w:after="0" w:line="261" w:lineRule="auto"/>
        <w:tabs>
          <w:tab w:leader="none" w:pos="18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Committee has (i) determined that the terms of this Agreement and the other Principal Transaction Documents and the Transactions, including the Exchange Transactions, are fair to, and in the best interests of, the Company and the Company Stockholders, (ii) determined that it is in the best interests of the Company and the Company Stockholders and declared it advisable that the Company enter into this Agreement and the other Principal Transaction Documents, and (iii) resolved to make the Finance Committee Recommendation to the Company Board.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acting upon the Finance Committee Recommendation, at a meeting duly called and held, has (i) determined that the terms of this Agreement and the other Principal Transaction Documents and the Transactions, including the Exchange Transactions, are fair to, and in the best interests of, the Company and the Company Stockholders, (ii) determined that it is in the best interests of the Company and the Company Stockholders and declared it advisable that the Company enter into this Agreement and the other Principal Transaction Documents, (iii) approved the execution and delivery by the Company of this Agreement and the other Principal Transaction Documents, the performance by the Company of its covenants and agreements contained herein and therein and the consummation of the Exchange Transactions and the other Transactions upon the terms and subject to the conditions contained herein and in the other Principal Transaction Documents, and (iv) resolved to make to the Company Stockholders the Company Board Recommendation, which resolutions have not been rescinded, modified or withdrawn in any way.</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8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the Company of each Transaction Document to which it is a party do not, and, except as described in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the consummation of the Transactions and compliance with the provisions hereof will not, (i)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(other than the Existing Credit Agreement) binding upon the Company or any of its Subsidiaries or to which any of them are a party or by or to which any of their respective properties, rights or assets are bound or subject or result in the creation of any Lien upon any of the properties, rights or assets of the Company or any of its Subsidiaries, other than Permitted Liens, (ii) conflict with or result in any violation of any provision of the Company Governing Documents or organizational documents of the Company’s Subsidiaries, or (iii) conflict with or violate any Laws applicable to the Company or any of the Company’s Subsidiaries or any of their respective properties, rights or assets or any Company Permits, other than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such violation, conflict, default, termination, cancellation, acceleration, right, loss or Lien that has not been or would not reasonably be expected to be, individually or in the aggregate, material to the Company and its Subsidiaries, taken as a whole.</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or in compliance with (i) the DGCL, (ii) the filing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of a proxy statement relating to the approval by the Company Stockholders of the Amended and Restated Charter and the issuance of the Exchange Stock by the Company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and any amendments or supplements thereto or the filing and effectiveness of the Rights Offering Registration Statement and the Rights Offering, (iii)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(iv)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(v) other applicable state or federal securities Laws, and (vi) any applicable requirements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of the Nasdaq Global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no consent, approval, license, clearance, order or authorization (each, a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of, or registration, declaration or filing with any Governmental Authority is necessary or required, under applicable Law, to be obtained or made by or with respect to the Company or any of its Subsidiaries in connection with the execution, delivery and performance of any Transaction Document to which it is a party or the consummation of the Transactions, except for such Consents or filings that, if not obtained or made, would not reasonably be expected to be material to the Company and its Subsidiaries, taken as a whole.</w:t>
      </w:r>
    </w:p>
    <w:p>
      <w:pPr>
        <w:spacing w:after="0" w:line="18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of the Company Disclosure Letter sets forth a true and complete list of each Subsidiary of the Company. All of the issued and outstanding capital stock or equity interests of the Company’s Subsidiaries has been duly authorized and validly issued, and in the case of corporations, is fully paid and non-assessable. The Company, directly or indirectly, owns of record and beneficially, free and clear of all Liens (other than any restrictions on transfer arising under applicable securities Laws and Liens arising in connection with the Existing Credit Agreement or the New Credit Agreement), all of the issued and outstanding capital stock or equity interests of each of its Subsidiaries. There are no outstanding rights, options, warrants, preemptive rights, conversion rights, rights of first refusal or similar rights for the purchase or acquisition from any of the Company’s Subsidiaries of any securities of such Subsidiaries nor are there any commitments to issue or execute any such rights, options, warrants, preemptive rights, conversion rights or rights of first refusal.</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SEC Documents;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8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that is two years prior to the Effective Date (the “</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the Company has timely filed or furnished (i) all annual and quarterly reports and proxy statements (including all amendments, exhibits and schedules thereto) and (ii) all other reports and other documents (including all amendments, exhibits and schedules thereto), in each case required to be filed or furnished by the Company with the SEC pursuant to the Exchange Act and the Securities Act. As of their respective filing dates (or, if amended or superseded by a filing prior to the Effective Date, on the date of such amended or superseding filing), such SEC Documents complied in all material respects with the requirements of the Securities Act, the Exchange Act and the rules and regulations of the SEC thereunder applicable to such SEC Documents, and as of their respective dates (or, if amended or superseded by a filing prior to the Effective Date, on the date of such amended or superseding filing) none of the SEC Documents contained any untrue statement of a material fact or omitted to state a material fact required to be stated therein or necessary in order to make the statements therein, in light of the circumstances under which they were made, not misleading. As of the Effective Date, there are no unresolved written comments issued by the staff of the SEC with respect to any of the SEC Documents. As of the Effective Date, none of the SEC Documents is the subject of any ongoing review by the SEC. The financial statements of the Company included in the SEC Documents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comply as of their respective dates in all material respects with applicable accounting requirements and the rules and regulations of the SEC with respect thereto (except as may be indicated in the notes thereto or, in the case of the unaudited statements, as permitted by Form 10-Q promulgated by the SEC), and present fairly in all material respects as of their respective dates the consolidated financial position of the Company and its Subsidiaries as at the dates thereof and the consolidated results of their operations and their consolidated cash flows for each of the respective periods, all in conformity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may be indicated in such Financial Statements or the notes thereto and subject, in the case of the unaudited financial statements, to normal and recurring year-end and audit adjustments). There is no transaction, arrangement or other relationship between the Company and/or any of its Subsidiaries and an unconsolidated or other off-balance sheet entity that is required by applicable Law to be disclosed by the Company in its SEC Documents and is not so disclosed. The Company and its Subsidiaries do not have any liabilities or obligations of any nature, whether known or unknown, absolute, accrued, contingent or otherwise and whether due or to</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become due, in each case, that would be required under GAAP, as in effect on the Effective Date, to be reflected on a consolidated balance sheet of the Company (or disclosed in the notes to such balance sheet), other than liabilities or obligations (A) reflected on, reserved against, or disclosed in the notes to, the Company’s most recent consolidated balance sheet included in the SEC Documents, (B) that were incurred after the date of the Company’s most recent consolidated balance sheet included in the SEC Documents in the ordinary course of business, (C) as expressly contemplated by this Agreement or otherwise incurred in connection with the transactions contemplated by this Agreement, or (D) as has not been and would not reasonably be expected to be, individually or in the aggregate, material to the Company and its Subsidiaries, taken as a whole.</w:t>
      </w:r>
    </w:p>
    <w:p>
      <w:pPr>
        <w:spacing w:after="0" w:line="187" w:lineRule="exact"/>
        <w:rPr>
          <w:sz w:val="20"/>
          <w:szCs w:val="20"/>
          <w:color w:val="auto"/>
        </w:rPr>
      </w:pPr>
    </w:p>
    <w:p>
      <w:pPr>
        <w:jc w:val="both"/>
        <w:ind w:firstLine="1304"/>
        <w:spacing w:after="0" w:line="253" w:lineRule="auto"/>
        <w:tabs>
          <w:tab w:leader="none" w:pos="18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disclosed, based on its most recent evaluation prior to the Effective Date, to the Company’s outside auditors and the Audit Committee of the Company Board (i) any significant deficiencies and material weaknesses in the design or operation of internal control over financial reporting (as defined in Rule 13a-15(f) under the Exchange Act) that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The Company is in compliance in all material respects with the applicable provisions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with the applicable provisions of the Sarbanes-Oxley Act. Neither the Company nor any of its executive officers has received since the Lookback Date written notice from any Governmental Authority challenging or questioning the accuracy, completeness, form or manner of filing of such certifications.</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(as such term is defined in Rule 13a-15 and 15d-15 under the Exchange Act) that are designed to provide reasonable assurance that material information relating to the Company, including its Subsidiaries, that is required to be disclosed by the Company in the reports that it furnishes or files under the Exchange Act is reported within the time periods specified in the rules and forms of the SEC and that such material information is communicated to the Company’s management to allow timely decisions regarding required disclosure.</w:t>
      </w:r>
    </w:p>
    <w:p>
      <w:pPr>
        <w:spacing w:after="0" w:line="18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Company for inclusion or incorporation by reference in the Proxy Statement or the Rights Offering Registration Statement, as applicable, will, at the time it is filed with the SEC, at the date it is first mailed to the Company Stockholders, at the time of the Company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The Proxy Statement and the Rights Offering Registration Statement will comply as to form in all material respects with the requirements of the Exchange Act and the rules and regulations thereunder, except that no representation or warranty is made by the Company with respect to information or statements made or incorporated by reference in the Proxy Statement or the Rights Offering Registration Statement based on information supplied by or on behalf of Lender.</w:t>
      </w:r>
    </w:p>
    <w:p>
      <w:pPr>
        <w:spacing w:after="0" w:line="1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From February 1, 2025, through the Effective Date, except for the execution and performance of this Agreement, the business of the Company and its Subsidiaries has been conducted in all material respects in the ordinary course of business. From February 1, 2025, through the Effective Date, there has not been: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firstLine="1304"/>
        <w:spacing w:after="0" w:line="282" w:lineRule="auto"/>
        <w:tabs>
          <w:tab w:leader="none" w:pos="18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effect, event, occurrence, state of facts or development that, individually or in the aggregate, would have a Company Material Adverse Effect; or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that, if it had been taken or occurred after the execution of this Agreement, would have required the consent of Lender pursuant to </w:t>
      </w:r>
      <w:r>
        <w:rPr>
          <w:rFonts w:ascii="Times New Roman" w:cs="Times New Roman" w:eastAsia="Times New Roman" w:hAnsi="Times New Roman"/>
          <w:sz w:val="18"/>
          <w:szCs w:val="18"/>
          <w:u w:val="single" w:color="auto"/>
          <w:color w:val="auto"/>
        </w:rPr>
        <w:t>clauses (iii)-(viii)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8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timely filed all federal, state, local and foreign Tax Returns required to be filed through the Effective Date, subject to permitted extensions, and have timely paid all Taxes due by the Company and its Subsidiaries, including on their respective assets, income, businesses and franchises, whether or not shown to be payable on such Tax Returns (other than (i) with respect to which the failure to make such filing or payment would not reasonably be expected to have, individually or in the aggregate, a Company Material Adverse Effect, or (ii) any Taxes the amount or validity of which are currently being diligently contested in good faith by appropriate proceedings with adequate reserves maintained in accordance with GAAP). No Tax lien has been filed with respect to any Taxes other than liens or claims which could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9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is being threatened in writing with respect to any Taxes other than liens or claims which could not reasonably be expected to have, individually or in the aggregate, a Company Material Adverse Effect.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documentary, sales, use, registration, and real property transfer, stamp tax, excise tax, stock transfer tax, or other similar taxes (excluding any income taxes) are expected to arise out of or in connection with the Transaction effected pursuant to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examination of any Tax Return of the Company or its Subsidiaries is currently in progress by any Governmental Authority and neither the Company nor its Subsidiaries has received written notice (or, to the knowledge of the Company, oral notice) of any contemplated examination of any such Tax Return and no adjustment has been proposed in writing (or, to the knowledge of the Company, orally) with respect to any such Tax Returns by any Governmental Authority, except, in each case, as has not had, and would not reasonably be expected to have, individually or in the aggregate, a Company Material Adverse Effect.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8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party to any “listed transaction,” as defined in Section 6707A(c)(2) of the Code and Treasury Regulation 1.6011-4(b)(2).</w:t>
      </w:r>
    </w:p>
    <w:p>
      <w:pPr>
        <w:spacing w:after="0" w:line="161" w:lineRule="exact"/>
        <w:rPr>
          <w:rFonts w:ascii="Times New Roman" w:cs="Times New Roman" w:eastAsia="Times New Roman" w:hAnsi="Times New Roman"/>
          <w:sz w:val="18"/>
          <w:szCs w:val="18"/>
          <w:color w:val="auto"/>
        </w:rPr>
      </w:pPr>
    </w:p>
    <w:p>
      <w:pPr>
        <w:ind w:right="80" w:firstLine="1304"/>
        <w:spacing w:after="0" w:line="266" w:lineRule="auto"/>
        <w:tabs>
          <w:tab w:leader="none" w:pos="17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nor any of its Subsidiaries is a party to or bound by or has any obligation under any Tax allocation or Tax sharing agreement with any Person, other than between or among the Company and its Subsidiaries or any agreement not primarily related to Taxes and entered into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made adequate provision in accordance with GAAP for all material Taxes not yet due and payable. No Tax deficiency has been determined adversely to the Company or any of its Subsidiaries, which deficiency has not been either paid or is being diligently contested in good faith by appropriate proceedings with adequate reserves maintained in accordance with GAAP, except, in each case, as has not had, and would not reasonably be expected to have, individually or in the aggregate, a Company Material Adverse Effect.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in writing against the Company or any of its Subsidiaries, any of the directors or officers of the Company or any of its Subsidiaries in their capacity as such or affecting any of the business, operations, properties or assets of the Company or any of its Subsidiaries which, in any such case, has had or would reasonably be expected to have, individually or in the aggregate, a Company Material Adverse Effect. Neither the Company nor any of its Subsidiaries is in default with respect to any Judgment that is applicable to the Company or any of its Subsidiaries which, in any such case, has had or would reasonably be expected to have, individually or in the aggregate, a Company Material Adverse Effect.</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Compliance with Applicable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8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have been since the Lookback Date in compliance with and not in default under or in violation of any Laws applicable to the Company, its Subsidiaries or any of their respective properties or assets, except where such non-compliance, default or violation has not had, and would not reasonably be expected to have, individually or in the aggregate, a Company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and have since the Lookback Date possessed, all franchises, grants, authorizations, business licenses, permits, easements, variances, exceptions, consents, certificates, approvals, registrations, clearances and orders of any Governmental Authority or pursuant to any applicable Law necessary for the Company and its Subsidiaries to own, lease and operate their properties and assets or to carry on their businesses as they are now being conducted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any of its Subsidiaries has received any written notice from any Governmental Authority threatening to suspend, revoke, withdraw or modify any such Company Permit.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of its Subsidiaries, and each of their respective Representatives acting on their behalf, has, since February 1, 2020, complied in all material respects with all applicable Specified Business Conduct Laws. Since February 1, 2020, neither the Company nor any of its Subsidiaries, nor, to the knowledge of the Company, any of their respective directors, officers or employees, has been subject to any actual, pending or threatened civil, criminal or administrative actions, suits, demands, claims, hearings, notices of violation, investigations, proceedings, demand letters, settlements or enforcement actions, or made any disclosures to any Governmental Authority, involving the Company or any of its Subsidiaries, in any way relating to any applicable Specified Business Conduct Laws.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nor, to the Company’s knowledge, any director, officer, agent, employee or affiliate of the Company or such Subsidiary: (i) is a Person that is (A) listed on any Sanctions-related list of designated Persons maintained by OFAC or the U.S. Department of State, (B) located, organized, or resident in a country or territory that is itself the subject or target of any Sanctions (including, at the time of this Agreement, Cuba, Iran, North Korea, Syria, and the Crimea, so-called Donetsk People’s Republic, and so-called Luhansk People’s Republic regions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(C) designated on the Consolidated List of Persons, Groups and Entities Subject to EU Financial Sanctions maintained by the European Commission or the Consolidated</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List of Financial Sanctions Targets maintained by the Office of Financial Sanctions Implementation within the UK’s HM Treasury, or any other equivalent lists maintained by the competent sanctions authority of any state, or (D) owned or controlled by any such Person or Persons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or (ii) has, since February 1, 2020, conducted any business with or engaged in any transaction or arrangement with or involving, directly or indirectly, any Sanctioned Person or Sanctioned Country in violation of applicable Sanctions, or has otherwise been in violation of any such Sanctions. Neither the Company nor any of its Subsidiaries has, since February 1, 2020, received any written notice of material deficiencies in connection with any Sanctions matter from OFAC or any other Governmental Authority in its compliance efforts nor, since February 1, 2020, made any voluntary disclosures to OFAC or any other Governmental Authority of facts that could result in any material action being taken or any material penalty being imposed by a Governmental Authority against the Company or any of its Subsidiaries.</w:t>
      </w:r>
    </w:p>
    <w:p>
      <w:pPr>
        <w:spacing w:after="0" w:line="192" w:lineRule="exact"/>
        <w:rPr>
          <w:sz w:val="20"/>
          <w:szCs w:val="20"/>
          <w:color w:val="auto"/>
        </w:rPr>
      </w:pPr>
    </w:p>
    <w:p>
      <w:pPr>
        <w:ind w:left="1820" w:hanging="516"/>
        <w:spacing w:after="0"/>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the applicable rules of Nasdaq.</w:t>
      </w:r>
    </w:p>
    <w:p>
      <w:pPr>
        <w:spacing w:after="0" w:line="22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The Company and each of its Subsidiaries is, and since the Lookback Date has been, in compliance with all applicable Environmental Laws and Environmental Permits, except where the failure to comply has not had, and would not reasonably be expected to have, individually or in the aggregate, a Company Material Adverse Effect. Since the Lookback Date, neither the Company nor any of its Subsidiaries has received any written notice from any Governmental Authority of any violation or alleged violation of any Environmental Law or Environmental Permit, except as has not had, and would not reasonably be expected to have, individually or in the aggregate, a Company Material Adverse Effect.</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Material Contracts; Debt Instruments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8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neither the Company nor any of its Subsidiaries that is a party to a Material Contract (as defined in the Existing Credit Agreement) (each,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has received any written or, to the knowledge of the Company, oral notice of cancellation or threatened cancellation relating to a Company Material Contract, except as has not had, and would not reasonably be expected to have, individually or in the aggregate, a Company Material Adverse Effect. Each Company Material Contract is a valid and binding agreement, is in full force and effect, and is enforceable by the Company or its Subsidiary that is a party thereto against each other party thereto in accordance with its terms, subject to the Bankruptcy and Equity Exception, except as has not had, and would not reasonably be expected to have, individually or in the aggregate, a Company Material Adverse Effect. None of the Company, its Subsidiaries, or, to the knowledge of the Company, any other party to a Company Material Contract is in default or in breach of any such Company Material Contract, in each case, except as has not had, and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neither the Company nor any of its Subsidiaries (i) is party to a Contract related to indebtedness for borrowed money in connection with the business of the Company or its Subsidiaries, or (ii) has any liability in respect of a guarantee of any indebtedness for borrowed money of any other Person, in each case, that would not be permitted under the Existing Credit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Company has made available to Lender the form Contracts (since the initial public offering of the Company) that have been or are currently used by the Company or its Subsidiaries to procure rental product via “share by RTR” consignment and revenue sharing arrangements with third-party designers (“</w:t>
      </w:r>
      <w:r>
        <w:rPr>
          <w:rFonts w:ascii="Times New Roman" w:cs="Times New Roman" w:eastAsia="Times New Roman" w:hAnsi="Times New Roman"/>
          <w:sz w:val="18"/>
          <w:szCs w:val="18"/>
          <w:u w:val="single" w:color="auto"/>
          <w:color w:val="auto"/>
        </w:rPr>
        <w:t>Form Share by RTR Contracts</w:t>
      </w:r>
      <w:r>
        <w:rPr>
          <w:rFonts w:ascii="Times New Roman" w:cs="Times New Roman" w:eastAsia="Times New Roman" w:hAnsi="Times New Roman"/>
          <w:sz w:val="18"/>
          <w:szCs w:val="18"/>
          <w:color w:val="auto"/>
        </w:rPr>
        <w:t>”), and no order forms with share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by RTR vendors of the Company or its Subsidiaries deviate from the applicable Form Share by RTR Contract in a manner that would be material to the business, assets or financial condition of the Company and its Subsidiaries taken as a whole.</w:t>
      </w:r>
    </w:p>
    <w:p>
      <w:pPr>
        <w:spacing w:after="0" w:line="162"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Neither the Company nor any of its Subsidiaries owns any real property. The Company and each of its Subsidiaries hold valid leasehold interests in the real property leased, subleased, licensed to or otherwise occupied or utilized by the Company or any of its Subsidiaries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free and clear of all Liens (other than Permitted Liens), in each case, except as has not had, and would not reasonably be expected to have, individually or in the aggregate, a Company Material Adverse Effect. Since the Lookback Date, neither the Company nor any Subsidiary of the Company has received any written notice regarding (a) any material violation or breach or default under any lease related to the Leased Real Property that has not since been cured, or (b) any notice of termination under any such lease, in each case, except as has not had, and would not reasonably be expected to have, individually or in the aggregate, a Company Material Adverse Effect.</w:t>
      </w:r>
    </w:p>
    <w:p>
      <w:pPr>
        <w:spacing w:after="0" w:line="189"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(a) the Company and its Subsidiaries exclusively own, or are validly licensed to use, or otherwise have the valid right to use all Intellectual Property used in, held for use in or necessary to its business as currently conducted free and clear of any Liens, except for Permitted Liens, and (b) neither the use thereof, or the operation of the Company’s and its Subsidiaries’ businesses, by the Company and each Subsidiary infringes upon, violates or misappropriates (or has since the Lookback Date infringed upon, violated or misappropriated) the rights of any other Person. All (i) trademark and service mark registrations and applications, (ii) patents and patent applications, (iii) copyright registrations and applications, and (iv) domain name registrations, in each case, owned by the Company or a Subsidiary of the Company, are, to the knowledge of the Company, subsisting, valid, and enforceable, except as has not had, and would not reasonably be expected to have, individually or in the aggregate, a Company Material Adverse Effect. The Company and its Subsidiaries have maintained the confidentiality of all confidential information and trade secrets of the Company or its Subsidiaries, except, in each case, as has not had, and would not reasonably be expected to have, individually or in the aggregate, a Company Material Adverse Effect.</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Labor and Employment Matters; ERISA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have complied with all applicable Laws relating to employment and labor, including all Laws relating to recruiting, hiring, retaining and documenting prospective employees, wages, hours, equal opportunity, labor relations, recordkeeping, occupational health and safety, severance, collective bargaining and the payment of social security and other taxes, employment discrimination, employee classification, harassment, retaliation, reasonable accommodation, disability rights or benefits, immigration (including the completion and retention of Forms I-9 for all employees and the confirmation of employee visas), overtime compensation, child labor, health and safety, workers’ compensation, family and medical leave, employee leave, the Worker Adjustment and Retraining Notification Act of 1988, as amended, or any similar foreign, state or local law, and unemployment insurance (the “</w:t>
      </w:r>
      <w:r>
        <w:rPr>
          <w:rFonts w:ascii="Times New Roman" w:cs="Times New Roman" w:eastAsia="Times New Roman" w:hAnsi="Times New Roman"/>
          <w:sz w:val="18"/>
          <w:szCs w:val="18"/>
          <w:u w:val="single" w:color="auto"/>
          <w:color w:val="auto"/>
        </w:rPr>
        <w:t>Employment Laws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there is no suit, action, complaint, grievance, investigation, inquiry or other proceeding against the Company or any of its Subsidiaries (or their respective employees, officers or directors in their capacities as such) pending or threatened in any forum relating to the Employment Laws, including by or with any Governmental Authority. Since the Lookback Date, there have not been any strikes, labor disputes, lockouts, slowdowns or other labor disputes against the Company</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or any of its Subsidiaries pending, threatened, or to the knowledge of the Company, anticipated, except, in each case, as has not had, and would not reasonably be expected to have, individually or in the aggregate, a Company Material Adverse Effect.</w:t>
      </w:r>
    </w:p>
    <w:p>
      <w:pPr>
        <w:spacing w:after="0" w:line="162" w:lineRule="exact"/>
        <w:rPr>
          <w:sz w:val="20"/>
          <w:szCs w:val="20"/>
          <w:color w:val="auto"/>
        </w:rPr>
      </w:pPr>
    </w:p>
    <w:p>
      <w:pPr>
        <w:jc w:val="both"/>
        <w:ind w:firstLine="1304"/>
        <w:spacing w:after="0" w:line="254" w:lineRule="auto"/>
        <w:tabs>
          <w:tab w:leader="none" w:pos="19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the Company and its Subsidiaries and each ERISA Document (and each related trust, insurance contract or fund) comply with, and each ERISA Document has been maintained, contributed to, funded, qualified, registered, operated and administered by the Company and its Subsidiaries in accordance with, in each case as applicable, the terms of such ERISA Document and applicable Laws (including ERISA and the Code), (ii) all benefits, contributions and premiums required by and due under the terms of each ERISA Document or applicable Law have been timely paid in accordance with the terms of such ERISA Document and the terms of all applicable Laws, including ERISA and the Code, (iii) no non-exempt “prohibited transaction” within the meaning of Section 4975 of the Code and Section 406 of ERISA, has occurred or is reasonably expected to occur with respect to any ERISA Document and (iv) there is no pending, threatened in writing or, to the knowledge of the Company, anticipated or orally threatened claims, suits, audits or investigations related to any ERISA Document.</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and its Subsidiaries or any ERISA Affiliate has within the past six (6) years maintained, sponsored or</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contributed to: (i) any plan that is subject to Section 302 or Title IV of ERISA or Section 412 of the Code, including any “multiemployer plan” as defined in Section 3(37) of ERISA; (ii) any “multiple employer plan” within the meaning of Code Section 413(c); (iii) any “multiple employer welfare arrangement” within the meaning Section 3(40) of ERISA; or (iv) any “defined benefit plan” as defined in Section 3(35) of ERISA.</w:t>
      </w:r>
    </w:p>
    <w:p>
      <w:pPr>
        <w:spacing w:after="0" w:line="18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7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of this Agreement nor the consummation of the Transactions, either alone or in combination with another event, will: (i) result in any material payment or benefit becoming due to any current or former employee, officer, director or other individual service provider of the Company or any Subsidiary of the Company, (ii) materially increase the amount or value of any compensation or benefits payable under any ERISA Document, result in any acceleration of the time of payment or vesting of any compensation or benefits, or provide any additional compensatory rights or benefits (including funding of compensation or benefits through a trust or otherwise) to any current or former employee, officer, director or other individual service provider of the Company or any Subsidiary of the Company, or (iii) give rise to any payments or benefits that, separately or in the aggregate, could be nondeductible to the payor under Section 280G of the Code or would result in an excise Tax on any recipient under Section 4999 of the Code, except, with respect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only, as contemplated under the MIP Term Sheet or pursuant to the Transaction Bonus Plan Amendment.</w:t>
      </w:r>
    </w:p>
    <w:p>
      <w:pPr>
        <w:spacing w:after="0" w:line="188"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Privacy and Data Security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(a) each of the Company and its Subsidiaries, has been since the Lookback Date, and is, in compliance with their written externally published privacy policies, contracts which impose requirements relating to the collection, processing, storage, disclosure, disposal or other handling of Personal Data, any applicable Laws relating to privacy, data protection and Personal Data, and any applicable binding industry standards which impose requirements on the collection, processing, storage, disclosure, disposal or other handling of Personal Data (collectively, the “</w:t>
      </w:r>
      <w:r>
        <w:rPr>
          <w:rFonts w:ascii="Times New Roman" w:cs="Times New Roman" w:eastAsia="Times New Roman" w:hAnsi="Times New Roman"/>
          <w:sz w:val="18"/>
          <w:szCs w:val="18"/>
          <w:u w:val="single" w:color="auto"/>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Requirements</w:t>
      </w:r>
      <w:r>
        <w:rPr>
          <w:rFonts w:ascii="Times New Roman" w:cs="Times New Roman" w:eastAsia="Times New Roman" w:hAnsi="Times New Roman"/>
          <w:sz w:val="18"/>
          <w:szCs w:val="18"/>
          <w:color w:val="auto"/>
        </w:rPr>
        <w:t xml:space="preserve">”), (b) since the Lookback Date, none of the Company nor any of its Subsidiaries has experienced (i) incidents of unauthorized access or other security breaches, including any loss, misuse, damage, unauthorized access, unauthorized disclosure or unauthorized use of any Personal Data, or (ii) any other event that required the Company or any of its Subsidiaries to give a data breach notice to any Person or Governmental Authority under Privacy Requirements, except,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has not had, and would not reasonably be expected to have, individually or in the aggregate, a</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Company Material Adverse Effect, and (c) the hardware, software, databases, websites, mobile applications, servers, workstations, routers, hubs, switches, circuits, networks, communications networks, and other information technology owned, licensed or leased by the Company or its Subsidiaries (i) have not, since the Lookback Date, malfunctioned or failed in a manner that resulted in chronic or otherwise material disruptions to the operation of the business of the Company and its Subsidiaries, and (ii) are adequate for the Company’s and its Subsidiaries’ businesses as currently conducted.</w:t>
      </w:r>
    </w:p>
    <w:p>
      <w:pPr>
        <w:spacing w:after="0" w:line="180"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No current or former director, officer or Affiliate of the Company or any of its Subsidiaries, or any Person owning five percent (5%) or more of the Company Common Stock, and no immediate family member of any such natural Person, is a party to, or directly or indirectly benefits from, any Contract, arrangement, transaction or understanding with or binding upon the Company, any of its Subsidiaries or any of their properties or assets, or has any material interest in any property owned, leased or occupied by the Company or any of its Subsidiaries, and the Company and its Subsidiaries have not engaged in any material transaction with any of the foregoing within the twelve (12) months preceding the Effective Date that would be required to be disclosed in response to Item 404 of Regulation S-K, other than compensation of directors and officers of the Company and its Subsidiaries in the ordinary course of business.</w:t>
      </w:r>
    </w:p>
    <w:p>
      <w:pPr>
        <w:spacing w:after="0" w:line="18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(a) all insurance policies and insurance Contracts of the Company and its Subsidiaries (i) are in full force and effect and are valid and enforceable by the Company or its Subsidiary that is a party thereto against each other party thereto in accordance with its terms, and (ii) are in such amounts and cover such reasonable insurable risks as are customary for companies of similar size in the same or similar lines of business as the Company and its Subsidiaries, and (b) all premiums due under such insurance policies and insurance Contracts have been paid. Neither the Company nor any of its Subsidiaries has received written notice of cancellation or termination with respect to any current third-party insurance policies or insurance Contracts (other than in connection with normal renewals of any such insurance policies or insurance Contracts) where such cancellation or termination has had, or would reasonably be expected to have, individually or in the aggregate, a Company Material Adverse Effect.</w:t>
      </w:r>
    </w:p>
    <w:p>
      <w:pPr>
        <w:spacing w:after="0" w:line="19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Anti-Takeover Statutes</w:t>
      </w:r>
      <w:r>
        <w:rPr>
          <w:rFonts w:ascii="Times New Roman" w:cs="Times New Roman" w:eastAsia="Times New Roman" w:hAnsi="Times New Roman"/>
          <w:sz w:val="18"/>
          <w:szCs w:val="18"/>
          <w:color w:val="auto"/>
        </w:rPr>
        <w:t>. Assuming the accuracy of the representations set forth in Section 4.10, the Company has taken all actions necessary to elect and render that the Transactions, this Agreement and the other Transaction Document not be subject to (i) any anti-takeover provision in the Company Governing Documents and the comparable organizational documents of each Subsidiary of the Company, in each case, as amended through and in effect as of the Effective Date, or (ii) any “moratorium,” “control share acquisition,” “business combination,” “fair price,” “supermajority,” “affiliate transactions” or other form of anti-takeover laws and regulations, including Section 203 of the DGCL (collectively,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of any jurisdiction that may purport to be applicable to the Transactions, this Agreement or any other Transaction Document, which resolutions have not been rescinded, modified or withdrawn in any way. Assuming the accuracy of the representations set forth in Section 4.10, no other Takeover Law applies or purports to apply to the Company with respect to the Transactions, this Agreement or any other Transaction Document, other than any such Takeover Law that may apply solely as a result of the identity, nature, business or operations of Lender or any of its Subsidiaries or Affiliates. The Company is not party to a stockholder rights plan, “poison pill,” or similar anti-takeover arrangement or plan.</w:t>
      </w:r>
    </w:p>
    <w:p>
      <w:pPr>
        <w:spacing w:after="0" w:line="19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18"/>
          <w:szCs w:val="18"/>
          <w:color w:val="auto"/>
        </w:rPr>
        <w:t>. Other than LionTree Advisors LLC and BTIG, LLC (the “</w:t>
      </w:r>
      <w:r>
        <w:rPr>
          <w:rFonts w:ascii="Times New Roman" w:cs="Times New Roman" w:eastAsia="Times New Roman" w:hAnsi="Times New Roman"/>
          <w:sz w:val="18"/>
          <w:szCs w:val="18"/>
          <w:u w:val="single" w:color="auto"/>
          <w:color w:val="auto"/>
        </w:rPr>
        <w:t>Company Financial Advisors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in connection with the Exchange Transactions or the other Transactions based upon arrangements made by or on behalf of the Company or any of its Subsidiaries. True and complete copies of the engagement letters with the Company Financial Advisors have been made available to Lender prior to the Effective Date.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of BTIG, LLC to the effect that, as of the date of such opinion and based upon and subject to the various limitations, qualifications, assumptions, conditions and other matters set forth in such opinion, the issuance of the Exchange Stock to Lender by the Company in exchange for the Equity Exchange Obligations pursuant to this Agreement is fair, from a financial point of view, to the holders of Class A Common Stock (exclusive of any Class A Common Stock held by Lender or its Affiliates) (the “</w:t>
      </w:r>
      <w:r>
        <w:rPr>
          <w:rFonts w:ascii="Times New Roman" w:cs="Times New Roman" w:eastAsia="Times New Roman" w:hAnsi="Times New Roman"/>
          <w:sz w:val="18"/>
          <w:szCs w:val="18"/>
          <w:u w:val="single" w:color="auto"/>
          <w:color w:val="auto"/>
        </w:rPr>
        <w:t>Fairness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The Company will make available to Lender a signed copy of the Fairness Opinion for informational purposes only as soon as reasonably practicable following the Effective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Lender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Lender represents and warrants to the Company that, as of the Effective Date and as of the Closing:</w:t>
      </w:r>
    </w:p>
    <w:p>
      <w:pPr>
        <w:spacing w:after="0" w:line="225"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Lender is a limited liability company duly organized, validly existing and in good standing under the Laws of the Cayman Islands and has all requisite limited liability company power and authority necessary to own, lease and operate its properties and to carry on its business as presently conducted, except as has not had, and would not reasonably be expected to have, individually or in the aggregate, a Lender Material Adverse Effect. Lender is duly licensed or qualified to do business as a foreign limited liability company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Lender Material Adverse Effect.</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Lender has all requisite limited liability company power and authority to execute and deliver the Transaction Documents to which it is a party and to consummate the Transactions. The execution, delivery and performance by Lender of each Transaction Document to which it is a party and the consummation by Lender of the Transactions have been duly authorized by all necessary limited liability company action on the part of Lender and no other limited liability company proceedings on the part of Lender are necessary to approve this Agreement and to consummate the Transactions. Lender has duly executed and delivered each Transaction Document to which it is a party, and, assuming the due authorization, execution and delivery of such Transaction Documents on behalf of the other parties thereto, each Transaction Document to which it is a party constitutes its legal, valid and binding obligation, enforceable against it in accordance with its terms, subject to the Bankruptcy and Equity Exception. Lender is the holder of all of the Indebtedness outstanding under the Existing Credit Agreement.</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20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Lender of each Transaction Document to which it is a party do not, and the consummation of the Transactions and compliance with the provisions hereof will not (i)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Lender or any of its Subsidiaries or to which any of them are a party or by or to which any of their respective properties, rights or assets are bound or subject or result in the creation of any Lien upon any of the properties, rights or assets of Lender or any of its Subsidiaries, other than Permitted Liens, (ii)</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conflict with or result in any violation of any provision of Lender’s organizational documents or (iii) conflict with or violate any Laws applicable to Lender or any of its Subsidiaries or any of their respective properties, rights or assets, other than,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any such violation, conflict, default, termination, cancellation, acceleration, right, loss or Lien that has not had and would not reasonably be expected to have, individually or in the aggregate, a Lender Material Adverse Effect.</w:t>
      </w:r>
    </w:p>
    <w:p>
      <w:pPr>
        <w:spacing w:after="0" w:line="180" w:lineRule="exact"/>
        <w:rPr>
          <w:sz w:val="20"/>
          <w:szCs w:val="20"/>
          <w:color w:val="auto"/>
        </w:rPr>
      </w:pPr>
    </w:p>
    <w:p>
      <w:pPr>
        <w:jc w:val="both"/>
        <w:ind w:firstLine="1304"/>
        <w:spacing w:after="0" w:line="261" w:lineRule="auto"/>
        <w:tabs>
          <w:tab w:leader="none" w:pos="19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or registration, declaration or filing with any Governmental Authority is required to be obtained or made by Lender in connection with the execution, delivery and performance of any Transaction Document or the consummation of the Transactions, other than</w:t>
      </w:r>
    </w:p>
    <w:p>
      <w:pPr>
        <w:jc w:val="both"/>
        <w:ind w:firstLine="8"/>
        <w:spacing w:after="0" w:line="253" w:lineRule="auto"/>
        <w:tabs>
          <w:tab w:leader="none" w:pos="2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SEC of such reports under Sections 13 and 16 of the Exchange Act as may be required in connection with this Agreement and the other Transaction Documents, the Exchange Transactions and the other Transactions, (ii) any Consents, registrations, declarations or filings required to be obtained or made as a result of the identity, nature, business or operations of Company or any of its Subsidiaries or Affiliates and (iii) such other items that, individually or in the aggregate, have not had and would not reasonably be expected to have, individually or in the aggregate, a Lender Material Adverse Effect.</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Lender, threatened in writing against Lender or any of its Subsidiaries or any of the directors or officers of Lender or any of its Subsidiaries in their capacity as such, which, in any such case, has had or would reasonably be expected to have, individually or in the aggregate, a Lender Material Adverse Effect.</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Lender is (i) an “accredited investor” as defined in Rule 501(a) under the Securities Act and/or (ii) a “qualified institutional buyer” as defined in Rule 144A(a) under the Securities Act.</w:t>
      </w:r>
    </w:p>
    <w:p>
      <w:pPr>
        <w:spacing w:after="0" w:line="16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xml:space="preserve">. Lender acknowledges that (i) it has had the opportunity to review the Transaction Documents (including all exhibits and schedules thereto) and the SEC Documents and has been afforded (A) the opportunity to ask such questions as it has deemed necessary of, and to receive answers from, Representatives of the Company concerning the terms and conditions of the issuance of the Exchange Stock and the merits and risks of acquiring the Exchange Stock; (B) access to information about the Company and its financial condition, results of operations, business, properties, management and prospects sufficient to enable it to evaluate its investment; and (C) the opportunity to obtain such additional information that the Company possesses or can acquire without unreasonable effort or expense that is necessary to make an informed investment decision with respect to the investment, and (ii) it has, independently and without reliance upon any statement, representation or warranty made by any Person (including any of the Company’s financial advisors or other Representatives), other than such statements, representations and warranties of the Company expressly contained in this Agreement, and based on such information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made its own analysis and decision to enter into this Agreement and the Transactions and that it has not relied on the analysis and decision or due diligence investigation of any other Person (including any of the Company’s financial advisors or other Representatives).</w:t>
      </w:r>
    </w:p>
    <w:p>
      <w:pPr>
        <w:spacing w:after="0" w:line="1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Financial Sophistication</w:t>
      </w:r>
      <w:r>
        <w:rPr>
          <w:rFonts w:ascii="Times New Roman" w:cs="Times New Roman" w:eastAsia="Times New Roman" w:hAnsi="Times New Roman"/>
          <w:sz w:val="18"/>
          <w:szCs w:val="18"/>
          <w:color w:val="auto"/>
        </w:rPr>
        <w:t>. Lender, either alone or together with its Representatives, has such knowledge, sophistication and experience in business and financial matters so as to be capable of evaluating the merits and risks of the Transactions, and has so evaluated the merits and risks of such Transactions, including the Exchange Transactions. Lender is able to bear the economic risk of the acquisition of the Exchange Stock and, at the present time, is able to afford a complete loss of such investment.</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in connection with the Exchange Transactions and the other Transactions based upon arrangements made by or on behalf of Lender.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xml:space="preserve">. None of the information supplied or to be supplied by Lender for inclusion or incorporation by reference in the Proxy Statement or the Rights Offering Registration Statement, as applicable, will, at the time it is filed with the SEC, at the date it is first mailed to the Company Stockholders, at the time of the Company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Notwithstanding the foregoing provisions of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no representation or warranty is made by Lender with respect to information or statements made or incorporated by reference in the Proxy Statement or the Rights Offering Registration Statement based upon information supplied by or on behalf of the Company.</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Interested Stockholder; Ownership</w:t>
      </w:r>
      <w:r>
        <w:rPr>
          <w:rFonts w:ascii="Times New Roman" w:cs="Times New Roman" w:eastAsia="Times New Roman" w:hAnsi="Times New Roman"/>
          <w:sz w:val="18"/>
          <w:szCs w:val="18"/>
          <w:color w:val="auto"/>
        </w:rPr>
        <w:t xml:space="preserve">. Neither Lender nor any controlled Affiliate thereof (a) is, or has been within three years prior to the Effective Date, an “interested stockholder” of the Company as defined in and for purposes of Section 203 of the DGCL or the Company Governing Documents, or (b) except as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of the Company Disclosure Letter, owns any shares of Company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 Relating to Conduct of Business</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80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of the restrictions contained in the Existing Credit Agreement or the Existing Loan Documents, the Company agrees that between the Effective Date and the earlier of the Effective Time or the date, if any, on which this Agreement is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of the Company Disclosure Letter, as expressly required by this Agreement, as required by applicable Law or any existing Contract of the Company or its Subsidiaries, or as consented to in writing by Lender (which consent shall not be unreasonably withheld, conditioned or delayed), the Company (x) shall, and shall cause each of its Subsidiaries to, use commercially reasonable efforts to conduct its business in all material respects in the ordinary course of business and use commercially reasonable efforts to (A) preserve intact its and their present business organizations, goodwill and ongoing businesses, (B) keep available the services of its and their present officers (other than where termination of such services is for cause), and (C) preserve its and their present relationships with customers, suppliers and vendors with whom it and they have material business relations; and (y) shall not, and shall not permit any of its Subsidiaries to, without the prior written consent of Lender (which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by the Company or its Subsidiaries with respect to matters specifically addressed by any provision of </w:t>
      </w:r>
      <w:r>
        <w:rPr>
          <w:rFonts w:ascii="Times New Roman" w:cs="Times New Roman" w:eastAsia="Times New Roman" w:hAnsi="Times New Roman"/>
          <w:sz w:val="18"/>
          <w:szCs w:val="18"/>
          <w:u w:val="single" w:color="auto"/>
          <w:color w:val="auto"/>
        </w:rPr>
        <w:t>Section 5.01(a)(y)</w:t>
      </w:r>
      <w:r>
        <w:rPr>
          <w:rFonts w:ascii="Times New Roman" w:cs="Times New Roman" w:eastAsia="Times New Roman" w:hAnsi="Times New Roman"/>
          <w:sz w:val="18"/>
          <w:szCs w:val="18"/>
          <w:color w:val="auto"/>
        </w:rPr>
        <w:t xml:space="preserve"> shall be deemed a breach of </w:t>
      </w:r>
      <w:r>
        <w:rPr>
          <w:rFonts w:ascii="Times New Roman" w:cs="Times New Roman" w:eastAsia="Times New Roman" w:hAnsi="Times New Roman"/>
          <w:sz w:val="18"/>
          <w:szCs w:val="18"/>
          <w:u w:val="single" w:color="auto"/>
          <w:color w:val="auto"/>
        </w:rPr>
        <w:t>Section 5.01(a)(x)</w:t>
      </w:r>
      <w:r>
        <w:rPr>
          <w:rFonts w:ascii="Times New Roman" w:cs="Times New Roman" w:eastAsia="Times New Roman" w:hAnsi="Times New Roman"/>
          <w:sz w:val="18"/>
          <w:szCs w:val="18"/>
          <w:color w:val="auto"/>
        </w:rPr>
        <w:t xml:space="preserve"> unless such action would constitute a breach of such provision of </w:t>
      </w:r>
      <w:r>
        <w:rPr>
          <w:rFonts w:ascii="Times New Roman" w:cs="Times New Roman" w:eastAsia="Times New Roman" w:hAnsi="Times New Roman"/>
          <w:sz w:val="18"/>
          <w:szCs w:val="18"/>
          <w:u w:val="single" w:color="auto"/>
          <w:color w:val="auto"/>
        </w:rPr>
        <w:t>Section 5.01(a)(y)</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660" w:firstLine="1292"/>
        <w:spacing w:after="0" w:line="282" w:lineRule="auto"/>
        <w:tabs>
          <w:tab w:leader="none" w:pos="25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rescind or otherwise change the Company Governing Documents or organizational documents of the Company’s Subsidiaries (other than the Amended and Restated Charter, the Amended and Restated Bylaws and the Investor Rights Agreement);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in the ordinary course of business), change or revoke any material Tax election or take any action or inaction that would cause a change to the tax entity classification of the Company or any of its Subsidiaries, (B) change any Tax accounting period or material method of Tax accounting, (C) materially amend any material Tax Return, (D) settle or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compromise any material liability for Taxes, (E) enter into any “closing agreement” within the meaning of Section 7121 of the Code (or any similar provision of state, local or non-U.S. Law), (F) surrender any right to claim a material refund of Taxes, or (G) request any material ruling from any Governmental Authority with respect to Taxes;</w:t>
      </w:r>
    </w:p>
    <w:p>
      <w:pPr>
        <w:spacing w:after="0" w:line="176" w:lineRule="exact"/>
        <w:rPr>
          <w:sz w:val="20"/>
          <w:szCs w:val="20"/>
          <w:color w:val="auto"/>
        </w:rPr>
      </w:pPr>
    </w:p>
    <w:p>
      <w:pPr>
        <w:jc w:val="both"/>
        <w:ind w:firstLine="1292"/>
        <w:spacing w:after="0" w:line="253" w:lineRule="auto"/>
        <w:tabs>
          <w:tab w:leader="none" w:pos="19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adjust, split, combine, subdivide, reduce or reclassify any shares of capital stock or other equity interests of the Company or any of its Subsidiaries (other than pursuant to the Amended and Restated Charter or the Conversions), (B) declare, set aside, or pay any dividend or other distribution (whether in cash, stock, or property or any combination thereof) in respect of the capital stock of the Company or any of its Subsidiaries, except for dividends and distributions paid or made by a wholly owned Subsidiary of the Company to the Company or another wholly owned Subsidiary of the Company the ordinary course of business, or (C) redeem, repurchase or otherwise acquire or offer to redeem, repurchase or otherwise acquire any securities of the Company or any of its Subsidiaries (including with respect to any Company Options and Company RSUs), other than (x) the withholding of shares of Company Common Stock to satisfy Tax obligations incurred in connection with the exercise or settlement of Company Options and Company RSUs; and (y) the acquisition by the Company of Company Options and Company RSUs in connection with the automatic forfeiture of such awards, in each case, in accordance with the terms and conditions of the Company Equity Plans and any applicable award agreement;</w:t>
      </w:r>
    </w:p>
    <w:p>
      <w:pPr>
        <w:spacing w:after="0" w:line="194" w:lineRule="exact"/>
        <w:rPr>
          <w:rFonts w:ascii="Times New Roman" w:cs="Times New Roman" w:eastAsia="Times New Roman" w:hAnsi="Times New Roman"/>
          <w:sz w:val="18"/>
          <w:szCs w:val="18"/>
          <w:color w:val="auto"/>
        </w:rPr>
      </w:pPr>
    </w:p>
    <w:p>
      <w:pPr>
        <w:jc w:val="both"/>
        <w:ind w:firstLine="1292"/>
        <w:spacing w:after="0" w:line="256" w:lineRule="auto"/>
        <w:tabs>
          <w:tab w:leader="none" w:pos="19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deliver, transfer, pledge, encumber or sell, or authorize the issuance, delivery, transfer, pledge, encumbrance or sale, of any securities or ownership interests of the Company or any of its Subsidiaries (including any rights, warrants or options with respect thereto), in each case other than (A) the issuance of shares of Company Common Stock upon the exercise of Company Options and the settlement of Company RSUs outstanding on the Effective Date in accordance with their terms as in effect on the Effective Date, (B) the issuance of awards described on </w:t>
      </w:r>
      <w:r>
        <w:rPr>
          <w:rFonts w:ascii="Times New Roman" w:cs="Times New Roman" w:eastAsia="Times New Roman" w:hAnsi="Times New Roman"/>
          <w:sz w:val="18"/>
          <w:szCs w:val="18"/>
          <w:u w:val="single" w:color="auto"/>
          <w:color w:val="auto"/>
        </w:rPr>
        <w:t>Section 5.01(a)(iv)(B)</w:t>
      </w:r>
      <w:r>
        <w:rPr>
          <w:rFonts w:ascii="Times New Roman" w:cs="Times New Roman" w:eastAsia="Times New Roman" w:hAnsi="Times New Roman"/>
          <w:sz w:val="18"/>
          <w:szCs w:val="18"/>
          <w:color w:val="auto"/>
        </w:rPr>
        <w:t xml:space="preserve"> of the Company Disclosure Letter, (C) in connection with the Rights Offering or pursuant to the Rights Offering Backstop Agreement;</w:t>
      </w:r>
    </w:p>
    <w:p>
      <w:pPr>
        <w:spacing w:after="0" w:line="187" w:lineRule="exact"/>
        <w:rPr>
          <w:rFonts w:ascii="Times New Roman" w:cs="Times New Roman" w:eastAsia="Times New Roman" w:hAnsi="Times New Roman"/>
          <w:sz w:val="18"/>
          <w:szCs w:val="18"/>
          <w:color w:val="auto"/>
        </w:rPr>
      </w:pPr>
    </w:p>
    <w:p>
      <w:pPr>
        <w:jc w:val="both"/>
        <w:ind w:firstLine="1292"/>
        <w:spacing w:after="0" w:line="258" w:lineRule="auto"/>
        <w:tabs>
          <w:tab w:leader="none" w:pos="20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acquire (by purchase, merger, joint venture, partnership, consolidation, dissolution, liquidation, tender offer, exchange offer, recapitalization, reorganization, share exchange, business combination, acquisition of stock or assets or otherwise), directly or indirectly, any assets or properties (excluding any assets or properties that would not be material), securities, equity, interests, or businesses, other than in the ordinary course of business, or (B) merge, consolidate, combine or amalgamate the Company or any of its Subsidiaries with any Person;</w:t>
      </w:r>
    </w:p>
    <w:p>
      <w:pPr>
        <w:spacing w:after="0" w:line="183"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20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transfer, or create or incur any Lien (other than a Permitted Lien) on, any of the Company’s assets, securities, properties, interests or businesses, other than (A) inventory sold in connection with periodic promotional sales, (B) obsolete assets, (C) involuntary Liens that are not material or (D) otherwise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292"/>
        <w:spacing w:after="0" w:line="266" w:lineRule="auto"/>
        <w:tabs>
          <w:tab w:leader="none" w:pos="20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suffer to exist, guarantee or otherwise be liable with respect to any indebtedness for borrowed money or enter into any “keep well” or other agreement to maintain any financial statement condition of another Person, other than in connection with, and as permitted by, the Existing Credit Agreement;</w:t>
      </w:r>
    </w:p>
    <w:p>
      <w:pPr>
        <w:spacing w:after="0" w:line="175" w:lineRule="exact"/>
        <w:rPr>
          <w:rFonts w:ascii="Times New Roman" w:cs="Times New Roman" w:eastAsia="Times New Roman" w:hAnsi="Times New Roman"/>
          <w:sz w:val="18"/>
          <w:szCs w:val="18"/>
          <w:color w:val="auto"/>
        </w:rPr>
      </w:pPr>
    </w:p>
    <w:p>
      <w:pPr>
        <w:jc w:val="both"/>
        <w:ind w:firstLine="1292"/>
        <w:spacing w:after="0" w:line="266" w:lineRule="auto"/>
        <w:tabs>
          <w:tab w:leader="none" w:pos="21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or compromise any pending or threatened Action against the Company or any of its Subsidiaries for a cash settlement amount that exceeds the amounts set forth in </w:t>
      </w:r>
      <w:r>
        <w:rPr>
          <w:rFonts w:ascii="Times New Roman" w:cs="Times New Roman" w:eastAsia="Times New Roman" w:hAnsi="Times New Roman"/>
          <w:sz w:val="18"/>
          <w:szCs w:val="18"/>
          <w:u w:val="single" w:color="auto"/>
          <w:color w:val="auto"/>
        </w:rPr>
        <w:t>Section 5.01(a)(viii)</w:t>
      </w:r>
      <w:r>
        <w:rPr>
          <w:rFonts w:ascii="Times New Roman" w:cs="Times New Roman" w:eastAsia="Times New Roman" w:hAnsi="Times New Roman"/>
          <w:sz w:val="18"/>
          <w:szCs w:val="18"/>
          <w:color w:val="auto"/>
        </w:rPr>
        <w:t xml:space="preserve"> of the Company Disclosure Letter (net of insurance proceeds applied to</w:t>
      </w:r>
    </w:p>
    <w:p>
      <w:pPr>
        <w:spacing w:after="0" w:line="28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2" w:name="page43"/>
    <w:bookmarkEnd w:id="42"/>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such settlement by the Company in respect of such claim or claims), or which settlement imposes any material restrictions on any of the current or future activities of the Company or its Subsidiaries or that imposes equitable relief on, or the admission of wrongdoing by, the Company or any of its Subsidiaries or any of their respective officers or directors (in each case, other than customary confidentiality obligations and other customary obligations attendant to monetary settlement);</w:t>
      </w:r>
    </w:p>
    <w:p>
      <w:pPr>
        <w:spacing w:after="0" w:line="180" w:lineRule="exact"/>
        <w:rPr>
          <w:sz w:val="20"/>
          <w:szCs w:val="20"/>
          <w:color w:val="auto"/>
        </w:rPr>
      </w:pPr>
    </w:p>
    <w:p>
      <w:pPr>
        <w:jc w:val="both"/>
        <w:ind w:left="660" w:firstLine="1292"/>
        <w:spacing w:after="0" w:line="252" w:lineRule="auto"/>
        <w:tabs>
          <w:tab w:leader="none" w:pos="261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 as required by Law or the terms of any ERISA Document (disregarding the reference to materiality in the definition thereof) in effect as of the Effective Date (or which is adopted after the Effective Date in accordance with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5.01(a)</w:t>
      </w:r>
      <w:r>
        <w:rPr>
          <w:rFonts w:ascii="Times New Roman" w:cs="Times New Roman" w:eastAsia="Times New Roman" w:hAnsi="Times New Roman"/>
          <w:sz w:val="18"/>
          <w:szCs w:val="18"/>
          <w:color w:val="auto"/>
        </w:rPr>
        <w:t xml:space="preserve">), (B) in the ordinary course of business, or (C) as specifically required pursuant to this Agreement, (I) grant to any current or former employee, officer, director or other individual service provider of the Company or any of its Subsidiaries any increase in annual base salary or base wages or any other increase in cash compensation, (II) grant to any current or former employee, officer, director or other individual service provider of the Company or any of its Subsidiaries any severance, change in control, termination or retention pay or benefits (or any increases thereto), (III) hire, engage or terminate (other than for cause) the employment or engagement of any employee or individual independent contractor with a title above the level of Vice President, (IV) negotiate, establish, adopt, enter into, amend, modify, extend or terminate any (x) collective bargaining agreement, or (y) ERISA Document (other than amendments to broad-based benefit plans in connection with open enrollment that result in no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cost to the Company), (V) take any action to accelerate any rights or benefits, or make any material determinations not in the ordinary course of business, under any collective bargaining agreement or ERISA Document, (VI) implement any layoffs affecting, place on unpaid leave or furlough, or materially reduce the hours or weekly pay of, 20 or more employees, or (VII) take any action that would trigger notice obligations under the Worker Adjustment and Retraining Notification Act of 1988 or any similar foreign, state or local Law;</w:t>
      </w:r>
    </w:p>
    <w:p>
      <w:pPr>
        <w:spacing w:after="0" w:line="197"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or enter into new business lines;</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or permit to lapse any material Company Permit; or</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provides for a binding commitment of the foregoing actions.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is intended to give Lender, directly or indirectly, the right to control or direct the Company’s or its Subsidiaries’ operations prior to the Effective Time.</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Tax 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5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from the Effective Date to the Effective Time, the Company shall, and shall cause each of its Subsidiaries to, except as set forth on </w:t>
      </w:r>
      <w:r>
        <w:rPr>
          <w:rFonts w:ascii="Times New Roman" w:cs="Times New Roman" w:eastAsia="Times New Roman" w:hAnsi="Times New Roman"/>
          <w:sz w:val="18"/>
          <w:szCs w:val="18"/>
          <w:u w:val="single" w:color="auto"/>
          <w:color w:val="auto"/>
        </w:rPr>
        <w:t>Section 5.01(c)(i)</w:t>
      </w:r>
      <w:r>
        <w:rPr>
          <w:rFonts w:ascii="Times New Roman" w:cs="Times New Roman" w:eastAsia="Times New Roman" w:hAnsi="Times New Roman"/>
          <w:sz w:val="18"/>
          <w:szCs w:val="18"/>
          <w:color w:val="auto"/>
        </w:rPr>
        <w:t xml:space="preserve"> of the Company Disclosure Letter, (A) not take any position on Tax Returns that are required to be filed on or before the Effective Time (a “</w:t>
      </w:r>
      <w:r>
        <w:rPr>
          <w:rFonts w:ascii="Times New Roman" w:cs="Times New Roman" w:eastAsia="Times New Roman" w:hAnsi="Times New Roman"/>
          <w:sz w:val="18"/>
          <w:szCs w:val="18"/>
          <w:u w:val="single" w:color="auto"/>
          <w:color w:val="auto"/>
        </w:rPr>
        <w:t>Post-Signing Return</w:t>
      </w:r>
      <w:r>
        <w:rPr>
          <w:rFonts w:ascii="Times New Roman" w:cs="Times New Roman" w:eastAsia="Times New Roman" w:hAnsi="Times New Roman"/>
          <w:sz w:val="18"/>
          <w:szCs w:val="18"/>
          <w:color w:val="auto"/>
        </w:rPr>
        <w:t>”) that is inconsistent with past custom and practice unless required by applicable Law and disclosed to Lender, or as reasonably requested by Lender and (B) accrue a reserve in the books and records and financial statements of any such entity at such times and in such amounts as are in accordance with past practice for all material amounts of Taxes payable by such entity for which no Post-Signing Return is due prior to the Effective Time.</w:t>
      </w:r>
    </w:p>
    <w:p>
      <w:pPr>
        <w:spacing w:after="0" w:line="187"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Lender at or prior to the Closing an IRS form W-9.</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8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through the earlier of the termination of this Agreement in accordance with its terms and the Effective Time, the Company shall not, and shall cause its Subsidiaries not to, and shall not authorize or permit any officer, director, employee, investment banker, attorney, accountant or other advisor or representative (collectively, with respect to any Person, such Person’s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the Company or any of its Subsidiaries to, (i) solicit, initiate or knowingly encourage the submission of any Takeover Proposal, or take any other action to knowingly facilitate, enable or cooperate with the making of any Takeover Proposal or any inquiry, proposal or offer that could reasonably be expected to lead to a Takeover Proposal, (ii) enter into, approve, endorse or recommend, or publicly propose to enter into, approve, endorse or recommend, any Acquisition Agreement with respect to any Takeover Proposal, (iii) enter into, participate in or continue any discussions or negotiations regarding, or furnish to any person any non-public information with respect to, any Takeover Proposal or any inquiry or proposal that could reasonably be expected to lead to a Takeover Proposal, other than solely to state that the Company and its Representatives are prohibited hereunder from engaging in any such discussions or negotiations, or (iv) propose, resolve or agree to do any of the foregoing. The Company shall (A) immediately cease, and not authorize or permit any of its Representatives to continue, all discussions and negotiations with any person (other than with Lender and its Representatives) regarding any Takeover Proposal or any inquiry or proposal that would reasonably be expected to lead to a Takeover Proposal, (B) promptly (and in any event, within two (2) Business Days) after the Effective Date request the prompt return or destruction of all confidential information previously furnished to such person(s) (other than Lender and its Representatives) within the last 12 months for the purpose of allowing such person(s) to evaluate a possible Takeover Proposal, and (C) promptly (and in any event within one (1) Business Day) terminate access of any person(s) (other than Lender and its Representatives) to any physical or electronic data rooms for the purpose of evaluating a possible Takeover Proposal. From the Effective Date through the earlier of the termination of this Agreement in accordance with its terms and the Effective Time, the Company shall not, and shall cause its Subsidiaries not to, (I) waive, terminate, modify, or release any person (other than Lender or its Affiliates) under any “standstill” or similar agreement or obligation or propose, resolve or agree to do the foregoing, unless, prior to receipt of the Company Stockholder Approval, the Company Board (acting on the recommendation of the Finance Committee) or the Finance Committee determines in its good faith judgment, after consultation with and receipt of advice from outside legal counsel and a financial advisor of nationally recognized reputation (it being agreed that each of the Company Financial Advisors is of nationally recognized reputation), that the failure to take such action would reasonably be expected to be inconsistent with its fiduciary duties under Delaware Law, in which event the Company Board (acting on the recommendation of the Finance Committee) or the Finance Committee may grant a waiver under such “standstill” or similar agreement or obligation solely to the extent to permit such Person to make a non-public proposal to the Company Board, or (II) exempt any person (other than Lender and its Affiliates) from the restrictions on “business combinations” contained in Section 203 of the DGCL (or similar provisions of any other Takeover Law) or in the Company Governing Documents or propose, resolve, or agree to do the foregoing. The Company shall provide prompt written notice to Lender of any waiver or release of any standstill by the Company.</w:t>
      </w:r>
    </w:p>
    <w:p>
      <w:pPr>
        <w:spacing w:after="0" w:line="20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at any time prior to receipt of the Company Stockholder Approval, if the Company or the Company Board receives a bona fide written Takeover Proposal after the Effective Date that was not solicited in material breach of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and that</w:t>
      </w:r>
    </w:p>
    <w:p>
      <w:pPr>
        <w:jc w:val="both"/>
        <w:ind w:firstLine="8"/>
        <w:spacing w:after="0" w:line="253" w:lineRule="auto"/>
        <w:tabs>
          <w:tab w:leader="none" w:pos="2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(acting on the recommendation of the Finance Committee) or the Finance Committee determines in its good faith judgment (after consultation with and receipt of advice from outside legal counsel and a financial advisor of nationally recognized reputation) constitutes or would reasonably be expected to lead to a Superior Proposal, and (ii) the Company Board (acting on the recommendation of the Finance Committee) or the Finance Committee determines in its good faith judgment (after consultation with and receipt of advice from outside legal counsel and a financial advisor of nationally recognized</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reputation) that the failure to take the actions specified in the following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sentence with respect to such Takeover Proposal would be inconsistent with its fiduciary duties to the Company Stockholders under Delaware Law, then, subject to providing prior written notice of its decision to take such action to Lender and compliance with </w:t>
      </w:r>
      <w:r>
        <w:rPr>
          <w:rFonts w:ascii="Times New Roman" w:cs="Times New Roman" w:eastAsia="Times New Roman" w:hAnsi="Times New Roman"/>
          <w:sz w:val="18"/>
          <w:szCs w:val="18"/>
          <w:u w:val="single" w:color="auto"/>
          <w:color w:val="auto"/>
        </w:rPr>
        <w:t>Section 5.02(e)</w:t>
      </w:r>
      <w:r>
        <w:rPr>
          <w:rFonts w:ascii="Times New Roman" w:cs="Times New Roman" w:eastAsia="Times New Roman" w:hAnsi="Times New Roman"/>
          <w:sz w:val="18"/>
          <w:szCs w:val="18"/>
          <w:color w:val="auto"/>
        </w:rPr>
        <w:t>, the Company may (A) furnish information with respect to the Company to the person making such Takeover Proposal and its Representatives pursuant to an Acceptable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information provided to such person shall have previously been provided to Lender or its Representatives or shall be provided to Lender or its Representatives prior to or at substantially the same time as it is provided to such person), and (B) participate in discussions or negotiations with such person and its Representatives regarding such Takeover Proposal.</w:t>
      </w:r>
    </w:p>
    <w:p>
      <w:pPr>
        <w:spacing w:after="0" w:line="189" w:lineRule="exact"/>
        <w:rPr>
          <w:sz w:val="20"/>
          <w:szCs w:val="20"/>
          <w:color w:val="auto"/>
        </w:rPr>
      </w:pPr>
    </w:p>
    <w:p>
      <w:pPr>
        <w:jc w:val="both"/>
        <w:ind w:firstLine="1304"/>
        <w:spacing w:after="0" w:line="252" w:lineRule="auto"/>
        <w:tabs>
          <w:tab w:leader="none" w:pos="18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Effective Date through the earlier of the termination of this Agreement in accordance with its terms and the Effective Time, neither the Company, the Company Board, nor any committee thereof, shall (A) (1) withdraw, qualify or modify in a manner adverse to Lender, or propose publicly to withdraw, qualify or modify in a manner adverse to Lender, the Company Board Recommendation or the Finance Committee Recommendation (as applicable) or its declaration of advisability, or resolve or agree to take any such action, (2) endorse or recommend or propose publicly to adopt, approve, endorse or recommend, any Takeover Proposal, or resolve or agree to take any such action, (3) following the date that any Takeover Proposal or any material modification thereto is first made public or sent or given to the Company Stockholders, fail to issue a press release publicly reaffirming the Company Board Recommendation or the Finance Committee Recommendation (as applicable) within five (5) Business Days after (or, if earlier, prior to the Company Stockholders Meeting) a written request by Lender to do so, which request shall only be made twice per Takeover Proposal or once per each material modification or material change to a Takeover Proposal, (4) following the commencement by any person of a tender or exchange offer for shares of Company Common Stock, fail to publicly issue a rejection of such tender or exchange offer within 10 Business Days after the commencement thereof, (5) fail to include the Company Board Recommendation and the Finance Committee Recommendation in the Proxy Statement when disseminated to the Company’s stockholders, or (6) fail to recognize or challenge the validity or effectiveness of any Proxy Stockholder’s Conversion Notice or Proxy (any action described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being referred to herein as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or (B) (1) adopt or approve any Takeover Proposal, or resolve or agree to take any such action, (2) approve, authorize, cause or permit the Company or any of its Subsidiaries to enter into any letter of intent, term sheet, memorandum of understanding, agreement in principle, acquisition agreement, option agreement, merger agreement, joint venture agreement, partnership agreement or other agreement relating to any Takeover Proposal, other than an Acceptable Confidentiality Agreement (an “</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or resolve or agree to take any such action, or (3) submit any Takeover Proposal to the Company Stockholders for approval, acceptance, endorsement, recommendation or adoption.</w:t>
      </w:r>
    </w:p>
    <w:p>
      <w:pPr>
        <w:spacing w:after="0" w:line="19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only at a time prior to the receipt of the Company Stockholder Approval, the Company may</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 Adverse Recommendation Change in response to an Intervening Event, (ii) make an Adverse Recommendation Change in response to a Superior Proposal, or (iii) terminate this Agreement pursuant to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in response to a Superior Proposal in order to enter into a definitive agreement providing for such Superior Proposal, but in each case only if all of the following conditions are satisfied: (A) the Company or the Company Board has received a Superior Proposal after the Effective Date that was not solicited in breach of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and did not, directly or indirectly, otherwise result from a breach of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in any material respect (in the case of the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or an Intervening Event has occurred (in the case of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(B) in light of such Superior Proposal (in the case of the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or such Intervening Event (in the case of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as the case may be, the Company Board (acting on the recommendation of the Finance Committee) or the Finance Committee shall have determined in their good faith judgment (after consultation with and after receipt of advice from outside legal counsel</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xml:space="preserve">and a financial advisor of nationally recognized reputation) that failure to make an Adverse Recommendation Change (in the case of the preceding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jc w:val="both"/>
        <w:ind w:firstLine="8"/>
        <w:spacing w:after="0" w:line="250" w:lineRule="auto"/>
        <w:tabs>
          <w:tab w:leader="none" w:pos="222" w:val="left"/>
        </w:tabs>
        <w:numPr>
          <w:ilvl w:val="0"/>
          <w:numId w:val="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to terminate this Agreement (in the case of the preceding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would be inconsistent with its fiduciary duties to the Company Stockholders under Delaware Law (any such determination, a “</w:t>
      </w:r>
      <w:r>
        <w:rPr>
          <w:rFonts w:ascii="Times New Roman" w:cs="Times New Roman" w:eastAsia="Times New Roman" w:hAnsi="Times New Roman"/>
          <w:sz w:val="18"/>
          <w:szCs w:val="18"/>
          <w:u w:val="single" w:color="auto"/>
          <w:color w:val="auto"/>
        </w:rPr>
        <w:t>Withdrawal Determination</w:t>
      </w:r>
      <w:r>
        <w:rPr>
          <w:rFonts w:ascii="Times New Roman" w:cs="Times New Roman" w:eastAsia="Times New Roman" w:hAnsi="Times New Roman"/>
          <w:sz w:val="18"/>
          <w:szCs w:val="18"/>
          <w:color w:val="auto"/>
        </w:rPr>
        <w:t>”); (C) the Company has notified Lender in writing that it has made a Withdrawal Determination (any such notice, a “</w:t>
      </w:r>
      <w:r>
        <w:rPr>
          <w:rFonts w:ascii="Times New Roman" w:cs="Times New Roman" w:eastAsia="Times New Roman" w:hAnsi="Times New Roman"/>
          <w:sz w:val="18"/>
          <w:szCs w:val="18"/>
          <w:u w:val="single" w:color="auto"/>
          <w:color w:val="auto"/>
        </w:rPr>
        <w:t>Triggering Notice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Lender un-redacted copies of the documents and/or agreements providing for the Superior Proposal in accordance with </w:t>
      </w:r>
      <w:r>
        <w:rPr>
          <w:rFonts w:ascii="Times New Roman" w:cs="Times New Roman" w:eastAsia="Times New Roman" w:hAnsi="Times New Roman"/>
          <w:sz w:val="18"/>
          <w:szCs w:val="18"/>
          <w:u w:val="single" w:color="auto"/>
          <w:color w:val="auto"/>
        </w:rPr>
        <w:t>Section 5.02(e)</w:t>
      </w:r>
      <w:r>
        <w:rPr>
          <w:rFonts w:ascii="Times New Roman" w:cs="Times New Roman" w:eastAsia="Times New Roman" w:hAnsi="Times New Roman"/>
          <w:sz w:val="18"/>
          <w:szCs w:val="18"/>
          <w:color w:val="auto"/>
        </w:rPr>
        <w:t>; (D) at least five (5) Business Days shall have passed following receipt by Lender of the Triggering Notice (such time period,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and during the Notice Period, if requested by Lender, the Company shall have negotiated in good faith with Lender to permit Lender to make a proposal to amend the terms of the Transactions or this Agreement; (E) at the end of the Notice Period, and taking into account any written proposals through the end of the Notice Period to amend the terms of the Transactions or this Agreement made by Lender since receipt of the Triggering Notice (a “</w:t>
      </w:r>
      <w:r>
        <w:rPr>
          <w:rFonts w:ascii="Times New Roman" w:cs="Times New Roman" w:eastAsia="Times New Roman" w:hAnsi="Times New Roman"/>
          <w:sz w:val="18"/>
          <w:szCs w:val="18"/>
          <w:u w:val="single" w:color="auto"/>
          <w:color w:val="auto"/>
        </w:rPr>
        <w:t>Lender Proposal</w:t>
      </w:r>
      <w:r>
        <w:rPr>
          <w:rFonts w:ascii="Times New Roman" w:cs="Times New Roman" w:eastAsia="Times New Roman" w:hAnsi="Times New Roman"/>
          <w:sz w:val="18"/>
          <w:szCs w:val="18"/>
          <w:color w:val="auto"/>
        </w:rPr>
        <w:t xml:space="preserve">”), such Superior Proposal remains a Superior Proposal and the Company Board or the Finance Committee, as applicable, has again made a Withdrawal Determination in response to such Superior Proposal or such Intervening Event is continuing and the Company Board or the Finance Committee, as applicable, has again made a Withdrawal Determination in response to such Intervening Event, as the case may be, in each case after consultation with and after receipt of advice from outside legal counsel and a financial advisor of nationally recognized reputation that failure to make such Withdrawal Determination would reasonably be expected to be inconsistent with its fiduciary duties to the Company Stockholders under Delaware Law (it being understood and agreed that if, in light of any Lender Proposal, the Company Board or the Finance Committee is no longer able to make a Withdrawal Determination with respect to such Superior Proposal or Intervening Event, then Lender and the Company shall immediately enter into an amendment to this Agreement that embodies the terms of such Lender Proposal); (F) the Company is in compliance in all material respects with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(G) the Company has paid the Termination Fee to Lender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promptly after such termination enters into a definitive agreement providing for such Superior Proposal, in the case of a termination of this Agreement pursuant to the preceding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The Company acknowledges and agrees that each successive modification to the financial terms or other material terms of a Takeover Proposal that is determined to be a Superior Proposal shall be deemed to constitute a new Superior Proposal, and any material change to the Intervening Event shall be deemed to constitute a new Intervening Event, in each case, for purposes of the first sentence of this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 xml:space="preserve"> and shall require a new compliance with the first sentence of this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 xml:space="preserve"> and, for the avoidance of doubt, shall require a new Notice Period (except that the five (5) Business Day notice period referred to in the Notice Period shall instead be equal to three (3) Business Days).</w:t>
      </w:r>
    </w:p>
    <w:p>
      <w:pPr>
        <w:spacing w:after="0" w:line="206" w:lineRule="exact"/>
        <w:rPr>
          <w:rFonts w:ascii="Times New Roman" w:cs="Times New Roman" w:eastAsia="Times New Roman" w:hAnsi="Times New Roman"/>
          <w:sz w:val="18"/>
          <w:szCs w:val="18"/>
          <w:u w:val="single" w:color="auto"/>
          <w:color w:val="auto"/>
        </w:rPr>
      </w:pPr>
    </w:p>
    <w:p>
      <w:pPr>
        <w:jc w:val="both"/>
        <w:ind w:firstLine="1304"/>
        <w:spacing w:after="0" w:line="253" w:lineRule="auto"/>
        <w:tabs>
          <w:tab w:leader="none" w:pos="18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(but in no event more than 24 hours after receipt thereof) advise Lender in writing of the receipt by the Company of any Takeover Proposal or any inquiry that would reasonably be expected to lead to the receipt by the Company of a Takeover Proposal, the identity of the person making any such Takeover Proposal or inquiry and the terms of any such Takeover Proposal. The Company shall (i) keep Lender reasonably informed of the status including any change to the financial terms or other material terms of any such Takeover Proposal and (ii) provide to Lender, as soon as practicable (and in any event within 24 hours) after receipt or delivery thereof by or to the Company or its Representatives, un-redacted copies of all offers, proposals, drafts and final versions (and any amendments thereto) of agreements and financing documents, including schedules, exhibits and side letters thereto, relating to the Takeover Proposal (including any other documents or agreements referred to in or to be entered into in connection with the Takeover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provide Lender a redacted copy of any debt commitment fee letter, to the extent un-redacted copies thereof are not made available to the Company), and other material correspondence, sent or provided to the Company, its Subsidiaries or their respective Representatives by the person making such Takeover Proposal or such person’s Representatives or sent or provided by the Company, its Subsidiaries or their respective Representatives to the person making such Takeover Proposal or such person’s Representatives. In addition, the Company shall promptly (but in no event more than 24 hours after receipt thereof) advise Lender in writing of the receipt by the Company of any Proxy Stockholder Proxy Revocation.</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ind w:firstLine="1304"/>
        <w:spacing w:after="0" w:line="252" w:lineRule="auto"/>
        <w:tabs>
          <w:tab w:leader="none" w:pos="18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prohibit the Company from (i) taking and disclosing to its stockholders a position contemplated by Rule 14e-2(a) promulgated under the Exchange Act or complying with Rule 14d-9 promulgated under the Exchange Act, including making a “stop, look and listen” communication to its stockholders pursuant to Rule 14d-9(f) promulgated under the Exchange Act; (ii) complying with Item 1012(a) of Regulation M-A promulgated under the Exchange Act; (iii) informing any Person of the existence of the provisions contained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(iv) making any disclosure to its stockholders that the Company Board is required to make in order to comply with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Company Board or the Finance Committee make any Adverse Recommendation Change except in compliance with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disclosure that is made pursuant to immediately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to the extent related to or in connection with a Takeover Proposal or a Triggering Notice or Withdrawal Determination with respect to an Intervening Event,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that does not contain an express reaffirmation of the Company Board Recommendation and the Finance Committee Recommendation shall be deemed an Adverse Recommendation Change. None of the following actions shall in and of itself be deemed to constitute an Adverse Recommendation Change: (A) the deliberation by the Company Board or the Finance Committee regarding a Takeover Proposal, or the determination by the Company Board or the Finance Committee that a Takeover Proposal constitutes or would reasonably be expected to result in a Superior Proposal; (B) a Withdrawal Determination; (C) the delivery to Lender of a Triggering Notice; or (D) the public disclosure of any action described in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if such disclosure is required by applicable Law, so long as any such disclosure (x) does not include any statement that constitutes, and does not otherwise constitute, an Adverse Recommendation Change and (y) includes an express reaffirmation of the Company Board Recommendation and the Finance Committee Recommendation.</w:t>
      </w:r>
    </w:p>
    <w:p>
      <w:pPr>
        <w:spacing w:after="0" w:line="194" w:lineRule="exact"/>
        <w:rPr>
          <w:rFonts w:ascii="Times New Roman" w:cs="Times New Roman" w:eastAsia="Times New Roman" w:hAnsi="Times New Roman"/>
          <w:sz w:val="18"/>
          <w:szCs w:val="18"/>
          <w:color w:val="auto"/>
        </w:rPr>
      </w:pPr>
    </w:p>
    <w:p>
      <w:pPr>
        <w:ind w:firstLine="1304"/>
        <w:spacing w:after="0" w:line="312" w:lineRule="auto"/>
        <w:tabs>
          <w:tab w:leader="none" w:pos="181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foregoing, it is agreed that any violation of the restrictions set forth in this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by any Representative or Affiliate of the Company acting on behalf of the Company or its Affiliates shall be deemed to be a breach of this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by the Company.</w:t>
      </w:r>
    </w:p>
    <w:p>
      <w:pPr>
        <w:spacing w:after="0" w:line="139" w:lineRule="exact"/>
        <w:rPr>
          <w:rFonts w:ascii="Times New Roman" w:cs="Times New Roman" w:eastAsia="Times New Roman" w:hAnsi="Times New Roman"/>
          <w:sz w:val="17"/>
          <w:szCs w:val="17"/>
          <w:color w:val="auto"/>
        </w:rPr>
      </w:pPr>
    </w:p>
    <w:p>
      <w:pPr>
        <w:ind w:left="1820" w:hanging="516"/>
        <w:spacing w:after="0"/>
        <w:tabs>
          <w:tab w:leader="none" w:pos="1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a customary confidentiality agreement that does not prohibit compliance by the Company with any of the provisions of this Agreement (it being understood that such confidentiality agreement need not contain a standstill provision or otherwise prohibit the making or amending of a Takeover Proposal to the extent such Takeover Proposal is made directly to the Company).</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 change, effect, event, occurrence, state of facts or development that materially affects the Company and its Subsidiaries, taken as a whole, occurring after the Effective Date that did not result from a breach of this Agreement and (i) was not known by, or reasonably foreseeable to, the Company Board or the Finance Committee as of or prior to the Effective Date (or if known and reasonably foreseeable to the Company Board or the Finance Committee as of the Effective Date, the material consequences of which were not known or reasonably foreseeable to the Company Board or the Finance Committee, as applicable, as of the Effective Date) and (ii) becomes known to or by the Company Board or the Finance Committee prior to the receipt of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receipt of a Takeover Proposal or Superior Proposal constitute or be taken into account in determining whether an Intervening Event has occurred.</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any bona fide written, unsolicited Takeover Proposal that was not solicited in breach in any material respect of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(except that, for purposes of this definition of “Superior Proposal” all references to 20% in the definition of “Takeover Proposal” shall be deemed to be references to 50%) made by a third party (who is not an Affiliate of the Company) that is fully financed or has fully committed financing to consummate such transaction and that (i) is on terms that the Company Board and the Finance Committee reasonably determines in good faith, after consultation with and after receipt of advice from outside legal counsel and a financial advisor of nationally recognized reputation, to be more favorable to the holders of Company Common Stock from a financial point of view than the Transactions, taking into account all the terms and conditions of such proposal and this Agreement (including any Lender Proposal), and (ii) is reasonably capable of being completed on the terms proposed, in each case taking into account financial, regulatory (including Antitrust Laws), legal, closing certainty and timing and other aspects and risks of such Takeover Proposal and such additional factors as the Company Board and the Finance Committee consider to be appropriate (including any break-up fees and expense reimbursement provisions).</w:t>
      </w:r>
    </w:p>
    <w:p>
      <w:pPr>
        <w:spacing w:after="0" w:line="194"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Proposal</w:t>
      </w:r>
      <w:r>
        <w:rPr>
          <w:rFonts w:ascii="Times New Roman" w:cs="Times New Roman" w:eastAsia="Times New Roman" w:hAnsi="Times New Roman"/>
          <w:sz w:val="18"/>
          <w:szCs w:val="18"/>
          <w:color w:val="auto"/>
        </w:rPr>
        <w:t>” means any proposal or offer made by a third party to the Company or the Company Board (i) for a merger, consolidation, share exchange, business combination, dual listed company structure, liquidation, dissolution, joint venture, strategic alliance, recapitalization, reorganization or other similar transaction involving (A) the Company which would result in any third party (or the stockholders of such third party) owning more than 20% of the shares of capital stock of the Company, or (B) the Company or its Subsidiaries which would result in any third party (or the stockholders of such third party) owning assets or businesses that represent or constitute more than 20% of the revenue or assets of the Company and its Subsidiaries taken as a whole, (ii) for the issuance by the Company of more than 20% of its shares of capital stock (whether by voting power or number of shares) as consideration for the assets or securities of another person or business, (iii) to acquire in any manner (including by a tender or exchange offer), directly or indirectly, more than 20% of the shares of capital stock of the Company (whether by voting power or number of shares) or assets or businesses that represent or constitute more than 20% of the revenues or assets of the Company and its Subsidiaries taken as a whole or (iv) to sell, lease, exclusively license, mortgage, pledge or otherwise transfer (including through any arrangement having substantially the same economic effect as a sale of assets) assets or businesses that represent or constitute more than 20% of the revenues or assets of the Company and its Subsidiaries taken as a whole, on a consolidated basis, in a single transaction or a series of transactions, in each case other than the Transactions or sales, leases, licenses or dispositions of assets in the ordinary course of business.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Additional Agreements</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Preparation of the Proxy Statement; Stockholders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9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as soon as practicable after the Effective Date (and in any event no later than the 20th Business Day immediately after the Effective Date), prepare and file with the SEC the Proxy Statement in preliminary form, and the Company shall use its reasonable best efforts to respond as promptly as practicable to any comments of the SEC with respect thereto and for the Proxy Statement to be cleared by the SEC and its staff under the Exchange Act as promptly as practicable after such filing. The Company shall notify Lender promptly (but in any event within 24 hours) of the receipt of any comments from the SEC or its staff and of any request by the SEC or its staff for amendments or supplements to the Proxy Statement or for additional information, and shall supply Lender with copies of all written correspondence and a summary of all material oral correspondence between the Company or any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spacing w:after="0" w:line="252" w:lineRule="auto"/>
        <w:rPr>
          <w:sz w:val="20"/>
          <w:szCs w:val="20"/>
          <w:color w:val="auto"/>
        </w:rPr>
      </w:pPr>
      <w:r>
        <w:rPr>
          <w:rFonts w:ascii="Times New Roman" w:cs="Times New Roman" w:eastAsia="Times New Roman" w:hAnsi="Times New Roman"/>
          <w:sz w:val="18"/>
          <w:szCs w:val="18"/>
          <w:color w:val="auto"/>
        </w:rPr>
        <w:t>of its Representatives, on the one hand, and the SEC or its staff, on the other hand, with respect to the Proxy Statement or the Transactions. Notwithstanding anything to the contrary herein, prior to filing or mailing the Proxy Statement (or any amendment or supplement thereto) or responding to any questions or comments of the SEC or its staff with respect thereto, the Company shall (i) provide Lender and its counsel a reasonable opportunity to review and comment on such document or response and (ii) consider reasonably and in good faith for inclusion in such document or response all comments reasonably proposed by Lender. Without limiting the generality of the foregoing, Lender shall reasonably cooperate with the Company in connection with the preparation and filing of the Proxy Statement, including reasonably promptly furnishing to the Company in writing upon request any and all information relating to Lender as may be required to be set forth in the Proxy Statement under applicable Law. Notwithstanding anything to the contrary herein, (A) the Company assumes no responsibility with respect to information supplied in writing by or on behalf of Lender expressly provided for inclusion or incorporation by reference in the Proxy Statement (such information, the “</w:t>
      </w:r>
      <w:r>
        <w:rPr>
          <w:rFonts w:ascii="Times New Roman" w:cs="Times New Roman" w:eastAsia="Times New Roman" w:hAnsi="Times New Roman"/>
          <w:sz w:val="18"/>
          <w:szCs w:val="18"/>
          <w:u w:val="single" w:color="auto"/>
          <w:color w:val="auto"/>
        </w:rPr>
        <w:t>Lender Supplied Information</w:t>
      </w:r>
      <w:r>
        <w:rPr>
          <w:rFonts w:ascii="Times New Roman" w:cs="Times New Roman" w:eastAsia="Times New Roman" w:hAnsi="Times New Roman"/>
          <w:sz w:val="18"/>
          <w:szCs w:val="18"/>
          <w:color w:val="auto"/>
        </w:rPr>
        <w:t>”), which shall be the responsibility of Lender, and (B) Lender assumes no responsibility with respect to any information included or incorporated by reference in the Proxy Statement other than the Lender Supplied Information. In connection with the foregoing, the Company shall as promptly as reasonably practicable after the later of (1) (x) the 10-day waiting period under Rule 14a-6(a) under the Exchange Act or (y) if earlier, the date on which the SEC confirms it will not review the Proxy Statement and (2) the date on which the SEC confirms that it has no further comments on the Proxy Statement (such later date, the “</w:t>
      </w:r>
      <w:r>
        <w:rPr>
          <w:rFonts w:ascii="Times New Roman" w:cs="Times New Roman" w:eastAsia="Times New Roman" w:hAnsi="Times New Roman"/>
          <w:sz w:val="18"/>
          <w:szCs w:val="18"/>
          <w:u w:val="single" w:color="auto"/>
          <w:color w:val="auto"/>
        </w:rPr>
        <w:t>Clearance Date</w:t>
      </w:r>
      <w:r>
        <w:rPr>
          <w:rFonts w:ascii="Times New Roman" w:cs="Times New Roman" w:eastAsia="Times New Roman" w:hAnsi="Times New Roman"/>
          <w:sz w:val="18"/>
          <w:szCs w:val="18"/>
          <w:color w:val="auto"/>
        </w:rPr>
        <w:t>”), cause the Proxy Statement to be filed with the SEC in definitive form and mailed to the Company Stockholders, and duly call and give notice of the Company Stockholders Meeting for the purpose of seeking the Company Stockholder Approval and the Amended and Restated Charter Approval.</w:t>
      </w:r>
    </w:p>
    <w:p>
      <w:pPr>
        <w:spacing w:after="0" w:line="196" w:lineRule="exact"/>
        <w:rPr>
          <w:sz w:val="20"/>
          <w:szCs w:val="20"/>
          <w:color w:val="auto"/>
        </w:rPr>
      </w:pPr>
    </w:p>
    <w:p>
      <w:pPr>
        <w:jc w:val="both"/>
        <w:ind w:firstLine="1304"/>
        <w:spacing w:after="0" w:line="253" w:lineRule="auto"/>
        <w:tabs>
          <w:tab w:leader="none" w:pos="193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reasonably in advance of the Clearance Date, commence a broker search pursuant to Rule 14a-13 of the Exchange Act and establish (in consultation with Lender) a record date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stockholders entitled to receive notice of, and attend, a meeting of the Company Stockholders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for the sole purpose of obtaining the Company Stockholder Approval and the Amended and Restated Charter Approval, and voting on a proposal to adjourn the Company Stockholders Meeting if necessary to solicit additional proxies to obtain the Company Stockholder Approval and the Amended and Restated Charter Approval. Once the Company has established the Record Date, the Company shall not change, unless otherwise required by applicable Law or the Company’s organizational documents (including in connection with the postponement, adjournment or rescheduling of the Company Stockholders Meeting to the extent permitted by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the Record Date or establish a different record date for the Company Stockholders Meeting without the prior written consent of Lender, which consent shall not be unreasonably withheld, conditioned or delayed (and if the date of the Company Stockholders Meeting as originally called is for any reason adjourned or otherwise delayed, the Company agrees that unless Lender has otherwise approved in writing (not to be unreasonably withheld, conditioned or delayed) (or as required by applicable Law or stock exchange requirement), the Company will, if reasonably possible, implement such adjournment or other delay in such a way that the Company does not need to establish a new record date for the Company Stockholders Meeting, as so adjourned or delayed). The Proxy Statement mailed to the holders of Company Common Stock shall include the Fairness Opinion in full.</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this Agreement shall have been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Company shall convene and hold the Company Stockholders Meeting for the purpose of seeking the Company Stockholder Approval and the Amended and Restated Charter Approval no later than the 40th calendar day (or, if such calendar day is not a Business Day, on the first Business Day subsequent to such calendar day) after the Clearance Date. The date of the Company Stockholders Meeting shall be selected by the Company after reasonable consultation with Lender. Once the Company Stockholders Meeting has been scheduled by the Company, the Company shall not adjourn, postpone, reschedule, recess or otherwise delay the Company Stockholders Meeting without the prior written consent of Lender, which consent shall</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not be unreasonably withheld, conditioned or delayed, unless otherwise required by applicable Law or the Company’s organizational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and at the request of Lender it shall, adjourn, recess or postpone the Company Stockholders Meeting on no more than two occasions, for no more than 10 Business Days from the prior-scheduled date on each occasion or to a date on or after the fifth (5th) Business Day preceding the Outside Date, if Lender or the Company, respectively, reasonably believes that there will be insufficient shares of Company Common Stock represented (either in person or by proxy) for purposes of a quorum or to obtain the Company Stockholder Approval and the Amended and Restated Charter Approval or after consultation with the Company’s outside counsel, such adjournment or postponement is required in order to disseminate material information to the Company Stockholders in connection with their voting at the Company Stockholders Meeting. The Company shall also consider in good faith any other request by Lender to postpone the Company Stockholders Meeting. The Company agrees that, unless this Agreement is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its obligations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(except in the case of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 xml:space="preserve">, to the extent specifically provided in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 shall not be affected by the commencement, public proposal, public disclosure or communication to the Company or any other person of any Takeover Proposal or the making of any Adverse Recommendation Change. The Company shall advise Lender upon request prior to the date of the Company Stockholders Meeting (and any reconvening thereof) as to the aggregate tally of proxies received by the Company with respect to the Company Stockholder Approval and the Amended and Restated Charter Approval and whether such proxies have been voted affirmatively or negatively with respect to each of the proposals to be presented at the Company Stockholders Meeting.</w:t>
      </w:r>
    </w:p>
    <w:p>
      <w:pPr>
        <w:spacing w:after="0" w:line="197" w:lineRule="exact"/>
        <w:rPr>
          <w:sz w:val="20"/>
          <w:szCs w:val="20"/>
          <w:color w:val="auto"/>
        </w:rPr>
      </w:pPr>
    </w:p>
    <w:p>
      <w:pPr>
        <w:jc w:val="both"/>
        <w:ind w:firstLine="1304"/>
        <w:spacing w:after="0" w:line="254" w:lineRule="auto"/>
        <w:tabs>
          <w:tab w:leader="none" w:pos="1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Company has made an Adverse Recommendation Change in compliance with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 (i) the Company shall, through the Company Board, make the Company Board Recommendation to the Company Stockholders, and shall include the Finance Committee Recommendation and Company Board Recommendation in the Proxy Statement; (ii) the Company shall, and shall cause its proxy solicitor to, use its reasonable best efforts to solicit proxies in favor of the Company Stockholder Approval and the Amended and Restated Charter Approval; (iii) Lender shall vote (or cause to be voted) all shares of Company Common Stock held by it or its controlled Affiliates in favor of the issuance of the Exchange Stock and the Amended and Restated Charter; and (iv) unless a Proxy Stockholder Proxy Revocation has occurred, the Company shall cause the officers of the Company to whom the Proxy is granted to vote (or cause to be voted) the shares of Company Common Stock subject to the Proxy at the Company Stockholders Meeting in favor of the issuance of the Exchange Stock and the Amended and Restated Charter.</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Company Stockholders Meeting (or any adjournment or postponement thereof), any event occurs with respect to the Company, any of its Subsidiaries or Lender, or any change occurs with respect to other information supplied by Lender or the Company for inclusion in the Proxy Statement, which is required to be described in an amendment of, or a supplement to, the Proxy Statement, the Party that discovers such information shall promptly notify the other Party of such event, and Lender and the Company shall cooperate in the filing with the SEC, as promptly as reasonably practicable, of any necessary amendment or supplement to the Proxy Statement and, as required by Law, in disseminating the information contained in such amendment or supplement to the Company’s stockholders.</w:t>
      </w:r>
    </w:p>
    <w:p>
      <w:pPr>
        <w:spacing w:after="0" w:line="18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Rights Offering</w:t>
      </w:r>
      <w:r>
        <w:rPr>
          <w:rFonts w:ascii="Times New Roman" w:cs="Times New Roman" w:eastAsia="Times New Roman" w:hAnsi="Times New Roman"/>
          <w:sz w:val="18"/>
          <w:szCs w:val="18"/>
          <w:color w:val="auto"/>
        </w:rPr>
        <w:t>. The Company shall, as soon as practicable after the Effective Date (and in any event no later than the 20th Business Day immediately after the Effective Date), prepare and file with the SEC a registration statement (the “</w:t>
      </w:r>
      <w:r>
        <w:rPr>
          <w:rFonts w:ascii="Times New Roman" w:cs="Times New Roman" w:eastAsia="Times New Roman" w:hAnsi="Times New Roman"/>
          <w:sz w:val="18"/>
          <w:szCs w:val="18"/>
          <w:u w:val="single" w:color="auto"/>
          <w:color w:val="auto"/>
        </w:rPr>
        <w:t>Rights Offering Registration Statement</w:t>
      </w:r>
      <w:r>
        <w:rPr>
          <w:rFonts w:ascii="Times New Roman" w:cs="Times New Roman" w:eastAsia="Times New Roman" w:hAnsi="Times New Roman"/>
          <w:sz w:val="18"/>
          <w:szCs w:val="18"/>
          <w:color w:val="auto"/>
        </w:rPr>
        <w:t>”) in connection with a $12,500,000 rights offering by the Company, pursuant to which each existing holder of the Class A Common Stock and Class B Common Stock will receive a transferable right to purchase additional shares of Class A Common Stock on a pro rata basis relative to its ownership interests in the Company as of the record date established in the Rights Offering Registration Statement at a price per share equal to $4.08,</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both"/>
        <w:spacing w:after="0" w:line="252" w:lineRule="auto"/>
        <w:rPr>
          <w:sz w:val="20"/>
          <w:szCs w:val="20"/>
          <w:color w:val="auto"/>
        </w:rPr>
      </w:pPr>
      <w:r>
        <w:rPr>
          <w:rFonts w:ascii="Times New Roman" w:cs="Times New Roman" w:eastAsia="Times New Roman" w:hAnsi="Times New Roman"/>
          <w:sz w:val="18"/>
          <w:szCs w:val="18"/>
          <w:color w:val="auto"/>
        </w:rPr>
        <w:t>which represents a 20% discount to the Average VWAP over the thirty (30)-day trading period ending as of the close of business on the trading day immediately preceding the Effective Date (the “</w:t>
      </w:r>
      <w:r>
        <w:rPr>
          <w:rFonts w:ascii="Times New Roman" w:cs="Times New Roman" w:eastAsia="Times New Roman" w:hAnsi="Times New Roman"/>
          <w:sz w:val="18"/>
          <w:szCs w:val="18"/>
          <w:u w:val="single" w:color="auto"/>
          <w:color w:val="auto"/>
        </w:rPr>
        <w:t>Rights Offering</w:t>
      </w:r>
      <w:r>
        <w:rPr>
          <w:rFonts w:ascii="Times New Roman" w:cs="Times New Roman" w:eastAsia="Times New Roman" w:hAnsi="Times New Roman"/>
          <w:sz w:val="18"/>
          <w:szCs w:val="18"/>
          <w:color w:val="auto"/>
        </w:rPr>
        <w:t>”). The Company shall use its reasonable best efforts to respond as promptly as practicable to any comments of the SEC with respect to the Rights Offering Registration Statement and for the Rights Offering Registration Statement to be declared effective by the SEC and its staff under the Securities Act as promptly as practicable after such filing. The Rights Offering Registration Statement shall comply as to form and in all material respects with the applicable provisions of the Securities Act. The Company shall notify Lender promptly (but in any event within 24 hours) of the receipt of any comments from the SEC or its staff and of any request by the SEC or its staff for amendments or supplements to the Rights Offering Registration Statement or for additional information, and shall supply Lender with copies of all written correspondence and a summary of all material oral correspondence between the Company or any of its Representatives, on the one hand, and the SEC or its staff, on the other hand, with respect to the Rights Offering Registration Statement. Notwithstanding anything to the contrary herein, prior to filing the Rights Offering Registration Statement or mailing the prospectus to such Rights Offering Registration Statement (or, in each case, any amendment or supplement thereto) or responding to any questions or comments of the SEC or its staff with respect thereto, the Company shall (i) provide Lender and its counsel a reasonable opportunity to review and comment on such document or response and (ii) consider reasonably and in good faith for inclusion in such document or response all comments reasonably proposed by Lender. Notwithstanding anything to the contrary herein, (A) the Company assumes no responsibility with respect to the Lender Supplied Information expressly provided for inclusion or incorporation by reference in the Rights Offering Registration Statement, which shall be the responsibility of Lender, and (B) Lender assumes no responsibility with respect to any information included or incorporated by reference in the Rights Offering Registration Statement other than the Lender Supplied Information. In connection with the foregoing, the Company shall as promptly as reasonably practicable after the Rights Offering Registration Statement is declared effective by the SEC and its staff under the Securities Act, cause the final prospectus to the Rights Offering Registration Statement to be filed with the SEC and delivered to the Company Stockholders.</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8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Subject to the terms and conditions set forth in this Agreement, Lender and the Company shall cooperate with each other and use (and shall cause their respective Subsidiaries to use) their respective reasonable best efforts to take or cause to be taken all actions, and do or cause to be done all things, reasonably necessary, proper or advisable on their respective parts under this Agreement and applicable Laws to consummate and make effective the Exchange Transactions and the other Transactions as soon as practicable, including, subject to the other provisions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preparing and filing as promptly as reasonably practicable all documentation to effect all necessary notices, reports and other filings and to obtain as promptly as reasonably practicable all consents, registrations, approvals, permits and authorizations necessary or advisable to be obtained from any third party or any Governmental Authority in order to consummate the Exchange Transactions or any of the other Transactions, including the Third-Party Consents. Subject to applicable Laws (including relating to the exchange of information), Lender and the Company shall jointly direct all matters with any Governmental Authority consistent with their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applicable Law, Lender and the Company shall have the right to review in advance and, to the extent practicable, each will consult with the other on and consider in good faith the views of the other in connection with any filing made with, or written materials submitted to, any third party or any Governmental Authority in connection with the Exchange Transactions and the other Transactions. In exercising the foregoing rights, each of Lender and the Company shall act reasonably and as promptly as practicable. Notwithstanding anything to the contrary herein, Lender agrees that between the Effective Date and the earlier of the Effective Time or the date, if any, on which this Agreement is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Lender shall not assign, sell, transfer or dispose any portion of its Loans (as defined in the Existing Credit Agreement) under the Existing Credit Agreement. Lender hereby agrees to execute and deliver the New Credit Agreement on the Closing</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color w:val="auto"/>
        </w:rPr>
        <w:t xml:space="preserve">Date as required under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and to provide the Restatement Date Term Loan Commitments (as defined in the New Credit Agreement) on the Closing Date in accordance with the terms set forth in the New Credit Agreement.</w:t>
      </w:r>
    </w:p>
    <w:p>
      <w:pPr>
        <w:spacing w:after="0" w:line="162" w:lineRule="exact"/>
        <w:rPr>
          <w:sz w:val="20"/>
          <w:szCs w:val="20"/>
          <w:color w:val="auto"/>
        </w:rPr>
      </w:pPr>
    </w:p>
    <w:p>
      <w:pPr>
        <w:jc w:val="both"/>
        <w:ind w:firstLine="1304"/>
        <w:spacing w:after="0" w:line="258" w:lineRule="auto"/>
        <w:tabs>
          <w:tab w:leader="none" w:pos="18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w:t>
      </w:r>
      <w:r>
        <w:rPr>
          <w:rFonts w:ascii="Times New Roman" w:cs="Times New Roman" w:eastAsia="Times New Roman" w:hAnsi="Times New Roman"/>
          <w:sz w:val="18"/>
          <w:szCs w:val="18"/>
          <w:color w:val="auto"/>
        </w:rPr>
        <w:t>. Subject to applicable Laws and as required by any Governmental Authority, Lender and the Company each shall keep the other apprised of the status of matters relating to completion of the Transactions, including promptly notifying the other Party of any substantive or material communication with any other Governmental Authority and promptly furnishing the other with copies of notices or other communications received by Lender or the Company, as the case may be, or any of their respective Affiliates, from any third party or any Governmental Authority with respect to the Exchange Transactions and the other Transactions.</w:t>
      </w:r>
    </w:p>
    <w:p>
      <w:pPr>
        <w:spacing w:after="0" w:line="18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The Company shall take all such actions as may be required to amend, or amend and restate, the 2021 Plan effective as of the Closing Date to increase the maximum number of shares of Class A Common Stock that are authorized for issuance under the 2021 Plan to the extent required in order to issue Awards (as defined in the 2021 Plan) (such amended or amended and restated 2021 Plan, the “</w:t>
      </w:r>
      <w:r>
        <w:rPr>
          <w:rFonts w:ascii="Times New Roman" w:cs="Times New Roman" w:eastAsia="Times New Roman" w:hAnsi="Times New Roman"/>
          <w:sz w:val="18"/>
          <w:szCs w:val="18"/>
          <w:u w:val="single" w:color="auto"/>
          <w:color w:val="auto"/>
        </w:rPr>
        <w:t>MIP</w:t>
      </w:r>
      <w:r>
        <w:rPr>
          <w:rFonts w:ascii="Times New Roman" w:cs="Times New Roman" w:eastAsia="Times New Roman" w:hAnsi="Times New Roman"/>
          <w:sz w:val="18"/>
          <w:szCs w:val="18"/>
          <w:color w:val="auto"/>
        </w:rPr>
        <w:t>”) pursuant to the terms and conditions of the MIP Term Sheet, subject to the approval of the Company Board the affirmative vote of the holders of a majority of votes cast (excluding abstentions and broker non-votes) at a meeting of the Company’s stockholders at which a quorum is present (such stockholders approval, the “</w:t>
      </w:r>
      <w:r>
        <w:rPr>
          <w:rFonts w:ascii="Times New Roman" w:cs="Times New Roman" w:eastAsia="Times New Roman" w:hAnsi="Times New Roman"/>
          <w:sz w:val="18"/>
          <w:szCs w:val="18"/>
          <w:u w:val="single" w:color="auto"/>
          <w:color w:val="auto"/>
        </w:rPr>
        <w:t>Stockholder MIP Approval</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The Company and the Company Board shall (i) take all action within its power and authority necessary to ensure that no Takeover Law or similar provision of the Company Governing Documents is or becomes applicable to the Transactions, this Agreement or any other Transaction Document, and (ii) if any Takeover Law becomes applicable to the Transactions, this Agreement or any other Transaction Document, take all action within its power and authority necessary to ensure that the Exchange Transactions and the other Transactions may be consummated as promptly as practicable on the terms contemplated by the Transaction Documents. No Adverse Recommendation Change shall change, or be deemed to change or permit the Company or the Company Board to change, in any manner or respect the approval of the Company Board for purposes of causing any Takeover Law to be inapplicable to this Agreement, any other Transaction Document or any of the Transactions (including, for the avoidance of doubt, the Exchange Transactions).</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(6) years after the Effective Time, the Company shall indemnify and hold harmless any individual (i) who is or prior to the Effective Time becomes, or has been at any time prior to the Effective Date, a present or former director or officer (including any such individual serving as a fiduciary with respect to an employee benefit plan) of the Company or (ii) in his or her capacity as a present or former director or officer of one or more of the Company’s Subsidiaries as of the Effective Date (each such individual in (i) and (ii)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costs and expenses (including advancing reasonable costs prior to the final disposition of any actual or threatened Action, whether civil, criminal or administrative (each,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to each Indemnified Person to the fullest extent permitted by applicable Law and the Company Governing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Indemnified Person agrees in advance to return any such funds to which a court of competent jurisdiction determines in a final, nonappealable judgment that such Indemnified Person is not ultimately entitled), judgments, fines, penalties, losses, claims, damages, liabilities and amounts paid in settlement in connection with or relating to any Claim in respect of acts, omissions, facts or events occurring or alleged to have occurred at or prior to the Effective Time (including acts, omissions, facts or events occurring in connection with the approval of this Agreement and the consummation of the Exchange Transactions or any of the other Transactions), whether asserted or claimed prior to, at or after the Effective Time, in connection with or relating to such Indemnified</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Person serving or having served as an officer, director, employee or other fiduciary of the Company or any of its Subsidiaries or of any other Person if such service was at the request or for the benefit of the Company or any of its Subsidiaries, to the fullest extent permitted by applicable Law and the Company Governing Documents or the organizational documents of the applicable Subsidiary of the Company or any indemnification agreements with such Indemnified Person in existence at or prior to the execution of this Agreement (it being agreed that after the Closing such rights shall be mandatory rather than permissive, if applicable). The Parties agree that all rights to elimination of liability, indemnification and advancement of expenses for acts, omissions, facts or events occurring or alleged to have occurred at or prior to the Effective Time, whether asserted or claimed prior to, at or after the Effective Time, now existing in favor of the Indemnified Persons as provided in their respective certificate of incorporation or bylaws (or comparable organizational documents) or in any indemnification agreement in existence at or prior to the execution of this Agreement shall survive the Exchange Transactions and shall continue in full force and effect in accordance with the terms thereof.</w:t>
      </w:r>
    </w:p>
    <w:p>
      <w:pPr>
        <w:spacing w:after="0" w:line="188" w:lineRule="exact"/>
        <w:rPr>
          <w:sz w:val="20"/>
          <w:szCs w:val="20"/>
          <w:color w:val="auto"/>
        </w:rPr>
      </w:pPr>
    </w:p>
    <w:p>
      <w:pPr>
        <w:jc w:val="both"/>
        <w:ind w:firstLine="1304"/>
        <w:spacing w:after="0" w:line="254" w:lineRule="auto"/>
        <w:tabs>
          <w:tab w:leader="none" w:pos="187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(6) years after the Effective Time, the Company shall cause to be maintained in effect the provisions in (i) the Company Governing Documents and the organizational documents of the Company’s Subsidiaries, and (ii) any indemnification agreement of the Company or any of its Subsidiaries with any Indemnified Person in existence at or prior to the execution of this Agreement, in each case, regarding elimination of liability, indemnification of officers, directors and employees and advancement of expenses that are in existence prior to the execution of this Agreement, and no such provision shall be amended, modified or repealed in any manner that would adversely affect the rights or protections thereunder of any such Indemnified Person in respect of acts, omissions, facts or events occurring or alleged to have occurred at or prior to the Effective Time (including acts or omissions occurring in connection with the approval of this Agreement and the consummation of the Exchange Transactions or any of the other Transactions). Notwithstanding the foregoing, the Company shall not be liable for any settlement effected without its prior written consent (which consent shall not be unreasonably withheld, delayed or conditioned).</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prior to the Effective Time, the Company shall purchase six (6) year prepaid “tail” insurance on terms and conditions providing coverage retentions, limits and other material terms substantially equivalent to the current policies of directors’ and officers’ liability insurance, employment practices liability insurance and fiduciary liability insurance maintained by the Company and the Company’s Subsidiaries with respect to matters arising at or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commit or spend on such “tail” insurance, in the aggregate, more than three hundred percent (300%) of the last aggregate annual premium incurred by the Company prior to the execution of this Agreement for the Company’s policies of directors’ and officers’ liability insurance, employment practices liability insurance and fiduciary liability insurance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and if such “tail” insurance is not reasonably available for a cost not exceeding the Base Amount, the Company shall be permitted to purchase as much “tail” insurance coverage as reasonably practicable for the Base Amount. The Company shall in good faith cooperate with Lender prior to the Closing with respect to the procurement of such “tail” insurance. The Company shall maintain such “tail” insurance in full force and effect for a period of six (6) years after the Effective Time.</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applicable successor, assign or transferee shall assume the obligations set forth in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(including this </w:t>
      </w:r>
      <w:r>
        <w:rPr>
          <w:rFonts w:ascii="Times New Roman" w:cs="Times New Roman" w:eastAsia="Times New Roman" w:hAnsi="Times New Roman"/>
          <w:sz w:val="18"/>
          <w:szCs w:val="18"/>
          <w:u w:val="single" w:color="auto"/>
          <w:color w:val="auto"/>
        </w:rPr>
        <w:t>Section 6.06(d)</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both"/>
        <w:ind w:firstLine="1304"/>
        <w:spacing w:after="0" w:line="255" w:lineRule="auto"/>
        <w:tabs>
          <w:tab w:leader="none" w:pos="18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each Indemnified Person under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shall be in addition to any rights such Person may have under the Company Governing Documents and the organizational documents of the Company’s Subsidiaries, under the DGCL or any other applicable Law, under any agreement of any Indemnified Person with the Company or any of the Company’s Subsidiaries or otherwise. These rights shall survive the consummation of the Exchange Transactions in accordance with their terms. After the Effective Time, the covenants contained in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are intended to benefit, and shall be enforceable by, each Indemnified Person. After the Effective Time, the obligations of the Company under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shall not be terminated or modified in such a manner as to adversely affect the rights of any Indemnified Person without the consent of such Indemnified Person. Each Indemnified Person shall be an express intended third party beneficiary of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The initial press release with respect to the Exchange Transactions and the other Transactions shall be a joint press release mutually agreed by the Parties (the “</w:t>
      </w:r>
      <w:r>
        <w:rPr>
          <w:rFonts w:ascii="Times New Roman" w:cs="Times New Roman" w:eastAsia="Times New Roman" w:hAnsi="Times New Roman"/>
          <w:sz w:val="18"/>
          <w:szCs w:val="18"/>
          <w:u w:val="single" w:color="auto"/>
          <w:color w:val="auto"/>
        </w:rPr>
        <w:t>Initial Press Release</w:t>
      </w:r>
      <w:r>
        <w:rPr>
          <w:rFonts w:ascii="Times New Roman" w:cs="Times New Roman" w:eastAsia="Times New Roman" w:hAnsi="Times New Roman"/>
          <w:sz w:val="18"/>
          <w:szCs w:val="18"/>
          <w:color w:val="auto"/>
        </w:rPr>
        <w:t xml:space="preserve">”). Thereafter, the Parties shall consult with each other before issuing, and provide each other the opportunity to review and comment upon, any press release or other public statements with respect to the Exchange Transactions and the other Transactions and shall not issue any such press release or make any such public statement prior to such consultation and approval by the other Party, except (i) as may be required by applicable Law, court process or by obligations pursuant to any listing agreement with any national securities exchange (in which case, the disclosing Party shall use its reasonable best efforts to consult with the other Party prior to such disclosure), (ii) as such press release or public statement contains an Adverse Recommendation Change or occurs following the occurrence of an Adverse Recommendation Change, (iii) in respect of any press release, public statement or filing in connection with any legal proceeding between the Parties related to this Agreement or any of the Transactions, or (iv) any press releases, public disclosures or public statements that are substantially the same as the Initial Press Release or other previous press releases, public disclosures or public statements made by Lender or the Company in compliance with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Notwithstanding anything to the contrary herein, Lender and its Affiliates may provide communications regarding this Agreement and the Transactions to their respective existing and prospective investors, equityholders, general or limited partners, clients, members or managers, in each case, who are subject to customary confidentiality restrictions.</w:t>
      </w:r>
    </w:p>
    <w:p>
      <w:pPr>
        <w:spacing w:after="0" w:line="18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The Company shall give prompt notice to Lender, and Lender shall give prompt notice (which notice, notwithstanding anything to the contrary herein, may be by email to the outside counsel of each Party) to the Company, in each case, within two (2) Business Days, of any “demand letter” or Actions commenced, or, to the knowledge of such Party, threatened in writing against such Party or any of its directors, officers, stockholders, Affiliates or Representatives in connection with, arising from or relating to this Agreement or the Transactions (including any class action or derivative litigation)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(including by providing copies of all pleadings with respect thereto) and thereafter keep the other Party promptly and reasonably informed with respect to the status thereof. Lender shall have the right to participate in, but not control, the defense, settlement or prosecution of any Transaction Litigation and the Company shall consult with Lender with respect to the defense, settlement, prosecution, waiver or compromise of any Transaction Litigation. For purposes of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“participate” means that (i) the Company shall provide Lender (and its outside counsel) an opportunity to review and to propose comments to all filings or responses to be made by the Company in connection with any Transaction Litigation commenced or threatened, (ii) the Company will keep Lender reasonably apprised of proposed strategy and other significant decisions with respect to the Transaction Litigation and (iii) the Company shall consider in good faith any comments or suggestions of Lender with respect to such Transaction Litigation. The Company shall not settle or compromise any Transaction Litigation without the prior written consent of Lender (not to be unreasonably withheld, conditioned or delayed).</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Percentage Ownership</w:t>
      </w:r>
      <w:r>
        <w:rPr>
          <w:rFonts w:ascii="Times New Roman" w:cs="Times New Roman" w:eastAsia="Times New Roman" w:hAnsi="Times New Roman"/>
          <w:sz w:val="18"/>
          <w:szCs w:val="18"/>
          <w:color w:val="auto"/>
        </w:rPr>
        <w:t xml:space="preserve">. The Parties intend that the Exchange Stock will collectively represent 86% of the shares of Company Common Stock on a Fully Diluted Basis (after giving effect to the Conversions and for the avoidance of doubt, the issuance of awards in accordance with </w:t>
      </w:r>
      <w:r>
        <w:rPr>
          <w:rFonts w:ascii="Times New Roman" w:cs="Times New Roman" w:eastAsia="Times New Roman" w:hAnsi="Times New Roman"/>
          <w:sz w:val="18"/>
          <w:szCs w:val="18"/>
          <w:u w:val="single" w:color="auto"/>
          <w:color w:val="auto"/>
        </w:rPr>
        <w:t>Section 5.01(a)(y)(iv)(B)</w:t>
      </w:r>
      <w:r>
        <w:rPr>
          <w:rFonts w:ascii="Times New Roman" w:cs="Times New Roman" w:eastAsia="Times New Roman" w:hAnsi="Times New Roman"/>
          <w:sz w:val="18"/>
          <w:szCs w:val="18"/>
          <w:color w:val="auto"/>
        </w:rPr>
        <w:t>, if any, but before giving effect to the Rights Offering and the MIP) as of the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Closing Date. Within seven (7) Business Days following the Closing, the Company shall deliver to Lender a written statement setting forth the total number of outstanding shares of Company Common Stock on a Fully Diluted Basis as of the Closing Date together with a written certification executed by an executive officer of the Company certifying that the Exchange Stock issued on the Closing Date represented 86% of the shares of Company Common Stock on a Fully Diluted Basis (after giving effect to the Conversions and, for the avoidance of doubt, the issuance of awards in accordance with </w:t>
      </w:r>
      <w:r>
        <w:rPr>
          <w:rFonts w:ascii="Times New Roman" w:cs="Times New Roman" w:eastAsia="Times New Roman" w:hAnsi="Times New Roman"/>
          <w:sz w:val="18"/>
          <w:szCs w:val="18"/>
          <w:u w:val="single" w:color="auto"/>
          <w:color w:val="auto"/>
        </w:rPr>
        <w:t>Section 5.01(a)(y)(iv)(B)</w:t>
      </w:r>
      <w:r>
        <w:rPr>
          <w:rFonts w:ascii="Times New Roman" w:cs="Times New Roman" w:eastAsia="Times New Roman" w:hAnsi="Times New Roman"/>
          <w:sz w:val="18"/>
          <w:szCs w:val="18"/>
          <w:color w:val="auto"/>
        </w:rPr>
        <w:t xml:space="preserve">, if any, but before giving effect to the Rights Offering and the MIP) as of the Closing Date, and shall provide reasonably detailed back up for such calculation and any other information reasonably requested by Lender and its Representatives in connection therewith. If it is determined that as of the Closing Date the Exchange Stock represented less than 86% of the shares of Company Common Stock on a Fully Diluted Basis (after giving effect to the Conversions and, for the avoidance of doubt, the issuance of awards in accordance with </w:t>
      </w:r>
      <w:r>
        <w:rPr>
          <w:rFonts w:ascii="Times New Roman" w:cs="Times New Roman" w:eastAsia="Times New Roman" w:hAnsi="Times New Roman"/>
          <w:sz w:val="18"/>
          <w:szCs w:val="18"/>
          <w:u w:val="single" w:color="auto"/>
          <w:color w:val="auto"/>
        </w:rPr>
        <w:t>Section 5.01(a)(y)(iv)(B)</w:t>
      </w:r>
      <w:r>
        <w:rPr>
          <w:rFonts w:ascii="Times New Roman" w:cs="Times New Roman" w:eastAsia="Times New Roman" w:hAnsi="Times New Roman"/>
          <w:sz w:val="18"/>
          <w:szCs w:val="18"/>
          <w:color w:val="auto"/>
        </w:rPr>
        <w:t xml:space="preserve">, if any, but before giving effect to the Rights Offering and the MIP) as of the Closing Date, then the Company shall be obligated to issue additional whole shares of Class A Common Stock (no fractional shares will be issued) to Lender, such that the aggregate number of whole shares of Company Common Stock then held by Lender (or its Designated Affiliates) as Exchange Stock plus such additional shares would, in the aggregate, represent 86% of the then outstanding shares of Company Common Stock on a Fully Diluted Basis (after giving effect to the issuance of the Exchange Stock and the Conversions and, for the avoidance of doubt, the issuance of awards in accordance with </w:t>
      </w:r>
      <w:r>
        <w:rPr>
          <w:rFonts w:ascii="Times New Roman" w:cs="Times New Roman" w:eastAsia="Times New Roman" w:hAnsi="Times New Roman"/>
          <w:sz w:val="18"/>
          <w:szCs w:val="18"/>
          <w:u w:val="single" w:color="auto"/>
          <w:color w:val="auto"/>
        </w:rPr>
        <w:t>Section 5.01(a)(y)(iv)(B)</w:t>
      </w:r>
      <w:r>
        <w:rPr>
          <w:rFonts w:ascii="Times New Roman" w:cs="Times New Roman" w:eastAsia="Times New Roman" w:hAnsi="Times New Roman"/>
          <w:sz w:val="18"/>
          <w:szCs w:val="18"/>
          <w:color w:val="auto"/>
        </w:rPr>
        <w:t>, if any, but before giving effect to the Rights Offering and the MIP) as of the Closing Date.</w:t>
      </w:r>
    </w:p>
    <w:p>
      <w:pPr>
        <w:spacing w:after="0" w:line="200" w:lineRule="exact"/>
        <w:rPr>
          <w:sz w:val="20"/>
          <w:szCs w:val="20"/>
          <w:color w:val="auto"/>
        </w:rPr>
      </w:pP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Prior to and after the Closing Date, upon the reasonable request of either Party, each Party will do, execute, acknowledge and deliver all such further acts, assurances, deeds, assignments, transfers, conveyances and other instruments and papers as may be reasonably required or appropriate to carry out or consummate the Transactions. The Company shall promptly (and in any event within 24 hours) deliver to Lender copies of all notices sent or received by the Company under any Conversion Notice.</w:t>
      </w:r>
    </w:p>
    <w:p>
      <w:pPr>
        <w:spacing w:after="0" w:line="180"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Amended and Restated Charter</w:t>
      </w:r>
      <w:r>
        <w:rPr>
          <w:rFonts w:ascii="Times New Roman" w:cs="Times New Roman" w:eastAsia="Times New Roman" w:hAnsi="Times New Roman"/>
          <w:sz w:val="18"/>
          <w:szCs w:val="18"/>
          <w:color w:val="auto"/>
        </w:rPr>
        <w:t>. If the Amended and Restated Charter Approval is received at the Company Stockholders Meeting, the Company shall file the Amended and Restated Charter with the Secretary of State of the State of Delaware immediately prior to the Closing on the Closing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Precedent</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Conditions to Each Party’s Obligation to Effect the Transactions</w:t>
      </w:r>
      <w:r>
        <w:rPr>
          <w:rFonts w:ascii="Times New Roman" w:cs="Times New Roman" w:eastAsia="Times New Roman" w:hAnsi="Times New Roman"/>
          <w:sz w:val="18"/>
          <w:szCs w:val="18"/>
          <w:color w:val="auto"/>
        </w:rPr>
        <w:t>. The respective obligation of each Party to effect the Exchange Transactions is subject to the satisfaction or waiver on or prior to the Closing Date of the following conditions:</w:t>
      </w:r>
    </w:p>
    <w:p>
      <w:pPr>
        <w:spacing w:after="0" w:line="162" w:lineRule="exact"/>
        <w:rPr>
          <w:sz w:val="20"/>
          <w:szCs w:val="20"/>
          <w:color w:val="auto"/>
        </w:rPr>
      </w:pPr>
    </w:p>
    <w:p>
      <w:pPr>
        <w:ind w:left="1820" w:hanging="516"/>
        <w:spacing w:after="0"/>
        <w:tabs>
          <w:tab w:leader="none" w:pos="1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shall have obtained the Company Stockholder Approval.</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temporary restraining order, preliminary or permanent injunction or other Judgment issued by any court of competent jurisdiction or Law, restraint or prohibition, in each case of any Governmental Authority of competent jurisdiction, in each case, in the United States (any such temporary restraining order, preliminary or permanent injunction, Judgment, Law, restraint or prohibition, a “</w:t>
      </w:r>
      <w:r>
        <w:rPr>
          <w:rFonts w:ascii="Times New Roman" w:cs="Times New Roman" w:eastAsia="Times New Roman" w:hAnsi="Times New Roman"/>
          <w:sz w:val="18"/>
          <w:szCs w:val="18"/>
          <w:u w:val="single" w:color="auto"/>
          <w:color w:val="auto"/>
        </w:rPr>
        <w:t>Legal Restraint</w:t>
      </w:r>
      <w:r>
        <w:rPr>
          <w:rFonts w:ascii="Times New Roman" w:cs="Times New Roman" w:eastAsia="Times New Roman" w:hAnsi="Times New Roman"/>
          <w:sz w:val="18"/>
          <w:szCs w:val="18"/>
          <w:color w:val="auto"/>
        </w:rPr>
        <w:t>”), shall be in effect, in each case, preventing, prohibiting or making illegal the consummation of the Exchange Transactions or any of the other transactions contemplated by the Principal Transaction Documents.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ind w:firstLine="1304"/>
        <w:spacing w:after="0" w:line="282" w:lineRule="auto"/>
        <w:tabs>
          <w:tab w:leader="none" w:pos="18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Offering</w:t>
      </w:r>
      <w:r>
        <w:rPr>
          <w:rFonts w:ascii="Times New Roman" w:cs="Times New Roman" w:eastAsia="Times New Roman" w:hAnsi="Times New Roman"/>
          <w:sz w:val="18"/>
          <w:szCs w:val="18"/>
          <w:color w:val="auto"/>
        </w:rPr>
        <w:t>. The Company shall have consummated the sale of Class A Common Stock pursuant to the exercise, if any, of securities issued in the Rights Offering.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and Equity Purchase Agreement</w:t>
      </w:r>
      <w:r>
        <w:rPr>
          <w:rFonts w:ascii="Times New Roman" w:cs="Times New Roman" w:eastAsia="Times New Roman" w:hAnsi="Times New Roman"/>
          <w:sz w:val="18"/>
          <w:szCs w:val="18"/>
          <w:color w:val="auto"/>
        </w:rPr>
        <w:t>. The Sale Closing (as defined in the Debt and Equity Purchase Agreement) shall occur substantially concurrently with the Closing.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Credit Agreement</w:t>
      </w:r>
      <w:r>
        <w:rPr>
          <w:rFonts w:ascii="Times New Roman" w:cs="Times New Roman" w:eastAsia="Times New Roman" w:hAnsi="Times New Roman"/>
          <w:sz w:val="18"/>
          <w:szCs w:val="18"/>
          <w:color w:val="auto"/>
        </w:rPr>
        <w:t>. The Company and the Investor Group shall have executed and delivered the New Credit Agreement and the New Credit Agreement shall be in full force and effect as of the Closing.</w:t>
      </w:r>
    </w:p>
    <w:p>
      <w:pPr>
        <w:spacing w:after="0" w:line="161"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The Company Board shall have adopted the Amended and Restated Bylaws, which shall be in full force and effect as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w:t>
      </w:r>
    </w:p>
    <w:p>
      <w:pPr>
        <w:spacing w:after="0" w:line="207"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Conditions to Obligations of Lender</w:t>
      </w:r>
      <w:r>
        <w:rPr>
          <w:rFonts w:ascii="Times New Roman" w:cs="Times New Roman" w:eastAsia="Times New Roman" w:hAnsi="Times New Roman"/>
          <w:sz w:val="18"/>
          <w:szCs w:val="18"/>
          <w:color w:val="auto"/>
        </w:rPr>
        <w:t>. The obligations of Lender to effect the Exchange Transactions are further subject to the satisfaction or waiver on or prior to the Closing Date of the following conditions:</w:t>
      </w:r>
    </w:p>
    <w:p>
      <w:pPr>
        <w:spacing w:after="0" w:line="162" w:lineRule="exact"/>
        <w:rPr>
          <w:sz w:val="20"/>
          <w:szCs w:val="20"/>
          <w:color w:val="auto"/>
        </w:rPr>
      </w:pPr>
    </w:p>
    <w:p>
      <w:pPr>
        <w:jc w:val="both"/>
        <w:ind w:firstLine="1304"/>
        <w:spacing w:after="0" w:line="252" w:lineRule="auto"/>
        <w:tabs>
          <w:tab w:leader="none" w:pos="18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(excluding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(solely as it relates to the Exchange Stock)),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and the first sentence of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and shall be true and correct in all material respects as of the Effective Date and as of the Closing Date as though made at and as of such time, except to the extent that such representations and warranties expressly relate to an earlier date (in which case such representations and warranties shall be true and correct in all material respects as of such earlier date), (ii) the representations and warranties of the Company in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xml:space="preserve"> (solely as they relate to the Exchange Stock) shall be true and correct in all but de minimis respects as of the Effective Date and as of the Closing Date as though made at and as of such time, except to the extent that such representations and warranties expressly relate to an earlier date (in which case such representations and warranties shall be true and correct in all but de minimis respects as of such earlier date), (iii) the representation and warranty of the Company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second sentence,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true and correct in all respects as of the Effective Date as though made at and as of such time, and (iv) each of the other representations and warranties (excluding those representations and warranties specified in the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of the Company in this Agreement shall be true and correct as of the Effective Date and as of the Closing Date as though made at and as of such time, except to the extent that any such other representations and warranties expressly relate to an earlier date (in which case such other representations and warranties shall be true and correct as of such earlier date), in each case of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determined without regard to qualifications as to materiality or Company Material Adverse Effect, unless, for purposes of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the failure of any such representations and warranties to be so true and correct has not resulted in, and would not reasonably be expected to result in, individually or in the aggregate, a Company Material Adverse Effect.</w:t>
      </w: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ind w:firstLine="1304"/>
        <w:spacing w:after="0" w:line="282" w:lineRule="auto"/>
        <w:tabs>
          <w:tab w:leader="none" w:pos="20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in all material respects all obligations, covenants and agreements required to be performed by it under this Agreement on or prior to the Closing Date.</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Effective Date, there shall not have occurred and be continuing any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Adverse Effect.</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Lender shall have received a certificate signed by an executive officer of the Company (i) certifying that the conditions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have been satisfied, and (ii) setting forth the total number of outstanding shares of Company Common Stock on a Fully Diluted Basis as of the Closing Date and the number of shares of Class A Common Stock representing the Exchange Stock to be issued to Lender as of the Closing Date.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Conditions to Obligation of the Company</w:t>
      </w:r>
      <w:r>
        <w:rPr>
          <w:rFonts w:ascii="Times New Roman" w:cs="Times New Roman" w:eastAsia="Times New Roman" w:hAnsi="Times New Roman"/>
          <w:sz w:val="18"/>
          <w:szCs w:val="18"/>
          <w:color w:val="auto"/>
        </w:rPr>
        <w:t>. The obligation of the Company to effect the Exchange Transactions is further subject to the satisfaction or waiver on or prior to the Closing Date of the following conditions:</w:t>
      </w:r>
    </w:p>
    <w:p>
      <w:pPr>
        <w:spacing w:after="0" w:line="162" w:lineRule="exact"/>
        <w:rPr>
          <w:sz w:val="20"/>
          <w:szCs w:val="20"/>
          <w:color w:val="auto"/>
        </w:rPr>
      </w:pPr>
    </w:p>
    <w:p>
      <w:pPr>
        <w:jc w:val="both"/>
        <w:ind w:firstLine="1304"/>
        <w:spacing w:after="0" w:line="253" w:lineRule="auto"/>
        <w:tabs>
          <w:tab w:leader="none" w:pos="18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Lender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shall be true and correct in all material respects as of the Effective Date and as of the Closing Date as though made at and as of such time, except to the extent that such representations and warranties expressly relate to an earlier date (in which case such representations and warranties shall be true and correct in all material respects as of such earlier date); and (ii) each of the other representations and warranties (excluding those representations and warranties specified in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of Lender in this Agreement shall be true and correct as of the Effective Date and as of the Closing Date as though made at and as of such time, except to the extent any such other representations and warranties expressly relate to an earlier date (in which case such other representations and warranties shall be true and correct as of such earlier date), in each case determined without regard to qualifications as to materiality or Lender Material Adverse Effect, unless, for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failure of any such representations and warranties to be so true and correct has not resulted in, and would not reasonably be expected to result in, individually or in the aggregate, a Lender Material Adverse Effect.</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20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Lender</w:t>
      </w:r>
      <w:r>
        <w:rPr>
          <w:rFonts w:ascii="Times New Roman" w:cs="Times New Roman" w:eastAsia="Times New Roman" w:hAnsi="Times New Roman"/>
          <w:sz w:val="18"/>
          <w:szCs w:val="18"/>
          <w:color w:val="auto"/>
        </w:rPr>
        <w:t>. Lender shall have performed in all material respects all obligations, covenants and agreements required to be performed by it under this Agreement on or prior to the Closing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shall have received a certificate signed by an authorized officer of Lender certifying that the conditions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Termination, Amendment and Waiver</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Effective Time, whether before or after receipt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Stockholder Approval:</w:t>
      </w:r>
    </w:p>
    <w:p>
      <w:pPr>
        <w:spacing w:after="0" w:line="207" w:lineRule="exact"/>
        <w:rPr>
          <w:sz w:val="20"/>
          <w:szCs w:val="20"/>
          <w:color w:val="auto"/>
        </w:rPr>
      </w:pPr>
    </w:p>
    <w:p>
      <w:pPr>
        <w:ind w:left="1820" w:hanging="516"/>
        <w:spacing w:after="0"/>
        <w:tabs>
          <w:tab w:leader="none" w:pos="1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Lender and the Company;</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Lender or the Company:</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47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Exchange Transactions are not consummated on or before 11:59 p.m., Eastern time, on February 20, 2026 (as such date may be extended pursuant to any written agreement to so extend that is executed by the Parties,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shall not be available to a Party if such Party breached in any material respect its obligations under this Agreement in any manner that shall have been the principal cause of the failure to consummate the Exchange Transactions on or before the Outside Date; or</w:t>
      </w:r>
    </w:p>
    <w:p>
      <w:pPr>
        <w:spacing w:after="0" w:line="183" w:lineRule="exact"/>
        <w:rPr>
          <w:rFonts w:ascii="Times New Roman" w:cs="Times New Roman" w:eastAsia="Times New Roman" w:hAnsi="Times New Roman"/>
          <w:sz w:val="18"/>
          <w:szCs w:val="18"/>
          <w:color w:val="auto"/>
        </w:rPr>
      </w:pPr>
    </w:p>
    <w:p>
      <w:pPr>
        <w:ind w:left="660" w:firstLine="1292"/>
        <w:spacing w:after="0" w:line="282" w:lineRule="auto"/>
        <w:tabs>
          <w:tab w:leader="none" w:pos="252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Legal Restraint that has the effect of preventing, prohibiting or making illegal the consummation of the Exchange Transactions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shall have used the efforts required by this Agreement to remove such Legal Restraint;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shall not be available to a Party if such Party breached in any material respect its obligations under this Agreement in any manner that shall have been the principal cause of the issuance or entry of such Legal Restraint; or</w:t>
      </w:r>
    </w:p>
    <w:p>
      <w:pPr>
        <w:spacing w:after="0" w:line="176" w:lineRule="exact"/>
        <w:rPr>
          <w:sz w:val="20"/>
          <w:szCs w:val="20"/>
          <w:color w:val="auto"/>
        </w:rPr>
      </w:pPr>
    </w:p>
    <w:p>
      <w:pPr>
        <w:ind w:left="660" w:right="20" w:firstLine="1292"/>
        <w:spacing w:after="0" w:line="282" w:lineRule="auto"/>
        <w:tabs>
          <w:tab w:leader="none" w:pos="256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Stockholders Meeting (including any adjournments or postponements thereof) shall have been held and concluded and the Company Stockholder Approval shall not have been obtained;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Lender, if the Company breaches or fails to perform in any material respect any of its representations, warranties or covenants contained in this Agreement, which breach or failure to perform (i) would give rise to the failure of any of the conditions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to be satisfied and (ii) cannot be cured or has not been cured within 20 Business Days (or, if earlier, the Outside Date) after the giving of written notice to the Company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exercise such right, Lender must not then be in material breach of any representation, warranty or covenant contained in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Lender, prior to the receipt of the Company Stockholder Approval, if an Adverse Recommendation Change shall have occurred, whether or not permitted by the terms hereof (or the Company Board, or any committee thereof, shall effect or resolve to effect an Adverse Recommendation Change);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Lender breaches or fails to perform in any material respect of any of its representations, warranties or covenants contained in this Agreement, which breach or failure to perform (i) would give rise to the failure of any of the conditions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to be satisfied and (ii) cannot be cured or has not been cured within 20 Business Days (or, if earlier, the Outside Date) after the giving of written notice to Lender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exercise such right, the Company must not then be in material breach of any representation, warranty or covenant in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2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prior to the receipt of the Company Stockholder Approval, pursuant to and in accordance with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the first sentence of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 xml:space="preserve"> and subject to the other requirements of such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substantially concurrently with such termination pay (or cause to be paid) to Lender the Termination Fee;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Lender, prior to the receipt of the Company Stockholder Approval, if a Proxy Stockholder Proxy Revocation shall have occurred, whether or not permitted by the terms hereof or the applicable Proxy (or a Proxy Stockholder shall effect or resolve to effect a Proxy Stockholder Proxy Revocation).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3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under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will be effective (subject to the cure periods provided above) immediately upon the delivery of written notice of the terminating Party to the other Party of a valid termination of this Agreement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In the event of the valid termination of this Agreement by either Lender or the Company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there shall be no liability or further obligation on the part of Lender or the Company or their respective Affiliates or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herein,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survive such termination and remain in full force and effect;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in this Agreement shall relieve any Party from liability for any willful and material breach of, or</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Fraud with respect to, any of its representations, warranties, covenants or agreements set forth in this Agreement occurring prior to such termination; it being acknowledged and agreed, without limitation, that any failure by any Party to consummate the Exchange Transactions after the applicable conditions thereto have been satisfied or waived (other than those conditions that by their nature are to be satisfied at the Closing, but subject to the satisfaction or waiver of those conditions at such time) when required to do so will constitute a willful and material breach of this Agreement. Lender acknowledges and agrees that neither the termination of this Agreement nor the payment of the Termination Fee or the No Vote Fee, in and of itself, will constitute a Default or an Event of Default under and as defined in the Existing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by Lender shall be effective only in this specific instance and for the specific purpose set forth herein and does not allow for any other or further departure from the terms and conditions of the Existing Credit Agreement or any other Existing Loan Document, which terms and conditions shall continue in full force and effect.</w:t>
      </w:r>
    </w:p>
    <w:p>
      <w:pPr>
        <w:spacing w:after="0" w:line="192" w:lineRule="exact"/>
        <w:rPr>
          <w:sz w:val="20"/>
          <w:szCs w:val="20"/>
          <w:color w:val="auto"/>
        </w:rPr>
      </w:pPr>
    </w:p>
    <w:p>
      <w:pPr>
        <w:ind w:left="1820" w:hanging="516"/>
        <w:spacing w:after="0"/>
        <w:tabs>
          <w:tab w:leader="none" w:pos="1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and No Vote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71" w:lineRule="auto"/>
        <w:tabs>
          <w:tab w:leader="none" w:pos="2585"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(or cause to be paid) to Lender a fee of $6,000,000 (the “</w:t>
      </w:r>
      <w:r>
        <w:rPr>
          <w:rFonts w:ascii="Times New Roman" w:cs="Times New Roman" w:eastAsia="Times New Roman" w:hAnsi="Times New Roman"/>
          <w:sz w:val="17"/>
          <w:szCs w:val="17"/>
          <w:u w:val="single" w:color="auto"/>
          <w:color w:val="auto"/>
        </w:rPr>
        <w:t>Termination Fee</w:t>
      </w:r>
      <w:r>
        <w:rPr>
          <w:rFonts w:ascii="Times New Roman" w:cs="Times New Roman" w:eastAsia="Times New Roman" w:hAnsi="Times New Roman"/>
          <w:sz w:val="17"/>
          <w:szCs w:val="17"/>
          <w:color w:val="auto"/>
        </w:rPr>
        <w:t xml:space="preserve">”) if: (A) Lender terminates this Agreement pursuant to </w:t>
      </w:r>
      <w:r>
        <w:rPr>
          <w:rFonts w:ascii="Times New Roman" w:cs="Times New Roman" w:eastAsia="Times New Roman" w:hAnsi="Times New Roman"/>
          <w:sz w:val="17"/>
          <w:szCs w:val="17"/>
          <w:u w:val="single" w:color="auto"/>
          <w:color w:val="auto"/>
        </w:rPr>
        <w:t>Section 8.01(d)</w:t>
      </w:r>
      <w:r>
        <w:rPr>
          <w:rFonts w:ascii="Times New Roman" w:cs="Times New Roman" w:eastAsia="Times New Roman" w:hAnsi="Times New Roman"/>
          <w:sz w:val="17"/>
          <w:szCs w:val="17"/>
          <w:color w:val="auto"/>
        </w:rPr>
        <w:t xml:space="preserve">; (B) the Company terminates this Agreement pursuant to </w:t>
      </w:r>
      <w:r>
        <w:rPr>
          <w:rFonts w:ascii="Times New Roman" w:cs="Times New Roman" w:eastAsia="Times New Roman" w:hAnsi="Times New Roman"/>
          <w:sz w:val="17"/>
          <w:szCs w:val="17"/>
          <w:u w:val="single" w:color="auto"/>
          <w:color w:val="auto"/>
        </w:rPr>
        <w:t>Section 8.01(f)</w:t>
      </w:r>
      <w:r>
        <w:rPr>
          <w:rFonts w:ascii="Times New Roman" w:cs="Times New Roman" w:eastAsia="Times New Roman" w:hAnsi="Times New Roman"/>
          <w:sz w:val="17"/>
          <w:szCs w:val="17"/>
          <w:color w:val="auto"/>
        </w:rPr>
        <w:t xml:space="preserve">; or (C) a Takeover Proposal (whether or not conditional and whether or not withdrawn) has been made to the Company or to the Company Stockholders generally or shall have otherwise become publicly known and thereafter (I) this Agreement is terminated pursuant to (w) </w:t>
      </w:r>
      <w:r>
        <w:rPr>
          <w:rFonts w:ascii="Times New Roman" w:cs="Times New Roman" w:eastAsia="Times New Roman" w:hAnsi="Times New Roman"/>
          <w:sz w:val="17"/>
          <w:szCs w:val="17"/>
          <w:u w:val="single" w:color="auto"/>
          <w:color w:val="auto"/>
        </w:rPr>
        <w:t>Section 8.01(b)(i)</w:t>
      </w:r>
      <w:r>
        <w:rPr>
          <w:rFonts w:ascii="Times New Roman" w:cs="Times New Roman" w:eastAsia="Times New Roman" w:hAnsi="Times New Roman"/>
          <w:sz w:val="17"/>
          <w:szCs w:val="17"/>
          <w:color w:val="auto"/>
        </w:rPr>
        <w:t xml:space="preserve">, (x) </w:t>
      </w:r>
      <w:r>
        <w:rPr>
          <w:rFonts w:ascii="Times New Roman" w:cs="Times New Roman" w:eastAsia="Times New Roman" w:hAnsi="Times New Roman"/>
          <w:sz w:val="17"/>
          <w:szCs w:val="17"/>
          <w:u w:val="single" w:color="auto"/>
          <w:color w:val="auto"/>
        </w:rPr>
        <w:t>Section 8.01(b)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(y) </w:t>
      </w:r>
      <w:r>
        <w:rPr>
          <w:rFonts w:ascii="Times New Roman" w:cs="Times New Roman" w:eastAsia="Times New Roman" w:hAnsi="Times New Roman"/>
          <w:sz w:val="17"/>
          <w:szCs w:val="17"/>
          <w:u w:val="single" w:color="auto"/>
          <w:color w:val="auto"/>
        </w:rPr>
        <w:t>Section 8.01(c)</w:t>
      </w:r>
      <w:r>
        <w:rPr>
          <w:rFonts w:ascii="Times New Roman" w:cs="Times New Roman" w:eastAsia="Times New Roman" w:hAnsi="Times New Roman"/>
          <w:sz w:val="17"/>
          <w:szCs w:val="17"/>
          <w:color w:val="auto"/>
        </w:rPr>
        <w:t xml:space="preserve">, or (z) </w:t>
      </w:r>
      <w:r>
        <w:rPr>
          <w:rFonts w:ascii="Times New Roman" w:cs="Times New Roman" w:eastAsia="Times New Roman" w:hAnsi="Times New Roman"/>
          <w:sz w:val="17"/>
          <w:szCs w:val="17"/>
          <w:u w:val="single" w:color="auto"/>
          <w:color w:val="auto"/>
        </w:rPr>
        <w:t>Section 8.01(g)</w:t>
      </w:r>
      <w:r>
        <w:rPr>
          <w:rFonts w:ascii="Times New Roman" w:cs="Times New Roman" w:eastAsia="Times New Roman" w:hAnsi="Times New Roman"/>
          <w:sz w:val="17"/>
          <w:szCs w:val="17"/>
          <w:color w:val="auto"/>
        </w:rPr>
        <w:t xml:space="preserve">, and (II) within 12 months of such termination the Company or any of its Subsidiaries consummates any Takeover Proposal or enters into a definitive agreement providing for any Takeover Proposal (in each case, whether or not such Takeover Proposal is the same as the original Takeover Proposal made or communicated or that became publicly known prior to such termination). Solely for purposes of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the first sentence of this </w:t>
      </w:r>
      <w:r>
        <w:rPr>
          <w:rFonts w:ascii="Times New Roman" w:cs="Times New Roman" w:eastAsia="Times New Roman" w:hAnsi="Times New Roman"/>
          <w:sz w:val="17"/>
          <w:szCs w:val="17"/>
          <w:u w:val="single" w:color="auto"/>
          <w:color w:val="auto"/>
        </w:rPr>
        <w:t>Section 8.02(b)(i)</w:t>
      </w:r>
      <w:r>
        <w:rPr>
          <w:rFonts w:ascii="Times New Roman" w:cs="Times New Roman" w:eastAsia="Times New Roman" w:hAnsi="Times New Roman"/>
          <w:sz w:val="17"/>
          <w:szCs w:val="17"/>
          <w:color w:val="auto"/>
        </w:rPr>
        <w:t xml:space="preserve">, the term “Takeover Proposal” shall have the meaning set forth in the definition of Takeover Proposal contained in </w:t>
      </w:r>
      <w:r>
        <w:rPr>
          <w:rFonts w:ascii="Times New Roman" w:cs="Times New Roman" w:eastAsia="Times New Roman" w:hAnsi="Times New Roman"/>
          <w:sz w:val="17"/>
          <w:szCs w:val="17"/>
          <w:u w:val="single" w:color="auto"/>
          <w:color w:val="auto"/>
        </w:rPr>
        <w:t>Section 5.02(h)</w:t>
      </w:r>
      <w:r>
        <w:rPr>
          <w:rFonts w:ascii="Times New Roman" w:cs="Times New Roman" w:eastAsia="Times New Roman" w:hAnsi="Times New Roman"/>
          <w:sz w:val="17"/>
          <w:szCs w:val="17"/>
          <w:color w:val="auto"/>
        </w:rPr>
        <w:t xml:space="preserve"> except that all references to 20% shall be deemed to be references to 50%.</w:t>
      </w:r>
    </w:p>
    <w:p>
      <w:pPr>
        <w:spacing w:after="0" w:line="173" w:lineRule="exact"/>
        <w:rPr>
          <w:rFonts w:ascii="Times New Roman" w:cs="Times New Roman" w:eastAsia="Times New Roman" w:hAnsi="Times New Roman"/>
          <w:sz w:val="17"/>
          <w:szCs w:val="17"/>
          <w:color w:val="auto"/>
        </w:rPr>
      </w:pPr>
    </w:p>
    <w:p>
      <w:pPr>
        <w:ind w:left="660" w:firstLine="1292"/>
        <w:spacing w:after="0" w:line="282" w:lineRule="auto"/>
        <w:tabs>
          <w:tab w:leader="none" w:pos="2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(or cause to be paid) to Lender a fee of $2,000,000 (the “</w:t>
      </w:r>
      <w:r>
        <w:rPr>
          <w:rFonts w:ascii="Times New Roman" w:cs="Times New Roman" w:eastAsia="Times New Roman" w:hAnsi="Times New Roman"/>
          <w:sz w:val="18"/>
          <w:szCs w:val="18"/>
          <w:u w:val="single" w:color="auto"/>
          <w:color w:val="auto"/>
        </w:rPr>
        <w:t>No Vote Fee</w:t>
      </w:r>
      <w:r>
        <w:rPr>
          <w:rFonts w:ascii="Times New Roman" w:cs="Times New Roman" w:eastAsia="Times New Roman" w:hAnsi="Times New Roman"/>
          <w:sz w:val="18"/>
          <w:szCs w:val="18"/>
          <w:color w:val="auto"/>
        </w:rPr>
        <w:t xml:space="preserve">”) if Lender terminates this Agreement pursuant to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1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or reimbursement due under this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shall be paid by wire transfer within two (2) Business Days of the date of termination of this Agreement (except that in the case of termination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8.02(b)(i)</w:t>
      </w:r>
      <w:r>
        <w:rPr>
          <w:rFonts w:ascii="Times New Roman" w:cs="Times New Roman" w:eastAsia="Times New Roman" w:hAnsi="Times New Roman"/>
          <w:sz w:val="18"/>
          <w:szCs w:val="18"/>
          <w:color w:val="auto"/>
        </w:rPr>
        <w:t>, such payment shall be made on the date of execution of the applicable definitive agreement or, if earlier, the date of the consummation of the applicable Takeover Proposal) to the account designated in writing by Lender (which account information may be updated by Lender by written notice to the Company from time to time).</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53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elsewhere in this Agreement, in the event this Agreement is terminated by the Company pursuant to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at a time when Lender would have had the right to terminate this Agreement and would have been (or would have become) entitled to receive the Termination Fee or the No Vote Fee as a result of such termination, then Lender shall be entitled to receipt of the Termination Fee or the No Vote Fee, as applicable, that would have been (or would have subsequently become) payable had Lender terminated this Agreement at such time. The Company acknowledges that the agreements contained in this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are an integral part of the Transactions, and that, without these agreements, Lender would not enter into this Agreement. Accordingly, if the Company fails to pay the amounts due pursuant to this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as and when due, and, in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order to obtain such payment, Lender commences a suit that results in a judgment against the Company for the amounts set forth in this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the Company shall pay to Lender its reasonable costs and expenses (including attorneys’ fees and expenses) in connection with such suit together with interest on the amounts set forth in this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at the prime lending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w:t>
      </w:r>
    </w:p>
    <w:p>
      <w:pPr>
        <w:spacing w:after="0" w:line="180" w:lineRule="exact"/>
        <w:rPr>
          <w:sz w:val="20"/>
          <w:szCs w:val="20"/>
          <w:color w:val="auto"/>
        </w:rPr>
      </w:pPr>
    </w:p>
    <w:p>
      <w:pPr>
        <w:jc w:val="both"/>
        <w:ind w:left="660" w:firstLine="1292"/>
        <w:spacing w:after="0" w:line="272" w:lineRule="auto"/>
        <w:tabs>
          <w:tab w:leader="none" w:pos="257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herein, (A) in no event will the Company be required to pay more than one Termination Fee, collectively, or one No Vote Fee, collectively, (B) in no event will the Company be required to pay the Termination Fee on more than one occasion or the No Vote Fee on more than one occasion, in each case, whether or not the Termination Fee or No Vote Fee, as applicable, may be payable pursuant to more than one provision of this Agreement at the same or at different times and upon the occurrence of different events or (C) if at the same time or after the Company has paid the No Vote Fee pursuant to this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17"/>
          <w:szCs w:val="17"/>
          <w:u w:val="single" w:color="auto"/>
          <w:color w:val="auto"/>
        </w:rPr>
        <w:t>Section 8.02(b)</w:t>
      </w:r>
      <w:r>
        <w:rPr>
          <w:rFonts w:ascii="Times New Roman" w:cs="Times New Roman" w:eastAsia="Times New Roman" w:hAnsi="Times New Roman"/>
          <w:sz w:val="17"/>
          <w:szCs w:val="17"/>
          <w:color w:val="auto"/>
        </w:rPr>
        <w:t xml:space="preserve"> the Company is obligated to pay the Termination Fee, the payment of the No Vote Fee shall reduce on a dollar for dollar basis the payment by the Company of the Termination Fee.</w:t>
      </w:r>
    </w:p>
    <w:p>
      <w:pPr>
        <w:spacing w:after="0" w:line="170" w:lineRule="exact"/>
        <w:rPr>
          <w:rFonts w:ascii="Times New Roman" w:cs="Times New Roman" w:eastAsia="Times New Roman" w:hAnsi="Times New Roman"/>
          <w:sz w:val="17"/>
          <w:szCs w:val="17"/>
          <w:color w:val="auto"/>
        </w:rPr>
      </w:pPr>
    </w:p>
    <w:p>
      <w:pPr>
        <w:jc w:val="both"/>
        <w:ind w:left="660" w:firstLine="1292"/>
        <w:spacing w:after="0" w:line="254" w:lineRule="auto"/>
        <w:tabs>
          <w:tab w:leader="none" w:pos="25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this Agreement is terminated in any circumstance under which the Termination Fee or the No Vote Fee is payable to Lender in accordance with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Lender’s receipt of the Termination Fee or the No Vote Fee, as applicable, shall be the sole and exclusive remedy of Lender and its Affiliates, stockholders, affiliates, officers, directors, employees and other Representatives against the Company and its former, current and future directors, managers, officers, employees, counsel, financial advisors, auditors, agents, other authorized representatives, unitholders, stockholders, Affiliates and assignees (collectively, but excluding Lender,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for any damages suffered as a result of the failure of the Closing to be consummated for any reason or for a breach or failure to perform hereunder, or for any other matter with respect to the Transactions or this Agreement and neither the Company nor any Company Related Party shall have any further liability or obligation relating to or arising out of this Agreement or the Transactions. The Company Related Parties are express third-party beneficiaries of this Section 8.02</w:t>
      </w:r>
      <w:r>
        <w:rPr>
          <w:rFonts w:ascii="Times New Roman" w:cs="Times New Roman" w:eastAsia="Times New Roman" w:hAnsi="Times New Roman"/>
          <w:sz w:val="18"/>
          <w:szCs w:val="18"/>
          <w:u w:val="single" w:color="auto"/>
          <w:color w:val="auto"/>
        </w:rPr>
        <w:t>(b)(vi)</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by the Parties at any time before or after receipt of the Company Stockholder Approval. This Agreement may not be amended except by an instrument in writing signed on behalf of each of the Parties.</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Effective Time, the Parties may (i) extend the time for the performance of any of the obligations or other acts of the other Party, (ii) waive any inaccuracies in the representations and warranties contained in this Agreement or in any document delivered pursuant to this Agreement or (iii) waive compliance with any of the agreements or conditions contained in this Agreement. Any agreement on the part of a Party to any such extension or waiver shall be valid only if set forth in an instrument in writing signed on behalf of the Party or Parties entitled to the benefit of such obligation, agreement or condition. The failure of any Party to this Agreement to assert any of its rights under this Agreement or otherwise shall not constitute a waiver of such rights.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covenants and other agreements in this Agreement or in any instrument delivered pursuant to this Agreement, shall survive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shall not limit any covenant or agreement of the parties which by its terms contemplates performance at or after the Effective Time.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86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claims, demands and other communications hereunder shall be in writing and shall be deemed given when delivered, if delivered personally, emailed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email states that it is a notice sent pursuant to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or sent by overnight courier (providing proof of delivery) to the Parties at the following addresses (or at such other address for a Party as shall be specified by like notice):</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Lender,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CHS US Investments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Proskauer Rose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to the extent set forth in Section 12.4 of the Existing Credit Agreement, each Party shall pay its own fees and expenses in connection with the Transactions.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extent possible.</w:t>
      </w:r>
    </w:p>
    <w:p>
      <w:pPr>
        <w:spacing w:after="0" w:line="18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shall be considered one and the same agreement and shall become effective when one or more counterparts have been signed by each of the Parties and delivered to the other Party. Delivery of an executed counterpart of a signature page to this Agreement by “.pdf” format, scanned pages or electronic signature shall be effective as delivery of a manually executed counterpart to this Agreement.</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The Transaction Documents (including the schedules and exhibits hereto), taken together with the Company Disclosure Letter, constitute the entire agreement, and supersede all prior agreements, understandings and representations, both written and oral, between the Parties with respect to the Transactions. This Agreement (including the documents and instruments referred to herein) is not intended to, and does not, confer upon any Person other than the parties hereto any rights or remedies hereunder, including the right to rely upon the representations and warranties set forth in this Agreement, except as otherwise specifically provided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which is intended to benefit each Indemnified Person.</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operation of law or otherwise by any of the Parties without the prior written consent of the other Party, except that Lender may, upon prior written notice to the Company, assign, in its sole discretion, any or all of its rights, interests and obligations under this Agreement to any Affiliate of Lender, so long as Lender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 Notwithstanding anything in this Agreement, the Existing Credit Agreement or the New Credit Agreement to the contrary, the Company hereby consents to the assignment after the Closing by Lender of New Term Loans to the Investor Group in accordance with the terms of the Debt and Equity Purchase Agreement.</w:t>
      </w:r>
    </w:p>
    <w:p>
      <w:pPr>
        <w:spacing w:after="0" w:line="19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Enforcement; Exclusive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8.02(b)(vi)</w:t>
      </w:r>
      <w:r>
        <w:rPr>
          <w:rFonts w:ascii="Times New Roman" w:cs="Times New Roman" w:eastAsia="Times New Roman" w:hAnsi="Times New Roman"/>
          <w:sz w:val="18"/>
          <w:szCs w:val="18"/>
          <w:color w:val="auto"/>
        </w:rPr>
        <w:t>,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 claim or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jc w:val="both"/>
        <w:ind w:firstLine="1304"/>
        <w:spacing w:after="0" w:line="254" w:lineRule="auto"/>
        <w:tabs>
          <w:tab w:leader="none" w:pos="18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HEREBY KNOWINGLY, INTENTIONALLY AND VOLUNTARILY IRREVOCABLY WAIVES ANY AND ALL RIGHTS TO TRIAL BY JURY IN ANY LEGAL PROCEEDING ARISING OUT OF OR RELATED TO THIS AGREEMENT OR THE TRANSACTIONS.</w:t>
      </w:r>
    </w:p>
    <w:p>
      <w:pPr>
        <w:spacing w:after="0" w:line="17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Notwithstanding anything to the contrary herein, nothing contained in this Agreement (including the termination hereof) shall affect, limit or impair the rights and remedies of Lender in its capacity as a lender to the Company or any of its Subsidiaries pursuant to the Existing Credit Agreement, the Existing Loan Documents, any other loan agreement under which the Company or any of its Subsidiaries has borrowed money from such Lender or any other documents delivered in connection with or related to any of the foregoing. Without limiting the generality of the foregoing, neither Lender nor Existing Agent, in exercising its rights as a lender or agent, will have any duty to consider the interests of the Company or any duty it may have to any direct or indirect equityholder of the Company or other Person, except as may be required under the applicable loan documents or by commercial law applicable to creditors generally.</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97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(but only if the Closing actually occurs), except for (i) a claim for fraud, willful misconduct or violation of Law, (ii) any rights or claims under the Existing Credit Agreement or the Existing Loan Documents, or (iii) any rights or claims under any of the Transaction Documents, Lender, on behalf of itself and each of its Affiliates and each of its and their respective past and present officers, directors and employees (collectively, but excluding the Company and its Subsidiaries, the “</w:t>
      </w:r>
      <w:r>
        <w:rPr>
          <w:rFonts w:ascii="Times New Roman" w:cs="Times New Roman" w:eastAsia="Times New Roman" w:hAnsi="Times New Roman"/>
          <w:sz w:val="18"/>
          <w:szCs w:val="18"/>
          <w:u w:val="single" w:color="auto"/>
          <w:color w:val="auto"/>
        </w:rPr>
        <w:t>Lender Releasing Parties</w:t>
      </w:r>
      <w:r>
        <w:rPr>
          <w:rFonts w:ascii="Times New Roman" w:cs="Times New Roman" w:eastAsia="Times New Roman" w:hAnsi="Times New Roman"/>
          <w:sz w:val="18"/>
          <w:szCs w:val="18"/>
          <w:color w:val="auto"/>
        </w:rPr>
        <w:t>”), to the fullest extent permitted under applicable Laws, hereby irrevocably and unconditionally releases and forever discharges the Company and its Affiliates, and each of the foregoing’s respective past and present officers, directors and employees (collectively, but excluding Lender and its Subsidiaries, the “</w:t>
      </w:r>
      <w:r>
        <w:rPr>
          <w:rFonts w:ascii="Times New Roman" w:cs="Times New Roman" w:eastAsia="Times New Roman" w:hAnsi="Times New Roman"/>
          <w:sz w:val="18"/>
          <w:szCs w:val="18"/>
          <w:u w:val="single" w:color="auto"/>
          <w:color w:val="auto"/>
        </w:rPr>
        <w:t>Company Released Parties</w:t>
      </w:r>
      <w:r>
        <w:rPr>
          <w:rFonts w:ascii="Times New Roman" w:cs="Times New Roman" w:eastAsia="Times New Roman" w:hAnsi="Times New Roman"/>
          <w:sz w:val="18"/>
          <w:szCs w:val="18"/>
          <w:color w:val="auto"/>
        </w:rPr>
        <w:t>”) of and from any and all actions, causes of action, suits, proceedings executions, judgments, duties, debts, dues, accounts, bonds, Contracts and covenants (whether express or implied), and claims and demands whatsoever whether in law or in equity (whether based upon contract, tort or otherwise) which the Lender Releasing Parties may have against each of the Company Released Parties, now or in the future, in each case in respect of any cause, matter or thing relating to the Company or the business of the Company and its Subsidiaries or any actions taken or failed to be taken by any of the Company Released Parties in any capacity relating to the Company or the business of the Company and its Subsidiaries occurring on or arising prior to the Closing Date.</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jc w:val="both"/>
        <w:ind w:firstLine="1304"/>
        <w:spacing w:after="0" w:line="253" w:lineRule="auto"/>
        <w:tabs>
          <w:tab w:leader="none" w:pos="198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(but only if the Closing actually occurs), except for (i) a claim for fraud, willful misconduct or violation of Law, (ii) any rights or claims under the Existing Credit Agreement or the Existing Loan Documents, or (iii) any rights or claims under any of the Transaction Documents, the Company, on behalf of itself and each of its Affiliates and each of its and their respective past and present officers, directors and employees (collectively, but excluding Lender and its Subsidiaries, the “</w:t>
      </w:r>
      <w:r>
        <w:rPr>
          <w:rFonts w:ascii="Times New Roman" w:cs="Times New Roman" w:eastAsia="Times New Roman" w:hAnsi="Times New Roman"/>
          <w:sz w:val="18"/>
          <w:szCs w:val="18"/>
          <w:u w:val="single" w:color="auto"/>
          <w:color w:val="auto"/>
        </w:rPr>
        <w:t>Company Releasing Parties</w:t>
      </w:r>
      <w:r>
        <w:rPr>
          <w:rFonts w:ascii="Times New Roman" w:cs="Times New Roman" w:eastAsia="Times New Roman" w:hAnsi="Times New Roman"/>
          <w:sz w:val="18"/>
          <w:szCs w:val="18"/>
          <w:color w:val="auto"/>
        </w:rPr>
        <w:t>”), to the fullest extent permitted under applicable Laws, hereby irrevocably and unconditionally releases and forever discharges Lender and its Affiliates, and each of the foregoing’s respective past and present officers, directors and employees (collectively, but excluding the Company and its Subsidiaries, the “</w:t>
      </w:r>
      <w:r>
        <w:rPr>
          <w:rFonts w:ascii="Times New Roman" w:cs="Times New Roman" w:eastAsia="Times New Roman" w:hAnsi="Times New Roman"/>
          <w:sz w:val="18"/>
          <w:szCs w:val="18"/>
          <w:u w:val="single" w:color="auto"/>
          <w:color w:val="auto"/>
        </w:rPr>
        <w:t>Lender Released Parties</w:t>
      </w:r>
      <w:r>
        <w:rPr>
          <w:rFonts w:ascii="Times New Roman" w:cs="Times New Roman" w:eastAsia="Times New Roman" w:hAnsi="Times New Roman"/>
          <w:sz w:val="18"/>
          <w:szCs w:val="18"/>
          <w:color w:val="auto"/>
        </w:rPr>
        <w:t>”) of and from any and all actions, causes of action, suits, proceedings executions, judgments, duties, debts, dues, accounts, bonds, Contracts and covenants (whether express or implied), and claims and demands whatsoever whether in law or in equity (whether based upon contract, tort or otherwise) which the Company Releasing Parties may have against each of the Lender Released Parties, now or in the future, in each case in respect of any cause, matter or thing relating to the Company or the business of the Company and its Subsidiaries or any actions taken or failed to be taken by any of the Lender Released Parties in any capacity relating to the Company or the business of the Company and its Subsidiaries occurring on or arising prior to the Closing Date.</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8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does not make, and has not made, any representations or warranties in connection with the Exchange Transactions and the other Transactions other than those expressly set forth herein (as qualified by the related portions of the Company Disclosure Letter), the other Transaction Documents or in any certificate delivered by the Company pursuant to the foregoing. Except as expressly set forth herein (as qualified by the related portions of the Company Disclosure Letter), the other Transaction Documents or in any certificate delivered by the Company pursuant to the foregoing, no person has been authorized by the Company to make any representation or warranty relating to the Company or its business, or otherwise in connection with the Exchange Transactions and the other Transactions, and, if made, such representation or warranty may not be relied upon as having been authorized by the Company. With respect to Lender, the Company is not relying on any representations or warranties of Lender, or the accuracy or completeness thereof, except as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other Transaction Documents or in any certificate delivered by the Company pursuant to the foregoing.</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3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Lender does not make, and has not made, any representations or warranties in connection with the Exchange Transactions and the other Transactions other than those expressly set forth herein, the other Transaction Documents or in any certificate delivered by Lender pursuant to the foregoing. Except as expressly set forth herein, the other Transaction Documents or in any certificate delivered by Lender pursuant to the foregoing, no person has been authorized by Lender to make any representation or warranty relating to Lender or its business, or otherwise in connection with the Exchange Transactions and the other Transactions, and, if made, such representation or warranty may not be relied upon as having been authorized by Lender. With respect to the Company, Lender, on behalf of itself and its Affiliates, is not relying on any representations or warranties of the Company, or the accuracy or completeness thereof, except as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the other Transaction Documents or in any certificate delivered by Lender pursuant to the foregoing.</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2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Lender’s investigation of the Company, Lender has received from the Company and its Representatives certain projections and other forecasts and certain business plan information of the Company and its Subsidiaries. Lender acknowledges that there are uncertainties inherent in attempting to make such projections and other forecasts and plans and accordingly is not relying on them, that Lender is familiar with such uncertainties, that Lender is taking full responsibility for making its own evaluation of the adequacy and accuracy of all projections and other forecasts and plans so furnished to it, and that Lender and its Representatives will have no claim against any person with respect thereto.</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Accordingly, Lender acknowledges that, without limiting the generality of this </w:t>
      </w:r>
      <w:r>
        <w:rPr>
          <w:rFonts w:ascii="Times New Roman" w:cs="Times New Roman" w:eastAsia="Times New Roman" w:hAnsi="Times New Roman"/>
          <w:sz w:val="18"/>
          <w:szCs w:val="18"/>
          <w:u w:val="single" w:color="auto"/>
          <w:color w:val="auto"/>
        </w:rPr>
        <w:t>Section 9.12(c)</w:t>
      </w:r>
      <w:r>
        <w:rPr>
          <w:rFonts w:ascii="Times New Roman" w:cs="Times New Roman" w:eastAsia="Times New Roman" w:hAnsi="Times New Roman"/>
          <w:sz w:val="18"/>
          <w:szCs w:val="18"/>
          <w:color w:val="auto"/>
        </w:rPr>
        <w:t>, neither the Company nor any person acting on behalf of the Company has made any representation or warranty with respect to such projections and other forecasts and plans. Lender acknowledges that it has had the opportunity to conduct an independent investigation regarding the Company and its Subsidiaries.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ind w:left="180"/>
        <w:spacing w:after="0"/>
        <w:rPr>
          <w:sz w:val="20"/>
          <w:szCs w:val="20"/>
          <w:color w:val="auto"/>
        </w:rPr>
      </w:pPr>
      <w:r>
        <w:rPr>
          <w:rFonts w:ascii="Times New Roman" w:cs="Times New Roman" w:eastAsia="Times New Roman" w:hAnsi="Times New Roman"/>
          <w:sz w:val="17"/>
          <w:szCs w:val="17"/>
          <w:color w:val="auto"/>
        </w:rPr>
        <w:t>IN WITNESS WHEREOF, the Parties have duly executed and delivered this Agreement, all as of the date first written above.</w:t>
      </w:r>
    </w:p>
    <w:p>
      <w:pPr>
        <w:spacing w:after="0" w:line="2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3505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ind w:left="4600"/>
        <w:spacing w:after="0"/>
        <w:tabs>
          <w:tab w:leader="none" w:pos="5240" w:val="left"/>
        </w:tabs>
        <w:rPr>
          <w:sz w:val="20"/>
          <w:szCs w:val="20"/>
          <w:color w:val="auto"/>
        </w:rPr>
      </w:pPr>
      <w:r>
        <w:rPr>
          <w:rFonts w:ascii="Times New Roman" w:cs="Times New Roman" w:eastAsia="Times New Roman" w:hAnsi="Times New Roman"/>
          <w:sz w:val="18"/>
          <w:szCs w:val="18"/>
          <w:color w:val="auto"/>
        </w:rPr>
        <w:t>Name:</w:t>
        <w:tab/>
        <w:t>Siddharth Thacker</w:t>
      </w:r>
    </w:p>
    <w:p>
      <w:pPr>
        <w:spacing w:after="0" w:line="23" w:lineRule="exact"/>
        <w:rPr>
          <w:sz w:val="20"/>
          <w:szCs w:val="20"/>
          <w:color w:val="auto"/>
        </w:rPr>
      </w:pPr>
    </w:p>
    <w:p>
      <w:pPr>
        <w:ind w:left="4600"/>
        <w:spacing w:after="0"/>
        <w:tabs>
          <w:tab w:leader="none" w:pos="5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CHS US INVESTMENTS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CHS GP LP, as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CHS UGP LLC, as general partner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Brady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17145</wp:posOffset>
            </wp:positionV>
            <wp:extent cx="34118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Brady Schuck</w:t>
      </w:r>
    </w:p>
    <w:p>
      <w:pPr>
        <w:spacing w:after="0" w:line="23" w:lineRule="exact"/>
        <w:rPr>
          <w:sz w:val="20"/>
          <w:szCs w:val="20"/>
          <w:color w:val="auto"/>
        </w:rPr>
      </w:pPr>
    </w:p>
    <w:p>
      <w:pPr>
        <w:ind w:left="4740"/>
        <w:spacing w:after="0"/>
        <w:tabs>
          <w:tab w:leader="none" w:pos="53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241300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20"/>
          </w:cols>
          <w:pgMar w:left="1440" w:top="580" w:right="1239" w:bottom="1440" w:gutter="0" w:footer="0" w:header="0"/>
        </w:sectPr>
      </w:pPr>
    </w:p>
    <w:bookmarkStart w:id="66" w:name="page67"/>
    <w:bookmarkEnd w:id="66"/>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25"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18"/>
          <w:szCs w:val="18"/>
          <w:u w:val="single" w:color="auto"/>
          <w:color w:val="auto"/>
        </w:rPr>
        <w:t>Proxy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Stauffer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Fleiss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JYH 2021 Children’s Trust DTD 10/12/21 Justin Finnegan 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BS 2021 Family Trust DTD 10/12/21 Justin Finnegan TTEE</w:t>
      </w:r>
    </w:p>
    <w:p>
      <w:pPr>
        <w:spacing w:after="0" w:line="9" w:lineRule="exact"/>
        <w:rPr>
          <w:sz w:val="20"/>
          <w:szCs w:val="20"/>
          <w:color w:val="auto"/>
        </w:rPr>
      </w:pPr>
    </w:p>
    <w:p>
      <w:pPr>
        <w:ind w:right="4079"/>
        <w:spacing w:after="0" w:line="209" w:lineRule="auto"/>
        <w:rPr>
          <w:sz w:val="20"/>
          <w:szCs w:val="20"/>
          <w:color w:val="auto"/>
        </w:rPr>
      </w:pPr>
      <w:r>
        <w:rPr>
          <w:rFonts w:ascii="Times New Roman" w:cs="Times New Roman" w:eastAsia="Times New Roman" w:hAnsi="Times New Roman"/>
          <w:sz w:val="18"/>
          <w:szCs w:val="18"/>
          <w:color w:val="auto"/>
        </w:rPr>
        <w:t>JYH 2012 Article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Trust DTD 1/23/20 Linda Hyman &amp; Justine Finnegan TTEES Linda S Hyman &amp; Dov I Hyman JTWROS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Schedule B</w:t>
            </w:r>
          </w:p>
        </w:tc>
        <w:tc>
          <w:tcPr>
            <w:tcW w:w="39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1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40" w:type="dxa"/>
            <w:vAlign w:val="bottom"/>
            <w:gridSpan w:val="4"/>
          </w:tcPr>
          <w:p>
            <w:pPr>
              <w:jc w:val="center"/>
              <w:ind w:right="3620"/>
              <w:spacing w:after="0"/>
              <w:rPr>
                <w:sz w:val="20"/>
                <w:szCs w:val="20"/>
                <w:color w:val="auto"/>
              </w:rPr>
            </w:pPr>
            <w:r>
              <w:rPr>
                <w:rFonts w:ascii="Times New Roman" w:cs="Times New Roman" w:eastAsia="Times New Roman" w:hAnsi="Times New Roman"/>
                <w:sz w:val="18"/>
                <w:szCs w:val="18"/>
                <w:color w:val="auto"/>
              </w:rPr>
              <w:t>Post-Closing Board</w:t>
            </w:r>
          </w:p>
        </w:tc>
        <w:tc>
          <w:tcPr>
            <w:tcW w:w="1280" w:type="dxa"/>
            <w:vAlign w:val="bottom"/>
          </w:tcPr>
          <w:p>
            <w:pPr>
              <w:spacing w:after="0"/>
              <w:rPr>
                <w:sz w:val="24"/>
                <w:szCs w:val="24"/>
                <w:color w:val="auto"/>
              </w:rPr>
            </w:pPr>
          </w:p>
        </w:tc>
      </w:tr>
      <w:tr>
        <w:trPr>
          <w:trHeight w:val="237"/>
        </w:trPr>
        <w:tc>
          <w:tcPr>
            <w:tcW w:w="132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323"/>
        </w:trPr>
        <w:tc>
          <w:tcPr>
            <w:tcW w:w="1320" w:type="dxa"/>
            <w:vAlign w:val="bottom"/>
            <w:tcBorders>
              <w:right w:val="single" w:sz="8" w:color="auto"/>
            </w:tcBorders>
          </w:tcPr>
          <w:p>
            <w:pPr>
              <w:spacing w:after="0"/>
              <w:rPr>
                <w:sz w:val="24"/>
                <w:szCs w:val="24"/>
                <w:color w:val="auto"/>
              </w:rPr>
            </w:pPr>
          </w:p>
        </w:tc>
        <w:tc>
          <w:tcPr>
            <w:tcW w:w="1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62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D9D9D9"/>
            </w:tcBorders>
            <w:shd w:val="clear" w:color="auto" w:fill="D9D9D9"/>
          </w:tcPr>
          <w:p>
            <w:pPr>
              <w:spacing w:after="0"/>
              <w:rPr>
                <w:sz w:val="24"/>
                <w:szCs w:val="24"/>
                <w:color w:val="auto"/>
              </w:rPr>
            </w:pPr>
          </w:p>
        </w:tc>
        <w:tc>
          <w:tcPr>
            <w:tcW w:w="820" w:type="dxa"/>
            <w:vAlign w:val="bottom"/>
            <w:tcBorders>
              <w:bottom w:val="single" w:sz="8" w:color="D9D9D9"/>
            </w:tcBorders>
            <w:shd w:val="clear" w:color="auto" w:fill="D9D9D9"/>
          </w:tcPr>
          <w:p>
            <w:pPr>
              <w:spacing w:after="0"/>
              <w:rPr>
                <w:sz w:val="24"/>
                <w:szCs w:val="24"/>
                <w:color w:val="auto"/>
              </w:rPr>
            </w:pPr>
          </w:p>
        </w:tc>
        <w:tc>
          <w:tcPr>
            <w:tcW w:w="3920" w:type="dxa"/>
            <w:vAlign w:val="bottom"/>
            <w:tcBorders>
              <w:bottom w:val="single" w:sz="8" w:color="D9D9D9"/>
              <w:right w:val="single" w:sz="8" w:color="auto"/>
            </w:tcBorders>
            <w:gridSpan w:val="2"/>
            <w:shd w:val="clear" w:color="auto" w:fill="D9D9D9"/>
          </w:tcPr>
          <w:p>
            <w:pPr>
              <w:ind w:left="2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280" w:type="dxa"/>
            <w:vAlign w:val="bottom"/>
          </w:tcPr>
          <w:p>
            <w:pPr>
              <w:spacing w:after="0"/>
              <w:rPr>
                <w:sz w:val="24"/>
                <w:szCs w:val="24"/>
                <w:color w:val="auto"/>
              </w:rPr>
            </w:pPr>
          </w:p>
        </w:tc>
      </w:tr>
      <w:tr>
        <w:trPr>
          <w:trHeight w:val="263"/>
        </w:trPr>
        <w:tc>
          <w:tcPr>
            <w:tcW w:w="1320" w:type="dxa"/>
            <w:vAlign w:val="bottom"/>
            <w:tcBorders>
              <w:right w:val="single" w:sz="8" w:color="auto"/>
            </w:tcBorders>
          </w:tcPr>
          <w:p>
            <w:pPr>
              <w:spacing w:after="0"/>
              <w:rPr>
                <w:sz w:val="22"/>
                <w:szCs w:val="22"/>
                <w:color w:val="auto"/>
              </w:rPr>
            </w:pP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66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Jennifer Y. Hyman</w:t>
            </w:r>
          </w:p>
        </w:tc>
        <w:tc>
          <w:tcPr>
            <w:tcW w:w="1280" w:type="dxa"/>
            <w:vAlign w:val="bottom"/>
          </w:tcPr>
          <w:p>
            <w:pPr>
              <w:spacing w:after="0"/>
              <w:rPr>
                <w:sz w:val="22"/>
                <w:szCs w:val="22"/>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1280" w:type="dxa"/>
            <w:vAlign w:val="bottom"/>
          </w:tcPr>
          <w:p>
            <w:pPr>
              <w:spacing w:after="0"/>
              <w:rPr>
                <w:sz w:val="4"/>
                <w:szCs w:val="4"/>
                <w:color w:val="auto"/>
              </w:rPr>
            </w:pPr>
          </w:p>
        </w:tc>
      </w:tr>
      <w:tr>
        <w:trPr>
          <w:trHeight w:val="245"/>
        </w:trPr>
        <w:tc>
          <w:tcPr>
            <w:tcW w:w="132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66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Incumbent member of the Company Board to be selected by Jennifer Y. Hyman prior to</w:t>
            </w:r>
          </w:p>
        </w:tc>
        <w:tc>
          <w:tcPr>
            <w:tcW w:w="1280" w:type="dxa"/>
            <w:vAlign w:val="bottom"/>
          </w:tcPr>
          <w:p>
            <w:pPr>
              <w:spacing w:after="0"/>
              <w:rPr>
                <w:sz w:val="21"/>
                <w:szCs w:val="2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66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the Closing and approved by the Investor Majority (as defined in the Investor Rights</w:t>
            </w:r>
          </w:p>
        </w:tc>
        <w:tc>
          <w:tcPr>
            <w:tcW w:w="128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66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Agreement)</w:t>
            </w:r>
          </w:p>
        </w:tc>
        <w:tc>
          <w:tcPr>
            <w:tcW w:w="1280" w:type="dxa"/>
            <w:vAlign w:val="bottom"/>
          </w:tcPr>
          <w:p>
            <w:pPr>
              <w:spacing w:after="0"/>
              <w:rPr>
                <w:sz w:val="20"/>
                <w:szCs w:val="20"/>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1280" w:type="dxa"/>
            <w:vAlign w:val="bottom"/>
          </w:tcPr>
          <w:p>
            <w:pPr>
              <w:spacing w:after="0"/>
              <w:rPr>
                <w:sz w:val="4"/>
                <w:szCs w:val="4"/>
                <w:color w:val="auto"/>
              </w:rPr>
            </w:pPr>
          </w:p>
        </w:tc>
      </w:tr>
      <w:tr>
        <w:trPr>
          <w:trHeight w:val="263"/>
        </w:trPr>
        <w:tc>
          <w:tcPr>
            <w:tcW w:w="132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6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Damian Giangiacomo (Nexus Director)</w:t>
            </w:r>
          </w:p>
        </w:tc>
        <w:tc>
          <w:tcPr>
            <w:tcW w:w="1280" w:type="dxa"/>
            <w:vAlign w:val="bottom"/>
          </w:tcPr>
          <w:p>
            <w:pPr>
              <w:spacing w:after="0"/>
              <w:rPr>
                <w:sz w:val="22"/>
                <w:szCs w:val="22"/>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1280" w:type="dxa"/>
            <w:vAlign w:val="bottom"/>
          </w:tcPr>
          <w:p>
            <w:pPr>
              <w:spacing w:after="0"/>
              <w:rPr>
                <w:sz w:val="4"/>
                <w:szCs w:val="4"/>
                <w:color w:val="auto"/>
              </w:rPr>
            </w:pPr>
          </w:p>
        </w:tc>
      </w:tr>
      <w:tr>
        <w:trPr>
          <w:trHeight w:val="263"/>
        </w:trPr>
        <w:tc>
          <w:tcPr>
            <w:tcW w:w="132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6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Peter Comisar (Story3 Director)</w:t>
            </w:r>
          </w:p>
        </w:tc>
        <w:tc>
          <w:tcPr>
            <w:tcW w:w="1280" w:type="dxa"/>
            <w:vAlign w:val="bottom"/>
          </w:tcPr>
          <w:p>
            <w:pPr>
              <w:spacing w:after="0"/>
              <w:rPr>
                <w:sz w:val="22"/>
                <w:szCs w:val="22"/>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1280" w:type="dxa"/>
            <w:vAlign w:val="bottom"/>
          </w:tcPr>
          <w:p>
            <w:pPr>
              <w:spacing w:after="0"/>
              <w:rPr>
                <w:sz w:val="4"/>
                <w:szCs w:val="4"/>
                <w:color w:val="auto"/>
              </w:rPr>
            </w:pPr>
          </w:p>
        </w:tc>
      </w:tr>
      <w:tr>
        <w:trPr>
          <w:trHeight w:val="263"/>
        </w:trPr>
        <w:tc>
          <w:tcPr>
            <w:tcW w:w="132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66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Independent director to be selected by the Investor Majority prior to the Closing</w:t>
            </w:r>
          </w:p>
        </w:tc>
        <w:tc>
          <w:tcPr>
            <w:tcW w:w="1280" w:type="dxa"/>
            <w:vAlign w:val="bottom"/>
          </w:tcPr>
          <w:p>
            <w:pPr>
              <w:spacing w:after="0"/>
              <w:rPr>
                <w:sz w:val="22"/>
                <w:szCs w:val="22"/>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1280" w:type="dxa"/>
            <w:vAlign w:val="bottom"/>
          </w:tcPr>
          <w:p>
            <w:pPr>
              <w:spacing w:after="0"/>
              <w:rPr>
                <w:sz w:val="4"/>
                <w:szCs w:val="4"/>
                <w:color w:val="auto"/>
              </w:rPr>
            </w:pPr>
          </w:p>
        </w:tc>
      </w:tr>
      <w:tr>
        <w:trPr>
          <w:trHeight w:val="263"/>
        </w:trPr>
        <w:tc>
          <w:tcPr>
            <w:tcW w:w="132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66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Independent director to be selected by the Investor Majority prior to the Closing</w:t>
            </w:r>
          </w:p>
        </w:tc>
        <w:tc>
          <w:tcPr>
            <w:tcW w:w="1280" w:type="dxa"/>
            <w:vAlign w:val="bottom"/>
          </w:tcPr>
          <w:p>
            <w:pPr>
              <w:spacing w:after="0"/>
              <w:rPr>
                <w:sz w:val="22"/>
                <w:szCs w:val="22"/>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1280" w:type="dxa"/>
            <w:vAlign w:val="bottom"/>
          </w:tcPr>
          <w:p>
            <w:pPr>
              <w:spacing w:after="0"/>
              <w:rPr>
                <w:sz w:val="4"/>
                <w:szCs w:val="4"/>
                <w:color w:val="auto"/>
              </w:rPr>
            </w:pPr>
          </w:p>
        </w:tc>
      </w:tr>
      <w:tr>
        <w:trPr>
          <w:trHeight w:val="263"/>
        </w:trPr>
        <w:tc>
          <w:tcPr>
            <w:tcW w:w="132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6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Independent director to be selected by the Investor Majority prior to the Closing</w:t>
            </w:r>
          </w:p>
        </w:tc>
        <w:tc>
          <w:tcPr>
            <w:tcW w:w="1280" w:type="dxa"/>
            <w:vAlign w:val="bottom"/>
          </w:tcPr>
          <w:p>
            <w:pPr>
              <w:spacing w:after="0"/>
              <w:rPr>
                <w:sz w:val="22"/>
                <w:szCs w:val="22"/>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1280" w:type="dxa"/>
            <w:vAlign w:val="bottom"/>
          </w:tcPr>
          <w:p>
            <w:pPr>
              <w:spacing w:after="0"/>
              <w:rPr>
                <w:sz w:val="4"/>
                <w:szCs w:val="4"/>
                <w:color w:val="auto"/>
              </w:rPr>
            </w:pPr>
          </w:p>
        </w:tc>
      </w:tr>
      <w:tr>
        <w:trPr>
          <w:trHeight w:val="588"/>
        </w:trPr>
        <w:tc>
          <w:tcPr>
            <w:tcW w:w="1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Transaction Bonus Plan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291465</wp:posOffset>
            </wp:positionV>
            <wp:extent cx="771525" cy="977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Jennifer Y. Hyman</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Amendment to the Transaction Bonus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Jenn: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Agreement between you, in your capacity as Chief Executive Officer of Rent the Runway,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Company, constitutes an amendment to the Transaction Bonus Plan adopted by the Company on May 15, 2024,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Capitalized terms used in this Letter Agreement and not defined shall have the meanings given such terms in the Plan.</w:t>
      </w:r>
    </w:p>
    <w:p>
      <w:pPr>
        <w:spacing w:after="0" w:line="176" w:lineRule="exact"/>
        <w:rPr>
          <w:sz w:val="20"/>
          <w:szCs w:val="20"/>
          <w:color w:val="auto"/>
        </w:rPr>
      </w:pPr>
    </w:p>
    <w:p>
      <w:pPr>
        <w:jc w:val="both"/>
        <w:ind w:firstLine="656"/>
        <w:spacing w:after="0" w:line="253" w:lineRule="auto"/>
        <w:tabs>
          <w:tab w:leader="none" w:pos="10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to Amend the Plan</w:t>
      </w:r>
      <w:r>
        <w:rPr>
          <w:rFonts w:ascii="Times New Roman" w:cs="Times New Roman" w:eastAsia="Times New Roman" w:hAnsi="Times New Roman"/>
          <w:sz w:val="18"/>
          <w:szCs w:val="18"/>
          <w:color w:val="auto"/>
        </w:rPr>
        <w:t xml:space="preserve">. Paragraph (G)(10) of the Plan provides that the Plan may be amended at any time or from time to time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 or prior to the Transaction Agreement Date, no such amendment shall impair the then-existing rights of a Participant with regard to the Plan absent the consent of the current Chief Executive Officer of the Company, and following the Transaction Agreement Date, no such amendment shall impair the then-existing rights of a Participant with regard to the Plan absent the Participant’s consent. The Company expects to enter into an Exchange Agreement by and between the Company and CHS US Investments LLC, a Delaware limited liability company (“</w:t>
      </w:r>
      <w:r>
        <w:rPr>
          <w:rFonts w:ascii="Times New Roman" w:cs="Times New Roman" w:eastAsia="Times New Roman" w:hAnsi="Times New Roman"/>
          <w:sz w:val="18"/>
          <w:szCs w:val="18"/>
          <w:b w:val="1"/>
          <w:bCs w:val="1"/>
          <w:color w:val="auto"/>
        </w:rPr>
        <w:t>CHS</w:t>
      </w:r>
      <w:r>
        <w:rPr>
          <w:rFonts w:ascii="Times New Roman" w:cs="Times New Roman" w:eastAsia="Times New Roman" w:hAnsi="Times New Roman"/>
          <w:sz w:val="18"/>
          <w:szCs w:val="18"/>
          <w:color w:val="auto"/>
        </w:rPr>
        <w:t>”) (such agreement, the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and the transactions contemplated thereby, the “</w:t>
      </w:r>
      <w:r>
        <w:rPr>
          <w:rFonts w:ascii="Times New Roman" w:cs="Times New Roman" w:eastAsia="Times New Roman" w:hAnsi="Times New Roman"/>
          <w:sz w:val="18"/>
          <w:szCs w:val="18"/>
          <w:b w:val="1"/>
          <w:bCs w:val="1"/>
          <w:color w:val="auto"/>
        </w:rPr>
        <w:t>Exchange Transaction</w:t>
      </w:r>
      <w:r>
        <w:rPr>
          <w:rFonts w:ascii="Times New Roman" w:cs="Times New Roman" w:eastAsia="Times New Roman" w:hAnsi="Times New Roman"/>
          <w:sz w:val="18"/>
          <w:szCs w:val="18"/>
          <w:color w:val="auto"/>
        </w:rPr>
        <w:t>”) on or promptly following the date hereof. If the parties enter into the Exchange Agreement, the date the Exchange Agreement is entered into will be a Transaction Agreement Date for purposes of the Plan, and if the Exchange Transaction is consummated, it will be a Transaction for purposes of the Plan. CHS’s willingness to enter into the Exchange Agreement is expressly conditioned on the amendments to the Plan set forth in this Letter Agreement. Therefore, the Company hereby agrees to amend the Plan and you hereby agree to consent to such amendment, in each case, as set forth in this Letter Agreement, effective as of the date hereof, on or in advance of the Transaction Agreement Date. If the</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spacing w:after="0" w:line="282" w:lineRule="auto"/>
        <w:rPr>
          <w:sz w:val="20"/>
          <w:szCs w:val="20"/>
          <w:color w:val="auto"/>
        </w:rPr>
      </w:pPr>
      <w:r>
        <w:rPr>
          <w:rFonts w:ascii="Times New Roman" w:cs="Times New Roman" w:eastAsia="Times New Roman" w:hAnsi="Times New Roman"/>
          <w:sz w:val="18"/>
          <w:szCs w:val="18"/>
          <w:color w:val="auto"/>
        </w:rPr>
        <w:t>Company and CHS do not enter into the Exchange Agreement within thirty (30) days following the date hereof, or if the Exchange Agreement is terminated and the Exchange Transaction does not occur, this Letter Agreement shall be immediately void and of no further force or effect.</w:t>
      </w:r>
    </w:p>
    <w:p>
      <w:pPr>
        <w:spacing w:after="0" w:line="162" w:lineRule="exact"/>
        <w:rPr>
          <w:sz w:val="20"/>
          <w:szCs w:val="20"/>
          <w:color w:val="auto"/>
        </w:rPr>
      </w:pPr>
    </w:p>
    <w:p>
      <w:pPr>
        <w:ind w:left="1120" w:hanging="464"/>
        <w:spacing w:after="0"/>
        <w:tabs>
          <w:tab w:leader="none" w:pos="11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Plan</w:t>
      </w:r>
      <w:r>
        <w:rPr>
          <w:rFonts w:ascii="Times New Roman" w:cs="Times New Roman" w:eastAsia="Times New Roman" w:hAnsi="Times New Roman"/>
          <w:sz w:val="18"/>
          <w:szCs w:val="18"/>
          <w:color w:val="auto"/>
        </w:rPr>
        <w:t>. Effective upon the date hereof but subject to the immediately preceding Section 1, paragraphs (D)(3), (D)(4), (D)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(D)(6) of the Plan are hereby deleted in their entirety and replaced with the following:</w:t>
      </w:r>
    </w:p>
    <w:p>
      <w:pPr>
        <w:spacing w:after="0" w:line="207" w:lineRule="exact"/>
        <w:rPr>
          <w:sz w:val="20"/>
          <w:szCs w:val="20"/>
          <w:color w:val="auto"/>
        </w:rPr>
      </w:pPr>
    </w:p>
    <w:p>
      <w:pPr>
        <w:jc w:val="both"/>
        <w:ind w:left="660" w:right="640" w:firstLine="648"/>
        <w:spacing w:after="0" w:line="256" w:lineRule="auto"/>
        <w:rPr>
          <w:sz w:val="20"/>
          <w:szCs w:val="20"/>
          <w:color w:val="auto"/>
        </w:rPr>
      </w:pPr>
      <w:r>
        <w:rPr>
          <w:rFonts w:ascii="Times New Roman" w:cs="Times New Roman" w:eastAsia="Times New Roman" w:hAnsi="Times New Roman"/>
          <w:sz w:val="18"/>
          <w:szCs w:val="18"/>
          <w:color w:val="auto"/>
        </w:rPr>
        <w:t>“(3) No Free Cash Flow Bonus shall be payable to any Participant at any time pursuant to the Plan. In the event that (i) the transactions contemplated by the Exchange Agreement by and between the Company and CHS US Investments LLC, a Delaware limited liability company (collectively, the “</w:t>
      </w:r>
      <w:r>
        <w:rPr>
          <w:rFonts w:ascii="Times New Roman" w:cs="Times New Roman" w:eastAsia="Times New Roman" w:hAnsi="Times New Roman"/>
          <w:sz w:val="18"/>
          <w:szCs w:val="18"/>
          <w:u w:val="single" w:color="auto"/>
          <w:color w:val="auto"/>
        </w:rPr>
        <w:t>Exchange Transaction</w:t>
      </w:r>
      <w:r>
        <w:rPr>
          <w:rFonts w:ascii="Times New Roman" w:cs="Times New Roman" w:eastAsia="Times New Roman" w:hAnsi="Times New Roman"/>
          <w:sz w:val="18"/>
          <w:szCs w:val="18"/>
          <w:color w:val="auto"/>
        </w:rPr>
        <w:t>”) are consummated and (ii) the Participant is employed by the Company or one of its affiliates on the date of consummation of the Exchange Transaction (such date, the “</w:t>
      </w:r>
      <w:r>
        <w:rPr>
          <w:rFonts w:ascii="Times New Roman" w:cs="Times New Roman" w:eastAsia="Times New Roman" w:hAnsi="Times New Roman"/>
          <w:sz w:val="18"/>
          <w:szCs w:val="18"/>
          <w:u w:val="single" w:color="auto"/>
          <w:color w:val="auto"/>
        </w:rPr>
        <w:t>Exchange Transaction Closing Date</w:t>
      </w:r>
      <w:r>
        <w:rPr>
          <w:rFonts w:ascii="Times New Roman" w:cs="Times New Roman" w:eastAsia="Times New Roman" w:hAnsi="Times New Roman"/>
          <w:sz w:val="18"/>
          <w:szCs w:val="18"/>
          <w:color w:val="auto"/>
        </w:rPr>
        <w:t>”), the Participant’s Base Transaction Bonus shall become payable subject to the terms and conditions of, and solely to the extent provided in, this paragraph (D)(3) and paragraphs (D)(4), (D)(5) and (D)(6) below.</w:t>
      </w:r>
    </w:p>
    <w:p>
      <w:pPr>
        <w:spacing w:after="0" w:line="187" w:lineRule="exact"/>
        <w:rPr>
          <w:sz w:val="20"/>
          <w:szCs w:val="20"/>
          <w:color w:val="auto"/>
        </w:rPr>
      </w:pPr>
    </w:p>
    <w:p>
      <w:pPr>
        <w:jc w:val="both"/>
        <w:ind w:left="2600" w:right="640" w:hanging="648"/>
        <w:spacing w:after="0" w:line="266" w:lineRule="auto"/>
        <w:tabs>
          <w:tab w:leader="none" w:pos="26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Participant’s Base Transaction Bonus (such portion, the “</w:t>
      </w:r>
      <w:r>
        <w:rPr>
          <w:rFonts w:ascii="Times New Roman" w:cs="Times New Roman" w:eastAsia="Times New Roman" w:hAnsi="Times New Roman"/>
          <w:sz w:val="18"/>
          <w:szCs w:val="18"/>
          <w:u w:val="single" w:color="auto"/>
          <w:color w:val="auto"/>
        </w:rPr>
        <w:t>Closing Payment</w:t>
      </w:r>
      <w:r>
        <w:rPr>
          <w:rFonts w:ascii="Times New Roman" w:cs="Times New Roman" w:eastAsia="Times New Roman" w:hAnsi="Times New Roman"/>
          <w:sz w:val="18"/>
          <w:szCs w:val="18"/>
          <w:color w:val="auto"/>
        </w:rPr>
        <w:t>”) shall become payable on the Exchange Transaction Closing Date and shall be paid to the Participant not more than thirty (30) days thereafter.</w:t>
      </w:r>
    </w:p>
    <w:p>
      <w:pPr>
        <w:spacing w:after="0" w:line="175" w:lineRule="exact"/>
        <w:rPr>
          <w:rFonts w:ascii="Times New Roman" w:cs="Times New Roman" w:eastAsia="Times New Roman" w:hAnsi="Times New Roman"/>
          <w:sz w:val="18"/>
          <w:szCs w:val="18"/>
          <w:color w:val="auto"/>
        </w:rPr>
      </w:pPr>
    </w:p>
    <w:p>
      <w:pPr>
        <w:jc w:val="both"/>
        <w:ind w:left="2600" w:right="640" w:hanging="648"/>
        <w:spacing w:after="0" w:line="256" w:lineRule="auto"/>
        <w:tabs>
          <w:tab w:leader="none" w:pos="26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of the Participant’s Base Transaction Bonus shall become payable on the 18-month anniversary of the Exchange Transaction Closing Date, provided that the Participant is employed by the Company or one of its affiliates from the date hereof and ending on the 18-month anniversary of the Exchange Transaction Closing Date, and shall be paid to the Participant not more than thirty (30) days thereafter. Each portion of the Base Transaction Bonus referred to in this paragraph (D)(3)(B) or in paragraph (D)(3)(C), (D)(3)(D) or (D)(3)(E) is hereinafter referred to as a “</w:t>
      </w:r>
      <w:r>
        <w:rPr>
          <w:rFonts w:ascii="Times New Roman" w:cs="Times New Roman" w:eastAsia="Times New Roman" w:hAnsi="Times New Roman"/>
          <w:sz w:val="18"/>
          <w:szCs w:val="18"/>
          <w:u w:val="single" w:color="auto"/>
          <w:color w:val="auto"/>
        </w:rPr>
        <w:t>Semi-Annual Payment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2600" w:right="640" w:hanging="648"/>
        <w:spacing w:after="0" w:line="261" w:lineRule="auto"/>
        <w:tabs>
          <w:tab w:leader="none" w:pos="26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of the Participant’s Base Transaction Bonus shall become payable on the 24-month anniversary of the Exchange Transaction Closing Date, provided that the Participant is employed by the Company or one of its affiliates from the date hereof and ending on the 24-month anniversary of the Exchange Transaction Closing Date, and shall be paid to the Participant not more than thirty (30) days thereafter.</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jc w:val="both"/>
        <w:ind w:left="1940" w:hanging="648"/>
        <w:spacing w:after="0" w:line="261" w:lineRule="auto"/>
        <w:tabs>
          <w:tab w:leader="none" w:pos="19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of the Participant’s Base Transaction Bonus shall become payable on the 30-month anniversary of the Exchange Transaction Closing Date, provided that the Participant is employed by the Company or one of its affiliates from the date hereof and ending on the 30-month anniversary of the Exchange Transaction Closing Date, and shall be paid to the Participant not more than thirty (30) days thereafter.</w:t>
      </w:r>
    </w:p>
    <w:p>
      <w:pPr>
        <w:spacing w:after="0" w:line="179" w:lineRule="exact"/>
        <w:rPr>
          <w:rFonts w:ascii="Times New Roman" w:cs="Times New Roman" w:eastAsia="Times New Roman" w:hAnsi="Times New Roman"/>
          <w:sz w:val="18"/>
          <w:szCs w:val="18"/>
          <w:color w:val="auto"/>
        </w:rPr>
      </w:pPr>
    </w:p>
    <w:p>
      <w:pPr>
        <w:jc w:val="both"/>
        <w:ind w:left="1940" w:hanging="648"/>
        <w:spacing w:after="0" w:line="261" w:lineRule="auto"/>
        <w:tabs>
          <w:tab w:leader="none" w:pos="19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of the Participant’s Base Transaction Bonus shall become payable on the 36-month anniversary of the Exchange Transaction Closing Date, provided that the Participant is employed by the Company or one of its affiliates from the date hereof and ending on the 36-month anniversary of the Exchange Transaction Closing Date, and shall be paid to the Participant not more than thirty (30) days thereafter.</w:t>
      </w:r>
    </w:p>
    <w:p>
      <w:pPr>
        <w:spacing w:after="0" w:line="179" w:lineRule="exact"/>
        <w:rPr>
          <w:rFonts w:ascii="Times New Roman" w:cs="Times New Roman" w:eastAsia="Times New Roman" w:hAnsi="Times New Roman"/>
          <w:sz w:val="18"/>
          <w:szCs w:val="18"/>
          <w:color w:val="auto"/>
        </w:rPr>
      </w:pPr>
    </w:p>
    <w:p>
      <w:pPr>
        <w:jc w:val="both"/>
        <w:ind w:firstLine="644"/>
        <w:spacing w:after="0" w:line="254" w:lineRule="auto"/>
        <w:tabs>
          <w:tab w:leader="none" w:pos="12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Participant’s employment terminates, other than due to a Good Leaver Termination (as defined in paragraph (D)(5) below), prior to the four-year anniversary of the Exchange Transaction Closing Date, promptly following the date of termination, the Participant shall repay to the Company the portions of the Closing Payment and each Semi-Annual Payment (if any) for which the Vesting Date (as defined below) has not occurred as of the date of the Participant’s termination, provided that the amount so repaid shall be net of all federal, state, local and foreign income, payroll, employment and other taxes (including any interest, penalties and additions attributable thereto) withheld by the Company or otherwise paid by the Participant with respect thereto. The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shall occur with respect to the payments made pursuant to paragraph (D)(3), and such payments shall no longer be subject to repayment to the Company, as follows:</w:t>
      </w:r>
    </w:p>
    <w:p>
      <w:pPr>
        <w:spacing w:after="0" w:line="191" w:lineRule="exact"/>
        <w:rPr>
          <w:rFonts w:ascii="Times New Roman" w:cs="Times New Roman" w:eastAsia="Times New Roman" w:hAnsi="Times New Roman"/>
          <w:sz w:val="18"/>
          <w:szCs w:val="18"/>
          <w:color w:val="auto"/>
        </w:rPr>
      </w:pPr>
    </w:p>
    <w:p>
      <w:pPr>
        <w:ind w:left="1940" w:right="20" w:hanging="648"/>
        <w:spacing w:after="0" w:line="282" w:lineRule="auto"/>
        <w:tabs>
          <w:tab w:leader="none" w:pos="19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Closing Payment on each of the one-year, two-year, three-year and four-year anniversaries of the Exchange Transaction Closing Date;</w:t>
      </w:r>
    </w:p>
    <w:p>
      <w:pPr>
        <w:spacing w:after="0" w:line="161" w:lineRule="exact"/>
        <w:rPr>
          <w:rFonts w:ascii="Times New Roman" w:cs="Times New Roman" w:eastAsia="Times New Roman" w:hAnsi="Times New Roman"/>
          <w:sz w:val="18"/>
          <w:szCs w:val="18"/>
          <w:color w:val="auto"/>
        </w:rPr>
      </w:pPr>
    </w:p>
    <w:p>
      <w:pPr>
        <w:ind w:left="1940" w:right="20" w:hanging="648"/>
        <w:spacing w:after="0" w:line="282" w:lineRule="auto"/>
        <w:tabs>
          <w:tab w:leader="none" w:pos="19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first Semi-Annual Payment on each of the two-year, three-year and four-year anniversaries of the Exchange Transaction Date;</w:t>
      </w:r>
    </w:p>
    <w:p>
      <w:pPr>
        <w:spacing w:after="0" w:line="2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40"/>
          </w:cols>
          <w:pgMar w:left="980" w:top="580" w:right="979" w:bottom="1440" w:gutter="0" w:footer="0" w:header="0"/>
        </w:sectPr>
      </w:pPr>
    </w:p>
    <w:bookmarkStart w:id="71" w:name="page72"/>
    <w:bookmarkEnd w:id="71"/>
    <w:p>
      <w:pPr>
        <w:ind w:left="1940" w:hanging="648"/>
        <w:spacing w:after="0" w:line="282" w:lineRule="auto"/>
        <w:tabs>
          <w:tab w:leader="none" w:pos="19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the second Semi-Annual Payment on each of the three-year and four-year anniversaries of the Exchange Transaction Closing Date;</w:t>
      </w:r>
    </w:p>
    <w:p>
      <w:pPr>
        <w:spacing w:after="0" w:line="161" w:lineRule="exact"/>
        <w:rPr>
          <w:rFonts w:ascii="Times New Roman" w:cs="Times New Roman" w:eastAsia="Times New Roman" w:hAnsi="Times New Roman"/>
          <w:sz w:val="18"/>
          <w:szCs w:val="18"/>
          <w:color w:val="auto"/>
        </w:rPr>
      </w:pPr>
    </w:p>
    <w:p>
      <w:pPr>
        <w:ind w:left="1940" w:right="20" w:hanging="648"/>
        <w:spacing w:after="0" w:line="282" w:lineRule="auto"/>
        <w:tabs>
          <w:tab w:leader="none" w:pos="19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the third Semi-Annual Payment on each of the three-year and four-year anniversaries of the Exchange Transaction Closing Date; and</w:t>
      </w:r>
    </w:p>
    <w:p>
      <w:pPr>
        <w:spacing w:after="0" w:line="161" w:lineRule="exact"/>
        <w:rPr>
          <w:rFonts w:ascii="Times New Roman" w:cs="Times New Roman" w:eastAsia="Times New Roman" w:hAnsi="Times New Roman"/>
          <w:sz w:val="18"/>
          <w:szCs w:val="18"/>
          <w:color w:val="auto"/>
        </w:rPr>
      </w:pPr>
    </w:p>
    <w:p>
      <w:pPr>
        <w:ind w:left="1940" w:hanging="648"/>
        <w:spacing w:after="0" w:line="282" w:lineRule="auto"/>
        <w:tabs>
          <w:tab w:leader="none" w:pos="19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amount of the fourth Semi-Annual Payment on the four-year anniversary of the Exchange Transaction Closing Date.</w:t>
      </w:r>
    </w:p>
    <w:p>
      <w:pPr>
        <w:spacing w:after="0" w:line="161" w:lineRule="exact"/>
        <w:rPr>
          <w:rFonts w:ascii="Times New Roman" w:cs="Times New Roman" w:eastAsia="Times New Roman" w:hAnsi="Times New Roman"/>
          <w:sz w:val="18"/>
          <w:szCs w:val="18"/>
          <w:color w:val="auto"/>
        </w:rPr>
      </w:pPr>
    </w:p>
    <w:p>
      <w:pPr>
        <w:jc w:val="both"/>
        <w:ind w:firstLine="644"/>
        <w:spacing w:after="0" w:line="253" w:lineRule="auto"/>
        <w:tabs>
          <w:tab w:leader="none" w:pos="1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the Participant’s employment by the Company or any of its affiliates without Cause, by the Participant for Good Reason or due to the Participant’s death or Disability (within the meaning of the 2021 Plan) (each, a “</w:t>
      </w:r>
      <w:r>
        <w:rPr>
          <w:rFonts w:ascii="Times New Roman" w:cs="Times New Roman" w:eastAsia="Times New Roman" w:hAnsi="Times New Roman"/>
          <w:sz w:val="18"/>
          <w:szCs w:val="18"/>
          <w:u w:val="single" w:color="auto"/>
          <w:color w:val="auto"/>
        </w:rPr>
        <w:t>Good Leaver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each Vesting Date shall be deemed to have occurred on the date of the Participant’s Good Leaver Termination, and the applicable payments shall no longer be subject to repayment to the Company, in respect of (A) the previously paid portions of the Closing Payment and each Semi-Annual Payment and (B) any portions of the Closing Payment or Semi-Annual Payment that became payable prior to the date of the Participant’s Good Leaver Termination pursuant to paragraph (D)(3) but were not yet paid as of such date, in each case, subject to the Participant’s execution and non-revocation of a release of claims in favor of the Company, its affiliates and related persons, substantially in accordance with the Company’s standard form with any changes deemed necessary or advisable by the Company to reflect any changes in applicable law. For the avoidance of doubt, in the event that the Participant’s employment terminates for any reason, including due to a Good Leaver Termination, prior to the four-year anniversary of the Exchange Transaction Closing Date, any portion of the Participant’s Base Transaction Bonus that did not become payable prior to the date of such termination shall be forfeited without consideration.</w:t>
      </w:r>
    </w:p>
    <w:p>
      <w:pPr>
        <w:spacing w:after="0" w:line="189" w:lineRule="exact"/>
        <w:rPr>
          <w:rFonts w:ascii="Times New Roman" w:cs="Times New Roman" w:eastAsia="Times New Roman" w:hAnsi="Times New Roman"/>
          <w:sz w:val="18"/>
          <w:szCs w:val="18"/>
          <w:color w:val="auto"/>
        </w:rPr>
      </w:pPr>
    </w:p>
    <w:p>
      <w:pPr>
        <w:jc w:val="both"/>
        <w:ind w:right="20" w:firstLine="644"/>
        <w:spacing w:after="0" w:line="255" w:lineRule="auto"/>
        <w:tabs>
          <w:tab w:leader="none" w:pos="12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50% of the Participant’s Base Transaction Bonus that is not eligible to be paid as a Closing Payment or a Semi-Annual Payment (the “</w:t>
      </w:r>
      <w:r>
        <w:rPr>
          <w:rFonts w:ascii="Times New Roman" w:cs="Times New Roman" w:eastAsia="Times New Roman" w:hAnsi="Times New Roman"/>
          <w:sz w:val="18"/>
          <w:szCs w:val="18"/>
          <w:u w:val="single" w:color="auto"/>
          <w:color w:val="auto"/>
        </w:rPr>
        <w:t>Performance Payment</w:t>
      </w:r>
      <w:r>
        <w:rPr>
          <w:rFonts w:ascii="Times New Roman" w:cs="Times New Roman" w:eastAsia="Times New Roman" w:hAnsi="Times New Roman"/>
          <w:sz w:val="18"/>
          <w:szCs w:val="18"/>
          <w:color w:val="auto"/>
        </w:rPr>
        <w:t>”) shall become payable on the earlier of (A) January 31, 2030 and (B) a Change in Control (each, an “</w:t>
      </w:r>
      <w:r>
        <w:rPr>
          <w:rFonts w:ascii="Times New Roman" w:cs="Times New Roman" w:eastAsia="Times New Roman" w:hAnsi="Times New Roman"/>
          <w:sz w:val="18"/>
          <w:szCs w:val="18"/>
          <w:u w:val="single" w:color="auto"/>
          <w:color w:val="auto"/>
        </w:rPr>
        <w:t>Assessment Event</w:t>
      </w:r>
      <w:r>
        <w:rPr>
          <w:rFonts w:ascii="Times New Roman" w:cs="Times New Roman" w:eastAsia="Times New Roman" w:hAnsi="Times New Roman"/>
          <w:sz w:val="18"/>
          <w:szCs w:val="18"/>
          <w:color w:val="auto"/>
        </w:rPr>
        <w:t>”), provided that (I) the Participant is employed by the Company or one of its affiliates from the date hereof and ending on the date of the applicable Assessment Event, and (II) the Relevant Performance Goal (as defined below) is achieved. In such event, the Performance Payment shall be paid to the Participant not more than thirty (30) days after the applicable Assessment Event. “</w:t>
      </w:r>
      <w:r>
        <w:rPr>
          <w:rFonts w:ascii="Times New Roman" w:cs="Times New Roman" w:eastAsia="Times New Roman" w:hAnsi="Times New Roman"/>
          <w:sz w:val="18"/>
          <w:szCs w:val="18"/>
          <w:u w:val="single" w:color="auto"/>
          <w:color w:val="auto"/>
        </w:rPr>
        <w:t>Relevant Performance Goal</w:t>
      </w:r>
      <w:r>
        <w:rPr>
          <w:rFonts w:ascii="Times New Roman" w:cs="Times New Roman" w:eastAsia="Times New Roman" w:hAnsi="Times New Roman"/>
          <w:sz w:val="18"/>
          <w:szCs w:val="18"/>
          <w:color w:val="auto"/>
        </w:rPr>
        <w:t>” means (i) if the Assessment Event is January 31, 2030, the Company’s achievement of the performance metrics applicable to the performance stock units granted to</w:t>
      </w: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40"/>
          </w:cols>
          <w:pgMar w:left="980" w:top="580" w:right="979" w:bottom="1440" w:gutter="0" w:footer="0" w:header="0"/>
        </w:sectPr>
      </w:pPr>
    </w:p>
    <w:bookmarkStart w:id="72" w:name="page73"/>
    <w:bookmarkEnd w:id="72"/>
    <w:p>
      <w:pPr>
        <w:jc w:val="both"/>
        <w:ind w:left="660" w:right="640"/>
        <w:spacing w:after="0" w:line="253" w:lineRule="auto"/>
        <w:rPr>
          <w:sz w:val="20"/>
          <w:szCs w:val="20"/>
          <w:color w:val="auto"/>
        </w:rPr>
      </w:pPr>
      <w:r>
        <w:rPr>
          <w:rFonts w:ascii="Times New Roman" w:cs="Times New Roman" w:eastAsia="Times New Roman" w:hAnsi="Times New Roman"/>
          <w:sz w:val="18"/>
          <w:szCs w:val="18"/>
          <w:color w:val="auto"/>
        </w:rPr>
        <w:t>the Participant in connection with the Exchange Transaction for the performance period comprising the Company’s fiscal year 2029 at a level that equals or exceeds 150% of target, provided that if more than one performance goal is set with respect to such performance period, then each performance metric shall be tested individually with a commensurate proportion of the Performance Payment becoming payable, with the remaining proportion being forfeited, and (ii) if the Assessment Event is a Change in Control, then the fair market value per share of the Company’s common stock as of the Change in Control is at least $20.76 (as equitably adjusted by the Administrator in good faith to reflect any adjustments to the terms of the PSUs as a result of any stock splits, stock dividends, combination or exchange of shares, consolidation, recapitalization or other change affecting the shares of the Company’s common stock or share price of the Company’s common stock), based on the per share price in the Change in Control transaction; provided, that if the consideration in such transaction is not comprised entirely of cash, then the fair market value shall be determined by the Administrator in good faith, taking into account the 60-day VWAP immediately prior to the Change in Control. For the avoidance of doubt, except as required by applicable law (including the listing rules of any national securities exchange or association on which the Company’s securities are then listed), the Performance Payment shall not be subject to repayment to the Company or any of its affiliates for any reason.”</w:t>
      </w:r>
    </w:p>
    <w:p>
      <w:pPr>
        <w:spacing w:after="0" w:line="190" w:lineRule="exact"/>
        <w:rPr>
          <w:sz w:val="20"/>
          <w:szCs w:val="20"/>
          <w:color w:val="auto"/>
        </w:rPr>
      </w:pPr>
    </w:p>
    <w:p>
      <w:pPr>
        <w:jc w:val="both"/>
        <w:ind w:firstLine="656"/>
        <w:spacing w:after="0" w:line="258" w:lineRule="auto"/>
        <w:tabs>
          <w:tab w:leader="none" w:pos="111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for in this Letter Agreement, the Transaction Bonus Plan and its terms and conditions remain in full force and effect and unchanged by this Letter Agreement. This Letter Agreement is to be governed by and construed in accordance with the laws of the State of Delaware without regard to the choice of law principles thereof. For the avoidance of doubt, in accordance with paragraph (G)(10) of the Plan, following the date that the Company enters into the Exchange Agreement, no amendment to the Plan shall impair the then-existing rights of a Participant with regard to the Plan absent his or her consent.</w:t>
      </w:r>
    </w:p>
    <w:p>
      <w:pPr>
        <w:spacing w:after="0" w:line="183"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acknowledge your agreement to the terms and conditions set forth in this letter by signing and dating this letter in the space provided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right"/>
        <w:ind w:right="3299"/>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Co-Founder, Chair, Chief Executive Officer &amp; President</w:t>
      </w:r>
    </w:p>
    <w:p>
      <w:pPr>
        <w:spacing w:after="0" w:line="200" w:lineRule="exact"/>
        <w:rPr>
          <w:sz w:val="20"/>
          <w:szCs w:val="20"/>
          <w:color w:val="auto"/>
        </w:rPr>
      </w:pPr>
    </w:p>
    <w:p>
      <w:pPr>
        <w:spacing w:after="0" w:line="3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Conversion Notice and Proxy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CONVERSION NOTICE AND PROXY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20, 2025</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hereby made to (i) the Twelfth Amended and Restated Certificate of Incorporation of Rent the Runway,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it may be amended from time to time in accordance with its terms,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and (ii) the Exchange Agreement, dated August 20, 2025, by and between the Company and CHS US Investments LLC, a Cayman limited liability company (“</w:t>
      </w:r>
      <w:r>
        <w:rPr>
          <w:rFonts w:ascii="Times New Roman" w:cs="Times New Roman" w:eastAsia="Times New Roman" w:hAnsi="Times New Roman"/>
          <w:sz w:val="18"/>
          <w:szCs w:val="18"/>
          <w:u w:val="single" w:color="auto"/>
          <w:color w:val="auto"/>
        </w:rPr>
        <w:t>CHS</w:t>
      </w:r>
      <w:r>
        <w:rPr>
          <w:rFonts w:ascii="Times New Roman" w:cs="Times New Roman" w:eastAsia="Times New Roman" w:hAnsi="Times New Roman"/>
          <w:sz w:val="18"/>
          <w:szCs w:val="18"/>
          <w:color w:val="auto"/>
        </w:rPr>
        <w:t>”) (as it may be amended from time to time in accordance with its terms,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All capitalized terms used but not defined herein shall have the meanings ascribed to such terms in the Exchange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the terms and subject to the conditions contained in the Exchange Agreement, CHS will contribute, transfer, assign and convey to the Company all of its rights, title and interest in, to and under the Equity Exchange Obligations in exchange for the Exchange Stock;</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WHEREAS, as of the date hereof, the undersigned Company Stockholder (the “</w:t>
      </w:r>
      <w:r>
        <w:rPr>
          <w:rFonts w:ascii="Times New Roman" w:cs="Times New Roman" w:eastAsia="Times New Roman" w:hAnsi="Times New Roman"/>
          <w:sz w:val="18"/>
          <w:szCs w:val="18"/>
          <w:u w:val="single" w:color="auto"/>
          <w:color w:val="auto"/>
        </w:rPr>
        <w:t>Proxy Stockholder</w:t>
      </w:r>
      <w:r>
        <w:rPr>
          <w:rFonts w:ascii="Times New Roman" w:cs="Times New Roman" w:eastAsia="Times New Roman" w:hAnsi="Times New Roman"/>
          <w:sz w:val="18"/>
          <w:szCs w:val="18"/>
          <w:color w:val="auto"/>
        </w:rPr>
        <w:t xml:space="preserve">”) is the record or beneficial owner of the number of shares of (i) Class A Common Stock set forth opposite the Proxy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(such shares of Class A Common Stock, together with any other shares of Class A Common Stock acquired by the Proxy Stockholder after the date hereof, being collectively referred to as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xml:space="preserve">”), and (ii) Class B Common Stock set forth opposite the Proxy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(such shares of Class B Common Stock, together with any other shares of Class B Common Stock acquired by the Proxy Stockholder after the date hereof, being collectively referred to as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of the Proxy Stockholder, and the Class B Shares together with the Class A Shares and any other Company Capital Stock acquired by the Proxy Stockholder after the date hereof, being collectively referred to as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of the Proxy Stockholder);</w:t>
      </w:r>
    </w:p>
    <w:p>
      <w:pPr>
        <w:spacing w:after="0" w:line="189"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WHEREAS, the Company Charter allows for the voluntary conversion of Class B Common Stock to Class A Common Stock by delivery of notice to the Company, which notice may specify “any event on which such conversion is contingent”; and</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WHEREAS, in connection with the Transactions, the Proxy Stockholder desires to (i) convert his, her or its Class B Shares into shares of Class A Common Stock pursuant to Article IV and Section 4.7(a) of the Company Charter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effective immediately prior to (A) the effectiveness of the Charter Amendment, or (B) if the Charter Amendment Approval is not obtained at the Company Stockholders Meeting, the Closing (the “</w:t>
      </w:r>
      <w:r>
        <w:rPr>
          <w:rFonts w:ascii="Times New Roman" w:cs="Times New Roman" w:eastAsia="Times New Roman" w:hAnsi="Times New Roman"/>
          <w:sz w:val="18"/>
          <w:szCs w:val="18"/>
          <w:u w:val="single" w:color="auto"/>
          <w:color w:val="auto"/>
        </w:rPr>
        <w:t>Conversion Effective Time</w:t>
      </w:r>
      <w:r>
        <w:rPr>
          <w:rFonts w:ascii="Times New Roman" w:cs="Times New Roman" w:eastAsia="Times New Roman" w:hAnsi="Times New Roman"/>
          <w:sz w:val="18"/>
          <w:szCs w:val="18"/>
          <w:color w:val="auto"/>
        </w:rPr>
        <w:t xml:space="preserve">”), and (ii) grant to Sid Thacker and Cara Schembri, each officers of the Company, at the request of the Company Board, a proxy to vote all shares of Company Common Stock held by the Proxy Stockholder at the Company Stockholders Meeting in favor of the issuance of the Exchange Stock, to the extent required by rules of the Nasdaq Stock Market, the issuance of shares of Class A Common Stock issuable pursuant to the Rights Offering Backstop Agreement, and the Charter Amendment (the proxy described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ind w:left="1300"/>
        <w:spacing w:after="0"/>
        <w:rPr>
          <w:sz w:val="20"/>
          <w:szCs w:val="20"/>
          <w:color w:val="auto"/>
        </w:rPr>
      </w:pPr>
      <w:r>
        <w:rPr>
          <w:rFonts w:ascii="Times New Roman" w:cs="Times New Roman" w:eastAsia="Times New Roman" w:hAnsi="Times New Roman"/>
          <w:sz w:val="18"/>
          <w:szCs w:val="18"/>
          <w:color w:val="auto"/>
        </w:rPr>
        <w:t>NOW, THEREFORE, the Proxy Stockholder provides as follows:</w:t>
      </w:r>
    </w:p>
    <w:p>
      <w:pPr>
        <w:spacing w:after="0" w:line="221" w:lineRule="exact"/>
        <w:rPr>
          <w:sz w:val="20"/>
          <w:szCs w:val="20"/>
          <w:color w:val="auto"/>
        </w:rPr>
      </w:pPr>
    </w:p>
    <w:p>
      <w:pPr>
        <w:ind w:left="1180" w:hanging="524"/>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Conversion of Class B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466"/>
        <w:spacing w:after="0" w:line="261" w:lineRule="auto"/>
        <w:tabs>
          <w:tab w:leader="none" w:pos="198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execution and delivery of this Conversion Notice and Proxy, and without any further action by or on behalf of the Proxy Stockholder or any other Person, the Proxy Stockholder hereby exercises his, her or its voluntary conversion right under Article IV, Section 4.7(a) of the Company Charter to convert all Class B Shares held by the Proxy Stockholder as of the Conversion Effective Time into shares of Class A Common Stock on a one-for-one basis, contingent upon the occurrence of the Conversion Effective Time.</w:t>
      </w:r>
    </w:p>
    <w:p>
      <w:pPr>
        <w:spacing w:after="0" w:line="179" w:lineRule="exact"/>
        <w:rPr>
          <w:rFonts w:ascii="Times New Roman" w:cs="Times New Roman" w:eastAsia="Times New Roman" w:hAnsi="Times New Roman"/>
          <w:sz w:val="18"/>
          <w:szCs w:val="18"/>
          <w:color w:val="auto"/>
        </w:rPr>
      </w:pPr>
    </w:p>
    <w:p>
      <w:pPr>
        <w:jc w:val="both"/>
        <w:ind w:firstLine="1466"/>
        <w:spacing w:after="0" w:line="253" w:lineRule="auto"/>
        <w:tabs>
          <w:tab w:leader="none" w:pos="208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substantially concurrently with the Closing, the Proxy Stockholder shall, in accordance with Article IV, Section 4.7(a) of the Company Charter, deliver to the Company all Class B Shares owned by the Proxy Stockholder as of immediately prior to the Conversion Effective Time. If such Class B Shares are certificated, the Proxy Stockholder shall surrender the certificate(s) therefor (or, if any certificate is alleged to be lost, stolen or destroyed, a lost certificate affidavit and agreement reasonably acceptable to the Company to indemnify the Company against any claim that may be made against the Company on account of such loss, theft or destruction), duly endorsed, at the office of the Company or any transfer agent for the Company Common Stock. In exchange, the Company shall deliver to the Proxy Stockholder at the Conversion Effective Time a number of shares of Class A Common Stock equal to the number of Class B Shares held by the Proxy Stockholder as of immediately prior to the Conversion Effective Time (the Class A Shares issued to the Proxy Stockholder in the Conversion, the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For the avoidance of doubt, the Conversion shall be effective as of the Conversion Effective Time regardless of whether the Class B Shares are surrendered to the Company as provided above. The Company shall cause the Company’s transfer agent to issue and deliver to the Proxy Stockholder surrendering a certificate previously representing certificated Class B Shares or book entry previously representing certificated Class B Shares a certificate or certificates (if such shares are to be certificated) or a book entry or book entries (if such shares are to be uncertificated) for the Converted Shares issuable to the Proxy Stockholder pursuant to the Conversion.</w:t>
      </w:r>
    </w:p>
    <w:p>
      <w:pPr>
        <w:spacing w:after="0" w:line="189" w:lineRule="exact"/>
        <w:rPr>
          <w:rFonts w:ascii="Times New Roman" w:cs="Times New Roman" w:eastAsia="Times New Roman" w:hAnsi="Times New Roman"/>
          <w:sz w:val="18"/>
          <w:szCs w:val="18"/>
          <w:color w:val="auto"/>
        </w:rPr>
      </w:pPr>
    </w:p>
    <w:p>
      <w:pPr>
        <w:jc w:val="both"/>
        <w:ind w:firstLine="1466"/>
        <w:spacing w:after="0" w:line="266" w:lineRule="auto"/>
        <w:tabs>
          <w:tab w:leader="none" w:pos="212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Exchange Agreement is validly terminated prior to the Closing in accordance with its terms, the Conversion Effective Time shall not occur, and the Conversion described in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shall not be effected. In such event, the Proxy Stockholder’s Class B Shares shall not be converted into shares of Class A Common Stock pursuant to this Conversion Notice and Proxy.</w:t>
      </w:r>
    </w:p>
    <w:p>
      <w:pPr>
        <w:spacing w:after="0" w:line="171" w:lineRule="exact"/>
        <w:rPr>
          <w:rFonts w:ascii="Times New Roman" w:cs="Times New Roman" w:eastAsia="Times New Roman" w:hAnsi="Times New Roman"/>
          <w:sz w:val="18"/>
          <w:szCs w:val="18"/>
          <w:color w:val="auto"/>
        </w:rPr>
      </w:pPr>
    </w:p>
    <w:p>
      <w:pPr>
        <w:jc w:val="both"/>
        <w:ind w:firstLine="656"/>
        <w:spacing w:after="0" w:line="257" w:lineRule="auto"/>
        <w:tabs>
          <w:tab w:leader="none" w:pos="12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Proxy</w:t>
      </w:r>
      <w:r>
        <w:rPr>
          <w:rFonts w:ascii="Times New Roman" w:cs="Times New Roman" w:eastAsia="Times New Roman" w:hAnsi="Times New Roman"/>
          <w:sz w:val="18"/>
          <w:szCs w:val="18"/>
          <w:color w:val="auto"/>
        </w:rPr>
        <w:t>. At the request of the Company Board, in connection with actions being taken at the Company Stockholders Meeting,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hereby grants a proxy to, and appoints as the Proxy Stockholder’s proxy, Sid Thacker and Cara Schembri, solely in their capacities as officers of the Company, and each of them individually, for and in the name, place and stead of the Proxy Stockholder, to vote the Proxy Stockholder’s Subject Shares at the Company Stockholders Meeting in favor of (i) the issuance of the Exchange Stock pursuant to the terms of the Exchange Agreement and, to the extent required by rules of the Nasdaq Stock Market, the issuance of shares of Class A Common Stock issuable pursuant to the Rights Offering Backstop Agreement, (ii) the Charter Amendment, (iii) any proposal to adjourn, recess or postpone such</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meeting if the Company reasonably believes that there will be insufficient shares of Company Common Stock represented (either in person or by proxy) for purposes of a quorum or to obtain the Company Stockholder Approval to the extent permitted or required pursuant to Section 6.01(c) of the Exchange Agreement, and (iv) any other actions presented to the Company Stockholders by the Company Board that are necessary and desirable in connection with the Exchange Agreement, the Exchange Transactions or any of the other Transactions. The Proxy Stockholder hereby affirms that the proxy set forth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is given solely at the request of the Company Board in connection with actions to be taken at the Company Stockholders Meeting. The Proxy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automatically terminate, without further action by the Proxy Stockholder or any other Person, upon the valid termination of the Exchange Agreement in accordance with its terms.</w:t>
      </w:r>
    </w:p>
    <w:p>
      <w:pPr>
        <w:spacing w:after="0" w:line="185" w:lineRule="exact"/>
        <w:rPr>
          <w:sz w:val="20"/>
          <w:szCs w:val="20"/>
          <w:color w:val="auto"/>
        </w:rPr>
      </w:pPr>
    </w:p>
    <w:p>
      <w:pPr>
        <w:ind w:firstLine="656"/>
        <w:spacing w:after="0" w:line="286" w:lineRule="auto"/>
        <w:tabs>
          <w:tab w:leader="none" w:pos="13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Rights or Remedies</w:t>
      </w:r>
      <w:r>
        <w:rPr>
          <w:rFonts w:ascii="Times New Roman" w:cs="Times New Roman" w:eastAsia="Times New Roman" w:hAnsi="Times New Roman"/>
          <w:sz w:val="18"/>
          <w:szCs w:val="18"/>
          <w:color w:val="auto"/>
        </w:rPr>
        <w:t>. This Conversion Notice and Proxy is not intended to, and does not, confer upon any Person any rights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remedies against the Proxy Stockholder with respect to the matters contained herein.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IN WITNESS WHEREOF, the Proxy Stockholder has duly executed and delivered this Conversion Notice and Proxy as of the date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above.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PROXY STOCKHOLDER:</w:t>
      </w: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Conversion Notice and Proxy</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40" w:type="dxa"/>
            <w:vAlign w:val="bottom"/>
            <w:tcBorders>
              <w:top w:val="single" w:sz="8" w:color="auto"/>
              <w:left w:val="single" w:sz="8" w:color="auto"/>
            </w:tcBorders>
          </w:tcPr>
          <w:p>
            <w:pPr>
              <w:spacing w:after="0"/>
              <w:rPr>
                <w:sz w:val="22"/>
                <w:szCs w:val="22"/>
                <w:color w:val="auto"/>
              </w:rPr>
            </w:pPr>
          </w:p>
        </w:tc>
        <w:tc>
          <w:tcPr>
            <w:tcW w:w="37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Proxy Stockholder Name and Address</w:t>
            </w:r>
          </w:p>
        </w:tc>
        <w:tc>
          <w:tcPr>
            <w:tcW w:w="160" w:type="dxa"/>
            <w:vAlign w:val="bottom"/>
            <w:tcBorders>
              <w:top w:val="single" w:sz="8" w:color="auto"/>
            </w:tcBorders>
          </w:tcPr>
          <w:p>
            <w:pPr>
              <w:spacing w:after="0"/>
              <w:rPr>
                <w:sz w:val="22"/>
                <w:szCs w:val="22"/>
                <w:color w:val="auto"/>
              </w:rPr>
            </w:pPr>
          </w:p>
        </w:tc>
        <w:tc>
          <w:tcPr>
            <w:tcW w:w="2880" w:type="dxa"/>
            <w:vAlign w:val="bottom"/>
            <w:tcBorders>
              <w:top w:val="single" w:sz="8" w:color="auto"/>
              <w:right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Number of Class A Shares Held</w:t>
            </w:r>
          </w:p>
        </w:tc>
        <w:tc>
          <w:tcPr>
            <w:tcW w:w="220" w:type="dxa"/>
            <w:vAlign w:val="bottom"/>
            <w:tcBorders>
              <w:top w:val="single" w:sz="8" w:color="auto"/>
            </w:tcBorders>
          </w:tcPr>
          <w:p>
            <w:pPr>
              <w:spacing w:after="0"/>
              <w:rPr>
                <w:sz w:val="22"/>
                <w:szCs w:val="22"/>
                <w:color w:val="auto"/>
              </w:rPr>
            </w:pPr>
          </w:p>
        </w:tc>
        <w:tc>
          <w:tcPr>
            <w:tcW w:w="3680" w:type="dxa"/>
            <w:vAlign w:val="bottom"/>
            <w:tcBorders>
              <w:top w:val="single" w:sz="8" w:color="auto"/>
              <w:right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Number of Class B Shares Held as of the</w:t>
            </w:r>
          </w:p>
        </w:tc>
      </w:tr>
      <w:tr>
        <w:trPr>
          <w:trHeight w:val="210"/>
        </w:trPr>
        <w:tc>
          <w:tcPr>
            <w:tcW w:w="540" w:type="dxa"/>
            <w:vAlign w:val="bottom"/>
            <w:tcBorders>
              <w:left w:val="single" w:sz="8" w:color="auto"/>
            </w:tcBorders>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tcBorders>
              <w:top w:val="single" w:sz="8" w:color="auto"/>
            </w:tcBorders>
            <w:gridSpan w:val="3"/>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as of the Effective Date</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Borders>
              <w:top w:val="single" w:sz="8" w:color="auto"/>
            </w:tcBorders>
            <w:gridSpan w:val="3"/>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Effective Date</w:t>
            </w:r>
          </w:p>
        </w:tc>
        <w:tc>
          <w:tcPr>
            <w:tcW w:w="260" w:type="dxa"/>
            <w:vAlign w:val="bottom"/>
            <w:tcBorders>
              <w:right w:val="single" w:sz="8" w:color="auto"/>
            </w:tcBorders>
          </w:tcPr>
          <w:p>
            <w:pPr>
              <w:spacing w:after="0"/>
              <w:rPr>
                <w:sz w:val="18"/>
                <w:szCs w:val="18"/>
                <w:color w:val="auto"/>
              </w:rPr>
            </w:pPr>
          </w:p>
        </w:tc>
      </w:tr>
      <w:tr>
        <w:trPr>
          <w:trHeight w:val="74"/>
        </w:trPr>
        <w:tc>
          <w:tcPr>
            <w:tcW w:w="540" w:type="dxa"/>
            <w:vAlign w:val="bottom"/>
            <w:tcBorders>
              <w:left w:val="single" w:sz="8" w:color="auto"/>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960" w:type="dxa"/>
            <w:vAlign w:val="bottom"/>
            <w:tcBorders>
              <w:top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top w:val="single" w:sz="8" w:color="auto"/>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r>
      <w:tr>
        <w:trPr>
          <w:trHeight w:val="318"/>
        </w:trPr>
        <w:tc>
          <w:tcPr>
            <w:tcW w:w="540" w:type="dxa"/>
            <w:vAlign w:val="bottom"/>
            <w:tcBorders>
              <w:left w:val="single" w:sz="8" w:color="auto"/>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r>
      <w:tr>
        <w:trPr>
          <w:trHeight w:val="533"/>
        </w:trPr>
        <w:tc>
          <w:tcPr>
            <w:tcW w:w="5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Amended and Restated Bylaws</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0712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8"/>
        <w:spacing w:after="0" w:line="210" w:lineRule="auto"/>
        <w:tabs>
          <w:tab w:leader="none" w:pos="120" w:val="left"/>
        </w:tabs>
        <w:numPr>
          <w:ilvl w:val="0"/>
          <w:numId w:val="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The Amended and Restated Bylaws will be adopted at Closing irrespective of whether the Charter Amendment is approved. If the Charter Amendment is approved, the complete set of Bylaws will be adopted. The footnoted amendments in brackets will not be adopted if the Charter Amendment is not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2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0"/>
        </w:trPr>
        <w:tc>
          <w:tcPr>
            <w:tcW w:w="4500" w:type="dxa"/>
            <w:vAlign w:val="bottom"/>
          </w:tcPr>
          <w:p>
            <w:pPr>
              <w:spacing w:after="0"/>
              <w:rPr>
                <w:sz w:val="24"/>
                <w:szCs w:val="24"/>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w:t>
            </w:r>
          </w:p>
        </w:tc>
        <w:tc>
          <w:tcPr>
            <w:tcW w:w="19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442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color w:val="auto"/>
                <w:w w:val="99"/>
              </w:rPr>
              <w:t>CORPORATE OFFICES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Registered Office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Offices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73"/>
        </w:trPr>
        <w:tc>
          <w:tcPr>
            <w:tcW w:w="4500" w:type="dxa"/>
            <w:vAlign w:val="bottom"/>
          </w:tcPr>
          <w:p>
            <w:pPr>
              <w:spacing w:after="0"/>
              <w:rPr>
                <w:sz w:val="24"/>
                <w:szCs w:val="24"/>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2</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92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color w:val="auto"/>
                <w:w w:val="99"/>
              </w:rPr>
              <w:t>MEETINGS OF STOCKHOLDERS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Place of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Annual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Special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Notice of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Adjournments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Quorum</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Organization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Voting; Proxies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Fixing Date for Determination of Stockholders of Record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List of Stockholders Entitled to Vote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Inspectors of Election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Conduct of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Advance Notice Procedures for Business Brought before a Meeting</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Advance Notice Procedures for Nominations of Directors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i w:val="1"/>
                <w:iCs w:val="1"/>
                <w:color w:val="auto"/>
              </w:rPr>
              <w:t>Delivery to the Corporation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73"/>
        </w:trPr>
        <w:tc>
          <w:tcPr>
            <w:tcW w:w="4500" w:type="dxa"/>
            <w:vAlign w:val="bottom"/>
          </w:tcPr>
          <w:p>
            <w:pPr>
              <w:spacing w:after="0"/>
              <w:rPr>
                <w:sz w:val="24"/>
                <w:szCs w:val="24"/>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3</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442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color w:val="auto"/>
                <w:w w:val="99"/>
              </w:rPr>
              <w:t>BOARD OF DIRECTORS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Number; Tenure; Qualifications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Election; Resignation; Removal; Vacancies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Regular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Special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Telephonic Meetings Permitted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Quorum; Vote Required for Action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Organization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Action by Unanimous Consent of Directors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Compensation of Directors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73"/>
        </w:trPr>
        <w:tc>
          <w:tcPr>
            <w:tcW w:w="4500" w:type="dxa"/>
            <w:vAlign w:val="bottom"/>
          </w:tcPr>
          <w:p>
            <w:pPr>
              <w:spacing w:after="0"/>
              <w:rPr>
                <w:sz w:val="24"/>
                <w:szCs w:val="24"/>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4</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w w:val="99"/>
              </w:rPr>
              <w:t>COMMITTEES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Committees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Committee Minutes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Committee Rules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4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36"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0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5</w:t>
            </w:r>
          </w:p>
        </w:tc>
        <w:tc>
          <w:tcPr>
            <w:tcW w:w="1740" w:type="dxa"/>
            <w:vAlign w:val="bottom"/>
          </w:tcPr>
          <w:p>
            <w:pPr>
              <w:spacing w:after="0"/>
              <w:rPr>
                <w:sz w:val="18"/>
                <w:szCs w:val="18"/>
                <w:color w:val="auto"/>
              </w:rPr>
            </w:pPr>
          </w:p>
        </w:tc>
      </w:tr>
      <w:tr>
        <w:trPr>
          <w:trHeight w:val="234"/>
        </w:trPr>
        <w:tc>
          <w:tcPr>
            <w:tcW w:w="950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OFFICERS</w:t>
            </w:r>
          </w:p>
        </w:tc>
        <w:tc>
          <w:tcPr>
            <w:tcW w:w="1740" w:type="dxa"/>
            <w:vAlign w:val="bottom"/>
          </w:tcPr>
          <w:p>
            <w:pPr>
              <w:spacing w:after="0"/>
              <w:rPr>
                <w:sz w:val="20"/>
                <w:szCs w:val="20"/>
                <w:color w:val="auto"/>
              </w:rPr>
            </w:pPr>
          </w:p>
        </w:tc>
      </w:tr>
      <w:tr>
        <w:trPr>
          <w:trHeight w:val="371"/>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Appointment of 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Subordinate Officer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Removal and Resignation of 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Vacancies in Offices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Chief Executive 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President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Secretary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Chief Financial Officer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Representation of Equity Interests of Other Entities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Authority and Duties of 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Compensation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73"/>
        </w:trPr>
        <w:tc>
          <w:tcPr>
            <w:tcW w:w="950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6</w:t>
            </w:r>
          </w:p>
        </w:tc>
        <w:tc>
          <w:tcPr>
            <w:tcW w:w="1740" w:type="dxa"/>
            <w:vAlign w:val="bottom"/>
          </w:tcPr>
          <w:p>
            <w:pPr>
              <w:spacing w:after="0"/>
              <w:rPr>
                <w:sz w:val="24"/>
                <w:szCs w:val="24"/>
                <w:color w:val="auto"/>
              </w:rPr>
            </w:pPr>
          </w:p>
        </w:tc>
      </w:tr>
      <w:tr>
        <w:trPr>
          <w:trHeight w:val="234"/>
        </w:trPr>
        <w:tc>
          <w:tcPr>
            <w:tcW w:w="95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STOCK</w:t>
            </w:r>
          </w:p>
        </w:tc>
        <w:tc>
          <w:tcPr>
            <w:tcW w:w="1740" w:type="dxa"/>
            <w:vAlign w:val="bottom"/>
          </w:tcPr>
          <w:p>
            <w:pPr>
              <w:spacing w:after="0"/>
              <w:rPr>
                <w:sz w:val="20"/>
                <w:szCs w:val="20"/>
                <w:color w:val="auto"/>
              </w:rPr>
            </w:pPr>
          </w:p>
        </w:tc>
      </w:tr>
      <w:tr>
        <w:trPr>
          <w:trHeight w:val="371"/>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Certificates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Lost, Stolen or Destroyed Stock Certificates; Issuance of New Certificates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Shares Without Certificates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73"/>
        </w:trPr>
        <w:tc>
          <w:tcPr>
            <w:tcW w:w="950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7</w:t>
            </w:r>
          </w:p>
        </w:tc>
        <w:tc>
          <w:tcPr>
            <w:tcW w:w="1740" w:type="dxa"/>
            <w:vAlign w:val="bottom"/>
          </w:tcPr>
          <w:p>
            <w:pPr>
              <w:spacing w:after="0"/>
              <w:rPr>
                <w:sz w:val="24"/>
                <w:szCs w:val="24"/>
                <w:color w:val="auto"/>
              </w:rPr>
            </w:pPr>
          </w:p>
        </w:tc>
      </w:tr>
      <w:tr>
        <w:trPr>
          <w:trHeight w:val="234"/>
        </w:trPr>
        <w:tc>
          <w:tcPr>
            <w:tcW w:w="95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INDEMNIFICATION AND ADVANCEMENT OF EXPENSES</w:t>
            </w:r>
          </w:p>
        </w:tc>
        <w:tc>
          <w:tcPr>
            <w:tcW w:w="1740" w:type="dxa"/>
            <w:vAlign w:val="bottom"/>
          </w:tcPr>
          <w:p>
            <w:pPr>
              <w:spacing w:after="0"/>
              <w:rPr>
                <w:sz w:val="20"/>
                <w:szCs w:val="20"/>
                <w:color w:val="auto"/>
              </w:rPr>
            </w:pPr>
          </w:p>
        </w:tc>
      </w:tr>
      <w:tr>
        <w:trPr>
          <w:trHeight w:val="371"/>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Right to Indemnification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Indemnification of Others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Advancement of 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Claims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Non-exclusivity of Rights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Insurance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Other Sources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Continuation of Indemnification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Amendment or Repeal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Other Indemnification and Advancement of 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73"/>
        </w:trPr>
        <w:tc>
          <w:tcPr>
            <w:tcW w:w="950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8</w:t>
            </w:r>
          </w:p>
        </w:tc>
        <w:tc>
          <w:tcPr>
            <w:tcW w:w="1740" w:type="dxa"/>
            <w:vAlign w:val="bottom"/>
          </w:tcPr>
          <w:p>
            <w:pPr>
              <w:spacing w:after="0"/>
              <w:rPr>
                <w:sz w:val="24"/>
                <w:szCs w:val="24"/>
                <w:color w:val="auto"/>
              </w:rPr>
            </w:pPr>
          </w:p>
        </w:tc>
      </w:tr>
      <w:tr>
        <w:trPr>
          <w:trHeight w:val="234"/>
        </w:trPr>
        <w:tc>
          <w:tcPr>
            <w:tcW w:w="95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MISCELLANEOUS</w:t>
            </w:r>
          </w:p>
        </w:tc>
        <w:tc>
          <w:tcPr>
            <w:tcW w:w="1740" w:type="dxa"/>
            <w:vAlign w:val="bottom"/>
          </w:tcPr>
          <w:p>
            <w:pPr>
              <w:spacing w:after="0"/>
              <w:rPr>
                <w:sz w:val="20"/>
                <w:szCs w:val="20"/>
                <w:color w:val="auto"/>
              </w:rPr>
            </w:pPr>
          </w:p>
        </w:tc>
      </w:tr>
      <w:tr>
        <w:trPr>
          <w:trHeight w:val="371"/>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Fiscal Year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Execution of Corporate Contracts and Instruments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Dividends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Registered Stockholders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Corporate Seal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Construction; Definitions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Manner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Waiver of Notice of Meetings of Stockholders, Directors and Committees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Form of Records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Amendment of Bylaws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CORPORATE OFFICES</w:t>
      </w:r>
    </w:p>
    <w:p>
      <w:pPr>
        <w:spacing w:after="0" w:line="20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Registered Office</w:t>
      </w:r>
      <w:r>
        <w:rPr>
          <w:rFonts w:ascii="Times New Roman" w:cs="Times New Roman" w:eastAsia="Times New Roman" w:hAnsi="Times New Roman"/>
          <w:sz w:val="18"/>
          <w:szCs w:val="18"/>
          <w:color w:val="auto"/>
        </w:rPr>
        <w:t>. The address of the registered office of Rent the Runway,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Amended and Restated Certificate of Incorporation of the Corporation (as the same may be further amended, restated, amended and restated or otherwise modified from time to time,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Offices</w:t>
      </w:r>
      <w:r>
        <w:rPr>
          <w:rFonts w:ascii="Times New Roman" w:cs="Times New Roman" w:eastAsia="Times New Roman" w:hAnsi="Times New Roman"/>
          <w:sz w:val="18"/>
          <w:szCs w:val="18"/>
          <w:color w:val="auto"/>
        </w:rPr>
        <w:t>. The Corporation may have additional offices at any place or places, within or without the State of Delaware, as the Corporation’s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may from time to time establish or as the business of the Corporation may require.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0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Place of Meetings</w:t>
      </w:r>
      <w:r>
        <w:rPr>
          <w:rFonts w:ascii="Times New Roman" w:cs="Times New Roman" w:eastAsia="Times New Roman" w:hAnsi="Times New Roman"/>
          <w:sz w:val="18"/>
          <w:szCs w:val="18"/>
          <w:color w:val="auto"/>
        </w:rPr>
        <w:t>. Meetings of stockholders of the Corporation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may be held at any place, within or without the State of Delaware, as may be designated by or in the manner determined by the Board of Directors.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Annual Meetings</w:t>
      </w:r>
      <w:r>
        <w:rPr>
          <w:rFonts w:ascii="Times New Roman" w:cs="Times New Roman" w:eastAsia="Times New Roman" w:hAnsi="Times New Roman"/>
          <w:sz w:val="18"/>
          <w:szCs w:val="18"/>
          <w:color w:val="auto"/>
        </w:rPr>
        <w:t>. The annual meeting of Stockholders shall be held for the election of directors at such date and time as may be designated by or in the manner determined by resolution of the Board of Directors from time to time. Any other business as may be properly brought before the annual meeting may be transacted at the annual meeting. The Board of Directors may postpone, recess, reschedule or cancel any annual meeting of Stockholders previously scheduled by the Board of Directors.</w:t>
      </w:r>
    </w:p>
    <w:p>
      <w:pPr>
        <w:spacing w:after="0" w:line="18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Stockholders for any purpose or purposes may be called only as expressly set forth in the Certificate of Incorporation.]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Special meetings validly called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of these amended and restated bylaws (as the same may be further amended, restated, amended and restated or otherwise modified from time to time, these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may be held at such date and time as specified in the applicable notice. Notice of every special meeting shall state the purpose or purposes of the meeting, and the business transacted at any special meeting of Stockholders shall be limited to the purpose or purposes stated in the notice. The Board of Directors may postpone, recess, reschedule or cancel any special meeting of Stockholders previously scheduled by a chairperson or co-chairperson of the Board of Directors (a “</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 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10712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20" w:hanging="112"/>
        <w:spacing w:after="0"/>
        <w:tabs>
          <w:tab w:leader="none" w:pos="120"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Subject to approval of the Charter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4" w:name="page85"/>
    <w:bookmarkEnd w:id="84"/>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required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Adjournments</w:t>
      </w:r>
      <w:r>
        <w:rPr>
          <w:rFonts w:ascii="Times New Roman" w:cs="Times New Roman" w:eastAsia="Times New Roman" w:hAnsi="Times New Roman"/>
          <w:sz w:val="18"/>
          <w:szCs w:val="18"/>
          <w:color w:val="auto"/>
        </w:rPr>
        <w:t xml:space="preserve">. Any meeting of Stockholders, annual or special, may be adjourned from time to time by the chairperson of the meeting, whether or not there is a quorum (or, in the absence of a quorum, by the Stockholders in accordance with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to reconvene at the same or some other place, if any, and the same or some other time, and notice need not be given of any such adjourned meeting if the time and place, if any, thereof, and the means of remote communications, if any, by which Stockholders and proxy holders may be deemed to be present in person and vote at such adjourned meeting are, in accordance with Section 222(c) of the DGCL,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these Bylaws.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 new record date for determining Stockholders entitled to notice of such adjourned meeting in accordance with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of these Bylaws, and shall give notice of the adjourned meeting to each Stockholder of record entitled to vote at such adjourned meeting as of the record date fixed for notice of such adjourned meeting. If mailed, such notice shall be deemed to be given when deposited in the United States mail, postage prepaid, directed to the Stockholder at such Stockholder’s address as it appears on the records of the Corporation.</w:t>
      </w:r>
    </w:p>
    <w:p>
      <w:pPr>
        <w:spacing w:after="0" w:line="18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xml:space="preserve"> At any meeting of the Stockholders, the holders of a majority of the voting power of the outstanding shares of capital stock of the Corporation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entitled to vote at the meeting, present in person or represented by proxy, shall constitute a quorum for all purposes, unless or except to the extent that the presence of a larger number may be required by law, the rules of any stock exchange upon which the Corporation’s securities are listed, the Certificate of Incorporation or these Bylaws. In the absence of a quorum, then either (i) the chairperson of the meeting or (ii) if the Board of Directors so determines, the Stockholders by the affirmative vote of a majority of the voting power of the outstanding shares of Stock entitled to vote thereon, present in person or represented by proxy, shall have the power to adjourn the meeting from time to time in the manner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of these Bylaws until a</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85" w:name="page86"/>
    <w:bookmarkEnd w:id="85"/>
    <w:p>
      <w:pPr>
        <w:ind w:right="260"/>
        <w:spacing w:after="0" w:line="261" w:lineRule="auto"/>
        <w:rPr>
          <w:sz w:val="20"/>
          <w:szCs w:val="20"/>
          <w:color w:val="auto"/>
        </w:rPr>
      </w:pPr>
      <w:r>
        <w:rPr>
          <w:rFonts w:ascii="Times New Roman" w:cs="Times New Roman" w:eastAsia="Times New Roman" w:hAnsi="Times New Roman"/>
          <w:sz w:val="18"/>
          <w:szCs w:val="18"/>
          <w:color w:val="auto"/>
        </w:rPr>
        <w:t>quorum is present or represented. Where a separate vote by a class or classes or series of Stock is required by law or the Certificate of Incorporation, the holders of a majority of voting power of the shares of such class or classes or series of Stock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w:t>
      </w:r>
    </w:p>
    <w:p>
      <w:pPr>
        <w:spacing w:after="0" w:line="17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Meetings of Stockholders shall be presided over by a Chairperson or by such other officer or director of the Corporation as designated by the Board of Directors or a Chairperson, or in the absence of such person or designation, by a chairperson chosen at the meeting by the affirmative vote of a majority of the voting power of Stock present or represented at the meeting and entitled to vote at the meeting (provided there is a quorum). The Secretary shall act as secretary of the meeting, but in his or her absence the chairperson of the meeting may appoint any person to act as secretary of the meeting.</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Voting; Proxies</w:t>
      </w:r>
      <w:r>
        <w:rPr>
          <w:rFonts w:ascii="Times New Roman" w:cs="Times New Roman" w:eastAsia="Times New Roman" w:hAnsi="Times New Roman"/>
          <w:sz w:val="18"/>
          <w:szCs w:val="18"/>
          <w:color w:val="auto"/>
        </w:rPr>
        <w:t>. Each Stockholder entitled to vote at any meeting of Stockholders shall be entitled to the number of votes, if any, for each share of Stock held of record by such Stockholder which has voting power upon the matter in question that is set forth in the Certificate of Incorporation or, if such voting power is not set forth in the Certificate of Incorporation, one vote per share. Each Stockholder entitled to vote at a meeting of Stockholders or express consent to corporate action without a meeting (if permitted by the Certificate of Incorporation) may authorize another person or persons to act for such Stockholder by proxy, but no such proxy shall be voted or acted upon after three years from its date, unless the proxy provides for a longer period. A proxy may be authorized by an instrument in writing or by a transmission permitted by law and shall be filed in accordance with the procedure established for the meeting.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(including by means of remote communication, if applicable) or by delivering to the Secretary a revocation of the proxy or a new proxy bearing a later date.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required on the matter.</w:t>
      </w:r>
    </w:p>
    <w:p>
      <w:pPr>
        <w:spacing w:after="0" w:line="19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i w:val="1"/>
          <w:iCs w:val="1"/>
          <w:color w:val="auto"/>
        </w:rPr>
        <w:t>Fixing Date for Determination of Stockholders of Record</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500" w:firstLine="850"/>
        <w:spacing w:after="0" w:line="266" w:lineRule="auto"/>
        <w:tabs>
          <w:tab w:leader="none" w:pos="122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6" w:name="page87"/>
    <w:bookmarkEnd w:id="86"/>
    <w:p>
      <w:pPr>
        <w:spacing w:after="0" w:line="254" w:lineRule="auto"/>
        <w:rPr>
          <w:sz w:val="20"/>
          <w:szCs w:val="20"/>
          <w:color w:val="auto"/>
        </w:rPr>
      </w:pPr>
      <w:r>
        <w:rPr>
          <w:rFonts w:ascii="Times New Roman" w:cs="Times New Roman" w:eastAsia="Times New Roman" w:hAnsi="Times New Roman"/>
          <w:sz w:val="18"/>
          <w:szCs w:val="18"/>
          <w:color w:val="auto"/>
        </w:rPr>
        <w:t xml:space="preserve">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at the adjourned meeting.</w:t>
      </w:r>
    </w:p>
    <w:p>
      <w:pPr>
        <w:spacing w:after="0" w:line="188" w:lineRule="exact"/>
        <w:rPr>
          <w:sz w:val="20"/>
          <w:szCs w:val="20"/>
          <w:color w:val="auto"/>
        </w:rPr>
      </w:pPr>
    </w:p>
    <w:p>
      <w:pPr>
        <w:ind w:right="180" w:firstLine="850"/>
        <w:spacing w:after="0" w:line="258" w:lineRule="auto"/>
        <w:tabs>
          <w:tab w:leader="none" w:pos="123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83" w:lineRule="exact"/>
        <w:rPr>
          <w:rFonts w:ascii="Times New Roman" w:cs="Times New Roman" w:eastAsia="Times New Roman" w:hAnsi="Times New Roman"/>
          <w:sz w:val="18"/>
          <w:szCs w:val="18"/>
          <w:color w:val="auto"/>
        </w:rPr>
      </w:pPr>
    </w:p>
    <w:p>
      <w:pPr>
        <w:ind w:right="60" w:firstLine="850"/>
        <w:spacing w:after="0" w:line="254" w:lineRule="auto"/>
        <w:tabs>
          <w:tab w:leader="none" w:pos="12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consent to corporate action without a meeting is fixed by the Board of Directors, (i) when no prior action of the Board of Directors is required by law or the Certificate of Incorporation, the record date for such purpose shall be the first date on which a signed consent setting forth the action taken or proposed to be taken is delivered to the Corporation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w:t>
      </w:r>
    </w:p>
    <w:p>
      <w:pPr>
        <w:spacing w:after="0" w:line="18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List of Stockholders Entitled to Vote</w:t>
      </w:r>
      <w:r>
        <w:rPr>
          <w:rFonts w:ascii="Times New Roman" w:cs="Times New Roman" w:eastAsia="Times New Roman" w:hAnsi="Times New Roman"/>
          <w:sz w:val="18"/>
          <w:szCs w:val="18"/>
          <w:color w:val="auto"/>
        </w:rPr>
        <w:t>. The Corporation shall prepare, at least ten (10) days before every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7" w:name="page88"/>
    <w:bookmarkEnd w:id="87"/>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any Stockholder, for any purpose germane to the meeting at least ten (10) days prior to the meeting (i) on a reasonably accessible electronic network,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information required to gain access to such list is provided with the notice of the meeting or (ii) during ordinary business hours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place of business of the Corporation. In the event that the Corporation determines to make the list available on an electronic network, the Corporation may take reasonable steps to ensure that such information is available only to Stockholders. 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to vote in person or by proxy at any meeting of Stockholders. For purposes of these Bylaws, the term “stock ledger” means one or more records administered by or on behalf of the Corporation in which the names of all of the Corporation’s Stockholders of record, the address and number of shares registered in the name of each such Stockholder, and all issuances and transfers of stock of the Corporation are recorded.</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Inspectors of Election</w:t>
      </w:r>
      <w:r>
        <w:rPr>
          <w:rFonts w:ascii="Times New Roman" w:cs="Times New Roman" w:eastAsia="Times New Roman" w:hAnsi="Times New Roman"/>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his or her ability. Any report or certificate made by the inspectors of election is prima facie evidence of the facts stated therein. The inspector or inspectors so appointed or designated shall (i) ascertain the number of shares of Stock outstanding and the voting power of each such share, (ii) determine the shares of Stock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Conduct of Meetings</w:t>
      </w:r>
      <w:r>
        <w:rPr>
          <w:rFonts w:ascii="Times New Roman" w:cs="Times New Roman" w:eastAsia="Times New Roman" w:hAnsi="Times New Roman"/>
          <w:sz w:val="18"/>
          <w:szCs w:val="18"/>
          <w:color w:val="auto"/>
        </w:rPr>
        <w:t xml:space="preserve">. The date and time of the opening and the closing of the polls for each matter upon which the Stockholders will vote at a meeting shall be announced at the meeting by the person presiding over the meeting designated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of these Bylaws. After the polls close, no ballots, proxies or votes or any revocations or changes thereto may be accepted.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8" w:name="page89"/>
    <w:bookmarkEnd w:id="88"/>
    <w:p>
      <w:pPr>
        <w:spacing w:after="0" w:line="253" w:lineRule="auto"/>
        <w:rPr>
          <w:sz w:val="20"/>
          <w:szCs w:val="20"/>
          <w:color w:val="auto"/>
        </w:rPr>
      </w:pPr>
      <w:r>
        <w:rPr>
          <w:rFonts w:ascii="Times New Roman" w:cs="Times New Roman" w:eastAsia="Times New Roman" w:hAnsi="Times New Roman"/>
          <w:sz w:val="18"/>
          <w:szCs w:val="18"/>
          <w:color w:val="auto"/>
        </w:rPr>
        <w:t>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Advance Notice Procedures for Business Brought before a Meeting</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apply to any business that may be brought before an annual meeting of Stockholders other than nominations for election to the Board of Directors at such a meeting, which shall be governed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 Stockholders seeking to nominate Persons for election to the Board of Directors must comply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 and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not be applicable to nominations for election to the Board of Directors except as expressly provided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w:t>
      </w:r>
    </w:p>
    <w:p>
      <w:pPr>
        <w:spacing w:after="0" w:line="185" w:lineRule="exact"/>
        <w:rPr>
          <w:sz w:val="20"/>
          <w:szCs w:val="20"/>
          <w:color w:val="auto"/>
        </w:rPr>
      </w:pPr>
    </w:p>
    <w:p>
      <w:pPr>
        <w:ind w:right="60" w:firstLine="850"/>
        <w:spacing w:after="0" w:line="254" w:lineRule="auto"/>
        <w:tabs>
          <w:tab w:leader="none" w:pos="122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 annual meeting of the Stockholders, only such business shall be conducted as shall have been properly brought before the meeting. To be properly brought before an annual meeting, business must be (a) specified in a notice of meeting (or any supplement thereto) given by or at the direction of the Board of Directors or a duly authorized committee thereof, (b) if not specified in a notice of meeting, otherwise brought before the meeting by the Board of Directors or the chairperson of the meeting, or (c) otherwise properly brought before the meeting by a Stockholder present in person who (A)(1) was a Stockholder of record of the Corporation both at the time of giving the notice provided for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at the time of the meeting,</w:t>
      </w:r>
    </w:p>
    <w:p>
      <w:pPr>
        <w:spacing w:after="0" w:line="3" w:lineRule="exact"/>
        <w:rPr>
          <w:rFonts w:ascii="Times New Roman" w:cs="Times New Roman" w:eastAsia="Times New Roman" w:hAnsi="Times New Roman"/>
          <w:sz w:val="18"/>
          <w:szCs w:val="18"/>
          <w:color w:val="auto"/>
        </w:rPr>
      </w:pPr>
    </w:p>
    <w:p>
      <w:pPr>
        <w:ind w:right="120" w:firstLine="8"/>
        <w:spacing w:after="0" w:line="251"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entitled to vote at the meeting and (3) has complied with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 xml:space="preserve"> of these Bylaws. For purposes of these Bylaws,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shall mean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 “present in person” shall mean that the Stockholder proposing that the</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9" w:name="page90"/>
    <w:bookmarkEnd w:id="89"/>
    <w:p>
      <w:pPr>
        <w:ind w:right="60"/>
        <w:spacing w:after="0" w:line="258" w:lineRule="auto"/>
        <w:rPr>
          <w:sz w:val="20"/>
          <w:szCs w:val="20"/>
          <w:color w:val="auto"/>
        </w:rPr>
      </w:pPr>
      <w:r>
        <w:rPr>
          <w:rFonts w:ascii="Times New Roman" w:cs="Times New Roman" w:eastAsia="Times New Roman" w:hAnsi="Times New Roman"/>
          <w:sz w:val="18"/>
          <w:szCs w:val="18"/>
          <w:color w:val="auto"/>
        </w:rPr>
        <w:t>business be brought before the meeting or a qualified representative of such proposing Stockholder, appear at such annual meeting, and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3" w:lineRule="exact"/>
        <w:rPr>
          <w:sz w:val="20"/>
          <w:szCs w:val="20"/>
          <w:color w:val="auto"/>
        </w:rPr>
      </w:pPr>
    </w:p>
    <w:p>
      <w:pPr>
        <w:ind w:right="40" w:firstLine="850"/>
        <w:spacing w:after="0" w:line="269" w:lineRule="auto"/>
        <w:tabs>
          <w:tab w:leader="none" w:pos="123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qualification, for business to be properly brought before an annual meeting by a Stockholder, the business must constitute a proper matter for stockholder action and the Stockholder must (a) provide Timely Notice (as defined below) thereof in writing and in proper form to the Secretary of the Corporation and (b) provide any updates or supplements to such notice at the times and in the forms required by this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(in the case of the first annual meeting of Stockholders following the listing of the Corporation’s Class A Common Stock, the date of the preceding year’s annual meeting shall be deemed to be July 6, 2021);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date of the annual meeting is more than thirty (30) days before or more than sixty (60) days after such anniversary date, notice by the Stockholder to be timely must be so delivered, or mailed and received, not later than the ninetieth (90th) day prior to such annual meeting or, if later, the tenth (10th) day following the day on which public disclosure (as defined in </w:t>
      </w:r>
      <w:r>
        <w:rPr>
          <w:rFonts w:ascii="Times New Roman" w:cs="Times New Roman" w:eastAsia="Times New Roman" w:hAnsi="Times New Roman"/>
          <w:sz w:val="17"/>
          <w:szCs w:val="17"/>
          <w:u w:val="single" w:color="auto"/>
          <w:color w:val="auto"/>
        </w:rPr>
        <w:t>Section 2.13(h)</w:t>
      </w:r>
      <w:r>
        <w:rPr>
          <w:rFonts w:ascii="Times New Roman" w:cs="Times New Roman" w:eastAsia="Times New Roman" w:hAnsi="Times New Roman"/>
          <w:sz w:val="17"/>
          <w:szCs w:val="17"/>
          <w:color w:val="auto"/>
        </w:rPr>
        <w:t>) of the date of such annual meeting was first made (such notice within such time periods, “</w:t>
      </w:r>
      <w:r>
        <w:rPr>
          <w:rFonts w:ascii="Times New Roman" w:cs="Times New Roman" w:eastAsia="Times New Roman" w:hAnsi="Times New Roman"/>
          <w:sz w:val="17"/>
          <w:szCs w:val="17"/>
          <w:b w:val="1"/>
          <w:bCs w:val="1"/>
          <w:color w:val="auto"/>
        </w:rPr>
        <w:t>Timely Notice</w:t>
      </w:r>
      <w:r>
        <w:rPr>
          <w:rFonts w:ascii="Times New Roman" w:cs="Times New Roman" w:eastAsia="Times New Roman" w:hAnsi="Times New Roman"/>
          <w:sz w:val="17"/>
          <w:szCs w:val="17"/>
          <w:color w:val="auto"/>
        </w:rPr>
        <w:t>”). In no event shall any adjournment, recess or postponement of an annual meeting or the announcement thereof commence a new time period (or extend any time period) for the giving of Timely Notice as described above.</w:t>
      </w:r>
    </w:p>
    <w:p>
      <w:pPr>
        <w:spacing w:after="0" w:line="181" w:lineRule="exact"/>
        <w:rPr>
          <w:rFonts w:ascii="Times New Roman" w:cs="Times New Roman" w:eastAsia="Times New Roman" w:hAnsi="Times New Roman"/>
          <w:sz w:val="17"/>
          <w:szCs w:val="17"/>
          <w:color w:val="auto"/>
        </w:rPr>
      </w:pPr>
    </w:p>
    <w:p>
      <w:pPr>
        <w:ind w:left="1220" w:hanging="370"/>
        <w:spacing w:after="0"/>
        <w:tabs>
          <w:tab w:leader="none" w:pos="12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 Stockholder’s notice to the Secretary shall set forth:</w:t>
      </w:r>
    </w:p>
    <w:p>
      <w:pPr>
        <w:spacing w:after="0" w:line="225" w:lineRule="exact"/>
        <w:rPr>
          <w:rFonts w:ascii="Times New Roman" w:cs="Times New Roman" w:eastAsia="Times New Roman" w:hAnsi="Times New Roman"/>
          <w:sz w:val="18"/>
          <w:szCs w:val="18"/>
          <w:color w:val="auto"/>
        </w:rPr>
      </w:pPr>
    </w:p>
    <w:p>
      <w:pPr>
        <w:ind w:left="660" w:right="80" w:firstLine="968"/>
        <w:spacing w:after="0" w:line="256" w:lineRule="auto"/>
        <w:tabs>
          <w:tab w:leader="none" w:pos="198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if applicable, the name and address that appear on the Corporation’s books and records); and (B) the number of shares of each class or series of Stock that are, directly or indirectly, owned of record or beneficially owned (within the meaning of Rule 13d-3 under the Exchange Act) by such Proposing Person, except that such Proposing Person shall in all events be deemed to beneficially own any shares of any class or series of Stock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8"/>
          <w:szCs w:val="18"/>
          <w:b w:val="1"/>
          <w:bCs w:val="1"/>
          <w:color w:val="auto"/>
        </w:rPr>
        <w:t>Stockholder Information</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60" w:firstLine="968"/>
        <w:spacing w:after="0" w:line="261" w:lineRule="auto"/>
        <w:tabs>
          <w:tab w:leader="none" w:pos="203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(“Synthetic Equity Position”) and that is, directly or indirectly, held or maintained by such Proposing Person with respect to any shares of any class or series of Stock; provided that, for the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90" w:name="page91"/>
    <w:bookmarkEnd w:id="90"/>
    <w:p>
      <w:pPr>
        <w:ind w:right="20"/>
        <w:spacing w:after="0" w:line="251" w:lineRule="auto"/>
        <w:rPr>
          <w:sz w:val="20"/>
          <w:szCs w:val="20"/>
          <w:color w:val="auto"/>
        </w:rPr>
      </w:pPr>
      <w:r>
        <w:rPr>
          <w:rFonts w:ascii="Times New Roman" w:cs="Times New Roman" w:eastAsia="Times New Roman" w:hAnsi="Times New Roman"/>
          <w:sz w:val="18"/>
          <w:szCs w:val="18"/>
          <w:color w:val="auto"/>
        </w:rPr>
        <w:t>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or votes from Stockholders in support of such proposal 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05" w:lineRule="exact"/>
        <w:rPr>
          <w:sz w:val="20"/>
          <w:szCs w:val="20"/>
          <w:color w:val="auto"/>
        </w:rPr>
      </w:pPr>
    </w:p>
    <w:p>
      <w:pPr>
        <w:ind w:firstLine="968"/>
        <w:spacing w:after="0" w:line="258" w:lineRule="auto"/>
        <w:tabs>
          <w:tab w:leader="none" w:pos="142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these Bylaws), (C) a reasonably detailed description of all agreements, arrangements and understandings (x) between or among</w:t>
      </w: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40" w:right="359" w:bottom="1440" w:gutter="0" w:footer="0" w:header="0"/>
        </w:sectPr>
      </w:pPr>
    </w:p>
    <w:bookmarkStart w:id="91" w:name="page92"/>
    <w:bookmarkEnd w:id="91"/>
    <w:p>
      <w:pPr>
        <w:ind w:left="640" w:right="20"/>
        <w:spacing w:after="0" w:line="270" w:lineRule="auto"/>
        <w:rPr>
          <w:sz w:val="20"/>
          <w:szCs w:val="20"/>
          <w:color w:val="auto"/>
        </w:rPr>
      </w:pPr>
      <w:r>
        <w:rPr>
          <w:rFonts w:ascii="Times New Roman" w:cs="Times New Roman" w:eastAsia="Times New Roman" w:hAnsi="Times New Roman"/>
          <w:sz w:val="17"/>
          <w:szCs w:val="17"/>
          <w:color w:val="auto"/>
        </w:rPr>
        <w:t xml:space="preserve">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w:t>
      </w:r>
      <w:r>
        <w:rPr>
          <w:rFonts w:ascii="Times New Roman" w:cs="Times New Roman" w:eastAsia="Times New Roman" w:hAnsi="Times New Roman"/>
          <w:sz w:val="17"/>
          <w:szCs w:val="17"/>
          <w:u w:val="single" w:color="auto"/>
          <w:color w:val="auto"/>
        </w:rPr>
        <w:t>Section</w:t>
      </w:r>
    </w:p>
    <w:p>
      <w:pPr>
        <w:spacing w:after="0" w:line="3" w:lineRule="exact"/>
        <w:rPr>
          <w:sz w:val="20"/>
          <w:szCs w:val="20"/>
          <w:color w:val="auto"/>
        </w:rPr>
      </w:pPr>
    </w:p>
    <w:p>
      <w:pPr>
        <w:ind w:left="640"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2.13(c)</w:t>
      </w:r>
      <w:r>
        <w:rPr>
          <w:rFonts w:ascii="Times New Roman" w:cs="Times New Roman" w:eastAsia="Times New Roman" w:hAnsi="Times New Roman"/>
          <w:sz w:val="18"/>
          <w:szCs w:val="18"/>
          <w:color w:val="auto"/>
        </w:rPr>
        <w:t xml:space="preserve">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82" w:lineRule="exact"/>
        <w:rPr>
          <w:sz w:val="20"/>
          <w:szCs w:val="20"/>
          <w:color w:val="auto"/>
        </w:rPr>
      </w:pPr>
    </w:p>
    <w:p>
      <w:pPr>
        <w:ind w:left="-20" w:right="60" w:firstLine="850"/>
        <w:spacing w:after="0" w:line="262" w:lineRule="auto"/>
        <w:tabs>
          <w:tab w:leader="none" w:pos="121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Proposing Person</w:t>
      </w:r>
      <w:r>
        <w:rPr>
          <w:rFonts w:ascii="Times New Roman" w:cs="Times New Roman" w:eastAsia="Times New Roman" w:hAnsi="Times New Roman"/>
          <w:sz w:val="18"/>
          <w:szCs w:val="18"/>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and (c) any participant (as defined in paragraphs (a)(ii)-(vi) of Instruction 3 to Item 4 of Schedule 14A) with such Stockholder in such solicitation.</w:t>
      </w:r>
    </w:p>
    <w:p>
      <w:pPr>
        <w:spacing w:after="0" w:line="180" w:lineRule="exact"/>
        <w:rPr>
          <w:rFonts w:ascii="Times New Roman" w:cs="Times New Roman" w:eastAsia="Times New Roman" w:hAnsi="Times New Roman"/>
          <w:sz w:val="18"/>
          <w:szCs w:val="18"/>
          <w:color w:val="auto"/>
        </w:rPr>
      </w:pPr>
    </w:p>
    <w:p>
      <w:pPr>
        <w:ind w:left="-20" w:right="140" w:firstLine="850"/>
        <w:spacing w:after="0" w:line="253" w:lineRule="auto"/>
        <w:tabs>
          <w:tab w:leader="none" w:pos="120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jc w:val="both"/>
        <w:ind w:left="-20" w:firstLine="850"/>
        <w:spacing w:after="0" w:line="261" w:lineRule="auto"/>
        <w:tabs>
          <w:tab w:leader="none" w:pos="118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business shall be conducted at an annual meeting that is not properly brought before the meeting in accordance with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The presiding officer of the meeting shall, if the facts warrant, determine that the business was not properly brought before the meeting in accordance with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and if he or she should so determine, he or she shall so declare to the meeting and any such business not properly brought before the meeting shall not be transacted.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92" w:name="page93"/>
    <w:bookmarkEnd w:id="92"/>
    <w:p>
      <w:pPr>
        <w:ind w:left="-40" w:right="140" w:firstLine="850"/>
        <w:spacing w:after="0" w:line="261" w:lineRule="auto"/>
        <w:tabs>
          <w:tab w:leader="none" w:pos="11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requirements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deemed to affect the rights of Stockholders to request inclusion of proposals in the Corporation’s proxy statement pursuant to Rule 14a-8 under the Exchange Act.</w:t>
      </w:r>
    </w:p>
    <w:p>
      <w:pPr>
        <w:spacing w:after="0" w:line="179" w:lineRule="exact"/>
        <w:rPr>
          <w:rFonts w:ascii="Times New Roman" w:cs="Times New Roman" w:eastAsia="Times New Roman" w:hAnsi="Times New Roman"/>
          <w:sz w:val="18"/>
          <w:szCs w:val="18"/>
          <w:color w:val="auto"/>
        </w:rPr>
      </w:pPr>
    </w:p>
    <w:p>
      <w:pPr>
        <w:ind w:left="-40" w:right="400" w:firstLine="850"/>
        <w:spacing w:after="0" w:line="282" w:lineRule="auto"/>
        <w:tabs>
          <w:tab w:leader="none" w:pos="11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61" w:lineRule="exact"/>
        <w:rPr>
          <w:rFonts w:ascii="Times New Roman" w:cs="Times New Roman" w:eastAsia="Times New Roman" w:hAnsi="Times New Roman"/>
          <w:sz w:val="18"/>
          <w:szCs w:val="18"/>
          <w:color w:val="auto"/>
        </w:rPr>
      </w:pPr>
    </w:p>
    <w:p>
      <w:pPr>
        <w:ind w:left="-40" w:right="40" w:firstLine="850"/>
        <w:spacing w:after="0" w:line="261" w:lineRule="auto"/>
        <w:tabs>
          <w:tab w:leader="none" w:pos="11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for so long as the Investor Rights Agreement remains in effect, CHS (to the extent then subject to the Investors Rights Agreement) shall not be subject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For purposes of these Bylaws, “</w:t>
      </w:r>
      <w:r>
        <w:rPr>
          <w:rFonts w:ascii="Times New Roman" w:cs="Times New Roman" w:eastAsia="Times New Roman" w:hAnsi="Times New Roman"/>
          <w:sz w:val="18"/>
          <w:szCs w:val="18"/>
          <w:b w:val="1"/>
          <w:bCs w:val="1"/>
          <w:color w:val="auto"/>
        </w:rPr>
        <w:t>CHS</w:t>
      </w:r>
      <w:r>
        <w:rPr>
          <w:rFonts w:ascii="Times New Roman" w:cs="Times New Roman" w:eastAsia="Times New Roman" w:hAnsi="Times New Roman"/>
          <w:sz w:val="18"/>
          <w:szCs w:val="18"/>
          <w:color w:val="auto"/>
        </w:rPr>
        <w:t>” shall mean CHS US Investments LLC, a Cayman limited liability company, together with its affiliates, and the “</w:t>
      </w:r>
      <w:r>
        <w:rPr>
          <w:rFonts w:ascii="Times New Roman" w:cs="Times New Roman" w:eastAsia="Times New Roman" w:hAnsi="Times New Roman"/>
          <w:sz w:val="18"/>
          <w:szCs w:val="18"/>
          <w:b w:val="1"/>
          <w:bCs w:val="1"/>
          <w:color w:val="auto"/>
        </w:rPr>
        <w:t>Investor Rights Agreement</w:t>
      </w:r>
      <w:r>
        <w:rPr>
          <w:rFonts w:ascii="Times New Roman" w:cs="Times New Roman" w:eastAsia="Times New Roman" w:hAnsi="Times New Roman"/>
          <w:sz w:val="18"/>
          <w:szCs w:val="18"/>
          <w:color w:val="auto"/>
        </w:rPr>
        <w:t>” shall mean that certain Investor Rights Agreement, dated as of August 20, 2025, by and among the Corporation, CHS and the other parties thereto.</w:t>
      </w:r>
    </w:p>
    <w:p>
      <w:pPr>
        <w:spacing w:after="0" w:line="178" w:lineRule="exact"/>
        <w:rPr>
          <w:sz w:val="20"/>
          <w:szCs w:val="20"/>
          <w:color w:val="auto"/>
        </w:rPr>
      </w:pPr>
    </w:p>
    <w:p>
      <w:pPr>
        <w:ind w:left="62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i w:val="1"/>
          <w:iCs w:val="1"/>
          <w:color w:val="auto"/>
        </w:rPr>
        <w:t>Advance Notice Procedures for Nominations of Directors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40" w:firstLine="850"/>
        <w:spacing w:after="0" w:line="255" w:lineRule="auto"/>
        <w:tabs>
          <w:tab w:leader="none" w:pos="118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(a) by or at the direction of the Board of Directors, including by any committee authorized to do so by the Board of Directors or these Bylaws, or (b) by a Stockholder present in person (as defined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(1) who was a Stockholder of record of the Corporation both at the time of giving the notice provided for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at the time of the meeting, (2) is entitled to vote at the meeting and (3) has complied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as to such notice and nomination. The foregoing clause (b) shall be the exclusive means for a Stockholder to make any nomination of a person or persons for election to the Board of Directors at any annual meeting or special meeting of Stockholders.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620" w:right="20" w:firstLine="968"/>
        <w:spacing w:after="0" w:line="258" w:lineRule="auto"/>
        <w:tabs>
          <w:tab w:leader="none" w:pos="194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a Stockholder to make any nomination of a person or persons for election to the Board of Directors at an annual meeting, the Stockholder must (a) provide Timely Notice (as defined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of these Bylaws) thereof in writing and in proper form to the Secretary at the principal executive offices of the Corporation, (b) provide the information, agreements and questionnaires with respect to such Stockholder and its candidate for nomination as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(c)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20" w:firstLine="968"/>
        <w:spacing w:after="0" w:line="282" w:lineRule="auto"/>
        <w:tabs>
          <w:tab w:leader="none" w:pos="19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540" w:right="379" w:bottom="1440" w:gutter="0" w:footer="0" w:header="0"/>
        </w:sectPr>
      </w:pPr>
    </w:p>
    <w:bookmarkStart w:id="93" w:name="page94"/>
    <w:bookmarkEnd w:id="93"/>
    <w:p>
      <w:pPr>
        <w:spacing w:after="0" w:line="254" w:lineRule="auto"/>
        <w:rPr>
          <w:sz w:val="20"/>
          <w:szCs w:val="20"/>
          <w:color w:val="auto"/>
        </w:rPr>
      </w:pPr>
      <w:r>
        <w:rPr>
          <w:rFonts w:ascii="Times New Roman" w:cs="Times New Roman" w:eastAsia="Times New Roman" w:hAnsi="Times New Roman"/>
          <w:sz w:val="18"/>
          <w:szCs w:val="18"/>
          <w:color w:val="auto"/>
        </w:rPr>
        <w:t xml:space="preserve">Board of Directors at a special meeting, the Stockholder must (a) provide timely notice thereof in writing and in proper form to the Secretary at the principal executive offices of the Corporation, (b) provide the information, agreements and questionnaires with respect to such Stockholder and its candidate for nomination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(c)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To be timely for purposes of this </w:t>
      </w:r>
      <w:r>
        <w:rPr>
          <w:rFonts w:ascii="Times New Roman" w:cs="Times New Roman" w:eastAsia="Times New Roman" w:hAnsi="Times New Roman"/>
          <w:sz w:val="18"/>
          <w:szCs w:val="18"/>
          <w:u w:val="single" w:color="auto"/>
          <w:color w:val="auto"/>
        </w:rPr>
        <w:t>Section 2.14(b)(ii)</w:t>
      </w:r>
      <w:r>
        <w:rPr>
          <w:rFonts w:ascii="Times New Roman" w:cs="Times New Roman" w:eastAsia="Times New Roman" w:hAnsi="Times New Roman"/>
          <w:sz w:val="18"/>
          <w:szCs w:val="18"/>
          <w:color w:val="auto"/>
        </w:rPr>
        <w:t xml:space="preserve">, a Stockholder’s notice for nominations to be made at a special meeting must be delivered to, or mailed to and received by the Secretary of the Corporation not earlier than the one hundred twentieth (120th) day prior to such special meeting and not later than the ninetieth (90th) day prior to such special meeting or, if later, the tenth (10th) day following the day on which public disclosure (as defined in </w:t>
      </w:r>
      <w:r>
        <w:rPr>
          <w:rFonts w:ascii="Times New Roman" w:cs="Times New Roman" w:eastAsia="Times New Roman" w:hAnsi="Times New Roman"/>
          <w:sz w:val="18"/>
          <w:szCs w:val="18"/>
          <w:u w:val="single" w:color="auto"/>
          <w:color w:val="auto"/>
        </w:rPr>
        <w:t>Section 2.13(h)</w:t>
      </w:r>
      <w:r>
        <w:rPr>
          <w:rFonts w:ascii="Times New Roman" w:cs="Times New Roman" w:eastAsia="Times New Roman" w:hAnsi="Times New Roman"/>
          <w:sz w:val="18"/>
          <w:szCs w:val="18"/>
          <w:color w:val="auto"/>
        </w:rPr>
        <w:t>) of the date of such special meeting at which directors are to be elected was first made.</w:t>
      </w:r>
    </w:p>
    <w:p>
      <w:pPr>
        <w:spacing w:after="0" w:line="192" w:lineRule="exact"/>
        <w:rPr>
          <w:sz w:val="20"/>
          <w:szCs w:val="20"/>
          <w:color w:val="auto"/>
        </w:rPr>
      </w:pPr>
    </w:p>
    <w:p>
      <w:pPr>
        <w:ind w:right="460" w:firstLine="968"/>
        <w:spacing w:after="0" w:line="282" w:lineRule="auto"/>
        <w:tabs>
          <w:tab w:leader="none" w:pos="142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recess or postponement of an annual meeting or special meeting or the announcement thereof commence a new time period (or extent any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ind w:right="40" w:firstLine="968"/>
        <w:spacing w:after="0" w:line="254" w:lineRule="auto"/>
        <w:tabs>
          <w:tab w:leader="none" w:pos="141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may a Nominating Person (as defined below) provide notice under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otherwise with respect to a greater number of director candidates than are subject to election by Stockholders at the applicable meeting. Notwithstanding anything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2.14(b)(i)(a)</w:t>
      </w:r>
      <w:r>
        <w:rPr>
          <w:rFonts w:ascii="Times New Roman" w:cs="Times New Roman" w:eastAsia="Times New Roman" w:hAnsi="Times New Roman"/>
          <w:sz w:val="18"/>
          <w:szCs w:val="18"/>
          <w:color w:val="auto"/>
        </w:rPr>
        <w:t xml:space="preserve"> to the contrary, if the number of directors subject to election at an annual meeting is increased effective after the time period for which nominations would otherwise be due under </w:t>
      </w:r>
      <w:r>
        <w:rPr>
          <w:rFonts w:ascii="Times New Roman" w:cs="Times New Roman" w:eastAsia="Times New Roman" w:hAnsi="Times New Roman"/>
          <w:sz w:val="18"/>
          <w:szCs w:val="18"/>
          <w:u w:val="single" w:color="auto"/>
          <w:color w:val="auto"/>
        </w:rPr>
        <w:t>Section 2.14(b)(i)(a)</w:t>
      </w:r>
      <w:r>
        <w:rPr>
          <w:rFonts w:ascii="Times New Roman" w:cs="Times New Roman" w:eastAsia="Times New Roman" w:hAnsi="Times New Roman"/>
          <w:sz w:val="18"/>
          <w:szCs w:val="18"/>
          <w:color w:val="auto"/>
        </w:rPr>
        <w:t xml:space="preserve"> and there is no public announcement by the Corporation naming the nominees for the additional directorships at least one hundred (100) days prior to the one-year anniversary of the preceding year’s annual meeting, a Stockholder’s notice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also be considered timely, but only with respect to nominees for the additional directorships, if it shall be delivered to the Secretary of the Corporation not later than the tenth (10th) day following the date on which public disclosure (as defined in </w:t>
      </w:r>
      <w:r>
        <w:rPr>
          <w:rFonts w:ascii="Times New Roman" w:cs="Times New Roman" w:eastAsia="Times New Roman" w:hAnsi="Times New Roman"/>
          <w:sz w:val="18"/>
          <w:szCs w:val="18"/>
          <w:u w:val="single" w:color="auto"/>
          <w:color w:val="auto"/>
        </w:rPr>
        <w:t>Section 2.13(h)</w:t>
      </w:r>
      <w:r>
        <w:rPr>
          <w:rFonts w:ascii="Times New Roman" w:cs="Times New Roman" w:eastAsia="Times New Roman" w:hAnsi="Times New Roman"/>
          <w:sz w:val="18"/>
          <w:szCs w:val="18"/>
          <w:color w:val="auto"/>
        </w:rPr>
        <w:t>) is first made by the Corporation.</w:t>
      </w:r>
    </w:p>
    <w:p>
      <w:pPr>
        <w:spacing w:after="0" w:line="191" w:lineRule="exact"/>
        <w:rPr>
          <w:rFonts w:ascii="Times New Roman" w:cs="Times New Roman" w:eastAsia="Times New Roman" w:hAnsi="Times New Roman"/>
          <w:sz w:val="18"/>
          <w:szCs w:val="18"/>
          <w:color w:val="auto"/>
        </w:rPr>
      </w:pPr>
    </w:p>
    <w:p>
      <w:pPr>
        <w:ind w:left="560" w:hanging="370"/>
        <w:spacing w:after="0"/>
        <w:tabs>
          <w:tab w:leader="none" w:pos="5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 Stockholder’s notice to the Secretary shall set forth:</w:t>
      </w:r>
    </w:p>
    <w:p>
      <w:pPr>
        <w:spacing w:after="0" w:line="225" w:lineRule="exact"/>
        <w:rPr>
          <w:rFonts w:ascii="Times New Roman" w:cs="Times New Roman" w:eastAsia="Times New Roman" w:hAnsi="Times New Roman"/>
          <w:sz w:val="18"/>
          <w:szCs w:val="18"/>
          <w:color w:val="auto"/>
        </w:rPr>
      </w:pPr>
    </w:p>
    <w:p>
      <w:pPr>
        <w:ind w:right="20" w:firstLine="968"/>
        <w:spacing w:after="0" w:line="266" w:lineRule="auto"/>
        <w:tabs>
          <w:tab w:leader="none" w:pos="132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the Stockholder Information (as defined in </w:t>
      </w:r>
      <w:r>
        <w:rPr>
          <w:rFonts w:ascii="Times New Roman" w:cs="Times New Roman" w:eastAsia="Times New Roman" w:hAnsi="Times New Roman"/>
          <w:sz w:val="18"/>
          <w:szCs w:val="18"/>
          <w:u w:val="single" w:color="auto"/>
          <w:color w:val="auto"/>
        </w:rPr>
        <w:t>Section 2.13(c)(i)</w:t>
      </w:r>
      <w:r>
        <w:rPr>
          <w:rFonts w:ascii="Times New Roman" w:cs="Times New Roman" w:eastAsia="Times New Roman" w:hAnsi="Times New Roman"/>
          <w:sz w:val="18"/>
          <w:szCs w:val="18"/>
          <w:color w:val="auto"/>
        </w:rPr>
        <w:t xml:space="preserve"> of these Bylaws) except that 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 term “Nominating Person” shall be substituted for the term “Proposing Person” in all places it appears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2.13(c)(i)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60" w:firstLine="968"/>
        <w:spacing w:after="0" w:line="261" w:lineRule="auto"/>
        <w:tabs>
          <w:tab w:leader="none" w:pos="137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any Disclosable Interests (as defined in </w:t>
      </w:r>
      <w:r>
        <w:rPr>
          <w:rFonts w:ascii="Times New Roman" w:cs="Times New Roman" w:eastAsia="Times New Roman" w:hAnsi="Times New Roman"/>
          <w:sz w:val="18"/>
          <w:szCs w:val="18"/>
          <w:u w:val="single" w:color="auto"/>
          <w:color w:val="auto"/>
        </w:rPr>
        <w:t>Section 2.13(c)(ii)</w:t>
      </w:r>
      <w:r>
        <w:rPr>
          <w:rFonts w:ascii="Times New Roman" w:cs="Times New Roman" w:eastAsia="Times New Roman" w:hAnsi="Times New Roman"/>
          <w:sz w:val="18"/>
          <w:szCs w:val="18"/>
          <w:color w:val="auto"/>
        </w:rPr>
        <w:t xml:space="preserve">, except that 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 term “Nominating Person” shall be substituted for the term “Proposing Person” in all places it appears in </w:t>
      </w:r>
      <w:r>
        <w:rPr>
          <w:rFonts w:ascii="Times New Roman" w:cs="Times New Roman" w:eastAsia="Times New Roman" w:hAnsi="Times New Roman"/>
          <w:sz w:val="18"/>
          <w:szCs w:val="18"/>
          <w:u w:val="single" w:color="auto"/>
          <w:color w:val="auto"/>
        </w:rPr>
        <w:t>Section 2.13(c)(ii)</w:t>
      </w:r>
      <w:r>
        <w:rPr>
          <w:rFonts w:ascii="Times New Roman" w:cs="Times New Roman" w:eastAsia="Times New Roman" w:hAnsi="Times New Roman"/>
          <w:sz w:val="18"/>
          <w:szCs w:val="18"/>
          <w:color w:val="auto"/>
        </w:rPr>
        <w:t xml:space="preserve"> and the disclosure with respect to the business to be brought before the meeting in </w:t>
      </w:r>
      <w:r>
        <w:rPr>
          <w:rFonts w:ascii="Times New Roman" w:cs="Times New Roman" w:eastAsia="Times New Roman" w:hAnsi="Times New Roman"/>
          <w:sz w:val="18"/>
          <w:szCs w:val="18"/>
          <w:u w:val="single" w:color="auto"/>
          <w:color w:val="auto"/>
        </w:rPr>
        <w:t>Section 2.13(c)(iii)</w:t>
      </w:r>
      <w:r>
        <w:rPr>
          <w:rFonts w:ascii="Times New Roman" w:cs="Times New Roman" w:eastAsia="Times New Roman" w:hAnsi="Times New Roman"/>
          <w:sz w:val="18"/>
          <w:szCs w:val="18"/>
          <w:color w:val="auto"/>
        </w:rPr>
        <w:t xml:space="preserve"> shall be made with respect to nomination of each Person for election as a director at the meeting); and</w:t>
      </w:r>
    </w:p>
    <w:p>
      <w:pPr>
        <w:spacing w:after="0" w:line="2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94" w:name="page95"/>
    <w:bookmarkEnd w:id="94"/>
    <w:p>
      <w:pPr>
        <w:ind w:left="660" w:firstLine="968"/>
        <w:spacing w:after="0" w:line="269" w:lineRule="auto"/>
        <w:tabs>
          <w:tab w:leader="none" w:pos="2082"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to each candidate whom a Nominating Person proposes to nominate for election as a director, (A) all information with respect to such candidate for nomination that would be required to be set forth in a Stockholder’s notice pursuant to this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of the Nominating Person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Times New Roman" w:cs="Times New Roman" w:eastAsia="Times New Roman" w:hAnsi="Times New Roman"/>
          <w:sz w:val="17"/>
          <w:szCs w:val="17"/>
          <w:b w:val="1"/>
          <w:bCs w:val="1"/>
          <w:color w:val="auto"/>
        </w:rPr>
        <w:t>Nominee Information</w:t>
      </w:r>
      <w:r>
        <w:rPr>
          <w:rFonts w:ascii="Times New Roman" w:cs="Times New Roman" w:eastAsia="Times New Roman" w:hAnsi="Times New Roman"/>
          <w:sz w:val="17"/>
          <w:szCs w:val="17"/>
          <w:color w:val="auto"/>
        </w:rPr>
        <w:t xml:space="preserve">”), and (D) a completed and signed questionnaire, representation and agreement as provided in </w:t>
      </w:r>
      <w:r>
        <w:rPr>
          <w:rFonts w:ascii="Times New Roman" w:cs="Times New Roman" w:eastAsia="Times New Roman" w:hAnsi="Times New Roman"/>
          <w:sz w:val="17"/>
          <w:szCs w:val="17"/>
          <w:u w:val="single" w:color="auto"/>
          <w:color w:val="auto"/>
        </w:rPr>
        <w:t>Section 2.14(f)</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right="40" w:firstLine="850"/>
        <w:spacing w:after="0" w:line="262" w:lineRule="auto"/>
        <w:tabs>
          <w:tab w:leader="none" w:pos="123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Nominating Person</w:t>
      </w:r>
      <w:r>
        <w:rPr>
          <w:rFonts w:ascii="Times New Roman" w:cs="Times New Roman" w:eastAsia="Times New Roman" w:hAnsi="Times New Roman"/>
          <w:sz w:val="18"/>
          <w:szCs w:val="18"/>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participant (as defined in paragraphs (a)(ii)-(vi) of Instruction 3 to Item 4 of Schedule 14A) with such Stockholder in such solicitation.</w:t>
      </w:r>
    </w:p>
    <w:p>
      <w:pPr>
        <w:spacing w:after="0" w:line="180" w:lineRule="exact"/>
        <w:rPr>
          <w:rFonts w:ascii="Times New Roman" w:cs="Times New Roman" w:eastAsia="Times New Roman" w:hAnsi="Times New Roman"/>
          <w:sz w:val="18"/>
          <w:szCs w:val="18"/>
          <w:color w:val="auto"/>
        </w:rPr>
      </w:pPr>
    </w:p>
    <w:p>
      <w:pPr>
        <w:ind w:right="80" w:firstLine="850"/>
        <w:spacing w:after="0" w:line="253" w:lineRule="auto"/>
        <w:tabs>
          <w:tab w:leader="none" w:pos="122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89" w:lineRule="exact"/>
        <w:rPr>
          <w:rFonts w:ascii="Times New Roman" w:cs="Times New Roman" w:eastAsia="Times New Roman" w:hAnsi="Times New Roman"/>
          <w:sz w:val="18"/>
          <w:szCs w:val="18"/>
          <w:color w:val="auto"/>
        </w:rPr>
      </w:pPr>
    </w:p>
    <w:p>
      <w:pPr>
        <w:ind w:right="20" w:firstLine="850"/>
        <w:spacing w:after="0" w:line="282" w:lineRule="auto"/>
        <w:tabs>
          <w:tab w:leader="none" w:pos="120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candidate for election as a director of the Corporation at an annual or special meeting, a candidate must be nominated in the manner prescribed in this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5" w:name="page96"/>
    <w:bookmarkEnd w:id="95"/>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the candidate for nomination, whether nominated by the Board of Directors or by a Stockholder of record, must have previously delivered (with respect to candidates nominated by a Stockholder, in accordance with the time period prescribed for delivery in a notice to such candidate given by or on behalf of the Board of Directors), to the Secretary at the principal executive offices of the Corporation, (i) a completed written questionnaire (in the form provided by the Corporation) with respect to the background, qualifications, stock ownership and independence of such candidate for nomination and (ii) a written representation and agreement (in the form provided by the Corporation upon written request therefor)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in such written questionnaire, (B) has not given and will not (1) give any commitment or assurance to, any person or entity as to how such proposed nominee, if elected as a director of the Corporation, will act or vote on any issue or question that has not been disclosed to the Corporation (a “</w:t>
      </w:r>
      <w:r>
        <w:rPr>
          <w:rFonts w:ascii="Times New Roman" w:cs="Times New Roman" w:eastAsia="Times New Roman" w:hAnsi="Times New Roman"/>
          <w:sz w:val="18"/>
          <w:szCs w:val="18"/>
          <w:b w:val="1"/>
          <w:bCs w:val="1"/>
          <w:color w:val="auto"/>
        </w:rPr>
        <w:t>Voting Commitment</w:t>
      </w:r>
      <w:r>
        <w:rPr>
          <w:rFonts w:ascii="Times New Roman" w:cs="Times New Roman" w:eastAsia="Times New Roman" w:hAnsi="Times New Roman"/>
          <w:sz w:val="18"/>
          <w:szCs w:val="18"/>
          <w:color w:val="auto"/>
        </w:rPr>
        <w:t>”) or (2) enter into any Voting Commitment that could limit or interfere with such proposed nominee’s ability to comply, if elected as a director of the Corporation, with such proposed nominee’s fiduciary duties under applicable law and (C)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197" w:lineRule="exact"/>
        <w:rPr>
          <w:sz w:val="20"/>
          <w:szCs w:val="20"/>
          <w:color w:val="auto"/>
        </w:rPr>
      </w:pPr>
    </w:p>
    <w:p>
      <w:pPr>
        <w:ind w:right="80" w:firstLine="850"/>
        <w:spacing w:after="0" w:line="266" w:lineRule="auto"/>
        <w:tabs>
          <w:tab w:leader="none" w:pos="12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w:t>
      </w:r>
    </w:p>
    <w:p>
      <w:pPr>
        <w:spacing w:after="0" w:line="175" w:lineRule="exact"/>
        <w:rPr>
          <w:rFonts w:ascii="Times New Roman" w:cs="Times New Roman" w:eastAsia="Times New Roman" w:hAnsi="Times New Roman"/>
          <w:sz w:val="18"/>
          <w:szCs w:val="18"/>
          <w:color w:val="auto"/>
        </w:rPr>
      </w:pPr>
    </w:p>
    <w:p>
      <w:pPr>
        <w:ind w:right="20" w:firstLine="850"/>
        <w:spacing w:after="0" w:line="253" w:lineRule="auto"/>
        <w:tabs>
          <w:tab w:leader="none" w:pos="12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candidate for nomination as a director shall further update and supplement the materials delivered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if necessary, so that the information provided or required to be provided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(A) not later than five (5) business days after the record date for Stockholders entitled to vote at the meeting (in the case of the update and supplement required to be made as of such record date), and (B)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6" w:name="page97"/>
    <w:bookmarkEnd w:id="96"/>
    <w:p>
      <w:pPr>
        <w:ind w:right="240"/>
        <w:spacing w:after="0" w:line="282" w:lineRule="auto"/>
        <w:rPr>
          <w:sz w:val="20"/>
          <w:szCs w:val="20"/>
          <w:color w:val="auto"/>
        </w:rPr>
      </w:pPr>
      <w:r>
        <w:rPr>
          <w:rFonts w:ascii="Times New Roman" w:cs="Times New Roman" w:eastAsia="Times New Roman" w:hAnsi="Times New Roman"/>
          <w:sz w:val="18"/>
          <w:szCs w:val="18"/>
          <w:color w:val="auto"/>
        </w:rPr>
        <w:t>or enable or be deemed to permit a stockholder who has previously submitted notice hereunder to amend or update any nomination or to submit any new nomination.</w:t>
      </w:r>
    </w:p>
    <w:p>
      <w:pPr>
        <w:spacing w:after="0" w:line="162" w:lineRule="exact"/>
        <w:rPr>
          <w:sz w:val="20"/>
          <w:szCs w:val="20"/>
          <w:color w:val="auto"/>
        </w:rPr>
      </w:pPr>
    </w:p>
    <w:p>
      <w:pPr>
        <w:ind w:right="440" w:firstLine="850"/>
        <w:spacing w:after="0" w:line="282" w:lineRule="auto"/>
        <w:tabs>
          <w:tab w:leader="none" w:pos="11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requirements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respect to any nomination proposed to be made at a meeting, each Proposing Person shall comply with all applicable requirements of the Exchange Act with respect to any such nominations.</w:t>
      </w:r>
    </w:p>
    <w:p>
      <w:pPr>
        <w:spacing w:after="0" w:line="161" w:lineRule="exact"/>
        <w:rPr>
          <w:rFonts w:ascii="Times New Roman" w:cs="Times New Roman" w:eastAsia="Times New Roman" w:hAnsi="Times New Roman"/>
          <w:sz w:val="18"/>
          <w:szCs w:val="18"/>
          <w:color w:val="auto"/>
        </w:rPr>
      </w:pPr>
    </w:p>
    <w:p>
      <w:pPr>
        <w:ind w:right="140" w:firstLine="850"/>
        <w:spacing w:after="0" w:line="256" w:lineRule="auto"/>
        <w:tabs>
          <w:tab w:leader="none" w:pos="11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candidate proposed by a Nominating Person shall be eligible for nomination as a director of the Corporation unless such candidate for nomination and the Nominating Person seeking to place such candidate’s name in nomination has complied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as applicable. The presiding officer at the meeting shall, if the facts warrant, determine that a nomination was not properly made in accordance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w:t>
      </w:r>
    </w:p>
    <w:p>
      <w:pPr>
        <w:spacing w:after="0" w:line="187" w:lineRule="exact"/>
        <w:rPr>
          <w:rFonts w:ascii="Times New Roman" w:cs="Times New Roman" w:eastAsia="Times New Roman" w:hAnsi="Times New Roman"/>
          <w:sz w:val="18"/>
          <w:szCs w:val="18"/>
          <w:color w:val="auto"/>
        </w:rPr>
      </w:pPr>
    </w:p>
    <w:p>
      <w:pPr>
        <w:ind w:right="140" w:firstLine="850"/>
        <w:spacing w:after="0" w:line="282" w:lineRule="auto"/>
        <w:tabs>
          <w:tab w:leader="none" w:pos="123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candidate proposed by a Nominating Person for nomination at an annual or special meeting shall be eligible to be seated as a director of the Corporation unless nominated and elected in accordance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380" w:firstLine="850"/>
        <w:spacing w:after="0" w:line="282" w:lineRule="auto"/>
        <w:tabs>
          <w:tab w:leader="none" w:pos="11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for so long as the Investor Rights Agreement remains in effect, CHS (to the extent then subject to the Investors Rights Agreement) shall not be subject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i w:val="1"/>
          <w:iCs w:val="1"/>
          <w:color w:val="auto"/>
        </w:rPr>
        <w:t>Delivery to the Corporation</w:t>
      </w:r>
      <w:r>
        <w:rPr>
          <w:rFonts w:ascii="Times New Roman" w:cs="Times New Roman" w:eastAsia="Times New Roman" w:hAnsi="Times New Roman"/>
          <w:sz w:val="18"/>
          <w:szCs w:val="18"/>
          <w:color w:val="auto"/>
        </w:rPr>
        <w:t xml:space="preserve">. Whenever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of this Article II requires one or more persons (including a record or beneficial owner of stock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of this Article II, to the fullest extent permitted by law, the Corporation expressly opts out of Section 116 of the DGCL.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Number; Tenure; Qualifications</w:t>
      </w:r>
      <w:r>
        <w:rPr>
          <w:rFonts w:ascii="Times New Roman" w:cs="Times New Roman" w:eastAsia="Times New Roman" w:hAnsi="Times New Roman"/>
          <w:sz w:val="18"/>
          <w:szCs w:val="18"/>
          <w:color w:val="auto"/>
        </w:rPr>
        <w:t>. Subject to the Certificate of Incorporation and the rights of holders of any series of Preferred Stock to elect directors, the total number of directors constituting the entire Board of Directors shall be seven (7), as may be changed from time to time by resolution of the Whole Board of Directors. For purposes of these Bylaws, the term “</w:t>
      </w:r>
      <w:r>
        <w:rPr>
          <w:rFonts w:ascii="Times New Roman" w:cs="Times New Roman" w:eastAsia="Times New Roman" w:hAnsi="Times New Roman"/>
          <w:sz w:val="18"/>
          <w:szCs w:val="18"/>
          <w:b w:val="1"/>
          <w:bCs w:val="1"/>
          <w:color w:val="auto"/>
        </w:rPr>
        <w:t>Whole Board of Directors</w:t>
      </w:r>
      <w:r>
        <w:rPr>
          <w:rFonts w:ascii="Times New Roman" w:cs="Times New Roman" w:eastAsia="Times New Roman" w:hAnsi="Times New Roman"/>
          <w:sz w:val="18"/>
          <w:szCs w:val="18"/>
          <w:color w:val="auto"/>
        </w:rPr>
        <w:t>” shall mean the total number of authorized</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7" w:name="page98"/>
    <w:bookmarkEnd w:id="97"/>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directors whether or not there exist any vacancies in previously authorized directorships. Each director shall hold office until his or her death, resignation, disqualification or removal, or as otherwise set forth in the Certificate of Incorporation. No reduction of the authorized number of directors shall have the effect of removing any director before that director’s term of office expires. Directors need not be Stockholders to be qualified for election or service as a director of the Corporation. The Certificate of Incorporation or these Bylaws may prescribe qualifications for directors.</w:t>
      </w:r>
    </w:p>
    <w:p>
      <w:pPr>
        <w:spacing w:after="0" w:line="178"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i w:val="1"/>
          <w:iCs w:val="1"/>
          <w:color w:val="auto"/>
        </w:rPr>
        <w:t>Election; Resignation; Removal; Vacancies</w:t>
      </w:r>
      <w:r>
        <w:rPr>
          <w:rFonts w:ascii="Times New Roman" w:cs="Times New Roman" w:eastAsia="Times New Roman" w:hAnsi="Times New Roman"/>
          <w:sz w:val="17"/>
          <w:szCs w:val="17"/>
          <w:color w:val="auto"/>
        </w:rPr>
        <w:t>. Except as otherwise provided in the Certificate of Incorporation or these Bylaws, directors shall be elected at the annual meeting of Stockholders by such Stockholders that have the right to vote on such election. Any director may resign at any time upon written or electronic notice to the Corporation. Such resignation shall be effective upon delivery unless otherwise specified. Directors of the Corporation may be removed only as expressly provided in the Certificate of Incorporation. [Newly created directorships resulting from any increase in the authorized number of directors or any vacancies on the Board of Directors resulting from the death, resignation, disqualification, removal from office or other cause shall be filled only as expressly provided in the Certificate of Incorporation. Any director so chosen shall hold office until his or her successor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elected and qualified.]</w:t>
      </w:r>
      <w:r>
        <w:rPr>
          <w:rFonts w:ascii="Times New Roman" w:cs="Times New Roman" w:eastAsia="Times New Roman" w:hAnsi="Times New Roman"/>
          <w:sz w:val="29"/>
          <w:szCs w:val="29"/>
          <w:color w:val="auto"/>
          <w:vertAlign w:val="superscript"/>
        </w:rPr>
        <w:t>3</w:t>
      </w:r>
    </w:p>
    <w:p>
      <w:pPr>
        <w:spacing w:after="0" w:line="119"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color w:val="auto"/>
        </w:rPr>
        <w:t>. Regular meetings of the Board of Directors may be held at such places, if any, within or without the State of Delaware, and at such times as the Board of Directors may from time to time determine. A notice of regular meetings shall not be required.</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the Board of Directors may be called by a Chairperson or a majority of the directors then in office and shall be held at such time, date and place, if any, within or without the State of Delaware as he or she or they shall fix. Notice to directors of the date, place and time of any special meeting of the Board of Directors shall be given to each director by the Secretary or by the officer or one of the directors calling the meeting.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twenty-four (24) hours before the time of holding of the meeting. If the notice is sent by mail, it shall be deposited in the United States mail at least four (4) days before the time of the holding of the meeting.</w:t>
      </w:r>
    </w:p>
    <w:p>
      <w:pPr>
        <w:spacing w:after="0" w:line="183" w:lineRule="exact"/>
        <w:rPr>
          <w:sz w:val="20"/>
          <w:szCs w:val="20"/>
          <w:color w:val="auto"/>
        </w:rPr>
      </w:pPr>
    </w:p>
    <w:p>
      <w:pPr>
        <w:jc w:val="both"/>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Telephonic Meetings Permitted</w:t>
      </w:r>
      <w:r>
        <w:rPr>
          <w:rFonts w:ascii="Times New Roman" w:cs="Times New Roman" w:eastAsia="Times New Roman" w:hAnsi="Times New Roman"/>
          <w:sz w:val="18"/>
          <w:szCs w:val="18"/>
          <w:color w:val="auto"/>
        </w:rPr>
        <w:t xml:space="preserve">. Members of the Board of Directors may participate in any meetings of the Board of Directors thereof by means of conference telephone or other communications equipment by means of which all persons participating in the meeting can hear each other, and participation in a meeting pursuant to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shall constitute presence in person at such meeting.</w:t>
      </w:r>
    </w:p>
    <w:p>
      <w:pPr>
        <w:spacing w:after="0" w:line="173"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Quorum; Vote Required for Action</w:t>
      </w:r>
      <w:r>
        <w:rPr>
          <w:rFonts w:ascii="Times New Roman" w:cs="Times New Roman" w:eastAsia="Times New Roman" w:hAnsi="Times New Roman"/>
          <w:sz w:val="18"/>
          <w:szCs w:val="18"/>
          <w:color w:val="auto"/>
        </w:rPr>
        <w:t>. [At all meetings of the Board of Directors, a quorum for the transaction of business shall be determined in accordance with,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10712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hanging="112"/>
        <w:spacing w:after="0"/>
        <w:tabs>
          <w:tab w:leader="none" w:pos="120" w:val="left"/>
        </w:tabs>
        <w:numPr>
          <w:ilvl w:val="0"/>
          <w:numId w:val="9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Subject to approval of the Charter Amendment.</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8" w:name="page99"/>
    <w:bookmarkEnd w:id="98"/>
    <w:p>
      <w:pPr>
        <w:ind w:right="60"/>
        <w:spacing w:after="0" w:line="231" w:lineRule="auto"/>
        <w:rPr>
          <w:sz w:val="20"/>
          <w:szCs w:val="20"/>
          <w:color w:val="auto"/>
        </w:rPr>
      </w:pPr>
      <w:r>
        <w:rPr>
          <w:rFonts w:ascii="Times New Roman" w:cs="Times New Roman" w:eastAsia="Times New Roman" w:hAnsi="Times New Roman"/>
          <w:sz w:val="18"/>
          <w:szCs w:val="18"/>
          <w:color w:val="auto"/>
        </w:rPr>
        <w:t>subject to, the requirements set forth in the Certificate of Incorporation.]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The affirmative vote of a majority of the directors present at any meeting of the Board of Directors at which a quorum is present shall be the act of the Board of Directors, except as may be otherwise specifically required by applicable law,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9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Meetings of the Board of Directors shall be presided over by at least one Chairperson, or in his, her or their absence by the person whom a Chairperson shall designate, or in the absence of the foregoing persons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Thereafter, the writing or writings or electronic transmissions shall be filed with the minutes of proceedings of the Board of Directors or such committee in accordance with applicable law.</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Compensation of Directors</w:t>
      </w:r>
      <w:r>
        <w:rPr>
          <w:rFonts w:ascii="Times New Roman" w:cs="Times New Roman" w:eastAsia="Times New Roman" w:hAnsi="Times New Roman"/>
          <w:sz w:val="18"/>
          <w:szCs w:val="18"/>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 therefor. Members of special or standing committees may be allowed compensation for attending committee meetings. Any director of the Corporation may decline any or all such compensation payable to such director in his or her discretion.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COMMITTEES</w:t>
      </w:r>
    </w:p>
    <w:p>
      <w:pPr>
        <w:spacing w:after="0" w:line="205"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10712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hanging="112"/>
        <w:spacing w:after="0"/>
        <w:tabs>
          <w:tab w:leader="none" w:pos="120" w:val="left"/>
        </w:tabs>
        <w:numPr>
          <w:ilvl w:val="0"/>
          <w:numId w:val="9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Subject to approval of the Charter Amendment.</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99" w:name="page100"/>
    <w:bookmarkEnd w:id="99"/>
    <w:p>
      <w:pPr>
        <w:ind w:right="40"/>
        <w:spacing w:after="0" w:line="253" w:lineRule="auto"/>
        <w:rPr>
          <w:sz w:val="20"/>
          <w:szCs w:val="20"/>
          <w:color w:val="auto"/>
        </w:rPr>
      </w:pPr>
      <w:r>
        <w:rPr>
          <w:rFonts w:ascii="Times New Roman" w:cs="Times New Roman" w:eastAsia="Times New Roman" w:hAnsi="Times New Roman"/>
          <w:sz w:val="18"/>
          <w:szCs w:val="18"/>
          <w:color w:val="auto"/>
        </w:rPr>
        <w:t>have and may exercise all the powers and authority of the Board of Directors in the management of the business and affairs of the Corporation, and may authorize the seal of the Corporation to be affixed to all papers which may require it.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and the vote of a majority of the members of the committee or subcommittee present at a meeting at which a quorum is present shall be the act of the committee or subcommittee. Special meetings of any committee of the Board of Directors may be held at any time or place, if any, within or without the State of Delaware whenever called by the Chairperson of such committee or a majority of the members of such committee.</w:t>
      </w:r>
    </w:p>
    <w:p>
      <w:pPr>
        <w:spacing w:after="0" w:line="192"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Committee Minutes</w:t>
      </w:r>
      <w:r>
        <w:rPr>
          <w:rFonts w:ascii="Times New Roman" w:cs="Times New Roman" w:eastAsia="Times New Roman" w:hAnsi="Times New Roman"/>
          <w:sz w:val="18"/>
          <w:szCs w:val="18"/>
          <w:color w:val="auto"/>
        </w:rPr>
        <w:t>. Each committee shall keep regular minutes of its meetings and report the same to the Board of Directors when required.</w:t>
      </w:r>
    </w:p>
    <w:p>
      <w:pPr>
        <w:spacing w:after="0" w:line="15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Committee Rules</w:t>
      </w:r>
      <w:r>
        <w:rPr>
          <w:rFonts w:ascii="Times New Roman" w:cs="Times New Roman" w:eastAsia="Times New Roman" w:hAnsi="Times New Roman"/>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III of these Bylaws.</w:t>
      </w:r>
    </w:p>
    <w:p>
      <w:pPr>
        <w:spacing w:after="0" w:line="17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OFFICERS</w:t>
      </w:r>
    </w:p>
    <w:p>
      <w:pPr>
        <w:spacing w:after="0" w:line="20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 The officers of the Corporation shall be one (1) or more Chief Executive Officers, a President and a Secretary. The Corporation may also have, at the discretion of the Board of Directors, a Chairperson or Chairpersons of the Board of Directors a President, a Chief Financial Officer, a Treasurer, a General Counsel, one (1) or more Assistant Secretaries, one (1) or more Assistant Treasurers, and any such other officers as may be appointed in accordance with the provisions of these Bylaws. Each officer of the Corporation shall hold office for such term as may be prescribed by the Board of Directors and until his or her successor is duly elected and qualified or until his or her earlier death, resignation or removal. No officer need be a stockholder or director of the Corporation.</w:t>
      </w:r>
    </w:p>
    <w:p>
      <w:pPr>
        <w:spacing w:after="0" w:line="182"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Appointment of Officers</w:t>
      </w:r>
      <w:r>
        <w:rPr>
          <w:rFonts w:ascii="Times New Roman" w:cs="Times New Roman" w:eastAsia="Times New Roman" w:hAnsi="Times New Roman"/>
          <w:sz w:val="18"/>
          <w:szCs w:val="18"/>
          <w:color w:val="auto"/>
        </w:rPr>
        <w:t xml:space="preserve">. The Board of Directors shall appoint the officers of the Corporation, except such officers as may be appointed in accordance with the provisions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these Bylaws.</w:t>
      </w:r>
    </w:p>
    <w:p>
      <w:pPr>
        <w:spacing w:after="0" w:line="15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Subordinate Officer</w:t>
      </w:r>
      <w:r>
        <w:rPr>
          <w:rFonts w:ascii="Times New Roman" w:cs="Times New Roman" w:eastAsia="Times New Roman" w:hAnsi="Times New Roman"/>
          <w:sz w:val="18"/>
          <w:szCs w:val="18"/>
          <w:color w:val="auto"/>
        </w:rPr>
        <w:t>. The Board of Directors may appoint, or empower a Chief Executive Officer or, in the absence of a Chief Executive Officer, a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 subject in each case to the control of the Board of Directors.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0" w:name="page101"/>
    <w:bookmarkEnd w:id="100"/>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Removal and Resignation of Officers</w:t>
      </w:r>
      <w:r>
        <w:rPr>
          <w:rFonts w:ascii="Times New Roman" w:cs="Times New Roman" w:eastAsia="Times New Roman" w:hAnsi="Times New Roman"/>
          <w:sz w:val="18"/>
          <w:szCs w:val="18"/>
          <w:color w:val="auto"/>
        </w:rPr>
        <w:t>. Any officer may be removed, either with or without cause, by an affirmative vote of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w:t>
      </w:r>
    </w:p>
    <w:p>
      <w:pPr>
        <w:spacing w:after="0" w:line="185"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Vacancies in Offices</w:t>
      </w:r>
      <w:r>
        <w:rPr>
          <w:rFonts w:ascii="Times New Roman" w:cs="Times New Roman" w:eastAsia="Times New Roman" w:hAnsi="Times New Roman"/>
          <w:sz w:val="18"/>
          <w:szCs w:val="18"/>
          <w:color w:val="auto"/>
        </w:rPr>
        <w:t xml:space="preserve">. Any vacancy occurring in any office of the Corporation shall be filled by the Board of Directors or as provided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Chief Executive Officer(s)</w:t>
      </w:r>
      <w:r>
        <w:rPr>
          <w:rFonts w:ascii="Times New Roman" w:cs="Times New Roman" w:eastAsia="Times New Roman" w:hAnsi="Times New Roman"/>
          <w:sz w:val="18"/>
          <w:szCs w:val="18"/>
          <w:color w:val="auto"/>
        </w:rPr>
        <w:t>. Subject to such supervisory powers, if any, as may be given by the Board of Directors to a Chairperson, if any, the Chief Executive Officer (if such officer or officers are appointed) shall, subject to the control of the Board of Directors, have general supervision, direction, and control of the business and the officers of the Corporation. In the absence or nonexistence of a Chairperson or the Chief Executive Officer (if he, she or they are also directors) shall preside at all meetings of the Board of Directors at which he, she or they, as applicable, are present and shall have the general powers and duties of management usually vested in the office of chief executive officer of a corporation and shall have such other powers and duties as may be prescribed by the Board of Directors or these Bylaws.</w:t>
      </w:r>
    </w:p>
    <w:p>
      <w:pPr>
        <w:spacing w:after="0" w:line="18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President</w:t>
      </w:r>
      <w:r>
        <w:rPr>
          <w:rFonts w:ascii="Times New Roman" w:cs="Times New Roman" w:eastAsia="Times New Roman" w:hAnsi="Times New Roman"/>
          <w:sz w:val="18"/>
          <w:szCs w:val="18"/>
          <w:color w:val="auto"/>
        </w:rPr>
        <w:t>. The Board of Directors may appoint a President. Subject to such supervisory powers, if any, as may be given by the Board of Directors to a Chairperson (if any), the Chief Executive Officer, the President, if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Secretary</w:t>
      </w:r>
      <w:r>
        <w:rPr>
          <w:rFonts w:ascii="Times New Roman" w:cs="Times New Roman" w:eastAsia="Times New Roman" w:hAnsi="Times New Roman"/>
          <w:sz w:val="18"/>
          <w:szCs w:val="18"/>
          <w:color w:val="auto"/>
        </w:rPr>
        <w:t>. 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The Secretary shall keep, or cause to be kept, at the principal executive office of the Corporation or at the office of the Corporation’s transfer agent or registrar, as determined by resolution of the Board of Directors, a stock ledger, or a duplicate stock ledger, showing the names of all Stockholders and their addresses, the number and classes of shares held by each, the number and date of certificates evidencing such shares (if such shares are to be certificated), and the number and date of cancellation of every certificate surrendered for cancellation. The Secretary shall give, or cause to be given, notice of all meetings of the Stockholders and of the Board of Directors required to</w:t>
      </w: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38" w:right="419" w:bottom="1440" w:gutter="0" w:footer="0" w:header="0"/>
        </w:sectPr>
      </w:pPr>
    </w:p>
    <w:bookmarkStart w:id="101" w:name="page102"/>
    <w:bookmarkEnd w:id="101"/>
    <w:p>
      <w:pPr>
        <w:ind w:right="140"/>
        <w:spacing w:after="0" w:line="282" w:lineRule="auto"/>
        <w:rPr>
          <w:sz w:val="20"/>
          <w:szCs w:val="20"/>
          <w:color w:val="auto"/>
        </w:rPr>
      </w:pPr>
      <w:r>
        <w:rPr>
          <w:rFonts w:ascii="Times New Roman" w:cs="Times New Roman" w:eastAsia="Times New Roman" w:hAnsi="Times New Roman"/>
          <w:sz w:val="18"/>
          <w:szCs w:val="18"/>
          <w:color w:val="auto"/>
        </w:rPr>
        <w:t>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5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18"/>
          <w:szCs w:val="18"/>
          <w:color w:val="auto"/>
        </w:rPr>
        <w:t>. The Chief Financial Officer (the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shall be the treasurer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The CFO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if any is appointed, the Chief Executive Officer, or the directors, upon request, an account of all his or her transactions as CFO and of the financial condition of the Corporation, and shall have other powers and perform such other duties as may be prescribed by the Board of Directors or these Bylaws.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Representation of Equity Interests of Other Entities</w:t>
      </w:r>
      <w:r>
        <w:rPr>
          <w:rFonts w:ascii="Times New Roman" w:cs="Times New Roman" w:eastAsia="Times New Roman" w:hAnsi="Times New Roman"/>
          <w:sz w:val="18"/>
          <w:szCs w:val="18"/>
          <w:color w:val="auto"/>
        </w:rPr>
        <w:t>. Unless otherwise directed by the Board of Directors, the Chief Executive Officer, as applicable, or the President or any other person authorized by the Board of Directors, the Chief Executive Officer, or the President is authorized to vote, represent and exercise on behalf of the Corporation all rights incident to any and all shares, securities or interests of any other corporation or entity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jc w:val="both"/>
        <w:ind w:right="3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Authority and Duties of Officers</w:t>
      </w:r>
      <w:r>
        <w:rPr>
          <w:rFonts w:ascii="Times New Roman" w:cs="Times New Roman" w:eastAsia="Times New Roman" w:hAnsi="Times New Roman"/>
          <w:sz w:val="18"/>
          <w:szCs w:val="18"/>
          <w:color w:val="auto"/>
        </w:rPr>
        <w:t>. All officers of the Corporation shall respectively have such powers and authority and shall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w:t>
      </w:r>
    </w:p>
    <w:p>
      <w:pPr>
        <w:spacing w:after="0" w:line="17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compensation of the officers of the Corporation for their services as such shall be fixed from time to time by or at the direction of the Board of Directors. An officer of the Corporation shall not be prevented from receiving compensation by reason of the fact that he or she is also a director of the Corporation.</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STOCK</w:t>
      </w:r>
    </w:p>
    <w:p>
      <w:pPr>
        <w:spacing w:after="0" w:line="20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The shares of the Corporation shall be represented by certificates, provided that the Board of Directors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w:t>
      </w: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102" w:name="page103"/>
    <w:bookmarkEnd w:id="102"/>
    <w:p>
      <w:pPr>
        <w:spacing w:after="0" w:line="254" w:lineRule="auto"/>
        <w:rPr>
          <w:sz w:val="20"/>
          <w:szCs w:val="20"/>
          <w:color w:val="auto"/>
        </w:rPr>
      </w:pPr>
      <w:r>
        <w:rPr>
          <w:rFonts w:ascii="Times New Roman" w:cs="Times New Roman" w:eastAsia="Times New Roman" w:hAnsi="Times New Roman"/>
          <w:sz w:val="18"/>
          <w:szCs w:val="18"/>
          <w:color w:val="auto"/>
        </w:rPr>
        <w:t>form. The Chairperson of the Board, the Chief Executive Officer, a President, Vice President, Chief Financial Officer, the Treasurer, any Assistant Treasurer, the General Counsel,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Lost, Stolen or Destroyed Stock Certificates; Issuance of New Certificates</w:t>
      </w:r>
      <w:r>
        <w:rPr>
          <w:rFonts w:ascii="Times New Roman" w:cs="Times New Roman" w:eastAsia="Times New Roman" w:hAnsi="Times New Roman"/>
          <w:sz w:val="18"/>
          <w:szCs w:val="18"/>
          <w:color w:val="auto"/>
        </w:rPr>
        <w:t>. The Corporation may issue a new certificate for shares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The Board of Directors may establish regulations, rules or procedures concerning the proof required for adequately alleging the loss, theft or destruction of any Stock certificate and concerning the giving of a satisfactory bond or bonds of indemnity.</w:t>
      </w:r>
    </w:p>
    <w:p>
      <w:pPr>
        <w:spacing w:after="0" w:line="182" w:lineRule="exact"/>
        <w:rPr>
          <w:sz w:val="20"/>
          <w:szCs w:val="20"/>
          <w:color w:val="auto"/>
        </w:rPr>
      </w:pPr>
    </w:p>
    <w:p>
      <w:pPr>
        <w:jc w:val="both"/>
        <w:ind w:right="2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Shares Without Certificates</w:t>
      </w:r>
      <w:r>
        <w:rPr>
          <w:rFonts w:ascii="Times New Roman" w:cs="Times New Roman" w:eastAsia="Times New Roman" w:hAnsi="Times New Roman"/>
          <w:sz w:val="18"/>
          <w:szCs w:val="18"/>
          <w:color w:val="auto"/>
        </w:rPr>
        <w:t>.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INDEMNIFICATION AND ADVANCEMENT OF EXPENSES</w:t>
      </w:r>
    </w:p>
    <w:p>
      <w:pPr>
        <w:spacing w:after="0" w:line="20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The Corporation shall indemnify and hold harmless, to the fullest extent permitted by applicable law (including as it presently exists or may hereafter be amended, but, in the case of any such amendment, only to the extent that such amendment permits the Corporation to provide broader indemnification rights than such law permitted the Corporation to provide prior to such amendment), any person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(any such action, suit or proceeding,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3" w:name="page104"/>
    <w:bookmarkEnd w:id="103"/>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of these Bylaws,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8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Indemnification of Others</w:t>
      </w:r>
      <w:r>
        <w:rPr>
          <w:rFonts w:ascii="Times New Roman" w:cs="Times New Roman" w:eastAsia="Times New Roman" w:hAnsi="Times New Roman"/>
          <w:sz w:val="18"/>
          <w:szCs w:val="18"/>
          <w:color w:val="auto"/>
        </w:rPr>
        <w:t>. The Corporation shall have the power (but not the obligation)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The ultimate determination of entitlement to indemnification of persons who are employees or agents of the Corporation shall be made in such manner as is determined by the Board of Directors in its sole discretion.</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Advancement of Expenses</w:t>
      </w:r>
      <w:r>
        <w:rPr>
          <w:rFonts w:ascii="Times New Roman" w:cs="Times New Roman" w:eastAsia="Times New Roman" w:hAnsi="Times New Roman"/>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VII or otherwise.</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If a claim for indemnification under this Article VII (following the final disposition of such proceeding) is not paid in full within sixty (60) days after the Corporation has received a written claim therefor by the Covered Person, or if a claim for any advancement of expenses under this Article VII is not paid in full within thirty (30) days after the Corporation has received a written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Non-exclusivity of Rights</w:t>
      </w:r>
      <w:r>
        <w:rPr>
          <w:rFonts w:ascii="Times New Roman" w:cs="Times New Roman" w:eastAsia="Times New Roman" w:hAnsi="Times New Roman"/>
          <w:sz w:val="18"/>
          <w:szCs w:val="18"/>
          <w:color w:val="auto"/>
        </w:rPr>
        <w:t>. The rights conferred on any Covered Person by this Article VII shall not be exclusive of any other rights which such Covered Person may have or hereafter acquires under any statute, provision of the Certificate of Incorporation, these Bylaws, agreement, vote of Stockholders or disinterested directors or otherwise.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4" w:name="page105"/>
    <w:bookmarkEnd w:id="104"/>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Other Sources</w:t>
      </w:r>
      <w:r>
        <w:rPr>
          <w:rFonts w:ascii="Times New Roman" w:cs="Times New Roman" w:eastAsia="Times New Roman" w:hAnsi="Times New Roman"/>
          <w:sz w:val="18"/>
          <w:szCs w:val="18"/>
          <w:color w:val="auto"/>
        </w:rPr>
        <w:t>.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w:t>
      </w:r>
    </w:p>
    <w:p>
      <w:pPr>
        <w:spacing w:after="0" w:line="180"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Continuation of Indemnification</w:t>
      </w:r>
      <w:r>
        <w:rPr>
          <w:rFonts w:ascii="Times New Roman" w:cs="Times New Roman" w:eastAsia="Times New Roman" w:hAnsi="Times New Roman"/>
          <w:sz w:val="18"/>
          <w:szCs w:val="18"/>
          <w:color w:val="auto"/>
        </w:rPr>
        <w:t>. The rights to indemnification and to advancement of expenses provided by, or granted pursuant to, this Article VII shall continue as to a Person who has ceased to be a director or officer of the Corporation and shall inure to the benefit of the estate, heirs, executors, administrators, legatees and distributees of such Person.</w:t>
      </w:r>
    </w:p>
    <w:p>
      <w:pPr>
        <w:spacing w:after="0" w:line="1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Amendment or Repeal</w:t>
      </w:r>
      <w:r>
        <w:rPr>
          <w:rFonts w:ascii="Times New Roman" w:cs="Times New Roman" w:eastAsia="Times New Roman" w:hAnsi="Times New Roman"/>
          <w:sz w:val="18"/>
          <w:szCs w:val="18"/>
          <w:color w:val="auto"/>
        </w:rPr>
        <w:t>. Any right to indemnification or to advancement of expenses of any Covered Person arising hereunder shall not be eliminated or impaired by an amendment to or repeal of these Bylaws or an amendment to the Certificate of Incorporation after the occurrence of the act or omission that is the subject of the proceeding for which indemnification or advancement of expenses is sought. 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w:t>
      </w:r>
    </w:p>
    <w:p>
      <w:pPr>
        <w:spacing w:after="0" w:line="183"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Other Indemnification and Advancement of Expenses</w:t>
      </w:r>
      <w:r>
        <w:rPr>
          <w:rFonts w:ascii="Times New Roman" w:cs="Times New Roman" w:eastAsia="Times New Roman" w:hAnsi="Times New Roman"/>
          <w:sz w:val="18"/>
          <w:szCs w:val="18"/>
          <w:color w:val="auto"/>
        </w:rPr>
        <w:t>. This Article VII shall not limit the right of the Corporation, to the extent and in the manner permitted by law, to indemnify and to advance expenses to persons other than Covered Persons when and as authorized by appropriate corporate action.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i w:val="1"/>
          <w:iCs w:val="1"/>
          <w:color w:val="auto"/>
        </w:rPr>
        <w:t>Fiscal Year</w:t>
      </w:r>
      <w:r>
        <w:rPr>
          <w:rFonts w:ascii="Times New Roman" w:cs="Times New Roman" w:eastAsia="Times New Roman" w:hAnsi="Times New Roman"/>
          <w:sz w:val="18"/>
          <w:szCs w:val="18"/>
          <w:color w:val="auto"/>
        </w:rPr>
        <w:t>. The fiscal year of the Corporation shall be determined by resolution of the Board of Directors.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Execution of Corporate Contracts and Instruments</w:t>
      </w:r>
      <w:r>
        <w:rPr>
          <w:rFonts w:ascii="Times New Roman" w:cs="Times New Roman" w:eastAsia="Times New Roman" w:hAnsi="Times New Roman"/>
          <w:sz w:val="18"/>
          <w:szCs w:val="18"/>
          <w:color w:val="auto"/>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05" w:name="page106"/>
    <w:bookmarkEnd w:id="105"/>
    <w:p>
      <w:pPr>
        <w:ind w:right="20"/>
        <w:spacing w:after="0" w:line="258" w:lineRule="auto"/>
        <w:rPr>
          <w:sz w:val="20"/>
          <w:szCs w:val="20"/>
          <w:color w:val="auto"/>
        </w:rPr>
      </w:pPr>
      <w:r>
        <w:rPr>
          <w:rFonts w:ascii="Times New Roman" w:cs="Times New Roman" w:eastAsia="Times New Roman" w:hAnsi="Times New Roman"/>
          <w:sz w:val="18"/>
          <w:szCs w:val="18"/>
          <w:color w:val="auto"/>
        </w:rPr>
        <w:t>contract or engagement or to pledge its credit or to render it liable for any purpose or for any amount.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Board of Directors, subject to any restrictions contained in either (i) the DGCL or (ii) the Certificate of Incorporation, may declare and pay dividends out of funds legally available therefor upon the shares of its Stock. Dividends may be paid in cash, in property or in shares of the Corporation’s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3"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The Corporation: (i) shall be entitled to recognize the exclusive right of a Person registered on its books as the owner of shares to receive dividends and to vote as such owner; and (ii) 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80" w:lineRule="exact"/>
        <w:rPr>
          <w:sz w:val="20"/>
          <w:szCs w:val="20"/>
          <w:color w:val="auto"/>
        </w:rPr>
      </w:pPr>
    </w:p>
    <w:p>
      <w:pPr>
        <w:jc w:val="both"/>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Corporate Seal</w:t>
      </w:r>
      <w:r>
        <w:rPr>
          <w:rFonts w:ascii="Times New Roman" w:cs="Times New Roman" w:eastAsia="Times New Roman" w:hAnsi="Times New Roman"/>
          <w:sz w:val="18"/>
          <w:szCs w:val="18"/>
          <w:color w:val="auto"/>
        </w:rPr>
        <w:t>. 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58" w:lineRule="exact"/>
        <w:rPr>
          <w:sz w:val="20"/>
          <w:szCs w:val="20"/>
          <w:color w:val="auto"/>
        </w:rPr>
      </w:pPr>
    </w:p>
    <w:p>
      <w:pPr>
        <w:jc w:val="both"/>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Construction; Definitions</w:t>
      </w:r>
      <w:r>
        <w:rPr>
          <w:rFonts w:ascii="Times New Roman" w:cs="Times New Roman" w:eastAsia="Times New Roman" w:hAnsi="Times New Roman"/>
          <w:sz w:val="18"/>
          <w:szCs w:val="18"/>
          <w:color w:val="auto"/>
        </w:rPr>
        <w:t>. Unless the context requires otherwise, the general provisions, rules of construction and definitions in the DGCL shal govern the construction of these Bylaws. Without limiting the generality of this provision, the singular number includes the plural and the plural number includes the singular.</w:t>
      </w:r>
    </w:p>
    <w:p>
      <w:pPr>
        <w:spacing w:after="0" w:line="17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8.07.</w:t>
      </w:r>
      <w:r>
        <w:rPr>
          <w:sz w:val="20"/>
          <w:szCs w:val="20"/>
          <w:color w:val="auto"/>
        </w:rPr>
        <w:tab/>
      </w:r>
      <w:r>
        <w:rPr>
          <w:rFonts w:ascii="Times New Roman" w:cs="Times New Roman" w:eastAsia="Times New Roman" w:hAnsi="Times New Roman"/>
          <w:sz w:val="18"/>
          <w:szCs w:val="18"/>
          <w:i w:val="1"/>
          <w:iCs w:val="1"/>
          <w:color w:val="auto"/>
        </w:rPr>
        <w:t>Manner of Notice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850"/>
        <w:spacing w:after="0" w:line="266" w:lineRule="auto"/>
        <w:tabs>
          <w:tab w:leader="none" w:pos="122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Electronic Transmission</w:t>
      </w:r>
      <w:r>
        <w:rPr>
          <w:rFonts w:ascii="Times New Roman" w:cs="Times New Roman" w:eastAsia="Times New Roman" w:hAnsi="Times New Roman"/>
          <w:sz w:val="18"/>
          <w:szCs w:val="18"/>
          <w:color w:val="auto"/>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to the extent permitted by law.</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 (i) if by facsimile telecommunication, when directed to a number at which the Stockholder has consented to receive notice; (ii) if by electronic mail, when directed to such Stockholder’s electronic mail address unless the Stockholder has notified the Corporation in writing or by electronic</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06" w:name="page107"/>
    <w:bookmarkEnd w:id="106"/>
    <w:p>
      <w:pPr>
        <w:ind w:right="520"/>
        <w:spacing w:after="0" w:line="261" w:lineRule="auto"/>
        <w:rPr>
          <w:sz w:val="20"/>
          <w:szCs w:val="20"/>
          <w:color w:val="auto"/>
        </w:rPr>
      </w:pPr>
      <w:r>
        <w:rPr>
          <w:rFonts w:ascii="Times New Roman" w:cs="Times New Roman" w:eastAsia="Times New Roman" w:hAnsi="Times New Roman"/>
          <w:sz w:val="18"/>
          <w:szCs w:val="18"/>
          <w:color w:val="auto"/>
        </w:rPr>
        <w:t>transmission of an objection to receiving notice by electronic mail;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 notice by electronic mail must include a prominent legend that the communication is an important notice regarding the Corporation.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other agent of the Corporation that the notice has been given shall, in the absence of fraud, be prima facie evidence of the facts stated therein.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firstLine="850"/>
        <w:spacing w:after="0" w:line="274" w:lineRule="auto"/>
        <w:tabs>
          <w:tab w:leader="none" w:pos="1232"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Stockholders Sharing an Address</w:t>
      </w:r>
      <w:r>
        <w:rPr>
          <w:rFonts w:ascii="Times New Roman" w:cs="Times New Roman" w:eastAsia="Times New Roman" w:hAnsi="Times New Roman"/>
          <w:sz w:val="17"/>
          <w:szCs w:val="17"/>
          <w:color w:val="auto"/>
        </w:rPr>
        <w:t xml:space="preserve">.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w:t>
      </w:r>
      <w:r>
        <w:rPr>
          <w:rFonts w:ascii="Times New Roman" w:cs="Times New Roman" w:eastAsia="Times New Roman" w:hAnsi="Times New Roman"/>
          <w:sz w:val="17"/>
          <w:szCs w:val="17"/>
          <w:u w:val="single" w:color="auto"/>
          <w:color w:val="auto"/>
        </w:rPr>
        <w:t>Section 8.07</w:t>
      </w:r>
      <w:r>
        <w:rPr>
          <w:rFonts w:ascii="Times New Roman" w:cs="Times New Roman" w:eastAsia="Times New Roman" w:hAnsi="Times New Roman"/>
          <w:sz w:val="17"/>
          <w:szCs w:val="17"/>
          <w:color w:val="auto"/>
        </w:rPr>
        <w:t>, shall be deemed to have consented to receiving such single written notice.</w:t>
      </w:r>
    </w:p>
    <w:p>
      <w:pPr>
        <w:spacing w:after="0" w:line="170" w:lineRule="exact"/>
        <w:rPr>
          <w:rFonts w:ascii="Times New Roman" w:cs="Times New Roman" w:eastAsia="Times New Roman" w:hAnsi="Times New Roman"/>
          <w:sz w:val="17"/>
          <w:szCs w:val="17"/>
          <w:color w:val="auto"/>
        </w:rPr>
      </w:pPr>
    </w:p>
    <w:p>
      <w:pPr>
        <w:ind w:right="260" w:firstLine="850"/>
        <w:spacing w:after="0" w:line="261" w:lineRule="auto"/>
        <w:tabs>
          <w:tab w:leader="none" w:pos="122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8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Waiver of Notice of Meetings of Stockholders, Directors and Committees</w:t>
      </w:r>
      <w:r>
        <w:rPr>
          <w:rFonts w:ascii="Times New Roman" w:cs="Times New Roman" w:eastAsia="Times New Roman" w:hAnsi="Times New Roman"/>
          <w:sz w:val="18"/>
          <w:szCs w:val="18"/>
          <w:color w:val="auto"/>
        </w:rPr>
        <w:t>. A written waiver of any notice, signed by the person entitled to notice, or waiver by electronic transmission by such person, whether given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Board of Directors, or committee or subcommittee of the Board of Directors need be specified in a waiver of notice.</w:t>
      </w:r>
    </w:p>
    <w:p>
      <w:pPr>
        <w:spacing w:after="0" w:line="182"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Form of Records</w:t>
      </w:r>
      <w:r>
        <w:rPr>
          <w:rFonts w:ascii="Times New Roman" w:cs="Times New Roman" w:eastAsia="Times New Roman" w:hAnsi="Times New Roman"/>
          <w:sz w:val="18"/>
          <w:szCs w:val="18"/>
          <w:color w:val="auto"/>
        </w:rPr>
        <w:t>. Any records maintained by or on behalf of the Corporation in the regular course of its business, including its stock ledger, books of account, and minute books, may be kept on, or by means of, or be in the form of, any information storage device, method or one or more electronic networks or databases, provided that the records so</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kept can be converted into clearly legible paper form within a reasonable time, and the stock ledger is maintained in accordance with applicable law.</w:t>
      </w:r>
    </w:p>
    <w:p>
      <w:pPr>
        <w:spacing w:after="0" w:line="22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Amendment of Bylaws</w:t>
      </w:r>
      <w:r>
        <w:rPr>
          <w:rFonts w:ascii="Times New Roman" w:cs="Times New Roman" w:eastAsia="Times New Roman" w:hAnsi="Times New Roman"/>
          <w:sz w:val="18"/>
          <w:szCs w:val="18"/>
          <w:color w:val="auto"/>
        </w:rPr>
        <w:t>. Subject to any additional vote required by the Certificate of Incorporation, in furtherance and not in limitation of the powers conferred by statute, the Board of Directors is expressly authorized to adopt, repeal, alter, amend or rescind these Bylaws. The affirmative vote of at least a majority of the Whole Board of Directors shall be required in order for the Board of Directors to adopt, repeal, alter, amend or rescind these Bylaws. The Stockholders shall also have power to adopt, repeal, alter, amend or rescind these Bylaws. In addition to any vote of the holders of any class or series of stock of the Corporation required by applicable law or by the Certificate of Incorporation, any adoption, repeal, alteration, amendment or rescission of these Bylaws by the Stockholders shall require the affirmative vote of the holders of a majority of the voting power of the then outstanding shares of capital stock of the Corporation entitled to vote thereon, voting together as a single class.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Amended and Restated Charter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THIRTEENTH AMENDED AND RESTATED CERTIFICATE OF INCORPORATION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Rent the Runway, Inc., a corporation organized and existing under the laws of the State of Delaware, hereby certifies as follows:</w:t>
      </w:r>
    </w:p>
    <w:p>
      <w:pPr>
        <w:spacing w:after="0" w:line="221" w:lineRule="exact"/>
        <w:rPr>
          <w:sz w:val="20"/>
          <w:szCs w:val="20"/>
          <w:color w:val="auto"/>
        </w:rPr>
      </w:pPr>
    </w:p>
    <w:p>
      <w:pPr>
        <w:ind w:right="140" w:firstLine="449"/>
        <w:spacing w:after="0" w:line="286" w:lineRule="auto"/>
        <w:tabs>
          <w:tab w:leader="none" w:pos="62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on March 3, 2009, under the name Rent the Runway, Inc.</w:t>
      </w:r>
    </w:p>
    <w:p>
      <w:pPr>
        <w:spacing w:after="0" w:line="154" w:lineRule="exact"/>
        <w:rPr>
          <w:rFonts w:ascii="Times New Roman" w:cs="Times New Roman" w:eastAsia="Times New Roman" w:hAnsi="Times New Roman"/>
          <w:sz w:val="18"/>
          <w:szCs w:val="18"/>
          <w:color w:val="auto"/>
        </w:rPr>
      </w:pPr>
    </w:p>
    <w:p>
      <w:pPr>
        <w:ind w:right="60" w:firstLine="449"/>
        <w:spacing w:after="0" w:line="262" w:lineRule="auto"/>
        <w:tabs>
          <w:tab w:leader="none" w:pos="62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filing this Thirteenth Amended and Restated Certificate of Incorporation of the Corporation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which restates, integrates and further amends the Twelfth Amended and Restated Certificate of Incorporation, as heretofore amended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Certificate</w:t>
      </w:r>
      <w:r>
        <w:rPr>
          <w:rFonts w:ascii="Times New Roman" w:cs="Times New Roman" w:eastAsia="Times New Roman" w:hAnsi="Times New Roman"/>
          <w:sz w:val="18"/>
          <w:szCs w:val="18"/>
          <w:color w:val="auto"/>
        </w:rPr>
        <w:t>”), and which was duly adopted by all necessary action of 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and the stockholders of the Corporation in accordance with the provisions of Sections 242 and 245 of the DGCL.</w:t>
      </w:r>
    </w:p>
    <w:p>
      <w:pPr>
        <w:spacing w:after="0" w:line="180"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Prior Certificate is hereby amended and restated in its entirety by this Certificate of Incorporation to read in full as follows:</w:t>
      </w:r>
    </w:p>
    <w:p>
      <w:pPr>
        <w:spacing w:after="0" w:line="221" w:lineRule="exact"/>
        <w:rPr>
          <w:rFonts w:ascii="Times New Roman" w:cs="Times New Roman" w:eastAsia="Times New Roman" w:hAnsi="Times New Roman"/>
          <w:sz w:val="18"/>
          <w:szCs w:val="18"/>
          <w:color w:val="auto"/>
        </w:rPr>
      </w:pPr>
    </w:p>
    <w:p>
      <w:pPr>
        <w:ind w:left="5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Rent the Runway,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 Wilmington, County of New Castle, Delaware 19801 and its registered agent at such address is The Corporation Trust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5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 The nature of the business of the Corporation and the objects or purposes to be transacted, promoted or carried on by the Corporation is to engage in any lawful act or activity for which corporations may be organized under the DGCL, including, without limitation,</w:t>
      </w:r>
    </w:p>
    <w:p>
      <w:pPr>
        <w:ind w:right="340" w:firstLine="8"/>
        <w:spacing w:after="0" w:line="260" w:lineRule="auto"/>
        <w:tabs>
          <w:tab w:leader="none" w:pos="2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all rights, powers, privileges and other incidents of ownership or possession with respect to the Corporation’s assets, including managing, holding, selling and disposing of such assets and (ii) engaging in any other activities incidental or ancillary thereto.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The total number of shares of all classes of stock that the Corporation is authorized to issue is three hundred million (300,000,000), consisting of three hundred million (300,000,000) shares of Class A common stock, with a par value of $0.001 per share (the “</w:t>
      </w:r>
      <w:r>
        <w:rPr>
          <w:rFonts w:ascii="Times New Roman" w:cs="Times New Roman" w:eastAsia="Times New Roman" w:hAnsi="Times New Roman"/>
          <w:sz w:val="18"/>
          <w:szCs w:val="18"/>
          <w:b w:val="1"/>
          <w:bCs w:val="1"/>
          <w:i w:val="1"/>
          <w:i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40"/>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required by law,</w:t>
      </w:r>
    </w:p>
    <w:p>
      <w:pPr>
        <w:spacing w:after="0" w:line="225" w:lineRule="exact"/>
        <w:rPr>
          <w:rFonts w:ascii="Times New Roman" w:cs="Times New Roman" w:eastAsia="Times New Roman" w:hAnsi="Times New Roman"/>
          <w:sz w:val="18"/>
          <w:szCs w:val="18"/>
          <w:color w:val="auto"/>
        </w:rPr>
      </w:pPr>
    </w:p>
    <w:p>
      <w:pPr>
        <w:ind w:right="60" w:firstLine="1440"/>
        <w:spacing w:after="0" w:line="282" w:lineRule="auto"/>
        <w:tabs>
          <w:tab w:leader="none" w:pos="164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8" w:name="page109"/>
    <w:bookmarkEnd w:id="108"/>
    <w:p>
      <w:pPr>
        <w:ind w:right="800" w:firstLine="1440"/>
        <w:spacing w:after="0" w:line="282" w:lineRule="auto"/>
        <w:tabs>
          <w:tab w:leader="none" w:pos="1697"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Class A Common Stock shall vote together as a single class on all matters submitted to a vote of stockholders of the Corporation.</w:t>
      </w:r>
    </w:p>
    <w:p>
      <w:pPr>
        <w:spacing w:after="0" w:line="161" w:lineRule="exact"/>
        <w:rPr>
          <w:rFonts w:ascii="Times New Roman" w:cs="Times New Roman" w:eastAsia="Times New Roman" w:hAnsi="Times New Roman"/>
          <w:sz w:val="18"/>
          <w:szCs w:val="18"/>
          <w:color w:val="auto"/>
        </w:rPr>
      </w:pPr>
    </w:p>
    <w:p>
      <w:pPr>
        <w:ind w:right="40" w:firstLine="1061"/>
        <w:spacing w:after="0" w:line="282" w:lineRule="auto"/>
        <w:tabs>
          <w:tab w:leader="none" w:pos="130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dividends may be declared and paid on the Class A Common Stock out of the assets or funds of the Corporation that are by law available therefor, at such times and in such amounts as the Board of Directors in its discretion shall determine.</w:t>
      </w:r>
    </w:p>
    <w:p>
      <w:pPr>
        <w:spacing w:after="0" w:line="161" w:lineRule="exact"/>
        <w:rPr>
          <w:rFonts w:ascii="Times New Roman" w:cs="Times New Roman" w:eastAsia="Times New Roman" w:hAnsi="Times New Roman"/>
          <w:sz w:val="18"/>
          <w:szCs w:val="18"/>
          <w:color w:val="auto"/>
        </w:rPr>
      </w:pPr>
    </w:p>
    <w:p>
      <w:pPr>
        <w:ind w:right="40" w:firstLine="1000"/>
        <w:spacing w:after="0" w:line="256"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In the event of liquidation, dissolution or winding up of the affairs of the Corporation, whether voluntary or involuntary, after payment or provision for payment of the debts and other liabilities of the Corporation, the remaining assets and funds of the Corporation available for distribution shall be divided among and paid ratably to the holders of all outstanding shares of Class A Common Stock in proportion to the number of shares held by each such stockholder. A consolidation, reorganization or merger of the Corporation with any other Person or Persons (as defined below), or a sale of all or substantially all of the assets of the Corporation, shall not be considered to be a dissolution, liquidation or winding up of the Corporation within the meaning of this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The affirmative vote of at least a majority of the Whole Board of Directors shall be required in order for the Board of Directors to adopt, repeal, alter, amend or rescind the Bylaws. For purposes of this Certificate of Incorporation, the term “</w:t>
      </w:r>
      <w:r>
        <w:rPr>
          <w:rFonts w:ascii="Times New Roman" w:cs="Times New Roman" w:eastAsia="Times New Roman" w:hAnsi="Times New Roman"/>
          <w:sz w:val="18"/>
          <w:szCs w:val="18"/>
          <w:b w:val="1"/>
          <w:bCs w:val="1"/>
          <w:i w:val="1"/>
          <w:iCs w:val="1"/>
          <w:color w:val="auto"/>
        </w:rPr>
        <w:t>Whole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shall mean the total number of authorized directors (from time to time) whether or not there exist any vacancies in previously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directorships or newly created directorships. The stockholders shall also have power to adopt, repeal, alter, amend or rescind the Bylaws. In addition to any other vote of the holders of any class or series of stock of the Corporation required by applicable law or by this Certificate of Incorporation, any adoption, repeal, alteration, amendment or rescission of the Bylaws by the stockholders shall require the affirmative vote of the holders of a majority of the voting power of all of the then outstanding shares of capital stock of the Corporation entitled to vote generally in the election of directors, voting together as a single class.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right="10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Ballot</w:t>
      </w:r>
      <w:r>
        <w:rPr>
          <w:rFonts w:ascii="Times New Roman" w:cs="Times New Roman" w:eastAsia="Times New Roman" w:hAnsi="Times New Roman"/>
          <w:sz w:val="18"/>
          <w:szCs w:val="18"/>
          <w:color w:val="auto"/>
        </w:rPr>
        <w:t>. Elections of directors (each such director, in such capacity,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need not be by written ballot unless the Bylaws shall so provide.</w:t>
      </w:r>
    </w:p>
    <w:p>
      <w:pPr>
        <w:spacing w:after="0" w:line="159" w:lineRule="exact"/>
        <w:rPr>
          <w:sz w:val="20"/>
          <w:szCs w:val="20"/>
          <w:color w:val="auto"/>
        </w:rPr>
      </w:pPr>
    </w:p>
    <w:p>
      <w:pPr>
        <w:ind w:firstLine="441"/>
        <w:spacing w:after="0" w:line="269"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Classification of the Board of Directors</w:t>
      </w:r>
      <w:r>
        <w:rPr>
          <w:rFonts w:ascii="Times New Roman" w:cs="Times New Roman" w:eastAsia="Times New Roman" w:hAnsi="Times New Roman"/>
          <w:sz w:val="17"/>
          <w:szCs w:val="17"/>
          <w:color w:val="auto"/>
        </w:rPr>
        <w:t xml:space="preserve">. Except as otherwise required by applicable law, the Directors shall be divided into three classes, designated as Class I, Class II and Class III, as nearly equal in number as possible. Directors already in office shall be assigned to each class at the time such classification becomes effective, in accordance with a resolution or resolutions adopted by the Board of Directors. At each annual meeting of stockholders, the Directors of the class to be elected at each annual meeting of stockholders shall be elected 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in accordance with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shall hold office for a term that shall coincide with the remaining term of that class, but in no case shall a decrease in the total number of Directors remove or shorten the term of any incumbent Director. Notwithstanding the foregoing provisions of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each Director shall serve until his or her successor is duly elected and qualified or until his or her death, resignation, disqualification, retirement, or removal. Each director shall hold office until the annual meeting at which such Director’s term expires and until his or her successor is duly elected and qualified, or until his or her earlier death, resignation, disqualification or removal. No decrease in the number of Directors shall shorten the term of any incumbent Director.</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9" w:name="page110"/>
    <w:bookmarkEnd w:id="109"/>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Number and Terms of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hanging="520"/>
        <w:spacing w:after="0"/>
        <w:tabs>
          <w:tab w:leader="none" w:pos="1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shall be fixed from time to time in the manner provided in the Bylaws.</w:t>
      </w:r>
    </w:p>
    <w:p>
      <w:pPr>
        <w:spacing w:after="0" w:line="225" w:lineRule="exact"/>
        <w:rPr>
          <w:rFonts w:ascii="Times New Roman" w:cs="Times New Roman" w:eastAsia="Times New Roman" w:hAnsi="Times New Roman"/>
          <w:sz w:val="18"/>
          <w:szCs w:val="18"/>
          <w:color w:val="auto"/>
        </w:rPr>
      </w:pPr>
    </w:p>
    <w:p>
      <w:pPr>
        <w:ind w:firstLine="980"/>
        <w:spacing w:after="0" w:line="255" w:lineRule="auto"/>
        <w:tabs>
          <w:tab w:leader="none" w:pos="149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Certificate of Incorporation to the contrary, (i) in the event that Nexus, Story3 or JYH, as applicable, no longer has the right to designate a Director for appointment by the Board of Directors pursuant to the Investor Rights Agreement (each such occurrence, a “</w:t>
      </w:r>
      <w:r>
        <w:rPr>
          <w:rFonts w:ascii="Times New Roman" w:cs="Times New Roman" w:eastAsia="Times New Roman" w:hAnsi="Times New Roman"/>
          <w:sz w:val="18"/>
          <w:szCs w:val="18"/>
          <w:b w:val="1"/>
          <w:bCs w:val="1"/>
          <w:i w:val="1"/>
          <w:iCs w:val="1"/>
          <w:color w:val="auto"/>
        </w:rPr>
        <w:t>Loss of Designation Rights</w:t>
      </w:r>
      <w:r>
        <w:rPr>
          <w:rFonts w:ascii="Times New Roman" w:cs="Times New Roman" w:eastAsia="Times New Roman" w:hAnsi="Times New Roman"/>
          <w:sz w:val="18"/>
          <w:szCs w:val="18"/>
          <w:color w:val="auto"/>
        </w:rPr>
        <w:t>”), then (unless a majority of Directors (with the affected party’s Board of Directors designees abstaining) agree in writing that such Director’s term shall not expire as a result of a Loss of Designation Rights) the term of such Director designated for appointment by Nexus, Story3 or JYH, as applicable, shall expire upon such Loss of Designation Rights, and (ii) JYH’s term as a Director shall expire if JYH ceases to serve as the Chief Executive Officer of the Corporation, unless the Board of Directors, by unanimous approval, votes in favor of or agrees in writing that JYH’s term shall not expire as a result of JYH ceasing to serve as Chief Executive Officer of the Corporation.</w:t>
      </w:r>
    </w:p>
    <w:p>
      <w:pPr>
        <w:spacing w:after="0" w:line="189"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Except as otherwise required by law and this Certificate of Incorporation,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only by a majority of the Directors then in office, though less than a quorum, or by a sole remaining Director, and shall not be filled by the stockholders unless the Board of Directors determines by resolution that any such vacancy or newly created directorship shall be filled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 vacancy on the Board of Directors resulting from the death, resignation, disqualification, removal from office or other cause with respect to a Director designated for appointment in accordance with the Investor Rights Agreement, the Person or Persons entitled to designate such Director in accordance with the Investor Rights Agreement shall have the exclusive right to identify a replacement Director for appointment by the Board of Directors to fill such vacancy. Any Director elected to fill a newly created directorship or vacancy in accordance with the preceding sentence shall hold office until the next annual meeting of stockholders held to elect the class of Directors to which such Director is elected and until his or her successor is duly elected and qualified or until his or her earlier death, resignation, retirement, disqualification, or removal. The Secretary of the Corporation shall maintain a copy of the Investor Rights Agreement at the principal executive offices of the Corporation and a copy thereof shall be provided free of charge to any stockholder who makes a request therefor.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Quorum; Vote Required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0"/>
        <w:spacing w:after="0" w:line="258" w:lineRule="auto"/>
        <w:tabs>
          <w:tab w:leader="none" w:pos="148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at all meetings of the Board of Directors a majority of the Whole Board of Directors shall constitute a quorum for the transaction of business. The affirmative vote of a majority of the Directors present at any meeting of the Board of Directors at which a quorum is present shall be the act of the Board of Directors, except as may be otherwise specifically required by applicable law or this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83" w:lineRule="exact"/>
        <w:rPr>
          <w:rFonts w:ascii="Times New Roman" w:cs="Times New Roman" w:eastAsia="Times New Roman" w:hAnsi="Times New Roman"/>
          <w:sz w:val="18"/>
          <w:szCs w:val="18"/>
          <w:color w:val="auto"/>
        </w:rPr>
      </w:pPr>
    </w:p>
    <w:p>
      <w:pPr>
        <w:ind w:right="80" w:firstLine="980"/>
        <w:spacing w:after="0" w:line="254" w:lineRule="auto"/>
        <w:tabs>
          <w:tab w:leader="none" w:pos="149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requirements under the DGCL or this Certificate of Incorporation, (i) so long as Nexus has the right to appoint the Nexus Director in accordance with the Investor Rights Agreement, the Nexus Director must be present (in person or by means of conference telephone or other communications equipment by means of which all Persons participating in the meeting can hear each other) at any meeting of the Board of Directors for a quorum to exist, (ii) so long as Story3 has the right to appoint the Story3 Director in accordance with the Investor Rights Agreement, the Story3 Director must be present (in person or by means of conference telephone or other communications equipment by means of which all Persons participating in the meeting can hear each other) at any meeting of the Board of Directors for a quorum to exist, and (iii) so long as JYH is the Chief Executive Officer of the Corporation, JYH must be present (in person or by means of conference telephone or other communications equipment by means of which all Persons participating in the meeting can hear each other) at any meeting of the Board of Directors</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0" w:name="page111"/>
    <w:bookmarkEnd w:id="110"/>
    <w:p>
      <w:pPr>
        <w:spacing w:after="0" w:line="258" w:lineRule="auto"/>
        <w:rPr>
          <w:sz w:val="20"/>
          <w:szCs w:val="20"/>
          <w:color w:val="auto"/>
        </w:rPr>
      </w:pPr>
      <w:r>
        <w:rPr>
          <w:rFonts w:ascii="Times New Roman" w:cs="Times New Roman" w:eastAsia="Times New Roman" w:hAnsi="Times New Roman"/>
          <w:sz w:val="18"/>
          <w:szCs w:val="18"/>
          <w:color w:val="auto"/>
        </w:rPr>
        <w:t xml:space="preserve">for a quorum to exist;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Nexus Director, the Story3 Director or JYH, as applicable, fails to attend three (3) or more consecutive meetings of the Board of Directors that are held during ordinary business hours for which such Director has received notice at least two (2) business days prior to such meeting, quorum shall be deemed to be present at the next meeting immediately following such failure held during ordinary business hours for which such Director has received notice at least two (2) business days prior to such meeting so long as the other Directors required for quorum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are present.</w:t>
      </w:r>
    </w:p>
    <w:p>
      <w:pPr>
        <w:spacing w:after="0" w:line="185"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For so long as the Board of Directors is classified, any Director may be removed for cause only by an affirmative vote of the holders of a majority of the voting power of all of the then outstanding shares of capital stock entitled to vote generally in the election of Directors, at a meeting duly called for that purpose.</w:t>
      </w:r>
    </w:p>
    <w:p>
      <w:pPr>
        <w:spacing w:after="0" w:line="176"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162" w:lineRule="exact"/>
        <w:rPr>
          <w:sz w:val="20"/>
          <w:szCs w:val="20"/>
          <w:color w:val="auto"/>
        </w:rPr>
      </w:pPr>
    </w:p>
    <w:p>
      <w:pPr>
        <w:jc w:val="both"/>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Subject to applicable law, special meetings of stockholders of the Corporation may be called, for any purpose or purposes, at any time only by or at the direction of (i) a majority of the Whole Board of Directors, (ii) the chairperson of the Board of Directors or (iii) the holders of at least forty percent (40%) of the voting power of all of the then-outstanding shares of the Corporation, and may not be called by any other person or persons.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action required or permitted to be taken at any meeting of the holders of Class A Common Stock may be taken without a meeting, without prior notice and without a vote, if a written consent or consents, setting forth the action so taken, shall be signed by the holders of Class A Common Stock then outstanding having not less than the minimum number of votes that would be necessary to authorize or take such action at a meeting at which all shares of Class A Common Stock then outstanding were present and voted and shall be delivered to the Corporation in accordance with the DGCL. Prompt notice of the taking of corporate action without a meeting by less than unanimous consent of the holders of Class A Common Stock then outstanding shall, to the extent required by applicable law, be given to those holders of Class A Common Stock who have not consented and who, if the action had been taken at a meeting, would have been entitled to notice of the meeting if the record date for notice of such meeting had been the date that consents signed by a sufficient number of holders of Class A Common Stock to take the action were delivered to the Corporation in accordance with the DGCL.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addition to any vote of the holders of shares of any class or series of capital stock of the Corporation required by applicable law or by this Certificate of Incorporation, the adoption, amendment or repeal of the Certificate of Incorporation shall require the affirmative vote of the holders of a majority of the voting power of all of the then outstanding shares of voting stock of the Corporation entitled to vote thereon. 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right="60" w:firstLine="441"/>
        <w:spacing w:after="0" w:line="273" w:lineRule="auto"/>
        <w:rPr>
          <w:sz w:val="20"/>
          <w:szCs w:val="20"/>
          <w:color w:val="auto"/>
        </w:rPr>
      </w:pPr>
      <w:r>
        <w:rPr>
          <w:rFonts w:ascii="Times New Roman" w:cs="Times New Roman" w:eastAsia="Times New Roman" w:hAnsi="Times New Roman"/>
          <w:sz w:val="17"/>
          <w:szCs w:val="17"/>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or officer of the Corporation shall be personally liable to the Corporation or its stockholders for monetary damages for any breach of his or her fiduciary duties as a Director or officer of the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foregoing clause shall not eliminate or limit the liability of any officer of the Corporation in any action by or in the right of the Corporation. No amendment to, or modification or repeal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000"/>
        <w:spacing w:after="0" w:line="253" w:lineRule="auto"/>
        <w:tabs>
          <w:tab w:leader="none" w:pos="123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the Story 3 Director or the Nexus Director (or his or her respective affiliates) who is not employed by the Corporation or its subsidiaries (each such Person, an “</w:t>
      </w:r>
      <w:r>
        <w:rPr>
          <w:rFonts w:ascii="Times New Roman" w:cs="Times New Roman" w:eastAsia="Times New Roman" w:hAnsi="Times New Roman"/>
          <w:sz w:val="18"/>
          <w:szCs w:val="18"/>
          <w:b w:val="1"/>
          <w:bCs w:val="1"/>
          <w:i w:val="1"/>
          <w:iCs w:val="1"/>
          <w:color w:val="auto"/>
        </w:rPr>
        <w:t>Exempt Person</w:t>
      </w:r>
      <w:r>
        <w:rPr>
          <w:rFonts w:ascii="Times New Roman" w:cs="Times New Roman" w:eastAsia="Times New Roman" w:hAnsi="Times New Roman"/>
          <w:sz w:val="18"/>
          <w:szCs w:val="18"/>
          <w:color w:val="auto"/>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187" w:lineRule="exact"/>
        <w:rPr>
          <w:rFonts w:ascii="Times New Roman" w:cs="Times New Roman" w:eastAsia="Times New Roman" w:hAnsi="Times New Roman"/>
          <w:sz w:val="18"/>
          <w:szCs w:val="18"/>
          <w:color w:val="auto"/>
        </w:rPr>
      </w:pPr>
    </w:p>
    <w:p>
      <w:pPr>
        <w:jc w:val="both"/>
        <w:ind w:right="60" w:firstLine="1000"/>
        <w:spacing w:after="0" w:line="255" w:lineRule="auto"/>
        <w:tabs>
          <w:tab w:leader="none" w:pos="124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w:t>
      </w:r>
    </w:p>
    <w:p>
      <w:pPr>
        <w:spacing w:after="0" w:line="2" w:lineRule="exact"/>
        <w:rPr>
          <w:rFonts w:ascii="Times New Roman" w:cs="Times New Roman" w:eastAsia="Times New Roman" w:hAnsi="Times New Roman"/>
          <w:sz w:val="18"/>
          <w:szCs w:val="18"/>
          <w:color w:val="auto"/>
        </w:rPr>
      </w:pPr>
    </w:p>
    <w:p>
      <w:pPr>
        <w:ind w:right="160" w:firstLine="8"/>
        <w:spacing w:after="0" w:line="260" w:lineRule="auto"/>
        <w:tabs>
          <w:tab w:leader="none" w:pos="30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(i) any derivative action, suit or proceeding brought on behalf of the Corporation, (ii) any action, suit or proceeding asserting a claim of breach of a fiduciary duty owed by any current or former Director, officer or other employee or stockholder of the Corporation to the Corporation or the Corporation’s stockholders, creditors or other constituents, (iii) any action, suit or proceeding asserting a claim arising pursuant to any provision of the DGCL, this Certificate of Incorporation or the Bylaws (as either may be amended or restated) or as to which the DGCL confers exclusive jurisdiction on the Court of Chancery of the State of Delaware (the “</w:t>
      </w:r>
      <w:r>
        <w:rPr>
          <w:rFonts w:ascii="Times New Roman" w:cs="Times New Roman" w:eastAsia="Times New Roman" w:hAnsi="Times New Roman"/>
          <w:sz w:val="18"/>
          <w:szCs w:val="18"/>
          <w:b w:val="1"/>
          <w:bCs w:val="1"/>
          <w:i w:val="1"/>
          <w:iCs w:val="1"/>
          <w:color w:val="auto"/>
        </w:rPr>
        <w:t>Court of Chancery</w:t>
      </w:r>
      <w:r>
        <w:rPr>
          <w:rFonts w:ascii="Times New Roman" w:cs="Times New Roman" w:eastAsia="Times New Roman" w:hAnsi="Times New Roman"/>
          <w:sz w:val="18"/>
          <w:szCs w:val="18"/>
          <w:color w:val="auto"/>
        </w:rPr>
        <w:t>”), or (iv) any action, suit or proceeding asserting a claim governed by the internal affairs doctrine, shall be exclusively brought in the Court of Chancery or, if such court does not</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2" w:name="page113"/>
    <w:bookmarkEnd w:id="112"/>
    <w:p>
      <w:pPr>
        <w:spacing w:after="0" w:line="252" w:lineRule="auto"/>
        <w:rPr>
          <w:sz w:val="20"/>
          <w:szCs w:val="20"/>
          <w:color w:val="auto"/>
        </w:rPr>
      </w:pPr>
      <w:r>
        <w:rPr>
          <w:rFonts w:ascii="Times New Roman" w:cs="Times New Roman" w:eastAsia="Times New Roman" w:hAnsi="Times New Roman"/>
          <w:sz w:val="18"/>
          <w:szCs w:val="18"/>
          <w:color w:val="auto"/>
        </w:rPr>
        <w:t>have subject matter jurisdiction thereof, the federal district court of the District of Delaware or other state courts of the State of Delaware; and (b) the federal district courts of the United States of America (the “</w:t>
      </w:r>
      <w:r>
        <w:rPr>
          <w:rFonts w:ascii="Times New Roman" w:cs="Times New Roman" w:eastAsia="Times New Roman" w:hAnsi="Times New Roman"/>
          <w:sz w:val="18"/>
          <w:szCs w:val="18"/>
          <w:b w:val="1"/>
          <w:bCs w:val="1"/>
          <w:i w:val="1"/>
          <w:iCs w:val="1"/>
          <w:color w:val="auto"/>
        </w:rPr>
        <w:t>Federal Courts</w:t>
      </w:r>
      <w:r>
        <w:rPr>
          <w:rFonts w:ascii="Times New Roman" w:cs="Times New Roman" w:eastAsia="Times New Roman" w:hAnsi="Times New Roman"/>
          <w:sz w:val="18"/>
          <w:szCs w:val="18"/>
          <w:color w:val="auto"/>
        </w:rPr>
        <w:t xml:space="preserve">”) shall be the exclusive forum for the resolution of any complaint asserting a cause of action arising under the Securities Act. If any provision or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(including, without limitation, each portion of any sentence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and the application of such provision to other Persons and circumstances shall not in any way be affected or impaired thereby. If any action, the subject matter of which is within the scope of the first sentence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is filed in a court other than the Court of Chancery or the Federal Courts, as applicable,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xml:space="preserve">”) in the name of any stockholder, such stockholder shall be deemed to have consented to (i) the personal jurisdiction of the Court of Chancery and the other state and federal courts in the State of Delaware or the Federal Courts, as applicable, in connection with any action brought in any such court to enforce the first sentence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(ii) having service of process made upon such stockholder in any such action by service upon such stockholder’s counsel in the Foreign Action as agent for such stockholder. To the fullest extent permitted by law, any Person purchasing or otherwise acquiring or holding any interest in shares of capital stock of the Corporation shall be deemed to have notice of and consented to the provisions of</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not apply to suits brought to enforce any liability or duty created by the Exchange Act or any other claim for which the federal courts of the United States have exclusive jurisdiction.</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 expressly elects not to be governed by Section 203 of the DGCL and the restrictions and limitations set forth therein.</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Certificate of Incorporation, the following terms shall have the following meanings:</w:t>
      </w:r>
    </w:p>
    <w:p>
      <w:pPr>
        <w:spacing w:after="0" w:line="221" w:lineRule="exact"/>
        <w:rPr>
          <w:sz w:val="20"/>
          <w:szCs w:val="20"/>
          <w:color w:val="auto"/>
        </w:rPr>
      </w:pPr>
    </w:p>
    <w:p>
      <w:pPr>
        <w:ind w:right="240" w:firstLine="980"/>
        <w:spacing w:after="0" w:line="286" w:lineRule="auto"/>
        <w:tabs>
          <w:tab w:leader="none" w:pos="148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who or which, directly or indirectly, controls, is controlled by, or is under common control with such specified Person.</w:t>
      </w:r>
    </w:p>
    <w:p>
      <w:pPr>
        <w:spacing w:after="0" w:line="154" w:lineRule="exact"/>
        <w:rPr>
          <w:rFonts w:ascii="Times New Roman" w:cs="Times New Roman" w:eastAsia="Times New Roman" w:hAnsi="Times New Roman"/>
          <w:sz w:val="18"/>
          <w:szCs w:val="18"/>
          <w:color w:val="auto"/>
        </w:rPr>
      </w:pPr>
    </w:p>
    <w:p>
      <w:pPr>
        <w:ind w:right="40" w:firstLine="980"/>
        <w:spacing w:after="0" w:line="286" w:lineRule="auto"/>
        <w:tabs>
          <w:tab w:leader="none" w:pos="149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any applicable rules and regulations promulgated thereunder, and any successor to such statute, rules or regulations.</w:t>
      </w:r>
    </w:p>
    <w:p>
      <w:pPr>
        <w:spacing w:after="0" w:line="154" w:lineRule="exact"/>
        <w:rPr>
          <w:rFonts w:ascii="Times New Roman" w:cs="Times New Roman" w:eastAsia="Times New Roman" w:hAnsi="Times New Roman"/>
          <w:sz w:val="18"/>
          <w:szCs w:val="18"/>
          <w:color w:val="auto"/>
        </w:rPr>
      </w:pPr>
    </w:p>
    <w:p>
      <w:pPr>
        <w:ind w:right="680" w:firstLine="980"/>
        <w:spacing w:after="0" w:line="286" w:lineRule="auto"/>
        <w:tabs>
          <w:tab w:leader="none" w:pos="148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that certain Investor Rights Agreement, dated as of August 20, 2025, by and among the Corporation, CHS US Investments LLC, Nexus, Story3, JYH and certain Affiliates of JYH.</w:t>
      </w:r>
    </w:p>
    <w:p>
      <w:pPr>
        <w:spacing w:after="0" w:line="154"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JYH</w:t>
      </w:r>
      <w:r>
        <w:rPr>
          <w:rFonts w:ascii="Times New Roman" w:cs="Times New Roman" w:eastAsia="Times New Roman" w:hAnsi="Times New Roman"/>
          <w:sz w:val="18"/>
          <w:szCs w:val="18"/>
          <w:color w:val="auto"/>
        </w:rPr>
        <w:t>” means Jennifer Y. Hyman.</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Nexus</w:t>
      </w:r>
      <w:r>
        <w:rPr>
          <w:rFonts w:ascii="Times New Roman" w:cs="Times New Roman" w:eastAsia="Times New Roman" w:hAnsi="Times New Roman"/>
          <w:sz w:val="18"/>
          <w:szCs w:val="18"/>
          <w:color w:val="auto"/>
        </w:rPr>
        <w:t>” means Gateway Runway, LLC, a Delaware limited liability company, together with its Affiliates.</w:t>
      </w:r>
    </w:p>
    <w:p>
      <w:pPr>
        <w:spacing w:after="0" w:line="225" w:lineRule="exact"/>
        <w:rPr>
          <w:rFonts w:ascii="Times New Roman" w:cs="Times New Roman" w:eastAsia="Times New Roman" w:hAnsi="Times New Roman"/>
          <w:sz w:val="18"/>
          <w:szCs w:val="18"/>
          <w:color w:val="auto"/>
        </w:rPr>
      </w:pPr>
    </w:p>
    <w:p>
      <w:pPr>
        <w:ind w:left="1480" w:hanging="500"/>
        <w:spacing w:after="0"/>
        <w:tabs>
          <w:tab w:leader="none" w:pos="14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Nexus Director</w:t>
      </w:r>
      <w:r>
        <w:rPr>
          <w:rFonts w:ascii="Times New Roman" w:cs="Times New Roman" w:eastAsia="Times New Roman" w:hAnsi="Times New Roman"/>
          <w:sz w:val="18"/>
          <w:szCs w:val="18"/>
          <w:color w:val="auto"/>
        </w:rPr>
        <w:t>” means a Director appointed to the Board of Directors by Nexus in accordance with the Investor Rights Agreement.</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limited partnership, limited liability company, unincorporated association,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or other entity.</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13" w:name="page114"/>
    <w:bookmarkEnd w:id="113"/>
    <w:p>
      <w:pPr>
        <w:ind w:firstLine="980"/>
        <w:spacing w:after="0" w:line="286" w:lineRule="auto"/>
        <w:tabs>
          <w:tab w:leader="none" w:pos="149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 and applicable rules and regulations promulgated thereunder, and any successor to such statute, rules or regulations.</w:t>
      </w:r>
    </w:p>
    <w:p>
      <w:pPr>
        <w:spacing w:after="0" w:line="154"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Story3</w:t>
      </w:r>
      <w:r>
        <w:rPr>
          <w:rFonts w:ascii="Times New Roman" w:cs="Times New Roman" w:eastAsia="Times New Roman" w:hAnsi="Times New Roman"/>
          <w:sz w:val="18"/>
          <w:szCs w:val="18"/>
          <w:color w:val="auto"/>
        </w:rPr>
        <w:t>” means S3 RR Aggregator, LLC, a Delaware limited liability company, together with its Affiliates.</w:t>
      </w:r>
    </w:p>
    <w:p>
      <w:pPr>
        <w:spacing w:after="0" w:line="225"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Story3 Director</w:t>
      </w:r>
      <w:r>
        <w:rPr>
          <w:rFonts w:ascii="Times New Roman" w:cs="Times New Roman" w:eastAsia="Times New Roman" w:hAnsi="Times New Roman"/>
          <w:sz w:val="18"/>
          <w:szCs w:val="18"/>
          <w:color w:val="auto"/>
        </w:rPr>
        <w:t>” means a Director appointed to the Board of Directors by Story3 in accordance with the Investor Rights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14" w:name="page115"/>
    <w:bookmarkEnd w:id="114"/>
    <w:p>
      <w:pPr>
        <w:ind w:left="440"/>
        <w:spacing w:after="0"/>
        <w:rPr>
          <w:sz w:val="20"/>
          <w:szCs w:val="20"/>
          <w:color w:val="auto"/>
        </w:rPr>
      </w:pPr>
      <w:r>
        <w:rPr>
          <w:rFonts w:ascii="Times New Roman" w:cs="Times New Roman" w:eastAsia="Times New Roman" w:hAnsi="Times New Roman"/>
          <w:sz w:val="17"/>
          <w:szCs w:val="17"/>
          <w:color w:val="auto"/>
        </w:rPr>
        <w:t>IN WITNESS WHEREOF, the Corporation has caused this Thirteenth Amended and Restated Certificate of Incorporation to be signed on this 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580" w:right="6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Investor Rights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INVESTOR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August 20,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made and entered into by and among Rent the Runway,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parties listed as Investors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The Company and each Investor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substantially concurrently with the execution and delivery of this Agreement, the Company and CHS US Investments LLC, a Cayman limited liability company (together with its Affiliates, “</w:t>
      </w:r>
      <w:r>
        <w:rPr>
          <w:rFonts w:ascii="Times New Roman" w:cs="Times New Roman" w:eastAsia="Times New Roman" w:hAnsi="Times New Roman"/>
          <w:sz w:val="18"/>
          <w:szCs w:val="18"/>
          <w:u w:val="single" w:color="auto"/>
          <w:color w:val="auto"/>
        </w:rPr>
        <w:t>CHS</w:t>
      </w:r>
      <w:r>
        <w:rPr>
          <w:rFonts w:ascii="Times New Roman" w:cs="Times New Roman" w:eastAsia="Times New Roman" w:hAnsi="Times New Roman"/>
          <w:sz w:val="18"/>
          <w:szCs w:val="18"/>
          <w:color w:val="auto"/>
        </w:rPr>
        <w:t>”), have entered into the Exchange Agreement (as it may be amended from time to time in accordance with its terms,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pursuant to which, among other things, on the terms and subject to the conditions therein, CHS will contribute, transfer, assign and convey to the Company all of its rights, title and interest in, to and under the Equity Exchange Obligations in exchange for the Exchange Stock;</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immediately following the consummation of the transactions contemplated by the Exchange Agreement, CHS will sell a portion of the Exchange Stock to Gateway Runway, LLC, a Delaware limited liability company (together with its Affiliates, “</w:t>
      </w:r>
      <w:r>
        <w:rPr>
          <w:rFonts w:ascii="Times New Roman" w:cs="Times New Roman" w:eastAsia="Times New Roman" w:hAnsi="Times New Roman"/>
          <w:sz w:val="18"/>
          <w:szCs w:val="18"/>
          <w:u w:val="single" w:color="auto"/>
          <w:color w:val="auto"/>
        </w:rPr>
        <w:t>Nexus</w:t>
      </w:r>
      <w:r>
        <w:rPr>
          <w:rFonts w:ascii="Times New Roman" w:cs="Times New Roman" w:eastAsia="Times New Roman" w:hAnsi="Times New Roman"/>
          <w:sz w:val="18"/>
          <w:szCs w:val="18"/>
          <w:color w:val="auto"/>
        </w:rPr>
        <w:t>”), and S3 RR Aggregator, LLC a Delaware limited liability company (together with its Affiliates, “</w:t>
      </w:r>
      <w:r>
        <w:rPr>
          <w:rFonts w:ascii="Times New Roman" w:cs="Times New Roman" w:eastAsia="Times New Roman" w:hAnsi="Times New Roman"/>
          <w:sz w:val="18"/>
          <w:szCs w:val="18"/>
          <w:u w:val="single" w:color="auto"/>
          <w:color w:val="auto"/>
        </w:rPr>
        <w:t>Story3</w:t>
      </w:r>
      <w:r>
        <w:rPr>
          <w:rFonts w:ascii="Times New Roman" w:cs="Times New Roman" w:eastAsia="Times New Roman" w:hAnsi="Times New Roman"/>
          <w:sz w:val="18"/>
          <w:szCs w:val="18"/>
          <w:color w:val="auto"/>
        </w:rPr>
        <w:t>”), on the terms and subject to the conditions of the Debt and Equity Purchase Agreement, dated as of the Effective Date, by and among CHS, Nexus and Story3;</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WHEREAS, immediately following the consummation of the transactions contemplated by the Exchange Agreement, the Stockholders Agreement, dated October 29, 2021, by and among the Company, Jennifer Y. Hyman (“</w:t>
      </w:r>
      <w:r>
        <w:rPr>
          <w:rFonts w:ascii="Times New Roman" w:cs="Times New Roman" w:eastAsia="Times New Roman" w:hAnsi="Times New Roman"/>
          <w:sz w:val="18"/>
          <w:szCs w:val="18"/>
          <w:u w:val="single" w:color="auto"/>
          <w:color w:val="auto"/>
        </w:rPr>
        <w:t>JYH</w:t>
      </w:r>
      <w:r>
        <w:rPr>
          <w:rFonts w:ascii="Times New Roman" w:cs="Times New Roman" w:eastAsia="Times New Roman" w:hAnsi="Times New Roman"/>
          <w:sz w:val="18"/>
          <w:szCs w:val="18"/>
          <w:color w:val="auto"/>
        </w:rPr>
        <w:t>”), entities affiliated with Bain Capital Ventures, entities affiliated with Highland Capital Partners and certain related parties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will terminate in accordance with its terms;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substantially concurrently with the execution and delivery of this Agreement, all existing Directors (as defined herein), other than JYH, have delivered to the Company their respective resignations from the Board and all applicable committees thereof, with such resignations to be effective automatically and without further action by or on behalf of such Director or any other Person upon the consummation of the Exchange Transactions;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capitalized terms used and not otherwise defined herein have the meanings ascribed to them in the Exchange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in connection with the consummation of the Exchange Transactions, the Parties desire to set forth their agreement with respect to governance of the Company, registration rights and certain other matters set forth herein, in each case, effective as of the Exchange Closing in accordance with the terms and conditions of this Agreement.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intending to be legally bound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u w:val="single" w:color="auto"/>
          <w:color w:val="auto"/>
        </w:rPr>
        <w:t>Definitions; Interpretation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(as the same may be amended or amended and restated from time to time in accordance with their terms).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Twelfth Amended and Restated Certificate of Incorporation of the Company (as the same may be amended or amended and restated from time to time in accordance with its terms, including pursuant to the Amended and Restated Charter).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respect to any Person, any share, share capital, capital stock, equity interests, ownership interests, partnership, membership, joint venture or similar interest in such Person (including any stock appreciation, phantom stock, profit participation, restricted stock awards or similar rights), whether voting or nonvoting, and any option, warrant, right or security (including debt securities) convertible, exchangeable or exercisable therefor.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Closing</w:t>
      </w:r>
      <w:r>
        <w:rPr>
          <w:rFonts w:ascii="Times New Roman" w:cs="Times New Roman" w:eastAsia="Times New Roman" w:hAnsi="Times New Roman"/>
          <w:sz w:val="18"/>
          <w:szCs w:val="18"/>
          <w:color w:val="auto"/>
        </w:rPr>
        <w:t>” means the closing of the transactions contemplated by the Exchange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Form S-8</w:t>
      </w:r>
      <w:r>
        <w:rPr>
          <w:rFonts w:ascii="Times New Roman" w:cs="Times New Roman" w:eastAsia="Times New Roman" w:hAnsi="Times New Roman"/>
          <w:sz w:val="18"/>
          <w:szCs w:val="18"/>
          <w:color w:val="auto"/>
        </w:rPr>
        <w:t>” mean respective forms under the Securities Act and any successor registration forms to the form in question.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means, collectively, JYH, Benjamin Stauffer, JYH 2021 Children’s Trust dtd 10/12/21 Justin Finnegan TTEE, BS 2021 Family Trust dtd 10/12/21 Justin Finnegan TTEE, JYH 2012 Article 2nd Trust dtd 1/23/20 Linda Hyman &amp; Justine Finnegan TTEES and Linda S Hyman &amp; Dov I Hyman JTWROS.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means any Party owning Registrable Securities or any assignee thereof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Majority</w:t>
      </w:r>
      <w:r>
        <w:rPr>
          <w:rFonts w:ascii="Times New Roman" w:cs="Times New Roman" w:eastAsia="Times New Roman" w:hAnsi="Times New Roman"/>
          <w:sz w:val="18"/>
          <w:szCs w:val="18"/>
          <w:color w:val="auto"/>
        </w:rPr>
        <w:t>” means Investors that continue to meet the Minimum Ownership Threshold as of the time of calculation holding a majority of all issued and outstanding shares of Class A Common Stock held by all Investors that continue to meet the Minimum Ownership Threshold as of such time.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Investor</w:t>
      </w:r>
      <w:r>
        <w:rPr>
          <w:rFonts w:ascii="Times New Roman" w:cs="Times New Roman" w:eastAsia="Times New Roman" w:hAnsi="Times New Roman"/>
          <w:sz w:val="18"/>
          <w:szCs w:val="18"/>
          <w:color w:val="auto"/>
        </w:rPr>
        <w:t>” means, as of any date, each Investor that, together with its Affiliates, beneficially owns, directly or indirectly, in the aggregate at least five percent (5%) of all issued and outstanding shares of Class A Common Stock as of such date, subject to appropriate adjustment in the event of any stock dividend, stock split, combination or other similar recapitalization event.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Participating Holders</w:t>
      </w:r>
      <w:r>
        <w:rPr>
          <w:rFonts w:ascii="Times New Roman" w:cs="Times New Roman" w:eastAsia="Times New Roman" w:hAnsi="Times New Roman"/>
          <w:sz w:val="18"/>
          <w:szCs w:val="18"/>
          <w:color w:val="auto"/>
        </w:rPr>
        <w:t>” means, with respect to any registration of Registrable Securities, the Registrable Investors at the relevant time holding at least a majority of the Registrable Securities to be included in the registration statement in question.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Ownership Threshold</w:t>
      </w:r>
      <w:r>
        <w:rPr>
          <w:rFonts w:ascii="Times New Roman" w:cs="Times New Roman" w:eastAsia="Times New Roman" w:hAnsi="Times New Roman"/>
          <w:sz w:val="18"/>
          <w:szCs w:val="18"/>
          <w:color w:val="auto"/>
        </w:rPr>
        <w:t>” means, with respect to each Investor, that such Investor continues to own at least twenty-five percent (25%) of the shares of Class A Common Stock held by such Investor as of the Exchange Closing, and after giving effect to the Transactions, including the Conversions and any shares acquired pursuant to the Rights Offering Backstop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means, with respect to a specified result, all commercially reasonable actions required to cause such result that are within the power of a specified Person, including (i) if requested by the Board, calling special meetings of stockholders, (ii) voting or providing a written consent or proxy with respect to the Equity Securities owned by the Person obligated to undertake the necessary action, (iii) voting in favor of the adoption of stockholders’ resolutions and amendments to the organizational documents of the Company, (iv) executing agreements and instruments, and (v) making, or causing to be made, with Governmental Authorities, all filings, registrations or similar actions that are required to achieve such result.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Non-Marketed Take-Down Share</w:t>
      </w:r>
      <w:r>
        <w:rPr>
          <w:rFonts w:ascii="Times New Roman" w:cs="Times New Roman" w:eastAsia="Times New Roman" w:hAnsi="Times New Roman"/>
          <w:sz w:val="18"/>
          <w:szCs w:val="18"/>
          <w:color w:val="auto"/>
        </w:rPr>
        <w:t xml:space="preserve">” means, with respect to each Initiating Shelf Holder and each other Notice Recipient delivering a notice with respect to and participating in a Non-Marketed Underwritten Shelf Take-Down subject to </w:t>
      </w:r>
      <w:r>
        <w:rPr>
          <w:rFonts w:ascii="Times New Roman" w:cs="Times New Roman" w:eastAsia="Times New Roman" w:hAnsi="Times New Roman"/>
          <w:sz w:val="18"/>
          <w:szCs w:val="18"/>
          <w:u w:val="single" w:color="auto"/>
          <w:color w:val="auto"/>
        </w:rPr>
        <w:t>Section 4.02(d)</w:t>
      </w:r>
      <w:r>
        <w:rPr>
          <w:rFonts w:ascii="Times New Roman" w:cs="Times New Roman" w:eastAsia="Times New Roman" w:hAnsi="Times New Roman"/>
          <w:sz w:val="18"/>
          <w:szCs w:val="18"/>
          <w:color w:val="auto"/>
        </w:rPr>
        <w:t xml:space="preserve">, a number equal to the product of (i) the total number of Registrable Securities to be included in such Non-Marketed Underwritten Shelf Take-Down pursuant to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and (ii) a fraction, the numerator of which is the total number of Registrable Securities beneficially owned by the Initiating Shelf Holder or such participating Notice Recipient, as applicable, and the denominator of which is the total number of Registrable Securities beneficially owned by the Initiating Shelf Holder and all participating Notice Recipients delivering a notice and participating in such Non-Marketed Underwritten Shelf Take-Down.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a prospectus that includes any information previously omitted from a prospectus filed as part of an effective registration statement in reliance upon Rule 430A promulgated by the SEC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or similar document in compliance with the Securities Act, and the automatic effectiveness or the declaration or ordering of effectiveness of such registration statement or document.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(i) any shares of Class A Common Stock owned by a Registrable Investor, (ii) any shares of Class A Common Stock issued or issuable upon exercise, conversion or exchange of any other securities of the Company, held by a Registrable Investor from time to time, and (iii) any shares of Class A Common Stock directly or indirectly issued or issuable in respect of the shares referenced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by way of stock dividend or stock split or in connection with a combination of shares, recapitalization, reclassification or similar event, in each case, held by any Registrable Investor. The Registrable Securities of any Holder shall cease to be Registrable Securities when (a) a registration statement with respect to the sale of such Registrable Securities shall have become effective under the Securities Act and such securities shall have been disposed of in accordance with such registration statement, (b) such Registrable Securities shall have been distributed to the public pursuant to Rule 144, or (c) upon any transfer in any manner to a Person which is not entitled to the rights under this Agreement. For purposes of this Agreement, the number of Registrable Securities outstanding at any time shall be determined by adding the number of shares of Class A Common Stock or other securities which are then outstanding, and the maximum number of shares of Class A Common Stock or other securities issuable (directly or indirectly) pursuant to then convertible securities which upon issuance would be Registrable Securities.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Investors</w:t>
      </w:r>
      <w:r>
        <w:rPr>
          <w:rFonts w:ascii="Times New Roman" w:cs="Times New Roman" w:eastAsia="Times New Roman" w:hAnsi="Times New Roman"/>
          <w:sz w:val="18"/>
          <w:szCs w:val="18"/>
          <w:color w:val="auto"/>
        </w:rPr>
        <w:t>” means each of the Founder, CHS, Nexus and Story3.</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means all expenses incident to performance of or compliance with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by the Company, including all registration and filing fees, all listing fees, all fees and expenses of complying with securities or blue sky laws, all printing and automated document preparation expenses, all messenger and delivery expenses, the fees and disbursements of counsel for the Company and of its independent public accountants, including the expenses of any special audits required by or incident to such performance and compliance, and the reasonable fees and disbursements of one counsel for the Holders on whose behalf Registrable Securities are being registered, but excluding underwriting discounts and commissions and applicable transfer taxes, if any, which shall be borne by the sellers of the Registrable Securities in all cases.</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 and any successor rule or regulation thereto, and in the case of any referenced section of such rule, any successor section thereto, collectively and as from time to time amended and in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under the Securities Act, as such rule may be amended or interpreted from time to time, or any similar rule or regulation hereafter adopted by the SEC having substantially the same purpose and effect as such rule.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guidance of the SEC staff, or any comments, requirements or requests of the SEC staff, and (ii)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Holder</w:t>
      </w:r>
      <w:r>
        <w:rPr>
          <w:rFonts w:ascii="Times New Roman" w:cs="Times New Roman" w:eastAsia="Times New Roman" w:hAnsi="Times New Roman"/>
          <w:sz w:val="18"/>
          <w:szCs w:val="18"/>
          <w:color w:val="auto"/>
        </w:rPr>
        <w:t>” means any Holder whose Registrable Securities are included in a Shelf Registration Statement.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means a registration statement providing for an offering to be made on a continuous basis pursuant to Rule 415 promulgated under the Securities Act in accordance with the plan and method of distribution set forth in the prospectus included in such registration statement.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Filing Date</w:t>
      </w:r>
      <w:r>
        <w:rPr>
          <w:rFonts w:ascii="Times New Roman" w:cs="Times New Roman" w:eastAsia="Times New Roman" w:hAnsi="Times New Roman"/>
          <w:sz w:val="18"/>
          <w:szCs w:val="18"/>
          <w:color w:val="auto"/>
        </w:rPr>
        <w:t>” shall mean the date that is twenty (20) days after the Exchange Closing.</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Unless the context of this Agreement otherwise requires, when a reference is made in this Agreement to an Article, Section, Exhibit or Annex, such reference shall be to an Article, Section, Exhibit or Annex to this Agreement unless otherwise indicated. The preamble and the recitals set forth at the beginning of this Agreement are incorporated by reference into and made a part of this Agreement.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 “extent” and the phrase “to the extent” shall mean the degree to which a subject or thing extends, and such word or phrase shall not simply mean “if.” The word “will” shall be construed to have the same meaning and effect as the word “shall.” The words “or,” “any,” “neither,” “nor” or “either” shall not be exclusive. References to “this Agreement” shall include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 definitions contained in this Agreement are applicable to the singular as well as the plural forms of such terms and to the masculine as well as to the feminine and neuter genders of such term. References to any statute in this Agreement shall be deemed to refer to such statute as amended from time to time and to any rules or regulations promulgated thereunder. References to any Contract in this Agreement are to such Contract as amended, modified or supplemented (including by waiver or consent) from time to time in accordance with the terms hereof and thereof. The phrase “date hereof” or “date of this Agreement” shall be deemed to refer to the Effective Date. References from, to or through any date mean, unless otherwise specified, from and including, to and including or through and including, respectively, and not beyond such date. Unless the context otherwise requires, references to any Person include references to such Person’s successors and permitted assigns, and, in the case of any Governmental Authority, to any Person succeeding to its functions and capacities. The term “writing” means the representation or reproduction of words, symbols or other information in a visible form by any method or combination of methods, whether in electronic form or otherwise, and including writings delivered by electronic delivery, and “written” will be construed in the same manner. Each Party has participated in the drafting of this Agreement, which each Party acknowledges is the result of extensive negotiations among the Parties and their advisors, and the Parties agree that there shall not apply to this Agreement or any provision hereof any rule or presumption of interpreting this Agreement or any provision hereof against the draftsperson of this Agreement or any provision hereof. The terms “beneficially owns” and “beneficial ownership” shall be as determined in accordance with Rule 13d-3 of the Securities Exchange Act of 1934, as amended.</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Registration on Form S-3</w:t>
      </w:r>
      <w:r>
        <w:rPr>
          <w:rFonts w:ascii="Times New Roman" w:cs="Times New Roman" w:eastAsia="Times New Roman" w:hAnsi="Times New Roman"/>
          <w:sz w:val="18"/>
          <w:szCs w:val="18"/>
          <w:color w:val="auto"/>
        </w:rPr>
        <w:t>. As soon as practicable after the Exchange Closing, but not later than the Target Filing Date, the Company shall prepare and file with the SEC a Shelf Registration Statement covering the resale of all of the Registrable Securities for an offering to be made on a continuous basis pursuant to Rule 415. Such Shelf Registration Statement filed hereunder shall be on Form S-3 (or, if Form S-3 is not available, Form S-1, or such other form available to register for resale the Registrable Securities as a secondary offering) (the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xml:space="preserve">”) and shall contain (unless otherwise directed by the Registrable Investors holding at least two-thirds of all issued and outstanding shares of Class A Common Stock held by all Registrable Investors) substantially the “Plan of Distribution”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a “Selling Stockholder” section in a form to be mutually agreed upon by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Registrable Investor shall be required to be named as an “underwriter” without such Registrable Investor’s express prior written consent, and a non-consenting Registrable Investor will be removed from the Shelf Registration Statement as a Selling Stockholder if the SEC will not take the Shelf Registration Statement effective without such Registrable Investor being named as an “underwriter” and such removal will not be a breach by the Company. Subject to the terms of this Agreement, the Company shall use its reasonable best efforts to cause the Shelf Registration Statement filed pursuant hereto to be declared effective under the Securities Act as promptly as possible after the filing thereof, but in any event no later than the sixtieth (60th) calendar day following the Exchange Closing, and shall use its reasonable best efforts to keep such Shelf Registration Statement continuously effective under the Securities Act until the date that all Registrable Securities covered by such Shelf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Registrable Investors and instructing any securities legends to be removed. The Company shall telephonically request effectiveness of a Shelf Registration Statement as of 5:00 p.m., Eastern time, on a Business Day. The Company shall immediately notify the Registrable Investors via e-mail of the effectiveness of the Shelf Registration Statement on the same Business Day that the Company telephonically confirms effectiveness with the SEC, which shall be the date requested for effectiveness of the Shelf Registration Statement. The Company shall, by 9:30 a.m., Eastern time, on the second (2nd) Business Day after the effective date of the Shelf Registration Statement, file a final Prospectus with the SEC as required by Rule 424. If, after the filing of a Shelf Registration Statement, a holder of Registrable Securities requests registration under the Securities Act of additional Registrable Securities pursuant to such Shelf Registration, the Company shall amend such Shelf Registration Statement to cover such additional Registrable Securities. If the SEC informs the Company that all of the Registrable Securities cannot, as a result of the application of Rule 415, be registered for resale as a secondary offering on a single registration statement, the Company agrees to promptly inform each of the Registrable Investors thereof and use its reasonable best efforts to file amendments to the Shelf Registration Statement as required by the SEC, covering the maximum number of Registrable Securities permitted to be registered by the SEC, on Form S-3 (or, if Form S-3 is not available, Form S-1, or such other form</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available to register for resale the Registrable Securities as a secondary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its reasonable best efforts to advocate with the SEC for the registration of all of the Registrable Securities in accordance with the SEC Guidance, including Compliance and Disclosure Interpretation 612.09.</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Underwritten Demand Rights</w:t>
      </w:r>
      <w:r>
        <w:rPr>
          <w:rFonts w:ascii="Times New Roman" w:cs="Times New Roman" w:eastAsia="Times New Roman" w:hAnsi="Times New Roman"/>
          <w:sz w:val="18"/>
          <w:szCs w:val="18"/>
          <w:color w:val="auto"/>
        </w:rPr>
        <w:t>. At any time after the Exchange Closing, but in no event more than twice in any three hundred sixty-five (365)-day period, any Registrable Investor (other than the Founder) may, by written notice to the Company, request that the Company effect the registration on Form S-3 or Form S-1 of a number of Registrable Securities having an aggregate value (based on the market price of fair market value on the date of such request) of at least $5,000,000 to be distributed in an underwritten offering. Promptly after receipt of such notice, the Company will give written notice of such requested registration to all other Registrable Investors holding Registrable Securities. The Company will then, promptly and in any event within forty-five (45) days after a request for registration is delivered to the Company, use its reasonable best efforts to effect the registration under the Securities Act of the Registrable Securities which the Company has been requested to register by such Holders, and all other Registrable Securities which the Company has been requested to register by other Registrable Investors holding such Registrable Securities by notice delivered to the Company within ten (10) days after the giving of such notice by the Company.</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hereby agrees to pay all Registration Expenses in connection with all registrations effected pursuant to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and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pay for any expenses of such registration proceeding if the registration request is withdrawn at any time at the request of the Majority Participating Holders, and all participating Holders shall bear such expenses, unless the Majority Participating Holders agree to treat such withdrawn registration as a registration which was effected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xml:space="preserve"> or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as the case may be, which agreement shall bind all Holders of Registrable Securities. Notwithstanding the foregoing, if the Holders have learned of a material adverse change in the condition, business, or prospects of the Company from that known to the Holders at the time the demand for registration was made or if there shall have occurred a material adverse change in market conditions from those existing as such time in the good faith judgment of the Majority Participating Holders makes it undesirable to proceed with the proposed offering, then the Holders shall not be required to pay any of such expenses. The withdrawn registration shall not count as a registration effected pursuant to Section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or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-991235</wp:posOffset>
            </wp:positionV>
            <wp:extent cx="6324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246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-31115</wp:posOffset>
            </wp:positionV>
            <wp:extent cx="5708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Piggyback Registration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If at any time following the Exchange Closing the Company proposes to register any of its Equity Securities under the Securities Act, for its own account or for the account of any holder of its securities other than Registrable Securities, on a form which would permit registration of Registrable Securities for sale to the public under the Securities Act, or proposes to register any securities in a so-called “unallocated” or “universal” shelf registration statement and such registration would permit registration of Registrable Securities thereunder, the Company will each such time give prompt written notice to all Holders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of Registrable Securities of its intention to do so. Such notice shall describe such securities and specify the form, manner and other relevant aspects of such proposed registration. Any such Holder may, by written response delivered to the Company within ten (10) days after the giving of any such notice by the Company, request that all or a specified part of the Registrable Securities held by such Holder be included in such registration. The Company thereupon will use its reasonable best efforts as a part of its filing of such form to cause to be included in such registration under the Securities Act all Registrable Securities which the Company has been so requested to register by the Holders of Registrable Securities, to the extent required to permit the disposition (in accordance with the methods to be used by the Company or other holders of securities in such registration) of the Registrable Securities to be so registered. The Company shall be under no obligation to complete any offering of its securities it proposes to make and shall incur no liability to any Holder for its failure to do so. No registration of Registrable Securities effected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relieve the Company of any of its obligations to effect registrations of Registrable Securities pursuant to Section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or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-31115</wp:posOffset>
            </wp:positionV>
            <wp:extent cx="5708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8"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Excluded Transactions</w:t>
      </w:r>
      <w:r>
        <w:rPr>
          <w:rFonts w:ascii="Times New Roman" w:cs="Times New Roman" w:eastAsia="Times New Roman" w:hAnsi="Times New Roman"/>
          <w:sz w:val="18"/>
          <w:szCs w:val="18"/>
          <w:color w:val="auto"/>
        </w:rPr>
        <w:t xml:space="preserve">. The Company shall not be obligated to effect any registration of Registrable Securities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incidental to the registration of any of its securities in connection with any mergers, acquisitions or exchange offers or in connection with any dividend reinvestment plans or stock option or other employee benefit plans.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hereby agrees to pay all Registration Expenses in connection with each registration of Registrable Securities requested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Procedures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Obligations</w:t>
      </w:r>
      <w:r>
        <w:rPr>
          <w:rFonts w:ascii="Times New Roman" w:cs="Times New Roman" w:eastAsia="Times New Roman" w:hAnsi="Times New Roman"/>
          <w:sz w:val="18"/>
          <w:szCs w:val="18"/>
          <w:color w:val="auto"/>
        </w:rPr>
        <w:t xml:space="preserve">. If and whenever the Company is required to use its reasonable best efforts to effect the registration of any Registrable Securities under the Securities Act as provided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Company shall as expeditiously as reasonably possible:</w:t>
      </w:r>
    </w:p>
    <w:p>
      <w:pPr>
        <w:spacing w:after="0" w:line="176" w:lineRule="exact"/>
        <w:rPr>
          <w:sz w:val="20"/>
          <w:szCs w:val="20"/>
          <w:color w:val="auto"/>
        </w:rPr>
      </w:pPr>
    </w:p>
    <w:p>
      <w:pPr>
        <w:jc w:val="both"/>
        <w:ind w:firstLine="1304"/>
        <w:spacing w:after="0" w:line="258"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Registration Statement</w:t>
      </w:r>
      <w:r>
        <w:rPr>
          <w:rFonts w:ascii="Times New Roman" w:cs="Times New Roman" w:eastAsia="Times New Roman" w:hAnsi="Times New Roman"/>
          <w:sz w:val="18"/>
          <w:szCs w:val="18"/>
          <w:color w:val="auto"/>
        </w:rPr>
        <w:t>. 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Registrable Securities and other securities, if any, covered by such registration statement until such time as all such Registrable Securities have been disposed of by the seller or sellers thereof in accordance with the intended methods of disposition set forth in such registration statement.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Use its reasonable best efforts to cooperate as may be reasonably requested by the seller of such Registrable Securities in the disposition of the Class A Common Stock covered by such registration statement, including in the case of an underwritten offering causing key executives of the Company to participate under the direction of the managing underwriter in a “road show” scheduled by such managing underwriter in such locations and of such duration as in the reasonable judgment of such managing underwriter are appropriate for such underwritten offering.</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jc w:val="both"/>
        <w:ind w:firstLine="1304"/>
        <w:spacing w:after="0" w:line="256" w:lineRule="auto"/>
        <w:tabs>
          <w:tab w:leader="none" w:pos="15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Furnishing of Copies of Registration Statements and Other Documents</w:t>
      </w:r>
      <w:r>
        <w:rPr>
          <w:rFonts w:ascii="Times New Roman" w:cs="Times New Roman" w:eastAsia="Times New Roman" w:hAnsi="Times New Roman"/>
          <w:sz w:val="18"/>
          <w:szCs w:val="18"/>
          <w:color w:val="auto"/>
        </w:rPr>
        <w:t>. Furnish to each seller of such Registrable Securities such number of conformed copies of such registration statement and of each such amendment and supplement thereto (in each case including all exhibits), such number of copies of the prospectus included in such registration statement (including each preliminary prospectus and any summary prospectus), each in conformity with the requirements of the Securities Act, such documents incorporated by reference in such registration statement or prospectus and such other documents as such seller may reasonably request in order to facilitate the disposition of the Registrable Securities of such seller covered by such registration statement.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Securities Laws</w:t>
      </w:r>
      <w:r>
        <w:rPr>
          <w:rFonts w:ascii="Times New Roman" w:cs="Times New Roman" w:eastAsia="Times New Roman" w:hAnsi="Times New Roman"/>
          <w:sz w:val="18"/>
          <w:szCs w:val="18"/>
          <w:color w:val="auto"/>
        </w:rPr>
        <w:t xml:space="preserve">. Use its reasonable best efforts to register or qualify such Registrable Securities under such securities or “blue sky” laws of such jurisdictions as the sellers shall reasonably request, and do any and all other acts and things which may be necessary or advisable to enable each seller to consummate the disposition in such jurisdictions of the Registrable Securities of such seller covered by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subject the Company to taxation in any jurisdiction in which it is not so qualified or would not otherwise be so subject.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Comfort Letter</w:t>
      </w:r>
      <w:r>
        <w:rPr>
          <w:rFonts w:ascii="Times New Roman" w:cs="Times New Roman" w:eastAsia="Times New Roman" w:hAnsi="Times New Roman"/>
          <w:sz w:val="18"/>
          <w:szCs w:val="18"/>
          <w:color w:val="auto"/>
        </w:rPr>
        <w:t>. Use its reasonable best efforts to obtain all legal opinions, auditors consents and comfort letters and experts cooperation as may be required, including furnishing to each underwriter of Registrable Securities on the date that the registration statement with respect to such Registrable Securities becomes effective, (i) an opinion, dated as of such date, of counsel for the Company, and (ii) a “cold comfort” letter, dated as of such date, signed by the independent public accountants of the Company, in each case, in form and substance as is customarily given to underwriters in an underwritten public offering.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Prospectus Defects</w:t>
      </w:r>
      <w:r>
        <w:rPr>
          <w:rFonts w:ascii="Times New Roman" w:cs="Times New Roman" w:eastAsia="Times New Roman" w:hAnsi="Times New Roman"/>
          <w:sz w:val="18"/>
          <w:szCs w:val="18"/>
          <w:color w:val="auto"/>
        </w:rPr>
        <w:t>. Immediately 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light of the circumstances then existing, and at the request of any such seller prepare and furnish to such seller a reasonable number of copies of a supplement to or an amendment of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light of the circumstances then existing.</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Orders</w:t>
      </w:r>
      <w:r>
        <w:rPr>
          <w:rFonts w:ascii="Times New Roman" w:cs="Times New Roman" w:eastAsia="Times New Roman" w:hAnsi="Times New Roman"/>
          <w:sz w:val="18"/>
          <w:szCs w:val="18"/>
          <w:color w:val="auto"/>
        </w:rPr>
        <w:t>. In the event of the issuance of any stop order suspending the effectiveness of such registration statement, or any order suspending or preventing the use of any related prospectus or suspending the qualification of any Registrable Securities included in such registration statement for sale in any jurisdiction, use its reasonable best efforts promptly to obtain the withdrawal of such order.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jc w:val="both"/>
        <w:ind w:firstLine="1304"/>
        <w:spacing w:after="0" w:line="261" w:lineRule="auto"/>
        <w:tabs>
          <w:tab w:leader="none" w:pos="156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Compliance with Federal Securities Laws; Section 11(a) Earning Statement</w:t>
      </w:r>
      <w:r>
        <w:rPr>
          <w:rFonts w:ascii="Times New Roman" w:cs="Times New Roman" w:eastAsia="Times New Roman" w:hAnsi="Times New Roman"/>
          <w:sz w:val="18"/>
          <w:szCs w:val="18"/>
          <w:color w:val="auto"/>
        </w:rPr>
        <w:t>. Otherwise use its reasonable best efforts to comply with the Securities Act, the Exchange Act and all other applicable rules and regulations of the SEC, and make available to its securities holders, as soon as reasonably practicable, an earnings statement covering the period of at least 12 months after the effective date of such registration statement, which earnings statement shall satisfy Section 11(a) of the Securities Act and any applicable regulations thereunder, including Rule 158.</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In the event of any underwritten offering, enter into and perform its obligations under an underwriting agreement, in usual and customary form, with the managing underwriter of such offering.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Use its reasonable best efforts to cause such Registrable Securities to be listed on each securities exchange on which any equity security of the Company is then listed or, if the Company does not have a class of Equity Securities listed on a national securities exchange, apply for qualification and use its reasonable best efforts to qualify such Registrable Securities for listing on the New York Stock Exchange, the Nasdaq Global Market or the Nasdaq Global Select Market or comparable trading system.</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connection with such registration statement, in each case, subject to the requirement that recipients execute appropriate confidentiality agreements.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Provide a transfer agent and registrar for all such Registrable Securities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Company shall be obligated to reissue promptly unlegended certificates or other evidence of ownership at the request of any Holder thereof if such Holder shall have obtained an opinion of counsel, which counsel may be counsel to the Company, reasonably acceptable to the Company (it being understood that (i) internal counsel of CHS shall be deemed acceptable for transfers by CHS, (ii) internal counsel of Nexus shall be deemed acceptable for transfers by Nexus, and (iii) internal counsel of Story3 shall be deemed acceptable for transfers by Story3) to the effect that the securities proposed to be disposed of may be lawfully disposed of without registration, qualification and legend.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 Following the Exchange Closing, any selling Holder of Registrable Securities included in a Shelf Registration Statement (an “</w:t>
      </w:r>
      <w:r>
        <w:rPr>
          <w:rFonts w:ascii="Times New Roman" w:cs="Times New Roman" w:eastAsia="Times New Roman" w:hAnsi="Times New Roman"/>
          <w:sz w:val="18"/>
          <w:szCs w:val="18"/>
          <w:u w:val="single" w:color="auto"/>
          <w:color w:val="auto"/>
        </w:rPr>
        <w:t>Initiating Shelf Holder</w:t>
      </w:r>
      <w:r>
        <w:rPr>
          <w:rFonts w:ascii="Times New Roman" w:cs="Times New Roman" w:eastAsia="Times New Roman" w:hAnsi="Times New Roman"/>
          <w:sz w:val="18"/>
          <w:szCs w:val="18"/>
          <w:color w:val="auto"/>
        </w:rPr>
        <w:t>”) may initiate an offering or sale of all or part of such Registrable Securities (a “</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xml:space="preserve">”), in which case the provisions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apply.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jc w:val="both"/>
        <w:ind w:firstLine="1304"/>
        <w:spacing w:after="0" w:line="253" w:lineRule="auto"/>
        <w:tabs>
          <w:tab w:leader="none" w:pos="15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Marketed Underwritten Shelf Take-Downs</w:t>
      </w:r>
      <w:r>
        <w:rPr>
          <w:rFonts w:ascii="Times New Roman" w:cs="Times New Roman" w:eastAsia="Times New Roman" w:hAnsi="Times New Roman"/>
          <w:sz w:val="18"/>
          <w:szCs w:val="18"/>
          <w:color w:val="auto"/>
        </w:rPr>
        <w:t>. If an Initiating Shelf Holder so elects in a written request delivered to the Company (an “</w:t>
      </w:r>
      <w:r>
        <w:rPr>
          <w:rFonts w:ascii="Times New Roman" w:cs="Times New Roman" w:eastAsia="Times New Roman" w:hAnsi="Times New Roman"/>
          <w:sz w:val="18"/>
          <w:szCs w:val="18"/>
          <w:u w:val="single" w:color="auto"/>
          <w:color w:val="auto"/>
        </w:rPr>
        <w:t>Underwritten Shelf Take-Down Notice</w:t>
      </w:r>
      <w:r>
        <w:rPr>
          <w:rFonts w:ascii="Times New Roman" w:cs="Times New Roman" w:eastAsia="Times New Roman" w:hAnsi="Times New Roman"/>
          <w:sz w:val="18"/>
          <w:szCs w:val="18"/>
          <w:color w:val="auto"/>
        </w:rPr>
        <w:t>”), a Shelf Take-Down may be in the form of an underwritten offering (an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and the Company shall file and effect an amendment or supplement to its Shelf Registration Statement (including the filing of a supplemental prospectus) for such purpose as promptly as reasonably practicable. Such Initiating Shelf Holder shall indicate in such Underwritten Shelf Take-Down Notice whether it intends for such Underwritten Shelf Take-Down to involve a customary “road show” (including an “electronic road show”) or other substantial marketing effort by the underwriters over a period of at least 48 hours (a “</w:t>
      </w:r>
      <w:r>
        <w:rPr>
          <w:rFonts w:ascii="Times New Roman" w:cs="Times New Roman" w:eastAsia="Times New Roman" w:hAnsi="Times New Roman"/>
          <w:sz w:val="18"/>
          <w:szCs w:val="18"/>
          <w:u w:val="single" w:color="auto"/>
          <w:color w:val="auto"/>
        </w:rPr>
        <w:t>Marketed Underwritten Shelf Take-Down</w:t>
      </w:r>
      <w:r>
        <w:rPr>
          <w:rFonts w:ascii="Times New Roman" w:cs="Times New Roman" w:eastAsia="Times New Roman" w:hAnsi="Times New Roman"/>
          <w:sz w:val="18"/>
          <w:szCs w:val="18"/>
          <w:color w:val="auto"/>
        </w:rPr>
        <w:t>”). Upon receipt of an Underwritten Shelf Take-Down Notice indicating that such Underwritten Shelf Take-Down will be a Marketed Underwritten Shelf Take-Down, the Company shall as promptly as reasonably practicable (but in any event no later than two (2) Business Days after receipt of the notice for such Marketed Underwritten Shelf Take-Down) give written notice of such Marketed Underwritten Shelf Take-Down to all other Holders of Registrable Securities and shall permit the participation of all such Shelf Holders that request inclusion in such Marketed Underwritten Shelf Take-Down who respond in writing within three (3) Business Days after the receipt of such notice of their election to participate.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Non-Marketed Underwritten Shelf Take-Downs</w:t>
      </w:r>
      <w:r>
        <w:rPr>
          <w:rFonts w:ascii="Times New Roman" w:cs="Times New Roman" w:eastAsia="Times New Roman" w:hAnsi="Times New Roman"/>
          <w:sz w:val="18"/>
          <w:szCs w:val="18"/>
          <w:color w:val="auto"/>
        </w:rPr>
        <w:t>. If the Initiating Shelf Holder desires to effect an Underwritten Shelf Take-Down that does not constitute a Marketed Underwritten Shelf Take-Down (a “</w:t>
      </w:r>
      <w:r>
        <w:rPr>
          <w:rFonts w:ascii="Times New Roman" w:cs="Times New Roman" w:eastAsia="Times New Roman" w:hAnsi="Times New Roman"/>
          <w:sz w:val="18"/>
          <w:szCs w:val="18"/>
          <w:u w:val="single" w:color="auto"/>
          <w:color w:val="auto"/>
        </w:rPr>
        <w:t>Non-Marketed Underwritten Shelf Take-Down</w:t>
      </w:r>
      <w:r>
        <w:rPr>
          <w:rFonts w:ascii="Times New Roman" w:cs="Times New Roman" w:eastAsia="Times New Roman" w:hAnsi="Times New Roman"/>
          <w:sz w:val="18"/>
          <w:szCs w:val="18"/>
          <w:color w:val="auto"/>
        </w:rPr>
        <w:t xml:space="preserve">”), the Initiating Shelf Holder shall so indicate in a written request delivered to the Company no later than two (2) Business Days prior to the expected date of such Non-Marketed Underwritten Shelf Take-Down, which request shall include (i) the total number of Registrable Securities expected to be offered and sold in such Non-Marketed Underwritten Shelf Take-Down, (ii) the expected plan of distribution of such Non-Marketed Underwritten Shelf Take-Down, (iii) the action or actions required (including the timing thereof) in connection with such Non-Marketed Underwritten Shelf Take-Down (including the delivery of one or more stock certificates representing shares of Registrable Securities to be sold in such Non-Marketed Underwritten Shelf Take-Down), and (iv) at the option and in the sole discretion of such Initiating Shelf Holder, an election that such Non-Marketed Underwritten Shelf Take-Down shall be subject to </w:t>
      </w:r>
      <w:r>
        <w:rPr>
          <w:rFonts w:ascii="Times New Roman" w:cs="Times New Roman" w:eastAsia="Times New Roman" w:hAnsi="Times New Roman"/>
          <w:sz w:val="18"/>
          <w:szCs w:val="18"/>
          <w:u w:val="single" w:color="auto"/>
          <w:color w:val="auto"/>
        </w:rPr>
        <w:t>Section 4.02(d)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Non-Marketed Underwritten Shelf Take-Down Piggyback Election</w:t>
      </w:r>
      <w:r>
        <w:rPr>
          <w:rFonts w:ascii="Times New Roman" w:cs="Times New Roman" w:eastAsia="Times New Roman" w:hAnsi="Times New Roman"/>
          <w:sz w:val="18"/>
          <w:szCs w:val="18"/>
          <w:color w:val="auto"/>
        </w:rPr>
        <w:t>”), and the Company shall file and effect an amendment or supplement to its Shelf Registration Statement (including the filing of a supplemental prospectus) for such purpose as promptly as reasonably practicable (and in any event within three (3) Business Days).</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Take-Down Piggyback Election</w:t>
      </w:r>
      <w:r>
        <w:rPr>
          <w:rFonts w:ascii="Times New Roman" w:cs="Times New Roman" w:eastAsia="Times New Roman" w:hAnsi="Times New Roman"/>
          <w:sz w:val="18"/>
          <w:szCs w:val="18"/>
          <w:color w:val="auto"/>
        </w:rPr>
        <w:t xml:space="preserve">. Upon receipt from any Holder of a written request pursuant to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that contains an affirmative Non-Marketed Underwritten Shelf Take-Down Piggyback Election, the Company shall provide written notice (a “</w:t>
      </w:r>
      <w:r>
        <w:rPr>
          <w:rFonts w:ascii="Times New Roman" w:cs="Times New Roman" w:eastAsia="Times New Roman" w:hAnsi="Times New Roman"/>
          <w:sz w:val="18"/>
          <w:szCs w:val="18"/>
          <w:u w:val="single" w:color="auto"/>
          <w:color w:val="auto"/>
        </w:rPr>
        <w:t>Non-Marketed Underwritten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Shelf Take-Down Notice</w:t>
      </w:r>
      <w:r>
        <w:rPr>
          <w:rFonts w:ascii="Times New Roman" w:cs="Times New Roman" w:eastAsia="Times New Roman" w:hAnsi="Times New Roman"/>
          <w:sz w:val="18"/>
          <w:szCs w:val="18"/>
          <w:color w:val="auto"/>
        </w:rPr>
        <w:t>”) of such Non-Marketed Underwritten Shelf Take-Down promptly to all Holders (other than the requesting Holder), which Non-Marketed Underwritten Shelf Take-Down Notice shall set forth (i) the total number of Registrable Securities expected to be offered and sold in such Non-Marketed Underwritten Shelf Take-Down, (ii) the expected plan of distribution of such Non-Marketed Underwritten Shelf Take-Down, (iii) that each</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jc w:val="both"/>
        <w:spacing w:after="0" w:line="252" w:lineRule="auto"/>
        <w:rPr>
          <w:sz w:val="20"/>
          <w:szCs w:val="20"/>
          <w:color w:val="auto"/>
        </w:rPr>
      </w:pPr>
      <w:r>
        <w:rPr>
          <w:rFonts w:ascii="Times New Roman" w:cs="Times New Roman" w:eastAsia="Times New Roman" w:hAnsi="Times New Roman"/>
          <w:sz w:val="18"/>
          <w:szCs w:val="18"/>
          <w:color w:val="auto"/>
        </w:rPr>
        <w:t>recipient of such Non-Marketed Underwritten Shelf Take-Down Notice (each, a “</w:t>
      </w:r>
      <w:r>
        <w:rPr>
          <w:rFonts w:ascii="Times New Roman" w:cs="Times New Roman" w:eastAsia="Times New Roman" w:hAnsi="Times New Roman"/>
          <w:sz w:val="18"/>
          <w:szCs w:val="18"/>
          <w:u w:val="single" w:color="auto"/>
          <w:color w:val="auto"/>
        </w:rPr>
        <w:t>Notice Recipient</w:t>
      </w:r>
      <w:r>
        <w:rPr>
          <w:rFonts w:ascii="Times New Roman" w:cs="Times New Roman" w:eastAsia="Times New Roman" w:hAnsi="Times New Roman"/>
          <w:sz w:val="18"/>
          <w:szCs w:val="18"/>
          <w:color w:val="auto"/>
        </w:rPr>
        <w:t xml:space="preserve">”) shall have the right, upon the terms and subject to the conditions set forth in this </w:t>
      </w:r>
      <w:r>
        <w:rPr>
          <w:rFonts w:ascii="Times New Roman" w:cs="Times New Roman" w:eastAsia="Times New Roman" w:hAnsi="Times New Roman"/>
          <w:sz w:val="18"/>
          <w:szCs w:val="18"/>
          <w:u w:val="single" w:color="auto"/>
          <w:color w:val="auto"/>
        </w:rPr>
        <w:t>Section 4.02(d)</w:t>
      </w:r>
      <w:r>
        <w:rPr>
          <w:rFonts w:ascii="Times New Roman" w:cs="Times New Roman" w:eastAsia="Times New Roman" w:hAnsi="Times New Roman"/>
          <w:sz w:val="18"/>
          <w:szCs w:val="18"/>
          <w:color w:val="auto"/>
        </w:rPr>
        <w:t xml:space="preserve">, to elect to sell up to its Non-Marketed Take-Down Share, and (iv) the action or actions required (including the timing thereof, which for the avoidance of doubt shall not require any delay in the expected date of such Non-Marketed Underwritten Shelf Take-Down or extension of the Company’s obligation to file and effect an amendment or supplement to its Shelf Registration Statement as soon as practicable (and in any event within three (3) Business Days) of the Initiating Shelf Holder’s Non-Marketed Underwritten Shelf Take-Down request pursuant to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in connection with such Non-Marketed Underwritten Shelf Take-Down with respect to each Notice Recipient that elects to exercise such right (including the delivery of one or more stock certificates representing shares of Registrable Securities held by such Notice Recipient to be sold in such Non-Marketed Underwritten Shelf Take-Down). Upon receipt of such Non-Marketed Underwritten Shelf Take-Down Notice, each such Notice Recipient may elect to sell up to its Non-Marketed Take-Down Share with respect to each such Non-Marketed Underwritten Shelf Take-Down by taking such action or actions referred to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in a timely manner. If the Initiating Shelf Holder does not elect to sell all of its respective Non-Marketed Take-Down Share, the unelected portion of such Non-Marketed Take-Down Share shall be allocated to the Notice Recipients, pro rata based on their respective Non-Marketed Take-Down Shares. Notwithstanding the delivery of any Non-Marketed Underwritten Shelf Take-Down Notice, all determinations as to whether to complete any Non-Marketed Underwritten Shelf Take-Down and as to the timing, manner, price and other terms of any Non-Marketed Underwritten Shelf Take-Down contemplated by </w:t>
      </w:r>
      <w:r>
        <w:rPr>
          <w:rFonts w:ascii="Times New Roman" w:cs="Times New Roman" w:eastAsia="Times New Roman" w:hAnsi="Times New Roman"/>
          <w:sz w:val="18"/>
          <w:szCs w:val="18"/>
          <w:u w:val="single" w:color="auto"/>
          <w:color w:val="auto"/>
        </w:rPr>
        <w:t>Section 4.02(d)</w:t>
      </w:r>
      <w:r>
        <w:rPr>
          <w:rFonts w:ascii="Times New Roman" w:cs="Times New Roman" w:eastAsia="Times New Roman" w:hAnsi="Times New Roman"/>
          <w:sz w:val="18"/>
          <w:szCs w:val="18"/>
          <w:color w:val="auto"/>
        </w:rPr>
        <w:t xml:space="preserve"> shall be at the discretion of the Initiating Shelf Holder.</w:t>
      </w:r>
    </w:p>
    <w:p>
      <w:pPr>
        <w:spacing w:after="0" w:line="19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Participation by Selling Holders</w:t>
      </w:r>
      <w:r>
        <w:rPr>
          <w:rFonts w:ascii="Times New Roman" w:cs="Times New Roman" w:eastAsia="Times New Roman" w:hAnsi="Times New Roman"/>
          <w:sz w:val="18"/>
          <w:szCs w:val="18"/>
          <w:color w:val="auto"/>
        </w:rPr>
        <w:t>. The Company may require each seller of Registrable Securities as to which any registration is being effected to furnish the Company such information regarding such seller and the distribution of such securities as the Company may from time to time reasonably request in writing and which shall be required by the Securities Act (or similar state Laws) or by the SEC in connection therewith.</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Discontinue Selling</w:t>
      </w:r>
      <w:r>
        <w:rPr>
          <w:rFonts w:ascii="Times New Roman" w:cs="Times New Roman" w:eastAsia="Times New Roman" w:hAnsi="Times New Roman"/>
          <w:sz w:val="18"/>
          <w:szCs w:val="18"/>
          <w:color w:val="auto"/>
        </w:rPr>
        <w:t>. Each seller of Registrable Securities agrees that, upon written notice of (i) the happening of any event as a result of which the prospectus included in any registration statement contains an untrue statement of a material fact or omits any material fact necessary to make the statements therein not misleading, or (ii) the issuance of a stop order suspending the effectiveness of any registration statement, such seller will use commercially reasonable efforts to forthwith discontinue disposition of Registrable Securities pursuant to such registration statement until such seller is advised in writing by the Company that the use of the prospectus may be resumed and if applicable is furnished with a supplemented or amended prospectus as contemplated by Section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.01(f). If the Company shall give any notice to suspend the disposition of Registrable Securities pursuant to a prospectus, the Company shall extend the period of time during which the Company is required to maintain the registration statement effective pursuant to this Agreement by the number of days during the period from and including the date of the giving of such notice to and including the date such seller either is advised by the Company that the use of the prospectus may be resumed or if applicable receives the copies of the supplemented or amended prospectus contemplated by Section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-575945</wp:posOffset>
            </wp:positionV>
            <wp:extent cx="6851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1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-27305</wp:posOffset>
            </wp:positionV>
            <wp:extent cx="6851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165" cy="8890"/>
                    </a:xfrm>
                    <a:prstGeom prst="rect">
                      <a:avLst/>
                    </a:prstGeom>
                    <a:noFill/>
                  </pic:spPr>
                </pic:pic>
              </a:graphicData>
            </a:graphic>
          </wp:anchor>
        </w:drawing>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Additional Procedures in Connection with Underwritten Offerings; Cutbacks</w:t>
      </w:r>
    </w:p>
    <w:p>
      <w:pPr>
        <w:spacing w:after="0" w:line="22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Registrations Upon Request Pursuant to Article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the case of a registration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whenever the Majority Participating Holders shall request that such registration shall be effected pursuant to an underwritten offering, such registration shall be so effected, and only securities which are to be distributed by the underwriters, which underwriters shall be designated by the Majority Participating Holders and shall be reasonably acceptable to the Company, may be included in such registration. If requested by such underwriters, the Company and each participating seller will enter into an underwriting agreement with such underwriters for such offering containing such representations and warranties by the Company and such participating sellers and such other terms and provisions as are customarily contained in underwriting agreements with respect to secondary distributions, including customary indemnity and contribution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liability of each Holder in respect of any indemnification, contribution or other obligation of such Holder arising under such underwriting agreement (i) shall be limited to losses arising out of or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by or on behalf of such Holder expressly for inclusion therein, and (ii) 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Piggyback Registrations Pursuant to 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connection with the exercise of any registration rights granted to Holders of Registrable Securities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if the registration is to be effected by means of an underwritten offering of Class A Common Stock on a firm commitment basis, the Company may condition participation in such registration by such Holders upon inclusion of the Registrable Securities being so registered in such underwriting. The Holders of Registrable Securities participating in any registration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be parties to the underwriting agreement entered into by the Company and any other selling stockholders in connection therewith containing such representations and warranties by the Company and such participating sellers and such other terms and provisions as are customarily contained in underwriting agreements with respect to secondary distributions, including customary indemnity and contribution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liability of each Holder in respect of any indemnification, contribution or other obligation of such Holder arising under such underwriting agreement (i) shall be limited to losses arising out of or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by or on behalf of such Holder expressly for inclusion therein, and (ii) 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Cutbacks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7" w:lineRule="auto"/>
        <w:tabs>
          <w:tab w:leader="none" w:pos="155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Cutbacks. If the SEC sets forth a limitation on the number of Registrable Securities permitted to be registered on a Shelf Registration Statement as a secondary offering (and notwithstanding that the Company used reasonable best efforts to advocate with the SEC for the registration of all or a greater portion of Registrable Securities), unless otherwise directed in writing by a Registrable Investor as to its Registrable Securities, the number of Registrable Securities to be registered on such Shelf Registration Statement will be reduced as follows: (i) first, the Company shall reduce or eliminate any securities to be included other than Registrable Securities, and (ii) second, the Company shall reduce Registrable Securities applied to the Registrable Investors on a pro rata basis based on the total number of Registrable Securities held by such Registrable Investors.</w:t>
      </w:r>
    </w:p>
    <w:p>
      <w:pPr>
        <w:spacing w:after="0" w:line="182"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Cutbacks. If the managing underwriter advises the Company that the number of shares to be included in a registration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should be limited due to market conditions, (i) all shares of securities held by stockholders of the Company other than Holders of Registrable Securities shall first be excluded, (ii) next, if additional shares must be excluded from such registration, all Holders of Registrable Securities shall share pro rata in the number of shares of Registrable Securities to be excluded from such registration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such sharing to be based on the respective numbers of Registrable Securities owned by such Holders, and (iii) thereafter, if additional shares must be excluded from such registration, shares to be sold for the account of the Company shall be excluded;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exclusion provided for herein shall reduce the amount of Registrable Securities to be included in such registration to an amount that is less than twenty-five percent (25%) of the total amount of shares to be included in such registration based on aggregate market value.</w:t>
      </w:r>
    </w:p>
    <w:p>
      <w:pPr>
        <w:spacing w:after="0" w:line="18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4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cutback under this Section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 the Company shall give each affected Registrable Investor at least three (3) Business Days prior written notice along with the calculations as to such Registrable Investor’s allotment. In the event the Company amends the Shelf Registration Statement in accordance with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 the Company will use its reasonable best efforts to file with the SEC, as promptly as allowed by the SEC Guidance provided to the Company or to registrants of securities in general, one or more registration statements on Form S-3 or such other form available to register for resale those Registrable Securities that were not registered for resale on the Shelf Registration Statement,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-2777490</wp:posOffset>
            </wp:positionV>
            <wp:extent cx="8928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92810" cy="8255"/>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-1817370</wp:posOffset>
            </wp:positionV>
            <wp:extent cx="9309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0910" cy="825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-582930</wp:posOffset>
            </wp:positionV>
            <wp:extent cx="5708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-308610</wp:posOffset>
            </wp:positionV>
            <wp:extent cx="5797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 and Contribution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Indemnities of the Company</w:t>
      </w:r>
      <w:r>
        <w:rPr>
          <w:rFonts w:ascii="Times New Roman" w:cs="Times New Roman" w:eastAsia="Times New Roman" w:hAnsi="Times New Roman"/>
          <w:sz w:val="18"/>
          <w:szCs w:val="18"/>
          <w:color w:val="auto"/>
        </w:rPr>
        <w:t xml:space="preserve">. In the event of any registration of any Registrable Securities under the Securities Act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and in connection with any registration statement or any other disclosure document produced by or on behalf of the Company or any of its Subsidiaries in connection with any such registration, the Company will, and hereby does, indemnify and hold harmless each Holder of Registrable Securities, their respective direct and indirect partners, members, stockholders, directors, advisory board members, officers, investment advisors, representatives on the Board, and each other Person, if any, who controls or is alleged to control any such Holder of Registrable Securities, within the meaning of</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jc w:val="both"/>
        <w:spacing w:after="0" w:line="252" w:lineRule="auto"/>
        <w:rPr>
          <w:sz w:val="20"/>
          <w:szCs w:val="20"/>
          <w:color w:val="auto"/>
        </w:rPr>
      </w:pPr>
      <w:r>
        <w:rPr>
          <w:rFonts w:ascii="Times New Roman" w:cs="Times New Roman" w:eastAsia="Times New Roman" w:hAnsi="Times New Roman"/>
          <w:sz w:val="18"/>
          <w:szCs w:val="18"/>
          <w:color w:val="auto"/>
        </w:rPr>
        <w:t>Section 15 of the Securities Act or Section 20 of the Exchange Act (each such Person being referred to herein as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xml:space="preserve">”), against any losses, claims, damages or liabilities (or Actions in respect thereof), joint or several, to which such Covered Person may be or become subject under the Securities Act, the Exchange Act, any other securities or other Law of any jurisdiction, common law or otherwise, insofar as such losses, claims, damages or liabilities (or Actions in respect thereof) arise out of or are based upon any (i) untrue statement or alleged untrue statement of any material fact contained or incorporated by reference in any such registration statement under the Securities Act, any preliminary prospectus or final prospectus included therein, or any related summary prospectus, free writing prospectus or any amendment or supplement thereto, or any document incorporated by reference therein, (ii) omission or alleged omission to state therein a material fact required to be stated therein or necessary to make the statements therein not misleading, or (iii) violation or alleged violation of any federal, state, foreign or common law rule or regulation applicable to the Company or any of its Subsidiaries and relating to action or inaction in connection with any such registration, disclosure document or other document or report, and will reimburse such Covered Person for any legal or any other expenses reasonably incurred by it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liable to any selling Holder in any such case for any such loss, claim, damage, liability or Action to the extent that it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relating to such selling Holder by or on behalf of such selling Holder expressly for inclusion therein (which information shall be limited to the name of such selling Holder, the address of such selling Holder, the number of shares of Class A Common Stock held by such selling Holder, the number of shares of Class A Common Stock being offered by such selling Holder in the offering and the nature of the beneficial ownership of the Class A Common Stock owned by such selling Holder). The indemnities of the Company contained in this Section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shall remain in full force and effect regardless of any investigation made by or on behalf of such Covered Person and shall survive any transfer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2759710</wp:posOffset>
            </wp:positionH>
            <wp:positionV relativeFrom="paragraph">
              <wp:posOffset>-166370</wp:posOffset>
            </wp:positionV>
            <wp:extent cx="5708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Indemnities to the Company</w:t>
      </w:r>
      <w:r>
        <w:rPr>
          <w:rFonts w:ascii="Times New Roman" w:cs="Times New Roman" w:eastAsia="Times New Roman" w:hAnsi="Times New Roman"/>
          <w:sz w:val="18"/>
          <w:szCs w:val="18"/>
          <w:color w:val="auto"/>
        </w:rPr>
        <w:t xml:space="preserve">. In the event of any registration of Registrable Securities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each selling Holder will, and hereby does, severally and not jointly, indemnify and hold harmless the Company, each Director, each officer of the Company who shall sign such registration statement and each other Person (other than such seller), if any, who controls the Company within the meaning of Section 15 of the Securities Act or Section 20 of the Exchange Act, with respect to any statement in or omission from such registration statement, any preliminary prospectus, final prospectus or summary prospectus included therein, or any amendment or supplement thereto, any free writing prospectus, or any document incorporated by reference therein, or any other such disclosure document (including reports and other documents filed under the Exchange Act and any document incorporated by reference therein) or other document or report, if such statement or omission was made in reliance upon and in conformity with written information relating to such selling Holder furnished to the Company by or on behalf of such selling Holder expressly for inclusion therein (which information shall be limited to the name of such selling Holder, the address of such selling Holder, the number of shares of Class A Common Stock held by such selling Holder, the number of shares of Class A</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0" w:name="page131"/>
    <w:bookmarkEnd w:id="130"/>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being offered by such selling Holder in the offering and the nature of the beneficial ownership of the Class A Common Stock owned by such selling Holder). Such indemnity contained in this Section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.02 shall remain in full force and effect regardless of any investigation made by or on behalf of the Company or any such Director, officer or controlling Person and shall survive any transfer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-175895</wp:posOffset>
            </wp:positionV>
            <wp:extent cx="5797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5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xml:space="preserve">. Promptly after receipt by an indemnified party of notice of the commencement of any Action involving a claim of the type referred to in the foregoing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such indemnified party will, if a claim in respect thereof is to be made against any indemnifying party, give written notice to each such indemnifying party of the commencement of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of any indemnified party to give notice to such indemnifying party as provided herein shall not relieve such indemnifying party of its obligations under the foregoing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except and solely to the extent that such indemnifying party is actually prejudiced by such failure to give notice. In case any such Action is brought against an indemnified party, each indemnifying party will be entitled to participate in and to assume the defense thereof, jointly with any other indemnifying party similarly notified, to the extent that it may wish, with counsel reasonably satisfactory to such indemnified party (who shall not, except with the consent of the indemnified party, be counsel to such an indemnifying party), and after notice from an indemnifying party to such indemnified party of its election so to assume the defense thereof, such indemnifying party will not be liable to such indemnified party for any legal or other expenses subsequently incurred by the latter in connection with the defense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indemnified party in good faith determines that there may be a conflict between the positions of such indemnifying party and the indemnified party in conducting the defense of such Action or that there may be defenses available to such indemnified party different from or in addition to those available to such indemnifying party, then (i) counsel for the indemnified party shall conduct the defense of the indemnified party to the extent in good faith determined by such counsel to be necessary to protect the interests of the indemnified party and such indemnifying party shall employ separate counsel for its own defense, (ii) the indemnified party shall be entitled to have counsel chosen by such indemnified party participate in, but not conduct, the defense and (iii) the indemnifying party shall bear the legal expenses reasonably incurred in connection with the conduct of, and the participation in, the defense as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within a reasonable time after receipt of the notice, such indemnifying party shall not have elected to assume the defense of the Action, such indemnifying party shall be responsible for any legal or other expenses reasonably incurred by such indemnified party in connection with the defense of the Action.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 and no indemnified party shall consent to entry of any judgment or enter into any settlement without the prior written consent of the indemnifying party, which consent shall not be unreasonably withheld, conditioned or delayed.</w:t>
      </w:r>
    </w:p>
    <w:p>
      <w:pPr>
        <w:spacing w:after="0" w:line="20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Sections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or 6</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xml:space="preserve"> is unavailable to a Party that would have been an indemnified party under any such Section in respect of any losses, claims, damages or liabilities (or Actions in respect thereof) referred to therein, then each Party that would have been an indemnifying party thereunder shall, in lieu of indemnifying such indemnified party, contribute to the amount paid or payable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-447675</wp:posOffset>
            </wp:positionV>
            <wp:extent cx="6153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jc w:val="both"/>
        <w:spacing w:after="0" w:line="253" w:lineRule="auto"/>
        <w:rPr>
          <w:sz w:val="20"/>
          <w:szCs w:val="20"/>
          <w:color w:val="auto"/>
        </w:rPr>
      </w:pPr>
      <w:r>
        <w:rPr>
          <w:rFonts w:ascii="Times New Roman" w:cs="Times New Roman" w:eastAsia="Times New Roman" w:hAnsi="Times New Roman"/>
          <w:sz w:val="18"/>
          <w:szCs w:val="18"/>
          <w:color w:val="auto"/>
        </w:rPr>
        <w:t>indemnified party as a result of such losses, claims, damages or liabilities (or Actions in respect thereof) in such proportion as is appropriate to reflect the relative fault of such indemnifying party on the one hand and such indemnified party on the other in connection with the statements or omissions which resulted in such losses, claims, damages or liabilities (or Actions in respect thereof). The relative fault shall be determined by a court of competent jurisdiction by reference to, among other things, whether the untrue or alleged untrue statement of a material fact or the omission or alleged omission to state a material fact relates to information supplied by such indemnifying party or such indemnified party and the parties’ relative intent, knowledge, access to information and opportunity to correct or prevent such statement or omission. The Parties agree that it would not be just and equitable if contribution pursuant to this Section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.04 were determined by pro rata allocation or by any other method of allocation which does not take account of the equitable considerations referred to in the preceding sentence. The amount paid or payable by a contributing Party as a result of the losses, claims, damages or liabilities (or Actions in respect thereof) referred to above in this Section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.04 shall include any legal or other expenses reasonably incurred by such indemnified party in connection with investigating or defending any such Action. No Person guilty of fraudulent misrepresentation (within the meaning of Section 11(f) of the Securities Act) shall be entitled to contribution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-577215</wp:posOffset>
            </wp:positionV>
            <wp:extent cx="5797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-302895</wp:posOffset>
            </wp:positionV>
            <wp:extent cx="5880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17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Limitation on Liability of Holders of Registrable Securities</w:t>
      </w:r>
      <w:r>
        <w:rPr>
          <w:rFonts w:ascii="Times New Roman" w:cs="Times New Roman" w:eastAsia="Times New Roman" w:hAnsi="Times New Roman"/>
          <w:sz w:val="18"/>
          <w:szCs w:val="18"/>
          <w:color w:val="auto"/>
        </w:rPr>
        <w:t xml:space="preserve">. The liability of each Holder in respect of any indemnification or contribution obligation of such Holder arising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not in any event exceed an aggregate amount equal to the net proceeds to such Holder (after deduction of all underwriters’ discounts and commissions and any other damages payable by such Holder in connection with such registration) from the disposition of the Registrable Securities disposed of by such Holder pursuant to such registration less any other damages paid by such Holder with respect to claims relating to such registration.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Reports Under Securities Exchange Act of 1934.</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With a view to making available to the Holders the benefits of Rule 144 and any other rule or regulation of the SEC that may at any time permit a Holder to sell securities of the Company to the public without registration, and with a view to making it possible for Holders to register the Registrable Securities pursuant to a registration on Form S-3, the Company agrees, following the Exchange Closing, to:</w:t>
      </w:r>
    </w:p>
    <w:p>
      <w:pPr>
        <w:spacing w:after="0" w:line="176" w:lineRule="exact"/>
        <w:rPr>
          <w:sz w:val="20"/>
          <w:szCs w:val="20"/>
          <w:color w:val="auto"/>
        </w:rPr>
      </w:pPr>
    </w:p>
    <w:p>
      <w:pPr>
        <w:ind w:firstLine="1304"/>
        <w:spacing w:after="0" w:line="282" w:lineRule="auto"/>
        <w:tabs>
          <w:tab w:leader="none" w:pos="156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make and keep adequate current public information available, as those terms are understood and defined in Rule 144, at all times;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file with the SEC in a timely manner all reports and other documents required of the Company under the Securities Act and the Exchange Act;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forthwith upon request (i) a written statement by the Company as to its compliance or non-compliance with the reporting requirements of Rule 144, the Securities Act and the Exchange Act, or as to its qualification as a registrant whose securities may be resold pursuant to Form S-3 (at any time after it so qualifies), (ii) a copy of the most recent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jc w:val="both"/>
        <w:spacing w:after="0" w:line="266" w:lineRule="auto"/>
        <w:rPr>
          <w:sz w:val="20"/>
          <w:szCs w:val="20"/>
          <w:color w:val="auto"/>
        </w:rPr>
      </w:pPr>
      <w:r>
        <w:rPr>
          <w:rFonts w:ascii="Times New Roman" w:cs="Times New Roman" w:eastAsia="Times New Roman" w:hAnsi="Times New Roman"/>
          <w:sz w:val="18"/>
          <w:szCs w:val="18"/>
          <w:color w:val="auto"/>
        </w:rPr>
        <w:t>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Assignment of Registration Rights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The consent of the Company shall not be required for an assignment by any Holder to (a) any Person to which shares of Class A Common Stock are transferred by such Holder, or (b) any Affiliate of such Holder, in each case, of the rights to cause the Company to register Registrable Securities pursuant to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transferee to whom rights under this Agreement are transferred shall (i) as a condition to such transfer, deliver to the Company a written instrument by which such transferee agrees to be bound by the obligations imposed upon Holders under this Agreement to the same extent as if such transferee were a Holder under this Agreement, and (ii) be deemed to be a Holder hereunder.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Limitation on Subsequent Registration Rights; Termination of Registration Rights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9.01. Following the Exchange Closing, the Company shall not, without the prior written consent of the Registrable Investors holding a majority of the voting power of the then outstanding Class A Common Stock held by all Registrable Investors, enter into any agreement with any holder or prospective holder of any securities of the Company that would allow such holder or prospective holder (a) to make a demand registration at any time when holders of Registrable Securities are not able to fully exercise their rights hereunder (due to a permitted deferral by the Company or otherwise), or (b) reduce the number of Registrable Securities that may be included in any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limitation shall not apply to any additional Registrable Investor who becomes a Party to this Agreement in accordance with Section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-31750</wp:posOffset>
            </wp:positionV>
            <wp:extent cx="628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9.02. The rights granted to each Holder of Registrable Securities pursuant to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with respect to any request or requests for registration made by such Holder will terminate upon the earliest of (a) such time that (i) such Holder owns less than one percent (1%) of the Class A Common Stock, and (ii) all such Registrable Securities held by such Holder may be sold without registration under the Securities Act pursuant to Rule 144(b)(1)(i) under the Securities Act (and without the requirement for the Company to be in compliance with the current public information required under Rule 144(c)(1)), and (b) following the occurrence of an event of liquidation, dissolution or winding up of the affairs of the Company, whether voluntary or involuntary.</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Future Changes in Registration Requirements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the event that the registration requirements under the Securities Act are amended or eliminated to accommodate a “Company registration” or similar approach, this Agreement shall be deemed amended to the extent necessary to reflect such changes and the intent of the Parties with respect to the benefits and obligations of the Parties, and in such connection, the Company shall use its reasonable best efforts to provide Holders of Registrable Securities equivalent benefits to those provided under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Information Rights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anything in the Existing Credit Agreement, at and following the Exchange Closing, the Company shall deliver to each Major Investor (unless any Major Investor has instructed the Company in writing not to deliver any such information to such Major Investor, in which case the Company shall not deliver such information to the Major Investor making such request):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18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hundred twenty (120) days after the end of each fiscal year of the Company, a copy of the audited consolidated financial statements of the Company and its Subsidiaries and the related audited consolidated statements of income, stockholders equity, and cash flows of the Company and its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2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quarter of each fiscal year of the Company (including the last quarter of each fiscal year of the Company which, for such quarter, shall be a Company prepared draft subject to standard audit adjustments), unaudited consolidated balance sheets of the Company and its Subsidiaries as at the end of such quarter and the related unaudited statements of income and cash flows of the Company and its Subsidiaries for the portion of the fiscal year through the end of such quarter, setting forth in each case in comparative form the figures for the corresponding periods in the previous fiscal year, and certified by an officer of the Company as being fairly stated in all material respects; and</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9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end of each month (including the last month of each quarter and each fiscal year of the Company, which, for such months, shall be a Company prepared draft subject to standard audit adjustments), unaudited consolidated balance sheets of the Company and its Subsidiaries as at the end of such month and the related unaudited statements of income and cash flows of the Company and</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ind w:left="660" w:right="20"/>
        <w:spacing w:after="0" w:line="282" w:lineRule="auto"/>
        <w:rPr>
          <w:sz w:val="20"/>
          <w:szCs w:val="20"/>
          <w:color w:val="auto"/>
        </w:rPr>
      </w:pPr>
      <w:r>
        <w:rPr>
          <w:rFonts w:ascii="Times New Roman" w:cs="Times New Roman" w:eastAsia="Times New Roman" w:hAnsi="Times New Roman"/>
          <w:sz w:val="18"/>
          <w:szCs w:val="18"/>
          <w:color w:val="auto"/>
        </w:rPr>
        <w:t>its Subsidiaries for the portion of the fiscal year through the end of such month, setting forth in each case in comparative form the figures for the corresponding periods in the previous fiscal year, and certified by an officer of the Company as being fairly stated in all material respects.</w:t>
      </w:r>
    </w:p>
    <w:p>
      <w:pPr>
        <w:spacing w:after="0" w:line="162" w:lineRule="exact"/>
        <w:rPr>
          <w:sz w:val="20"/>
          <w:szCs w:val="20"/>
          <w:color w:val="auto"/>
        </w:rPr>
      </w:pPr>
    </w:p>
    <w:p>
      <w:pPr>
        <w:jc w:val="both"/>
        <w:ind w:firstLine="1304"/>
        <w:spacing w:after="0" w:line="256" w:lineRule="auto"/>
        <w:tabs>
          <w:tab w:leader="none" w:pos="158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financial statements shall be complete and correct in all material respects and be prepared in reasonable detail and in accordance with GAAP consistently applied, throughout the periods reflected therein and with prior periods (except as approved by an officer of the Company and disclosed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all the financial statements delivered pursuant to </w:t>
      </w:r>
      <w:r>
        <w:rPr>
          <w:rFonts w:ascii="Times New Roman" w:cs="Times New Roman" w:eastAsia="Times New Roman" w:hAnsi="Times New Roman"/>
          <w:sz w:val="18"/>
          <w:szCs w:val="18"/>
          <w:u w:val="single" w:color="auto"/>
          <w:color w:val="auto"/>
        </w:rPr>
        <w:t>Section 11.01(a)(ii)</w:t>
      </w:r>
      <w:r>
        <w:rPr>
          <w:rFonts w:ascii="Times New Roman" w:cs="Times New Roman" w:eastAsia="Times New Roman" w:hAnsi="Times New Roman"/>
          <w:sz w:val="18"/>
          <w:szCs w:val="18"/>
          <w:color w:val="auto"/>
        </w:rPr>
        <w:t xml:space="preserve"> hereof will not be required to include footnotes and will be subject to change as a result of audit and year-end adjustments, and (ii) all the financial statements delivered pursuant to </w:t>
      </w:r>
      <w:r>
        <w:rPr>
          <w:rFonts w:ascii="Times New Roman" w:cs="Times New Roman" w:eastAsia="Times New Roman" w:hAnsi="Times New Roman"/>
          <w:sz w:val="18"/>
          <w:szCs w:val="18"/>
          <w:u w:val="single" w:color="auto"/>
          <w:color w:val="auto"/>
        </w:rPr>
        <w:t>Section 11.01(a)(iii)</w:t>
      </w:r>
      <w:r>
        <w:rPr>
          <w:rFonts w:ascii="Times New Roman" w:cs="Times New Roman" w:eastAsia="Times New Roman" w:hAnsi="Times New Roman"/>
          <w:sz w:val="18"/>
          <w:szCs w:val="18"/>
          <w:color w:val="auto"/>
        </w:rPr>
        <w:t xml:space="preserve"> hereof will not be required to include exhibits and will be subject to change as a result of audit, quarterly or year-end adjustments.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Section 11.01(a)(i)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11.01(a)(ii)</w:t>
      </w:r>
      <w:r>
        <w:rPr>
          <w:rFonts w:ascii="Times New Roman" w:cs="Times New Roman" w:eastAsia="Times New Roman" w:hAnsi="Times New Roman"/>
          <w:sz w:val="18"/>
          <w:szCs w:val="18"/>
          <w:color w:val="auto"/>
        </w:rPr>
        <w:t xml:space="preserve"> may be satisfied with respect to financial information of the Company and its Subsidiaries by furnishing Form 10-K or 10-Q of the Company,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information is in lieu of information required to be provided under </w:t>
      </w:r>
      <w:r>
        <w:rPr>
          <w:rFonts w:ascii="Times New Roman" w:cs="Times New Roman" w:eastAsia="Times New Roman" w:hAnsi="Times New Roman"/>
          <w:sz w:val="18"/>
          <w:szCs w:val="18"/>
          <w:u w:val="single" w:color="auto"/>
          <w:color w:val="auto"/>
        </w:rPr>
        <w:t>Section 11.01(a)(iii)</w:t>
      </w:r>
      <w:r>
        <w:rPr>
          <w:rFonts w:ascii="Times New Roman" w:cs="Times New Roman" w:eastAsia="Times New Roman" w:hAnsi="Times New Roman"/>
          <w:sz w:val="18"/>
          <w:szCs w:val="18"/>
          <w:color w:val="auto"/>
        </w:rPr>
        <w:t>, such materials are accompanied by a report and opinion of the Company’s auditor or any other independent accounting firm.</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11.02. Without limiting anything in the Existing Credit Agreement, at and following the Exchange Closing, the Company shall permit each Major Investor, through their authorized attorneys, accountants and representatives (i) at all reasonable times during normal business hours, upon the request of the such Major Investor, to examine the books, accounts, records, ledgers and assets and properties of the Company and its Subsidiaries, (ii) during normal business hours and at their own risk, to enter onto the real property owned or leased by the Company and its Subsidiaries to conduct inspections, investigations or other reviews of such real property, and (iii) at reasonable times during normal business hours and at reasonable intervals, to visit all of the Company’s and its Subsidiaries’ offices, discuss each of the Company’s and its Subsidiaries’ respective financial matters with their respective officers, as applicable, and, by this provision, the Company authorizes, and will cause each of its respective Subsidiaries to authorize, its independent certified or chartered public accountants to discuss the finances and affairs of the Company and/or any of its Subsidiaries and examine any of the Company’s or any of its Subsidiary’s books, reports or records held by such accountants.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Composition and Size of the Board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following the Exchange Closing, each of the Company and the Investors, severally and not jointly, shall take all Necessary Action to cause the full Board to be comprised of seven (7) Directors, inclusive of the Directors nominated by the Investors pursuant to the Director nomination rights set forth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jc w:val="both"/>
        <w:ind w:firstLine="1304"/>
        <w:spacing w:after="0" w:line="266" w:lineRule="auto"/>
        <w:tabs>
          <w:tab w:leader="none" w:pos="155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following the Exchange Closing, at least four Directors shall meet the independence requirements under the applicable rules of Nasdaq. For the avoidance of doubt, JYH’s right to serve as a Director pursuant to </w:t>
      </w:r>
      <w:r>
        <w:rPr>
          <w:rFonts w:ascii="Times New Roman" w:cs="Times New Roman" w:eastAsia="Times New Roman" w:hAnsi="Times New Roman"/>
          <w:sz w:val="18"/>
          <w:szCs w:val="18"/>
          <w:u w:val="single" w:color="auto"/>
          <w:color w:val="auto"/>
        </w:rPr>
        <w:t>Section 12.02(c)</w:t>
      </w:r>
      <w:r>
        <w:rPr>
          <w:rFonts w:ascii="Times New Roman" w:cs="Times New Roman" w:eastAsia="Times New Roman" w:hAnsi="Times New Roman"/>
          <w:sz w:val="18"/>
          <w:szCs w:val="18"/>
          <w:color w:val="auto"/>
        </w:rPr>
        <w:t xml:space="preserve"> shall not be affected by one or more other Directors ceasing to meet such independence requirements.</w:t>
      </w:r>
    </w:p>
    <w:p>
      <w:pPr>
        <w:spacing w:after="0" w:line="171"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4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following the Exchange Closing, but subject to Sections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12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.01(b)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of the Investors, severally and not jointly, and the Company agree to take all Necessary Action so that: (i) the full Board is comprised of the seven (7) Directors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(ii) the Chairman of the Board as of the Exchange Closing shall be a Director approved by the Investor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-314325</wp:posOffset>
            </wp:positionV>
            <wp:extent cx="7994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99465" cy="8890"/>
                    </a:xfrm>
                    <a:prstGeom prst="rect">
                      <a:avLst/>
                    </a:prstGeom>
                    <a:noFill/>
                  </pic:spPr>
                </pic:pic>
              </a:graphicData>
            </a:graphic>
          </wp:anchor>
        </w:drawing>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Election to the Board; Committees</w:t>
      </w:r>
      <w:r>
        <w:rPr>
          <w:rFonts w:ascii="Times New Roman" w:cs="Times New Roman" w:eastAsia="Times New Roman" w:hAnsi="Times New Roman"/>
          <w:sz w:val="18"/>
          <w:szCs w:val="18"/>
          <w:color w:val="auto"/>
        </w:rPr>
        <w:t>. At and following the Exchange Closing:</w:t>
      </w:r>
    </w:p>
    <w:p>
      <w:pPr>
        <w:spacing w:after="0" w:line="225" w:lineRule="exact"/>
        <w:rPr>
          <w:sz w:val="20"/>
          <w:szCs w:val="20"/>
          <w:color w:val="auto"/>
        </w:rPr>
      </w:pPr>
    </w:p>
    <w:p>
      <w:pPr>
        <w:jc w:val="both"/>
        <w:ind w:firstLine="1304"/>
        <w:spacing w:after="0" w:line="266" w:lineRule="auto"/>
        <w:tabs>
          <w:tab w:leader="none" w:pos="156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Nexus continues to own shares of Class A Common Stock equal to or greater than Nexus’ Minimum Ownership Threshold, Nexus shall be entitled to designate for appointment to the Board one (1) Director from time to time (such Director designated by Nexus, the “</w:t>
      </w:r>
      <w:r>
        <w:rPr>
          <w:rFonts w:ascii="Times New Roman" w:cs="Times New Roman" w:eastAsia="Times New Roman" w:hAnsi="Times New Roman"/>
          <w:sz w:val="18"/>
          <w:szCs w:val="18"/>
          <w:u w:val="single" w:color="auto"/>
          <w:color w:val="auto"/>
        </w:rPr>
        <w:t>Nexus Director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Story3 continues to own shares of Class A Common Stock equal to or greater than Story3’s Minimum Ownership Threshold, Story3 shall be entitled to designate for appointment to the Board one (1) Director from time to time (such Director designated by Story3, the “</w:t>
      </w:r>
      <w:r>
        <w:rPr>
          <w:rFonts w:ascii="Times New Roman" w:cs="Times New Roman" w:eastAsia="Times New Roman" w:hAnsi="Times New Roman"/>
          <w:sz w:val="18"/>
          <w:szCs w:val="18"/>
          <w:u w:val="single" w:color="auto"/>
          <w:color w:val="auto"/>
        </w:rPr>
        <w:t>Story3 Director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for so long as JYH serves as the Chief Executive Officer of the Company (or for such longer period as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12.03(d)</w:t>
      </w:r>
      <w:r>
        <w:rPr>
          <w:rFonts w:ascii="Times New Roman" w:cs="Times New Roman" w:eastAsia="Times New Roman" w:hAnsi="Times New Roman"/>
          <w:sz w:val="18"/>
          <w:szCs w:val="18"/>
          <w:color w:val="auto"/>
        </w:rPr>
        <w:t>), JYH shall be designated for appointment to the Board and shall continue to serve as a Class III Director, and (ii) for so long as the Founder continues to own shares of Class A Common Stock equal to or greater than the Founder’s Minimum Ownership Threshold, the Founder shall be entitled to designate for appointment to the Board one (1) Director from time to time reasonably acceptable to the Investor Majority (such Director designated by the Founder, the “</w:t>
      </w:r>
      <w:r>
        <w:rPr>
          <w:rFonts w:ascii="Times New Roman" w:cs="Times New Roman" w:eastAsia="Times New Roman" w:hAnsi="Times New Roman"/>
          <w:sz w:val="18"/>
          <w:szCs w:val="18"/>
          <w:u w:val="single" w:color="auto"/>
          <w:color w:val="auto"/>
        </w:rPr>
        <w:t>Founder Director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be entitled to designate for appointment to the Board three (3) Directors from time to time to fill the remaining vacancies on the Board (such Directors, the “</w:t>
      </w:r>
      <w:r>
        <w:rPr>
          <w:rFonts w:ascii="Times New Roman" w:cs="Times New Roman" w:eastAsia="Times New Roman" w:hAnsi="Times New Roman"/>
          <w:sz w:val="18"/>
          <w:szCs w:val="18"/>
          <w:u w:val="single" w:color="auto"/>
          <w:color w:val="auto"/>
        </w:rPr>
        <w:t>Investor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 Directors shall be subject to the approval by the Investor Majority prior to such appointment, and the Investor Majority shall reasonably consider in good faith the views of JYH in connection therewith;</w:t>
      </w:r>
    </w:p>
    <w:p>
      <w:pPr>
        <w:spacing w:after="0" w:line="17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.02(a) through </w:t>
      </w:r>
      <w:r>
        <w:rPr>
          <w:rFonts w:ascii="Times New Roman" w:cs="Times New Roman" w:eastAsia="Times New Roman" w:hAnsi="Times New Roman"/>
          <w:sz w:val="18"/>
          <w:szCs w:val="18"/>
          <w:u w:val="single" w:color="auto"/>
          <w:color w:val="auto"/>
        </w:rPr>
        <w:t>12.02(d)</w:t>
      </w:r>
      <w:r>
        <w:rPr>
          <w:rFonts w:ascii="Times New Roman" w:cs="Times New Roman" w:eastAsia="Times New Roman" w:hAnsi="Times New Roman"/>
          <w:sz w:val="18"/>
          <w:szCs w:val="18"/>
          <w:color w:val="auto"/>
        </w:rPr>
        <w:t xml:space="preserve">, during the term of this Agreement, each of the Investors hereby agrees, severally and not jointly, to appear in person or by proxy and vote, or cause to be voted, all outstanding shares of Class A Common Stock beneficially owned by each of the Investors and any of their controlled Affiliates at any annual or special meeting, or pursuant to any written consent, of Company Stockholders at, or pursuant to, which Directors of the Company are to be elected or removed, and to take all Necessary Action to cause the election or vote against the removal of each of (i) the Nexus Director, (ii) the Story3 Director, (iii) the Founder Director, (iv) so long as JYH serves as the Chief Executive Officer of the Company (or with respect to removals, such longer period as specified in </w:t>
      </w:r>
      <w:r>
        <w:rPr>
          <w:rFonts w:ascii="Times New Roman" w:cs="Times New Roman" w:eastAsia="Times New Roman" w:hAnsi="Times New Roman"/>
          <w:sz w:val="18"/>
          <w:szCs w:val="18"/>
          <w:u w:val="single" w:color="auto"/>
          <w:color w:val="auto"/>
        </w:rPr>
        <w:t>Section 12.03(d))</w:t>
      </w:r>
      <w:r>
        <w:rPr>
          <w:rFonts w:ascii="Times New Roman" w:cs="Times New Roman" w:eastAsia="Times New Roman" w:hAnsi="Times New Roman"/>
          <w:sz w:val="18"/>
          <w:szCs w:val="18"/>
          <w:color w:val="auto"/>
        </w:rPr>
        <w:t>, JYH as a Director, and (v) the Investor Directors, as provided herein and to implement and enforce the provisions set forth in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-855345</wp:posOffset>
            </wp:positionV>
            <wp:extent cx="7994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-32385</wp:posOffset>
            </wp:positionV>
            <wp:extent cx="628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p>
      <w:pPr>
        <w:jc w:val="both"/>
        <w:ind w:firstLine="1304"/>
        <w:spacing w:after="0" w:line="261" w:lineRule="auto"/>
        <w:tabs>
          <w:tab w:leader="none" w:pos="153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(including any requirements under the Exchange Act or the applicable rules of Nasdaq), each of the Nexus Director, the Story3 Director and the Founder Director shall be appointed to each committee of the Board (including the Audit Committee, the Compensation Committee and the Nominating and ESG Committee), with either the Nexus Director or the Story3 Director, or such other Person approved by the Investor Majority, serving as the Chair of each such committee.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Vacancies and Replacements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Nexus, Story3 or the Founder, as applicable, no longer has the right to designate a Director for nomination by the Board pursuant to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.02(a),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.02(b) or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.02(c) (each such occurrence, a “</w:t>
      </w:r>
      <w:r>
        <w:rPr>
          <w:rFonts w:ascii="Times New Roman" w:cs="Times New Roman" w:eastAsia="Times New Roman" w:hAnsi="Times New Roman"/>
          <w:sz w:val="18"/>
          <w:szCs w:val="18"/>
          <w:u w:val="single" w:color="auto"/>
          <w:color w:val="auto"/>
        </w:rPr>
        <w:t>Loss of Designation Rights</w:t>
      </w:r>
      <w:r>
        <w:rPr>
          <w:rFonts w:ascii="Times New Roman" w:cs="Times New Roman" w:eastAsia="Times New Roman" w:hAnsi="Times New Roman"/>
          <w:sz w:val="18"/>
          <w:szCs w:val="18"/>
          <w:color w:val="auto"/>
        </w:rPr>
        <w:t xml:space="preserve">”) or in the event JYH no longer serves as the Chief Executive Officer of the Company, then, unless a majority of Directors (with the affected party’s Board designee(s) abstaining), and in the case of JYH no longer serving as the Chief Executive Officer of the Company, the Board, by unanimous approval, votes in favor of or agrees in writing that such Director or Directors shall not resign as a result of a Loss of Designation Rights or as otherwise provided in </w:t>
      </w:r>
      <w:r>
        <w:rPr>
          <w:rFonts w:ascii="Times New Roman" w:cs="Times New Roman" w:eastAsia="Times New Roman" w:hAnsi="Times New Roman"/>
          <w:sz w:val="18"/>
          <w:szCs w:val="18"/>
          <w:u w:val="single" w:color="auto"/>
          <w:color w:val="auto"/>
        </w:rPr>
        <w:t>Section 12.03(d)</w:t>
      </w:r>
      <w:r>
        <w:rPr>
          <w:rFonts w:ascii="Times New Roman" w:cs="Times New Roman" w:eastAsia="Times New Roman" w:hAnsi="Times New Roman"/>
          <w:sz w:val="18"/>
          <w:szCs w:val="18"/>
          <w:color w:val="auto"/>
        </w:rPr>
        <w:t>, each of Nexus, Story3 or the Founder, as applicable, agrees with the Company (and only with the Company) that it shall take all Necessary Action to cause each of</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2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Nexus Director that Nexus ceases to have the right to designate for nomination as a Nexus Director, (ii) the Story3 Director that Story3 ceases to have the right to designate for nomination as a Story3 Director, (iii) the Founder Director that the Founder ceases to have the right to designate for nomination as the Founder Director, or (iv) JYH in the event she no longer serves as the Chief Executive Officer of the Company,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12.03(d)</w:t>
      </w:r>
      <w:r>
        <w:rPr>
          <w:rFonts w:ascii="Times New Roman" w:cs="Times New Roman" w:eastAsia="Times New Roman" w:hAnsi="Times New Roman"/>
          <w:sz w:val="18"/>
          <w:szCs w:val="18"/>
          <w:color w:val="auto"/>
        </w:rPr>
        <w:t>, respectively, to tender his, her or their resignation(s) from the Board and all applicable committees thereof within three (3) Business Days from the date that Nexus, Story3, the Founder or JYH, as applicable, incurs a Loss of Designation Rights.</w:t>
      </w:r>
    </w:p>
    <w:p>
      <w:pPr>
        <w:spacing w:after="0" w:line="18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a Loss of Designation Rights, (i) each of Nexus, Story3 and the Founder shall have the sole right to request that their respective designated Directors, as applicable, tender their resignations from the Board and all applicable committees thereof, and (ii) the Investor Majority shall have the sole right to request that the Investor Directors tender their resignations from the Board and all applicable committees thereof, in each case, with or without cause at any time, by sending a written notice to such Director and the Company’s Secretary stating the name of the Director or Directors whose resignation from the Board and all applicable committees thereof is requested.</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6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 Loss of Designation Rights subject to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.03(a) and </w:t>
      </w:r>
      <w:r>
        <w:rPr>
          <w:rFonts w:ascii="Times New Roman" w:cs="Times New Roman" w:eastAsia="Times New Roman" w:hAnsi="Times New Roman"/>
          <w:sz w:val="18"/>
          <w:szCs w:val="18"/>
          <w:u w:val="single" w:color="auto"/>
          <w:color w:val="auto"/>
        </w:rPr>
        <w:t>Section 12.02(d)</w:t>
      </w:r>
      <w:r>
        <w:rPr>
          <w:rFonts w:ascii="Times New Roman" w:cs="Times New Roman" w:eastAsia="Times New Roman" w:hAnsi="Times New Roman"/>
          <w:sz w:val="18"/>
          <w:szCs w:val="18"/>
          <w:color w:val="auto"/>
        </w:rPr>
        <w:t>, each of Nexus, Story3, the Founder and the Board (subject to approval of the Investor Majority in accordance with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.02(d)), as applicable, shall have the exclusive right to designate in accordance with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.02(a),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.02(b),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.02(c) or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.02(d), as applicable, a replacement Director for appointment by the Board to fill vacancies created as a result of death, disability, retirement, resignation or removal (with or without cause) or refusal to stand for re-election of their respective Directors, and the Board shall fill any such vacancy of their respective Directors with such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-2914650</wp:posOffset>
            </wp:positionV>
            <wp:extent cx="25146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14600" cy="889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-582930</wp:posOffset>
            </wp:positionV>
            <wp:extent cx="7632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-445770</wp:posOffset>
            </wp:positionV>
            <wp:extent cx="7613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1365" cy="8890"/>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-308610</wp:posOffset>
            </wp:positionV>
            <wp:extent cx="35388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38855" cy="8890"/>
                    </a:xfrm>
                    <a:prstGeom prst="rect">
                      <a:avLst/>
                    </a:prstGeom>
                    <a:noFill/>
                  </pic:spPr>
                </pic:pic>
              </a:graphicData>
            </a:graphic>
          </wp:anchor>
        </w:drawing>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jc w:val="both"/>
        <w:ind w:firstLine="1304"/>
        <w:spacing w:after="0" w:line="261" w:lineRule="auto"/>
        <w:tabs>
          <w:tab w:leader="none" w:pos="15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JYH ceases to serve as the Chief Executive Officer of the Company for any reason, JYH shall tender her resignation from the Board and all applicable committees thereof within three (3) Business Days from the date that JYH ceases to serve as the Chief Executive Officer of the Company, unless the Board, by unanimous approval, votes in favor of or agrees in writing that JYH’s term shall not expire as a result of JYH ceasing to serve as Chief Executive Officer of the Company.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following the Exchange Closing, the Company agrees with each of the Investors, severally and not jointly, that the Board will take all Necessary Action (subject to the Board’s fiduciary duties) to (i) cause the full Board to be comprised of seven (7) Directors inclusive of the Directors nominated by Investors pursuant to the Director nomination rights set forth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(ii) cause the individuals designated in accordance with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.01 to be included in the slate of nominees with respect to the applicable class of Directors (as determined by the Investor Majority) to be elected to the Board at the next annual or special meeting of stockholders of the Company at which Directors of such class are to be elected, in accordance with the Bylaws, Charter and the DGCL and at each annual meeting of stockholders of the Company thereafter at which such Director’s term expires, (iii) cause the Nexus Director, the Story3 Director and the Founder Director to be appointed to each committee of the Board (including the Audit Committee, the Compensation Committee and the Nominating and ESG Committee), with either the Nexus Director or the Story3 Director, or such other Person approved by the Investor Majority, serving as the Chair of each such committee, and (iv) cause the individuals designated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12.03(c)</w:t>
      </w:r>
      <w:r>
        <w:rPr>
          <w:rFonts w:ascii="Times New Roman" w:cs="Times New Roman" w:eastAsia="Times New Roman" w:hAnsi="Times New Roman"/>
          <w:sz w:val="18"/>
          <w:szCs w:val="18"/>
          <w:color w:val="auto"/>
        </w:rPr>
        <w:t xml:space="preserve"> to fill the applicable vacancies on the Board, in accordance with the Charter, Bylaws, applicable securities Laws, the DGCL and The Nasdaq Stock Exchange rules.</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58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agrees that such Investor shall comply with the requirements of the Charter and Bylaws when designating and nominating individuals as Directors in accordance with this Agreement, in each case, to the extent such requirements are applicable to Directors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-1419860</wp:posOffset>
            </wp:positionV>
            <wp:extent cx="628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Indemnification of the Directors; Directors and Officers Insurance Policy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7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following the Exchange Closing, to the extent provided by Delaware Law, the Charter shall at all times require (i) the indemnification and reimbursement of costs and expenses (including advancing reasonable costs prior to the final disposition of any actual or threatened Claim) of all of the Directors against liability for actions and omissions to act in their capacity as Directors of the Company to the maximum extent that such individuals may lawfully be so indemnified by the Company, and (ii) the exculpation of the Directors from liability to the Company and its stockholders for monetary damages for breach of their fiduciary duties as Directors.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following the Exchange Closing, the Company will maintain in full force and effect a directors and officer liability insurance policy issued by an insurer or insurers of recognized responsibility, insuring its Directors and officers against such losses and risks, and in such amounts, as determined by the Board. The Company may not cancel any policy required under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.05(b) without the consent of a majority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-38735</wp:posOffset>
            </wp:positionV>
            <wp:extent cx="7613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jc w:val="both"/>
        <w:ind w:firstLine="1304"/>
        <w:spacing w:after="0" w:line="266" w:lineRule="auto"/>
        <w:tabs>
          <w:tab w:leader="none" w:pos="156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concurrently with the Exchange Closing, the Company and each of the Directors shall enter into an indemnification agreement, substantially in the form which has been filed by the Company with the SEC, to the extent a Director is not already party to such an indemnification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Board Observers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4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following the Exchange Closing, until the date on which the Founder ceases to hold shares of Class A Common Stock equal to or greater than the Founder’s Minimum Ownership Threshold, the Founder shall be entitled to designate one (1) Board observer from time to time reasonably acceptable to the Investor Majority (the “</w:t>
      </w:r>
      <w:r>
        <w:rPr>
          <w:rFonts w:ascii="Times New Roman" w:cs="Times New Roman" w:eastAsia="Times New Roman" w:hAnsi="Times New Roman"/>
          <w:sz w:val="18"/>
          <w:szCs w:val="18"/>
          <w:u w:val="single" w:color="auto"/>
          <w:color w:val="auto"/>
        </w:rPr>
        <w:t>Founder Observer</w:t>
      </w:r>
      <w:r>
        <w:rPr>
          <w:rFonts w:ascii="Times New Roman" w:cs="Times New Roman" w:eastAsia="Times New Roman" w:hAnsi="Times New Roman"/>
          <w:sz w:val="18"/>
          <w:szCs w:val="18"/>
          <w:color w:val="auto"/>
        </w:rPr>
        <w:t xml:space="preserve">”) to attend (in-person, by telephone or by other communication equipment pursuant to Section 3.05 of the Bylaws) any regular or special meeting of the Board (or any relevant committees thereof), except that the Founder Observer shall not be entitled to vote on matters presented to or discussed by the Board (or relevant committee thereof) at any such meetings. The Founder Observer shall be timely notified of the time and place of any meetings of the Board (or any relevant committee thereof) and will be given written notice (such notice to be delivered to the Founder Observer contemporaneously with delivery of such notice to the Directors) of all proposed actions to be taken by the Board (or any relevant committee thereof) at such meeting as if the Founder Observer were a Director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Founder Observer shall enter into an agreement with the Company setting forth the rights and obligations of the Founder Observer, which shall be on customary terms and conditions (and shall include the right of the Founder Observer to receive non-privileged information regarding the Company that would otherwise be available to the Directors, subject to confidentiality and non-use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contained in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.06(a), the Founder Observer may be excluded from meetings (or a portion thereof) and materials provided to the Founder Observer in connection with such meetings may be redacted to the extent that the Board (or any relevant committee thereof) reasonably determines that such exclusion or redaction is necessary to (i) preserve attorney-client privilege, or (ii) avoid a conflict of interest between the interests of the Founder or any of their respective Affiliates, on the one hand, and those of the Company or any of its Subsidiaries, on the other hand;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or voted upon at such meeting (or the proposed actions to be taken by written consent without a meeting). In the event the Founder Observer is excluded from any meeting or portion thereof or is delivered any redacted information or materials related thereto, the Secretary of the Company shall promptly provide to the Founder Observer a general description, which shall be true and correct in all material respects, of the matters discussed during such meeting or portion thereof at which the Founder Observer was excluded and any such redacted information or materials;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description may exclude any information to the extent that the Board reasonably determines that such exclusion is necessary to (A) preserve attorney-client privilege or (B) avoid a conflict of interest between the interests of the Founder or any of their respective Affiliates, on the one hand, and those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-1666240</wp:posOffset>
            </wp:positionV>
            <wp:extent cx="7632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Company or any of its Subsidiaries, on the other hand. Subject to the second proviso in the second sentence of this </w:t>
      </w:r>
      <w:r>
        <w:rPr>
          <w:rFonts w:ascii="Times New Roman" w:cs="Times New Roman" w:eastAsia="Times New Roman" w:hAnsi="Times New Roman"/>
          <w:sz w:val="18"/>
          <w:szCs w:val="18"/>
          <w:u w:val="single" w:color="auto"/>
          <w:color w:val="auto"/>
        </w:rPr>
        <w:t>Section 12.06(a)</w:t>
      </w:r>
      <w:r>
        <w:rPr>
          <w:rFonts w:ascii="Times New Roman" w:cs="Times New Roman" w:eastAsia="Times New Roman" w:hAnsi="Times New Roman"/>
          <w:sz w:val="18"/>
          <w:szCs w:val="18"/>
          <w:color w:val="auto"/>
        </w:rPr>
        <w:t>, the Founder Observer shall have the right to receive all information provided to the Board (or any relevant committee thereof) in anticipation of or at such meeting (regular or special and whether telephonic, videoconference or otherwise), in addition to copies of the records of the proceedings or minutes of such meeting, when provided to the Board members, and the Founder Observer shall keep such materials and information confidential. Notwithstanding anything to the contrary contained in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.06(a), the Founder Observer shall not, unless reasonably acceptable to the Investor Majority, be an officer, director, manager, employee, member, partner, Representative or Affiliate of, or do business with, competitors or potential competitors of the Company or any of its Subsidiaries, or entities engaged in business similar to or the same as the Company (as currently conducted or as currently proposed to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-305435</wp:posOffset>
            </wp:positionV>
            <wp:extent cx="628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9" w:lineRule="exact"/>
        <w:rPr>
          <w:sz w:val="20"/>
          <w:szCs w:val="20"/>
          <w:color w:val="auto"/>
        </w:rPr>
      </w:pPr>
    </w:p>
    <w:p>
      <w:pPr>
        <w:jc w:val="both"/>
        <w:ind w:firstLine="1304"/>
        <w:spacing w:after="0" w:line="252" w:lineRule="auto"/>
        <w:tabs>
          <w:tab w:leader="none" w:pos="155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following the Exchange Closing, (i) each of Nexus, for so long as Nexus continues to own shares of Class A Common Stock equal to or greater than Nexus’ Minimum Ownership Threshold, and Story3, for so long as Story3 continues to own shares of Class A Common Stock equal to or greater than Story3’s Minimum Ownership Threshold, shall be entitled to designate one (1) Board observer from time to time (each, an “</w:t>
      </w:r>
      <w:r>
        <w:rPr>
          <w:rFonts w:ascii="Times New Roman" w:cs="Times New Roman" w:eastAsia="Times New Roman" w:hAnsi="Times New Roman"/>
          <w:sz w:val="18"/>
          <w:szCs w:val="18"/>
          <w:u w:val="single" w:color="auto"/>
          <w:color w:val="auto"/>
        </w:rPr>
        <w:t>Investor Observer</w:t>
      </w:r>
      <w:r>
        <w:rPr>
          <w:rFonts w:ascii="Times New Roman" w:cs="Times New Roman" w:eastAsia="Times New Roman" w:hAnsi="Times New Roman"/>
          <w:sz w:val="18"/>
          <w:szCs w:val="18"/>
          <w:color w:val="auto"/>
        </w:rPr>
        <w:t>”), and (ii) CHS shall be entitled to designate two (2) Board observers from time to time (each, a “</w:t>
      </w:r>
      <w:r>
        <w:rPr>
          <w:rFonts w:ascii="Times New Roman" w:cs="Times New Roman" w:eastAsia="Times New Roman" w:hAnsi="Times New Roman"/>
          <w:sz w:val="18"/>
          <w:szCs w:val="18"/>
          <w:u w:val="single" w:color="auto"/>
          <w:color w:val="auto"/>
        </w:rPr>
        <w:t>CHS Observer</w:t>
      </w:r>
      <w:r>
        <w:rPr>
          <w:rFonts w:ascii="Times New Roman" w:cs="Times New Roman" w:eastAsia="Times New Roman" w:hAnsi="Times New Roman"/>
          <w:sz w:val="18"/>
          <w:szCs w:val="18"/>
          <w:color w:val="auto"/>
        </w:rPr>
        <w:t>” and together with the Investor Observers, the “</w:t>
      </w:r>
      <w:r>
        <w:rPr>
          <w:rFonts w:ascii="Times New Roman" w:cs="Times New Roman" w:eastAsia="Times New Roman" w:hAnsi="Times New Roman"/>
          <w:sz w:val="18"/>
          <w:szCs w:val="18"/>
          <w:u w:val="single" w:color="auto"/>
          <w:color w:val="auto"/>
        </w:rPr>
        <w:t>Investor Majority Observers</w:t>
      </w:r>
      <w:r>
        <w:rPr>
          <w:rFonts w:ascii="Times New Roman" w:cs="Times New Roman" w:eastAsia="Times New Roman" w:hAnsi="Times New Roman"/>
          <w:sz w:val="18"/>
          <w:szCs w:val="18"/>
          <w:color w:val="auto"/>
        </w:rPr>
        <w:t xml:space="preserve">”) to attend (in-person, by telephone or by other communication equipment pursuant to Section 3.05 of the Bylaws) any regular or special meeting of the Board (or any relevant committees thereof), except that none of the Investor Majority Observers shall be entitled to vote on matters presented to or discussed by the Board (or relevant committee thereof) at any such meetings. The Investor Majority Observers shall be timely notified of the time and place of any meetings of the Board (or any relevant committee thereof) and will be given written notice (such notice to be delivered to the Investor Majority Observers contemporaneously with delivery of such notice to the Directors) of all proposed actions to be taken by the Board (or any relevant committee thereof) at such meeting as if the Investor Majority Observers were Directors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Investor Majority Observers shall enter into an agreement with the Company setting forth the rights and obligations of such Investor Majority Observers, which shall be on customary terms and conditions (and shall include the right of each of the Investor Majority Observers to receive non-privileged information regarding the Company that would otherwise be available to the Directors, subject to confidentiality and non-use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contained in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.06(b), the Investor Majority Observers may be excluded from meetings (or a portion thereof) and materials provided to the Investor Majority Observers in connection with such meetings may be redacted to the extent that the Board (or any relevant committee thereof) reasonably determines that such exclusion or redaction is necessary to (A) preserve attorney-client privilege, or (B) avoid a conflict of interest between the interests of CHS, Nexus or Story3, as applicable, or any of their respective Affiliates, on the one hand, and those of the Company or any of its Subsidiaries, on the other hand;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or voted upon at such meeting (or the proposed actions to be taken by written consent without a meeting).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-991235</wp:posOffset>
            </wp:positionV>
            <wp:extent cx="7613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 Investor Majority Observer is excluded from any meeting or portion thereof or is delivered any redacted information or materials related thereto, the Secretary of the Company shall promptly provide to such Investor Majority Observer a general description, which shall be true and correct in all material respects, of the matters discussed during such meeting or portion thereof at which such Investor Majority Observer was excluded and any such redacted information or materials;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description may exclude any information to the extent that the Board reasonably determines that such exclusion is necessary to (1) preserve attorney-client privilege or (2) avoid a conflict of interest between the interests of CHS, Nexus or Story3, as applicable, or any of their respective Affiliates, on the one hand, and those of the Company or any of its Subsidiaries, on the other hand. Subject to the second proviso in the second sentence of this </w:t>
      </w:r>
      <w:r>
        <w:rPr>
          <w:rFonts w:ascii="Times New Roman" w:cs="Times New Roman" w:eastAsia="Times New Roman" w:hAnsi="Times New Roman"/>
          <w:sz w:val="18"/>
          <w:szCs w:val="18"/>
          <w:u w:val="single" w:color="auto"/>
          <w:color w:val="auto"/>
        </w:rPr>
        <w:t>Section 12.06(b)</w:t>
      </w:r>
      <w:r>
        <w:rPr>
          <w:rFonts w:ascii="Times New Roman" w:cs="Times New Roman" w:eastAsia="Times New Roman" w:hAnsi="Times New Roman"/>
          <w:sz w:val="18"/>
          <w:szCs w:val="18"/>
          <w:color w:val="auto"/>
        </w:rPr>
        <w:t>, the Investor Majority Observers shall have the right to receive all information provided to the Board (or any relevant committee thereof) in anticipation of or at such meeting (regular or special and whether telephonic, videoconference or otherwise), in addition to copies of the records of the proceedings or minutes of such meeting, when provided to the Board members, and the Investor Majority Observers shall keep such materials and information confidential. Each of CHS, Nexus and Story3 shall have the right to replace its Investor Majority Observer at any time.</w:t>
      </w:r>
    </w:p>
    <w:p>
      <w:pPr>
        <w:spacing w:after="0" w:line="192" w:lineRule="exact"/>
        <w:rPr>
          <w:sz w:val="20"/>
          <w:szCs w:val="20"/>
          <w:color w:val="auto"/>
        </w:rPr>
      </w:pPr>
    </w:p>
    <w:p>
      <w:pPr>
        <w:jc w:val="both"/>
        <w:ind w:firstLine="1304"/>
        <w:spacing w:after="0" w:line="261" w:lineRule="auto"/>
        <w:tabs>
          <w:tab w:leader="none" w:pos="154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Majority Observer rights set forth in </w:t>
      </w:r>
      <w:r>
        <w:rPr>
          <w:rFonts w:ascii="Times New Roman" w:cs="Times New Roman" w:eastAsia="Times New Roman" w:hAnsi="Times New Roman"/>
          <w:sz w:val="18"/>
          <w:szCs w:val="18"/>
          <w:u w:val="single" w:color="auto"/>
          <w:color w:val="auto"/>
        </w:rPr>
        <w:t>Section 12.06(b)</w:t>
      </w:r>
      <w:r>
        <w:rPr>
          <w:rFonts w:ascii="Times New Roman" w:cs="Times New Roman" w:eastAsia="Times New Roman" w:hAnsi="Times New Roman"/>
          <w:sz w:val="18"/>
          <w:szCs w:val="18"/>
          <w:color w:val="auto"/>
        </w:rPr>
        <w:t xml:space="preserve"> are in addition to, and do not limit, any rights provided in the New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avoidance of doubt, (i) each of Story3 and Nexus shall have the right to designate one (1) Board observer in total pursuant to this Agreement and the New Credit Agreement and (ii) CHS shall have the right to designate two (2) Board observers in total pursuant to this Agreement and the New Credit Agreement.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At and following the Exchange Closing, the Company will reimburse all non-employee Directors, the Founder Observer and the Investor Majority Observers for all reasonable and documented out-of-pocket costs and expenses incurred in connection with the performance of his or her duties as a Director, the Founder Observer or the Investor Majority Observer, as applicable, or participation in any meeting of the Board (or any relevant committee thereof), upon production of appropriate receipts (including, for the avoidance of doubt, reimbursement for travel expenses and business development activities that are requested by the Company).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u w:val="single" w:color="auto"/>
          <w:color w:val="auto"/>
        </w:rPr>
        <w:t>Certain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eighteen (18) months after the Exchange Closing, unless approved in advance by a majority of the disinterested and independent directors on the Board (which for purposes of this </w:t>
      </w:r>
      <w:r>
        <w:rPr>
          <w:rFonts w:ascii="Times New Roman" w:cs="Times New Roman" w:eastAsia="Times New Roman" w:hAnsi="Times New Roman"/>
          <w:sz w:val="18"/>
          <w:szCs w:val="18"/>
          <w:u w:val="single" w:color="auto"/>
          <w:color w:val="auto"/>
        </w:rPr>
        <w:t>Section 12.08(a)</w:t>
      </w:r>
      <w:r>
        <w:rPr>
          <w:rFonts w:ascii="Times New Roman" w:cs="Times New Roman" w:eastAsia="Times New Roman" w:hAnsi="Times New Roman"/>
          <w:sz w:val="18"/>
          <w:szCs w:val="18"/>
          <w:color w:val="auto"/>
        </w:rPr>
        <w:t xml:space="preserve"> shall include JYH to the extent JYH is a member of the Board), CHS, Nexus and Story3, individually or as a group, shall not, directly or indirectly (including through one or more Affiliates), cause or permit the Company to engage in or consummate a merger or consolidation pursuant to Section 253 or Section 267 of the Delaware General Corporation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following the Exchange Closing, each Investor agrees that he, she or it shall not vote in favor of or agree in writing to any amendment or other modification to the Amended and Restated Charter that is inconsistent with the purposes and intent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6.3(b)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6.5(b)</w:t>
      </w:r>
      <w:r>
        <w:rPr>
          <w:rFonts w:ascii="Times New Roman" w:cs="Times New Roman" w:eastAsia="Times New Roman" w:hAnsi="Times New Roman"/>
          <w:sz w:val="18"/>
          <w:szCs w:val="18"/>
          <w:color w:val="auto"/>
        </w:rPr>
        <w:t xml:space="preserve"> thereof.</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deemed given when delivered, if delivered personally, emailed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email states that it is a notice sent pursuant to this Section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or sent by overnight courier (providing proof of delivery) to the Parties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6127750</wp:posOffset>
            </wp:positionH>
            <wp:positionV relativeFrom="paragraph">
              <wp:posOffset>-311150</wp:posOffset>
            </wp:positionV>
            <wp:extent cx="6280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(ii) if to any Investor, to the address set forth next to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extent possible.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shall be considered one and the same agreement and shall become effective when one or more counterparts have been signed by each of the Parties and delivered to the other Parties. Delivery of an executed counterpart of a signature page to this Agreement by “.pdf” format, scanned pages or electronic signature shall be effective as delivery of a manually executed counterpart to this Agreement.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This Agreement, collectively with the other Transaction Documents (including the schedules and exhibits hereto and thereto), constitutes the entire agreement, and supersede all prior agreements, understandings and representations, both written and oral, between the Parties with respect to the Transactions. This Agreement (including the documents and instruments referred to herein) is not intended to, and does not, confer upon any Person other than the Parties any rights or remedies hereunder, including the right to rely upon the representations and warranties set forth in this Agreement, except as otherwise specifically provided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which is intended to benefit each Covered Person.</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operation of law or otherwise by any of the Parties without the prior written consent of the other Parties. Notwithstanding the foregoing or anything else in this Agreement, each of CHS, Nexus or Story3 may, upon prior written notice to the Company, assign, in its sole discretion, any or all of its rights, interests and obligations under this Agreement to any Affiliate of CHS, Nexus or Story3, respectively, so long as CHS, Nexus or Story3, as applicable,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Specific Performance; Exclusive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an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7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jc w:val="both"/>
        <w:spacing w:after="0" w:line="255" w:lineRule="auto"/>
        <w:rPr>
          <w:sz w:val="20"/>
          <w:szCs w:val="20"/>
          <w:color w:val="auto"/>
        </w:rPr>
      </w:pPr>
      <w:r>
        <w:rPr>
          <w:rFonts w:ascii="Times New Roman" w:cs="Times New Roman" w:eastAsia="Times New Roman" w:hAnsi="Times New Roman"/>
          <w:sz w:val="18"/>
          <w:szCs w:val="18"/>
          <w:color w:val="auto"/>
        </w:rPr>
        <w:t>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Section 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-31115</wp:posOffset>
            </wp:positionV>
            <wp:extent cx="6280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9" w:lineRule="exact"/>
        <w:rPr>
          <w:sz w:val="20"/>
          <w:szCs w:val="20"/>
          <w:color w:val="auto"/>
        </w:rPr>
      </w:pPr>
    </w:p>
    <w:p>
      <w:pPr>
        <w:ind w:right="20" w:firstLine="1304"/>
        <w:spacing w:after="0" w:line="312" w:lineRule="auto"/>
        <w:tabs>
          <w:tab w:leader="none" w:pos="1554"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HEREBY KNOWINGLY, INTENTIONALLY AND VOLUNTARILY IRREVOCABLY WAIVES ANY AND ALL RIGHTS TO TRIAL BY JURY IN ANY ACTION ARISING OUT OF OR RELATED TO THIS AGREEMENT OR THE TRANSACTIONS.</w:t>
      </w:r>
    </w:p>
    <w:p>
      <w:pPr>
        <w:spacing w:after="0" w:line="14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Amendments, Waivers and Consents</w:t>
      </w:r>
      <w:r>
        <w:rPr>
          <w:rFonts w:ascii="Times New Roman" w:cs="Times New Roman" w:eastAsia="Times New Roman" w:hAnsi="Times New Roman"/>
          <w:sz w:val="18"/>
          <w:szCs w:val="18"/>
          <w:color w:val="auto"/>
        </w:rPr>
        <w:t xml:space="preserve">. This Agreement may not be modified, amended or supplemented, except by written instrument executed by each Party (excluding, for the avoidance of doubt, any Party whose rights and obligations hereunder have validly terminated in accordance with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Any of the terms or provisions hereof may be waived in writing at any time by the Party that is entitled to the benefits of such waived terms or provisions. In addition, any amendment or waiver of </w:t>
      </w:r>
      <w:r>
        <w:rPr>
          <w:rFonts w:ascii="Times New Roman" w:cs="Times New Roman" w:eastAsia="Times New Roman" w:hAnsi="Times New Roman"/>
          <w:sz w:val="18"/>
          <w:szCs w:val="18"/>
          <w:u w:val="single" w:color="auto"/>
          <w:color w:val="auto"/>
        </w:rPr>
        <w:t>Section 12.08(a)</w:t>
      </w:r>
      <w:r>
        <w:rPr>
          <w:rFonts w:ascii="Times New Roman" w:cs="Times New Roman" w:eastAsia="Times New Roman" w:hAnsi="Times New Roman"/>
          <w:sz w:val="18"/>
          <w:szCs w:val="18"/>
          <w:color w:val="auto"/>
        </w:rPr>
        <w:t xml:space="preserve"> shall require the approval specified therein. No failure to exercise, and no delay in exercising, any right, power or privilege under this Agreement will operate as a waiver, nor will any single or partial exercise of any right, power or privilege hereunder preclude the exercise of any other right, power or privilege. No waiver of any breach of any provision will be deemed to be a waiver of any preceding or succeeding breach of the same or any other provision, nor will any waiver be implied from any course of dealing between the Parties. No extension of time for performance of any obligations or other acts hereunder or under any other agreement will be deemed to be an extension of the time for performance of any other obligations or any other acts.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held or acquired by an Investor or its respective Affiliates (which for purposes of this Section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.09 shall include, with regard to any Investor that is a natural person, such Person’s (a) family members, or (b) family-related investment vehicles or trusts for the benefit of such Person or such Person’s family members or estate) shall be aggregated together for the purpose of determining the availability of any rights under this Agreement, and such Affiliates may apportion such rights as among themselves in any manner they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28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Right to Conduct Activities</w:t>
      </w:r>
      <w:r>
        <w:rPr>
          <w:rFonts w:ascii="Times New Roman" w:cs="Times New Roman" w:eastAsia="Times New Roman" w:hAnsi="Times New Roman"/>
          <w:sz w:val="18"/>
          <w:szCs w:val="18"/>
          <w:color w:val="auto"/>
        </w:rPr>
        <w:t>. The Company hereby agrees and acknowledges that the Investors are in the investment business and as such invest in (directly or indirectly, including providing financing to) or do business with competitors or potential competitors of the Company, or entities engaged in business similar to or the same as the Company (as currently conducted or as currently proposed to be conducted). The Company hereby agrees that (a) the execution of this Agreement shall not restrict or preclude such activities, and (b) to the maximum extent permitted under applicable Law, each Investor shall not be liable to the Company</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any claim arising out of, or based upon, (i) making available any loans or financing by such Investor to any entity competitive with the Company, (ii) the investment by such Investor in any entity competitive with the Company, or (iii) actions taken by any partner, officer or other Representative of such Investor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Investors from liability associated with the unauthorized disclosure of the Company’s confidential information, or (y) any Director or officer of the Company from any liability associated with his or her fiduciary duties to the Company.</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Existing Stockholders Agreement</w:t>
      </w:r>
      <w:r>
        <w:rPr>
          <w:rFonts w:ascii="Times New Roman" w:cs="Times New Roman" w:eastAsia="Times New Roman" w:hAnsi="Times New Roman"/>
          <w:sz w:val="18"/>
          <w:szCs w:val="18"/>
          <w:color w:val="auto"/>
        </w:rPr>
        <w:t>. The Company acknowledges and agrees that immediately following the consummation of the transactions contemplated by the Exchange Agreement, the Stockholders Agreement will terminate in accordance with its terms.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Except to the extent set forth in Section 12.4 of the Existing Credit Agreement, all costs and expenses incurred in connection with this Agreement and the consummation of the transactions contemplated hereby shall be paid by the Party incurring such expenses.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13.13.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automatically without any action by or on behalf of any Party or any other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upon the earliest to occur of any of the following events:</w:t>
      </w:r>
    </w:p>
    <w:p>
      <w:pPr>
        <w:spacing w:after="0" w:line="203" w:lineRule="exact"/>
        <w:rPr>
          <w:sz w:val="20"/>
          <w:szCs w:val="20"/>
          <w:color w:val="auto"/>
        </w:rPr>
      </w:pPr>
    </w:p>
    <w:p>
      <w:pPr>
        <w:ind w:left="1540" w:hanging="236"/>
        <w:spacing w:after="0"/>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 Nexus, (ii) Story3; and (iii) the Founder ceasing to have any Director designation rights under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w:t>
      </w:r>
    </w:p>
    <w:p>
      <w:pPr>
        <w:spacing w:after="0" w:line="22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consent of the Parties;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termination of the Exchange Agreement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-556260</wp:posOffset>
            </wp:positionV>
            <wp:extent cx="628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avoidance of doubt, the rights and obligations of (A) Nexus under this Agreement shall terminate upon Nexus ceasing to have any Director designation rights under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.02(a), (B) Story3 under this Agreement shall terminate upon Story3 ceasing to have any Director designation rights under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.02(b), (C) the Founder under this Agreement shall terminate upon the Founder ceasing to have any Director designation rights under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.02(c), and (D) CHS under this Agreement shall terminate upon CHS ceasing to hold at least five percent (5%) of all issued and outstanding shares of Class A Common Stock. Notwithstanding the foregoing, nothing in this Agreement shall modify, limit or otherwise affect, in any way, any and all rights to indemnification, exculpation and contribution owed to any of the Parties, to the extent arising out of or relating to events occurring prior to the date of termination of this Agreement or the date the rights and obligations of such Party under this Agreement terminates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13.13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-852170</wp:posOffset>
            </wp:positionV>
            <wp:extent cx="7632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-715010</wp:posOffset>
            </wp:positionV>
            <wp:extent cx="769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9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632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ind w:left="180"/>
        <w:spacing w:after="0"/>
        <w:rPr>
          <w:sz w:val="20"/>
          <w:szCs w:val="20"/>
          <w:color w:val="auto"/>
        </w:rPr>
      </w:pPr>
      <w:r>
        <w:rPr>
          <w:rFonts w:ascii="Times New Roman" w:cs="Times New Roman" w:eastAsia="Times New Roman" w:hAnsi="Times New Roman"/>
          <w:sz w:val="17"/>
          <w:szCs w:val="17"/>
          <w:color w:val="auto"/>
        </w:rPr>
        <w:t>IN WITNESS WHEREOF, the Parties have duly executed and delivered this Agreement, all as of the Effective Date.</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CHS US INVESTMENTS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CHS GP LP, as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CHS UGP LLC, as general partner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Brady Schuck</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GATEWAY RUNWAY, LLC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Damian Giangiacomo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S3 RR AGGREGATOR, LLC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Peter Comisar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Investor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378460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46" w:name="page147"/>
    <w:bookmarkEnd w:id="146"/>
    <w:p>
      <w:pPr>
        <w:ind w:left="4500"/>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BENJAMIN STAUFFER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00"/>
        <w:spacing w:after="0" w:line="282" w:lineRule="auto"/>
        <w:rPr>
          <w:sz w:val="20"/>
          <w:szCs w:val="20"/>
          <w:color w:val="auto"/>
        </w:rPr>
      </w:pPr>
      <w:r>
        <w:rPr>
          <w:rFonts w:ascii="Times New Roman" w:cs="Times New Roman" w:eastAsia="Times New Roman" w:hAnsi="Times New Roman"/>
          <w:sz w:val="18"/>
          <w:szCs w:val="18"/>
          <w:color w:val="auto"/>
        </w:rPr>
        <w:t>JYH 2021 CHILDREN’S TRUST DTD 10/12/21 JUSTIN FINNEGAN 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-305435</wp:posOffset>
            </wp:positionV>
            <wp:extent cx="3566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BS 2021 FAMILY TRUST DTD 10/12/21 JUSTIN FINNEGAN 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00" w:right="120"/>
        <w:spacing w:after="0" w:line="282" w:lineRule="auto"/>
        <w:rPr>
          <w:sz w:val="20"/>
          <w:szCs w:val="20"/>
          <w:color w:val="auto"/>
        </w:rPr>
      </w:pPr>
      <w:r>
        <w:rPr>
          <w:rFonts w:ascii="Times New Roman" w:cs="Times New Roman" w:eastAsia="Times New Roman" w:hAnsi="Times New Roman"/>
          <w:sz w:val="18"/>
          <w:szCs w:val="18"/>
          <w:color w:val="auto"/>
        </w:rPr>
        <w:t>JYH 2012 ARTICLE 2ND TRUST DTD 1/23/20 LINDA HYMAN &amp; JUSTINE FINNEGAN 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-305435</wp:posOffset>
            </wp:positionV>
            <wp:extent cx="3566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LINDA S HYMAN &amp; DOV I HYMAN JTWROS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Investor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241300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0"/>
          </w:cols>
          <w:pgMar w:left="1440" w:top="1242" w:right="779" w:bottom="1440" w:gutter="0" w:footer="0" w:header="0"/>
        </w:sectPr>
      </w:pPr>
    </w:p>
    <w:bookmarkStart w:id="147" w:name="page148"/>
    <w:bookmarkEnd w:id="147"/>
    <w:tbl>
      <w:tblPr>
        <w:tblLayout w:type="fixed"/>
        <w:tblInd w:w="1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06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A</w:t>
            </w:r>
          </w:p>
        </w:tc>
      </w:tr>
      <w:tr>
        <w:trPr>
          <w:trHeight w:val="392"/>
        </w:trPr>
        <w:tc>
          <w:tcPr>
            <w:tcW w:w="4180" w:type="dxa"/>
            <w:vAlign w:val="bottom"/>
          </w:tcPr>
          <w:p>
            <w:pPr>
              <w:spacing w:after="0"/>
              <w:rPr>
                <w:sz w:val="24"/>
                <w:szCs w:val="24"/>
                <w:color w:val="auto"/>
              </w:rPr>
            </w:pPr>
          </w:p>
        </w:tc>
        <w:tc>
          <w:tcPr>
            <w:tcW w:w="706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36"/>
        </w:trPr>
        <w:tc>
          <w:tcPr>
            <w:tcW w:w="4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r>
      <w:tr>
        <w:trPr>
          <w:trHeight w:val="323"/>
        </w:trPr>
        <w:tc>
          <w:tcPr>
            <w:tcW w:w="4180" w:type="dxa"/>
            <w:vAlign w:val="bottom"/>
            <w:tcBorders>
              <w:left w:val="single" w:sz="8" w:color="auto"/>
              <w:bottom w:val="single" w:sz="8" w:color="D9D9D9"/>
              <w:right w:val="single" w:sz="8" w:color="auto"/>
            </w:tcBorders>
            <w:shd w:val="clear" w:color="auto" w:fill="D9D9D9"/>
          </w:tcPr>
          <w:p>
            <w:pPr>
              <w:ind w:left="1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80" w:type="dxa"/>
            <w:vAlign w:val="bottom"/>
            <w:tcBorders>
              <w:bottom w:val="single" w:sz="8" w:color="D9D9D9"/>
            </w:tcBorders>
            <w:shd w:val="clear" w:color="auto" w:fill="D9D9D9"/>
          </w:tcPr>
          <w:p>
            <w:pPr>
              <w:spacing w:after="0"/>
              <w:rPr>
                <w:sz w:val="24"/>
                <w:szCs w:val="24"/>
                <w:color w:val="auto"/>
              </w:rPr>
            </w:pPr>
          </w:p>
        </w:tc>
        <w:tc>
          <w:tcPr>
            <w:tcW w:w="720" w:type="dxa"/>
            <w:vAlign w:val="bottom"/>
            <w:tcBorders>
              <w:bottom w:val="single" w:sz="8" w:color="D9D9D9"/>
            </w:tcBorders>
            <w:shd w:val="clear" w:color="auto" w:fill="D9D9D9"/>
          </w:tcPr>
          <w:p>
            <w:pPr>
              <w:spacing w:after="0"/>
              <w:rPr>
                <w:sz w:val="24"/>
                <w:szCs w:val="24"/>
                <w:color w:val="auto"/>
              </w:rPr>
            </w:pPr>
          </w:p>
        </w:tc>
        <w:tc>
          <w:tcPr>
            <w:tcW w:w="5260" w:type="dxa"/>
            <w:vAlign w:val="bottom"/>
            <w:tcBorders>
              <w:bottom w:val="single" w:sz="8" w:color="D9D9D9"/>
              <w:right w:val="single" w:sz="8" w:color="auto"/>
            </w:tcBorders>
            <w:shd w:val="clear" w:color="auto" w:fill="D9D9D9"/>
          </w:tcPr>
          <w:p>
            <w:pPr>
              <w:ind w:left="1140"/>
              <w:spacing w:after="0"/>
              <w:rPr>
                <w:sz w:val="20"/>
                <w:szCs w:val="20"/>
                <w:color w:val="auto"/>
              </w:rPr>
            </w:pPr>
            <w:r>
              <w:rPr>
                <w:rFonts w:ascii="Times New Roman" w:cs="Times New Roman" w:eastAsia="Times New Roman" w:hAnsi="Times New Roman"/>
                <w:sz w:val="18"/>
                <w:szCs w:val="18"/>
                <w:b w:val="1"/>
                <w:bCs w:val="1"/>
                <w:color w:val="auto"/>
              </w:rPr>
              <w:t>Notice Address</w:t>
            </w:r>
          </w:p>
        </w:tc>
      </w:tr>
      <w:tr>
        <w:trPr>
          <w:trHeight w:val="254"/>
        </w:trPr>
        <w:tc>
          <w:tcPr>
            <w:tcW w:w="4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CHS US Investments LLC</w:t>
            </w:r>
          </w:p>
        </w:tc>
        <w:tc>
          <w:tcPr>
            <w:tcW w:w="706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CHS US Investments LLC</w:t>
            </w: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29"/>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Attention: ***</w:t>
            </w:r>
          </w:p>
        </w:tc>
      </w:tr>
      <w:tr>
        <w:trPr>
          <w:trHeight w:val="258"/>
        </w:trPr>
        <w:tc>
          <w:tcPr>
            <w:tcW w:w="4180" w:type="dxa"/>
            <w:vAlign w:val="bottom"/>
            <w:tcBorders>
              <w:left w:val="single" w:sz="8" w:color="auto"/>
              <w:right w:val="single" w:sz="8" w:color="auto"/>
            </w:tcBorders>
          </w:tcPr>
          <w:p>
            <w:pPr>
              <w:spacing w:after="0"/>
              <w:rPr>
                <w:sz w:val="22"/>
                <w:szCs w:val="22"/>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Email: ***</w:t>
            </w:r>
          </w:p>
        </w:tc>
      </w:tr>
      <w:tr>
        <w:trPr>
          <w:trHeight w:val="459"/>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tc>
      </w:tr>
      <w:tr>
        <w:trPr>
          <w:trHeight w:val="430"/>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Proskauer Rose LLP</w:t>
            </w:r>
          </w:p>
        </w:tc>
      </w:tr>
      <w:tr>
        <w:trPr>
          <w:trHeight w:val="229"/>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29"/>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Attention: ***</w:t>
            </w:r>
          </w:p>
        </w:tc>
      </w:tr>
      <w:tr>
        <w:trPr>
          <w:trHeight w:val="258"/>
        </w:trPr>
        <w:tc>
          <w:tcPr>
            <w:tcW w:w="4180" w:type="dxa"/>
            <w:vAlign w:val="bottom"/>
            <w:tcBorders>
              <w:left w:val="single" w:sz="8" w:color="auto"/>
              <w:right w:val="single" w:sz="8" w:color="auto"/>
            </w:tcBorders>
          </w:tcPr>
          <w:p>
            <w:pPr>
              <w:spacing w:after="0"/>
              <w:rPr>
                <w:sz w:val="22"/>
                <w:szCs w:val="22"/>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Email: ***</w:t>
            </w:r>
          </w:p>
        </w:tc>
      </w:tr>
      <w:tr>
        <w:trPr>
          <w:trHeight w:val="48"/>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54"/>
        </w:trPr>
        <w:tc>
          <w:tcPr>
            <w:tcW w:w="4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Gateway Runway, LLC</w:t>
            </w: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c/o Nexus Capital Management LP</w:t>
            </w: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29"/>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29"/>
        </w:trPr>
        <w:tc>
          <w:tcPr>
            <w:tcW w:w="4180" w:type="dxa"/>
            <w:vAlign w:val="bottom"/>
            <w:tcBorders>
              <w:left w:val="single" w:sz="8" w:color="auto"/>
              <w:right w:val="single" w:sz="8" w:color="auto"/>
            </w:tcBorders>
          </w:tcPr>
          <w:p>
            <w:pPr>
              <w:spacing w:after="0"/>
              <w:rPr>
                <w:sz w:val="19"/>
                <w:szCs w:val="19"/>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Attention: ***</w:t>
            </w:r>
          </w:p>
        </w:tc>
      </w:tr>
      <w:tr>
        <w:trPr>
          <w:trHeight w:val="258"/>
        </w:trPr>
        <w:tc>
          <w:tcPr>
            <w:tcW w:w="4180" w:type="dxa"/>
            <w:vAlign w:val="bottom"/>
            <w:tcBorders>
              <w:left w:val="single" w:sz="8" w:color="auto"/>
              <w:right w:val="single" w:sz="8" w:color="auto"/>
            </w:tcBorders>
          </w:tcPr>
          <w:p>
            <w:pPr>
              <w:spacing w:after="0"/>
              <w:rPr>
                <w:sz w:val="22"/>
                <w:szCs w:val="22"/>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Email: ***</w:t>
            </w:r>
          </w:p>
        </w:tc>
      </w:tr>
      <w:tr>
        <w:trPr>
          <w:trHeight w:val="459"/>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tc>
      </w:tr>
      <w:tr>
        <w:trPr>
          <w:trHeight w:val="430"/>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Latham &amp; Watkins LLP</w:t>
            </w: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Attention: ***</w:t>
            </w:r>
          </w:p>
        </w:tc>
      </w:tr>
      <w:tr>
        <w:trPr>
          <w:trHeight w:val="258"/>
        </w:trPr>
        <w:tc>
          <w:tcPr>
            <w:tcW w:w="4180" w:type="dxa"/>
            <w:vAlign w:val="bottom"/>
            <w:tcBorders>
              <w:left w:val="single" w:sz="8" w:color="auto"/>
              <w:right w:val="single" w:sz="8" w:color="auto"/>
            </w:tcBorders>
          </w:tcPr>
          <w:p>
            <w:pPr>
              <w:spacing w:after="0"/>
              <w:rPr>
                <w:sz w:val="22"/>
                <w:szCs w:val="22"/>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Email: ***</w:t>
            </w:r>
          </w:p>
        </w:tc>
      </w:tr>
      <w:tr>
        <w:trPr>
          <w:trHeight w:val="48"/>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54"/>
        </w:trPr>
        <w:tc>
          <w:tcPr>
            <w:tcW w:w="4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S3 RR Aggregator, LLC</w:t>
            </w: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c/o Story3 Capital Partners LLC</w:t>
            </w: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29"/>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Attention: ***</w:t>
            </w:r>
          </w:p>
        </w:tc>
      </w:tr>
      <w:tr>
        <w:trPr>
          <w:trHeight w:val="258"/>
        </w:trPr>
        <w:tc>
          <w:tcPr>
            <w:tcW w:w="4180" w:type="dxa"/>
            <w:vAlign w:val="bottom"/>
            <w:tcBorders>
              <w:left w:val="single" w:sz="8" w:color="auto"/>
              <w:right w:val="single" w:sz="8" w:color="auto"/>
            </w:tcBorders>
          </w:tcPr>
          <w:p>
            <w:pPr>
              <w:spacing w:after="0"/>
              <w:rPr>
                <w:sz w:val="22"/>
                <w:szCs w:val="22"/>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Email: ***</w:t>
            </w:r>
          </w:p>
        </w:tc>
      </w:tr>
      <w:tr>
        <w:trPr>
          <w:trHeight w:val="459"/>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tc>
      </w:tr>
      <w:tr>
        <w:trPr>
          <w:trHeight w:val="430"/>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Latham &amp; Watkins LLP</w:t>
            </w: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29"/>
        </w:trPr>
        <w:tc>
          <w:tcPr>
            <w:tcW w:w="4180" w:type="dxa"/>
            <w:vAlign w:val="bottom"/>
            <w:tcBorders>
              <w:left w:val="single" w:sz="8" w:color="auto"/>
              <w:right w:val="single" w:sz="8" w:color="auto"/>
            </w:tcBorders>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5260" w:type="dxa"/>
            <w:vAlign w:val="bottom"/>
            <w:tcBorders>
              <w:right w:val="single" w:sz="8" w:color="auto"/>
            </w:tcBorders>
          </w:tcPr>
          <w:p>
            <w:pPr>
              <w:spacing w:after="0"/>
              <w:rPr>
                <w:sz w:val="19"/>
                <w:szCs w:val="19"/>
                <w:color w:val="auto"/>
              </w:rPr>
            </w:pPr>
          </w:p>
        </w:tc>
      </w:tr>
      <w:tr>
        <w:trPr>
          <w:trHeight w:val="230"/>
        </w:trPr>
        <w:tc>
          <w:tcPr>
            <w:tcW w:w="4180" w:type="dxa"/>
            <w:vAlign w:val="bottom"/>
            <w:tcBorders>
              <w:left w:val="single" w:sz="8" w:color="auto"/>
              <w:right w:val="single" w:sz="8" w:color="auto"/>
            </w:tcBorders>
          </w:tcPr>
          <w:p>
            <w:pPr>
              <w:spacing w:after="0"/>
              <w:rPr>
                <w:sz w:val="19"/>
                <w:szCs w:val="19"/>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Attention: ***</w:t>
            </w:r>
          </w:p>
        </w:tc>
      </w:tr>
      <w:tr>
        <w:trPr>
          <w:trHeight w:val="258"/>
        </w:trPr>
        <w:tc>
          <w:tcPr>
            <w:tcW w:w="4180" w:type="dxa"/>
            <w:vAlign w:val="bottom"/>
            <w:tcBorders>
              <w:left w:val="single" w:sz="8" w:color="auto"/>
              <w:right w:val="single" w:sz="8" w:color="auto"/>
            </w:tcBorders>
          </w:tcPr>
          <w:p>
            <w:pPr>
              <w:spacing w:after="0"/>
              <w:rPr>
                <w:sz w:val="22"/>
                <w:szCs w:val="22"/>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Email: ***</w:t>
            </w:r>
          </w:p>
        </w:tc>
      </w:tr>
      <w:tr>
        <w:trPr>
          <w:trHeight w:val="48"/>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561"/>
        </w:trPr>
        <w:tc>
          <w:tcPr>
            <w:tcW w:w="4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48" w:name="page149"/>
    <w:bookmarkEnd w:id="1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1259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21259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Jennifer Y. Hyman</w:t>
            </w:r>
          </w:p>
        </w:tc>
        <w:tc>
          <w:tcPr>
            <w:tcW w:w="3120" w:type="dxa"/>
            <w:vAlign w:val="bottom"/>
          </w:tcPr>
          <w:p>
            <w:pPr>
              <w:ind w:left="1340"/>
              <w:spacing w:after="0"/>
              <w:rPr>
                <w:sz w:val="20"/>
                <w:szCs w:val="20"/>
                <w:color w:val="auto"/>
              </w:rPr>
            </w:pPr>
            <w:r>
              <w:rPr>
                <w:rFonts w:ascii="Times New Roman" w:cs="Times New Roman" w:eastAsia="Times New Roman" w:hAnsi="Times New Roman"/>
                <w:sz w:val="20"/>
                <w:szCs w:val="20"/>
                <w:color w:val="auto"/>
                <w:w w:val="96"/>
              </w:rPr>
              <w:t>c/o Jennifer Y. Hyman</w:t>
            </w:r>
          </w:p>
        </w:tc>
      </w:tr>
      <w:tr>
        <w:trPr>
          <w:trHeight w:val="229"/>
        </w:trPr>
        <w:tc>
          <w:tcPr>
            <w:tcW w:w="2820" w:type="dxa"/>
            <w:vAlign w:val="bottom"/>
          </w:tcPr>
          <w:p>
            <w:pPr>
              <w:spacing w:after="0"/>
              <w:rPr>
                <w:sz w:val="19"/>
                <w:szCs w:val="19"/>
                <w:color w:val="auto"/>
              </w:rPr>
            </w:pPr>
          </w:p>
        </w:tc>
        <w:tc>
          <w:tcPr>
            <w:tcW w:w="312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Benjamin Stauffer</w:t>
            </w:r>
          </w:p>
        </w:tc>
        <w:tc>
          <w:tcPr>
            <w:tcW w:w="312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JYH 2021 Children’s Trust dtd 10/12/21 Justin with a copy (which shall not constitute notice)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Finnegan TTEE</w:t>
      </w:r>
    </w:p>
    <w:p>
      <w:pPr>
        <w:ind w:left="4160"/>
        <w:spacing w:after="0"/>
        <w:rPr>
          <w:sz w:val="20"/>
          <w:szCs w:val="20"/>
          <w:color w:val="auto"/>
        </w:rPr>
      </w:pPr>
      <w:r>
        <w:rPr>
          <w:rFonts w:ascii="Times New Roman" w:cs="Times New Roman" w:eastAsia="Times New Roman" w:hAnsi="Times New Roman"/>
          <w:sz w:val="20"/>
          <w:szCs w:val="20"/>
          <w:color w:val="auto"/>
        </w:rPr>
        <w:t>Kirkland &amp; Ellis LLP</w:t>
      </w:r>
    </w:p>
    <w:p>
      <w:pPr>
        <w:spacing w:after="0"/>
        <w:tabs>
          <w:tab w:leader="none" w:pos="380" w:val="left"/>
          <w:tab w:leader="none" w:pos="940" w:val="left"/>
          <w:tab w:leader="none" w:pos="1680" w:val="left"/>
          <w:tab w:leader="none" w:pos="2260" w:val="left"/>
          <w:tab w:leader="none" w:pos="2660" w:val="left"/>
          <w:tab w:leader="none" w:pos="3540" w:val="left"/>
        </w:tabs>
        <w:rPr>
          <w:sz w:val="20"/>
          <w:szCs w:val="20"/>
          <w:color w:val="auto"/>
        </w:rPr>
      </w:pPr>
      <w:r>
        <w:rPr>
          <w:rFonts w:ascii="Times New Roman" w:cs="Times New Roman" w:eastAsia="Times New Roman" w:hAnsi="Times New Roman"/>
          <w:sz w:val="20"/>
          <w:szCs w:val="20"/>
          <w:color w:val="auto"/>
        </w:rPr>
        <w:t>BS</w:t>
        <w:tab/>
        <w:t>2021</w:t>
        <w:tab/>
        <w:t>Family</w:t>
        <w:tab/>
        <w:t>Trust</w:t>
        <w:tab/>
        <w:t>dtd</w:t>
        <w:tab/>
        <w:t>10/12/21</w:t>
        <w:tab/>
        <w:t>Justin  ***</w:t>
      </w:r>
    </w:p>
    <w:p>
      <w:pPr>
        <w:spacing w:after="0"/>
        <w:tabs>
          <w:tab w:leader="none" w:pos="4140" w:val="left"/>
        </w:tabs>
        <w:rPr>
          <w:sz w:val="20"/>
          <w:szCs w:val="20"/>
          <w:color w:val="auto"/>
        </w:rPr>
      </w:pPr>
      <w:r>
        <w:rPr>
          <w:rFonts w:ascii="Times New Roman" w:cs="Times New Roman" w:eastAsia="Times New Roman" w:hAnsi="Times New Roman"/>
          <w:sz w:val="20"/>
          <w:szCs w:val="20"/>
          <w:color w:val="auto"/>
        </w:rPr>
        <w:t>Finnegan TTEE</w:t>
      </w:r>
      <w:r>
        <w:rPr>
          <w:sz w:val="20"/>
          <w:szCs w:val="20"/>
          <w:color w:val="auto"/>
        </w:rPr>
        <w:tab/>
      </w:r>
      <w:r>
        <w:rPr>
          <w:rFonts w:ascii="Times New Roman" w:cs="Times New Roman" w:eastAsia="Times New Roman" w:hAnsi="Times New Roman"/>
          <w:sz w:val="20"/>
          <w:szCs w:val="20"/>
          <w:color w:val="auto"/>
        </w:rPr>
        <w:t>***</w:t>
      </w:r>
    </w:p>
    <w:p>
      <w:pPr>
        <w:ind w:left="4160"/>
        <w:spacing w:after="0"/>
        <w:rPr>
          <w:sz w:val="20"/>
          <w:szCs w:val="20"/>
          <w:color w:val="auto"/>
        </w:rPr>
      </w:pPr>
      <w:r>
        <w:rPr>
          <w:rFonts w:ascii="Times New Roman" w:cs="Times New Roman" w:eastAsia="Times New Roman" w:hAnsi="Times New Roman"/>
          <w:sz w:val="20"/>
          <w:szCs w:val="20"/>
          <w:color w:val="auto"/>
        </w:rPr>
        <w:t>Attention: ***</w:t>
      </w:r>
    </w:p>
    <w:p>
      <w:pPr>
        <w:spacing w:after="0"/>
        <w:rPr>
          <w:sz w:val="20"/>
          <w:szCs w:val="20"/>
          <w:color w:val="auto"/>
        </w:rPr>
      </w:pPr>
      <w:r>
        <w:rPr>
          <w:rFonts w:ascii="Times New Roman" w:cs="Times New Roman" w:eastAsia="Times New Roman" w:hAnsi="Times New Roman"/>
          <w:sz w:val="20"/>
          <w:szCs w:val="20"/>
          <w:color w:val="auto"/>
        </w:rPr>
        <w:t>JYH 2012 Article 2nd Trust dtd 1/23/20 Linda Email: ***</w:t>
      </w:r>
    </w:p>
    <w:p>
      <w:pPr>
        <w:spacing w:after="0"/>
        <w:rPr>
          <w:sz w:val="20"/>
          <w:szCs w:val="20"/>
          <w:color w:val="auto"/>
        </w:rPr>
      </w:pPr>
      <w:r>
        <w:rPr>
          <w:rFonts w:ascii="Times New Roman" w:cs="Times New Roman" w:eastAsia="Times New Roman" w:hAnsi="Times New Roman"/>
          <w:sz w:val="20"/>
          <w:szCs w:val="20"/>
          <w:color w:val="auto"/>
        </w:rPr>
        <w:t>Hyman &amp; Justine Finnegan TTEES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Linda S Hyman &amp; Dov I Hyman JTWROS.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554355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59"/>
          </w:cols>
          <w:pgMar w:left="400" w:top="643"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54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1900" w:type="dxa"/>
            <w:vAlign w:val="bottom"/>
          </w:tcPr>
          <w:p>
            <w:pPr>
              <w:spacing w:after="0"/>
              <w:rPr>
                <w:sz w:val="20"/>
                <w:szCs w:val="20"/>
                <w:color w:val="auto"/>
              </w:rPr>
            </w:pPr>
          </w:p>
        </w:tc>
      </w:tr>
      <w:tr>
        <w:trPr>
          <w:trHeight w:val="392"/>
        </w:trPr>
        <w:tc>
          <w:tcPr>
            <w:tcW w:w="19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54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900" w:type="dxa"/>
            <w:vAlign w:val="bottom"/>
          </w:tcPr>
          <w:p>
            <w:pPr>
              <w:spacing w:after="0"/>
              <w:rPr>
                <w:sz w:val="24"/>
                <w:szCs w:val="24"/>
                <w:color w:val="auto"/>
              </w:rPr>
            </w:pPr>
          </w:p>
        </w:tc>
      </w:tr>
      <w:tr>
        <w:trPr>
          <w:trHeight w:val="236"/>
        </w:trPr>
        <w:tc>
          <w:tcPr>
            <w:tcW w:w="194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1900" w:type="dxa"/>
            <w:vAlign w:val="bottom"/>
          </w:tcPr>
          <w:p>
            <w:pPr>
              <w:spacing w:after="0"/>
              <w:rPr>
                <w:sz w:val="20"/>
                <w:szCs w:val="20"/>
                <w:color w:val="auto"/>
              </w:rPr>
            </w:pPr>
          </w:p>
        </w:tc>
      </w:tr>
      <w:tr>
        <w:trPr>
          <w:trHeight w:val="323"/>
        </w:trPr>
        <w:tc>
          <w:tcPr>
            <w:tcW w:w="1940" w:type="dxa"/>
            <w:vAlign w:val="bottom"/>
            <w:tcBorders>
              <w:right w:val="single" w:sz="8" w:color="auto"/>
            </w:tcBorders>
          </w:tcPr>
          <w:p>
            <w:pPr>
              <w:spacing w:after="0"/>
              <w:rPr>
                <w:sz w:val="24"/>
                <w:szCs w:val="24"/>
                <w:color w:val="auto"/>
              </w:rPr>
            </w:pPr>
          </w:p>
        </w:tc>
        <w:tc>
          <w:tcPr>
            <w:tcW w:w="18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460" w:type="dxa"/>
            <w:vAlign w:val="bottom"/>
            <w:tcBorders>
              <w:bottom w:val="single" w:sz="8" w:color="D9D9D9"/>
            </w:tcBorders>
            <w:shd w:val="clear" w:color="auto" w:fill="D9D9D9"/>
          </w:tcPr>
          <w:p>
            <w:pPr>
              <w:spacing w:after="0"/>
              <w:rPr>
                <w:sz w:val="24"/>
                <w:szCs w:val="24"/>
                <w:color w:val="auto"/>
              </w:rPr>
            </w:pPr>
          </w:p>
        </w:tc>
        <w:tc>
          <w:tcPr>
            <w:tcW w:w="720" w:type="dxa"/>
            <w:vAlign w:val="bottom"/>
            <w:tcBorders>
              <w:bottom w:val="single" w:sz="8" w:color="D9D9D9"/>
            </w:tcBorders>
            <w:shd w:val="clear" w:color="auto" w:fill="D9D9D9"/>
          </w:tcPr>
          <w:p>
            <w:pPr>
              <w:spacing w:after="0"/>
              <w:rPr>
                <w:sz w:val="24"/>
                <w:szCs w:val="24"/>
                <w:color w:val="auto"/>
              </w:rPr>
            </w:pPr>
          </w:p>
        </w:tc>
        <w:tc>
          <w:tcPr>
            <w:tcW w:w="3360" w:type="dxa"/>
            <w:vAlign w:val="bottom"/>
            <w:tcBorders>
              <w:bottom w:val="single" w:sz="8" w:color="D9D9D9"/>
              <w:right w:val="single" w:sz="8" w:color="auto"/>
            </w:tcBorders>
            <w:shd w:val="clear" w:color="auto" w:fill="D9D9D9"/>
          </w:tcPr>
          <w:p>
            <w:pPr>
              <w:ind w:left="2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00" w:type="dxa"/>
            <w:vAlign w:val="bottom"/>
          </w:tcPr>
          <w:p>
            <w:pPr>
              <w:spacing w:after="0"/>
              <w:rPr>
                <w:sz w:val="24"/>
                <w:szCs w:val="24"/>
                <w:color w:val="auto"/>
              </w:rPr>
            </w:pPr>
          </w:p>
        </w:tc>
      </w:tr>
      <w:tr>
        <w:trPr>
          <w:trHeight w:val="264"/>
        </w:trPr>
        <w:tc>
          <w:tcPr>
            <w:tcW w:w="1940" w:type="dxa"/>
            <w:vAlign w:val="bottom"/>
            <w:tcBorders>
              <w:right w:val="single" w:sz="8" w:color="auto"/>
            </w:tcBorders>
          </w:tcPr>
          <w:p>
            <w:pPr>
              <w:spacing w:after="0"/>
              <w:rPr>
                <w:sz w:val="22"/>
                <w:szCs w:val="22"/>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55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Jennifer Hyman</w:t>
            </w:r>
          </w:p>
        </w:tc>
        <w:tc>
          <w:tcPr>
            <w:tcW w:w="1900" w:type="dxa"/>
            <w:vAlign w:val="bottom"/>
          </w:tcPr>
          <w:p>
            <w:pPr>
              <w:spacing w:after="0"/>
              <w:rPr>
                <w:sz w:val="22"/>
                <w:szCs w:val="22"/>
                <w:color w:val="auto"/>
              </w:rPr>
            </w:pPr>
          </w:p>
        </w:tc>
      </w:tr>
      <w:tr>
        <w:trPr>
          <w:trHeight w:val="54"/>
        </w:trPr>
        <w:tc>
          <w:tcPr>
            <w:tcW w:w="1940" w:type="dxa"/>
            <w:vAlign w:val="bottom"/>
            <w:tcBorders>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1900" w:type="dxa"/>
            <w:vAlign w:val="bottom"/>
          </w:tcPr>
          <w:p>
            <w:pPr>
              <w:spacing w:after="0"/>
              <w:rPr>
                <w:sz w:val="4"/>
                <w:szCs w:val="4"/>
                <w:color w:val="auto"/>
              </w:rPr>
            </w:pPr>
          </w:p>
        </w:tc>
      </w:tr>
      <w:tr>
        <w:trPr>
          <w:trHeight w:val="245"/>
        </w:trPr>
        <w:tc>
          <w:tcPr>
            <w:tcW w:w="19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5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Founder Director selected by the Founder prior to the Exchange Closing</w:t>
            </w:r>
          </w:p>
        </w:tc>
        <w:tc>
          <w:tcPr>
            <w:tcW w:w="1900" w:type="dxa"/>
            <w:vAlign w:val="bottom"/>
          </w:tcPr>
          <w:p>
            <w:pPr>
              <w:spacing w:after="0"/>
              <w:rPr>
                <w:sz w:val="21"/>
                <w:szCs w:val="21"/>
                <w:color w:val="auto"/>
              </w:rPr>
            </w:pPr>
          </w:p>
        </w:tc>
      </w:tr>
      <w:tr>
        <w:trPr>
          <w:trHeight w:val="234"/>
        </w:trPr>
        <w:tc>
          <w:tcPr>
            <w:tcW w:w="194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5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and approved by the Investor Majority</w:t>
            </w:r>
          </w:p>
        </w:tc>
        <w:tc>
          <w:tcPr>
            <w:tcW w:w="1900" w:type="dxa"/>
            <w:vAlign w:val="bottom"/>
          </w:tcPr>
          <w:p>
            <w:pPr>
              <w:spacing w:after="0"/>
              <w:rPr>
                <w:sz w:val="20"/>
                <w:szCs w:val="20"/>
                <w:color w:val="auto"/>
              </w:rPr>
            </w:pPr>
          </w:p>
        </w:tc>
      </w:tr>
      <w:tr>
        <w:trPr>
          <w:trHeight w:val="54"/>
        </w:trPr>
        <w:tc>
          <w:tcPr>
            <w:tcW w:w="1940" w:type="dxa"/>
            <w:vAlign w:val="bottom"/>
            <w:tcBorders>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1900" w:type="dxa"/>
            <w:vAlign w:val="bottom"/>
          </w:tcPr>
          <w:p>
            <w:pPr>
              <w:spacing w:after="0"/>
              <w:rPr>
                <w:sz w:val="4"/>
                <w:szCs w:val="4"/>
                <w:color w:val="auto"/>
              </w:rPr>
            </w:pPr>
          </w:p>
        </w:tc>
      </w:tr>
      <w:tr>
        <w:trPr>
          <w:trHeight w:val="264"/>
        </w:trPr>
        <w:tc>
          <w:tcPr>
            <w:tcW w:w="194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5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Damian Giangiacomo (Nexus Director)</w:t>
            </w:r>
          </w:p>
        </w:tc>
        <w:tc>
          <w:tcPr>
            <w:tcW w:w="1900" w:type="dxa"/>
            <w:vAlign w:val="bottom"/>
          </w:tcPr>
          <w:p>
            <w:pPr>
              <w:spacing w:after="0"/>
              <w:rPr>
                <w:sz w:val="22"/>
                <w:szCs w:val="22"/>
                <w:color w:val="auto"/>
              </w:rPr>
            </w:pPr>
          </w:p>
        </w:tc>
      </w:tr>
      <w:tr>
        <w:trPr>
          <w:trHeight w:val="54"/>
        </w:trPr>
        <w:tc>
          <w:tcPr>
            <w:tcW w:w="1940" w:type="dxa"/>
            <w:vAlign w:val="bottom"/>
            <w:tcBorders>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1900" w:type="dxa"/>
            <w:vAlign w:val="bottom"/>
          </w:tcPr>
          <w:p>
            <w:pPr>
              <w:spacing w:after="0"/>
              <w:rPr>
                <w:sz w:val="4"/>
                <w:szCs w:val="4"/>
                <w:color w:val="auto"/>
              </w:rPr>
            </w:pPr>
          </w:p>
        </w:tc>
      </w:tr>
      <w:tr>
        <w:trPr>
          <w:trHeight w:val="264"/>
        </w:trPr>
        <w:tc>
          <w:tcPr>
            <w:tcW w:w="194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5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Peter Comisar (Story3 Director)</w:t>
            </w:r>
          </w:p>
        </w:tc>
        <w:tc>
          <w:tcPr>
            <w:tcW w:w="1900" w:type="dxa"/>
            <w:vAlign w:val="bottom"/>
          </w:tcPr>
          <w:p>
            <w:pPr>
              <w:spacing w:after="0"/>
              <w:rPr>
                <w:sz w:val="22"/>
                <w:szCs w:val="22"/>
                <w:color w:val="auto"/>
              </w:rPr>
            </w:pPr>
          </w:p>
        </w:tc>
      </w:tr>
      <w:tr>
        <w:trPr>
          <w:trHeight w:val="54"/>
        </w:trPr>
        <w:tc>
          <w:tcPr>
            <w:tcW w:w="1940" w:type="dxa"/>
            <w:vAlign w:val="bottom"/>
            <w:tcBorders>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1900" w:type="dxa"/>
            <w:vAlign w:val="bottom"/>
          </w:tcPr>
          <w:p>
            <w:pPr>
              <w:spacing w:after="0"/>
              <w:rPr>
                <w:sz w:val="4"/>
                <w:szCs w:val="4"/>
                <w:color w:val="auto"/>
              </w:rPr>
            </w:pPr>
          </w:p>
        </w:tc>
      </w:tr>
      <w:tr>
        <w:trPr>
          <w:trHeight w:val="245"/>
        </w:trPr>
        <w:tc>
          <w:tcPr>
            <w:tcW w:w="19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5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Independent Director to be selected by the Investor Majority prior to the</w:t>
            </w:r>
          </w:p>
        </w:tc>
        <w:tc>
          <w:tcPr>
            <w:tcW w:w="1900" w:type="dxa"/>
            <w:vAlign w:val="bottom"/>
          </w:tcPr>
          <w:p>
            <w:pPr>
              <w:spacing w:after="0"/>
              <w:rPr>
                <w:sz w:val="21"/>
                <w:szCs w:val="21"/>
                <w:color w:val="auto"/>
              </w:rPr>
            </w:pPr>
          </w:p>
        </w:tc>
      </w:tr>
      <w:tr>
        <w:trPr>
          <w:trHeight w:val="234"/>
        </w:trPr>
        <w:tc>
          <w:tcPr>
            <w:tcW w:w="194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5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Exchange Closing</w:t>
            </w:r>
          </w:p>
        </w:tc>
        <w:tc>
          <w:tcPr>
            <w:tcW w:w="1900" w:type="dxa"/>
            <w:vAlign w:val="bottom"/>
          </w:tcPr>
          <w:p>
            <w:pPr>
              <w:spacing w:after="0"/>
              <w:rPr>
                <w:sz w:val="20"/>
                <w:szCs w:val="20"/>
                <w:color w:val="auto"/>
              </w:rPr>
            </w:pPr>
          </w:p>
        </w:tc>
      </w:tr>
      <w:tr>
        <w:trPr>
          <w:trHeight w:val="54"/>
        </w:trPr>
        <w:tc>
          <w:tcPr>
            <w:tcW w:w="1940" w:type="dxa"/>
            <w:vAlign w:val="bottom"/>
            <w:tcBorders>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1900" w:type="dxa"/>
            <w:vAlign w:val="bottom"/>
          </w:tcPr>
          <w:p>
            <w:pPr>
              <w:spacing w:after="0"/>
              <w:rPr>
                <w:sz w:val="4"/>
                <w:szCs w:val="4"/>
                <w:color w:val="auto"/>
              </w:rPr>
            </w:pPr>
          </w:p>
        </w:tc>
      </w:tr>
      <w:tr>
        <w:trPr>
          <w:trHeight w:val="245"/>
        </w:trPr>
        <w:tc>
          <w:tcPr>
            <w:tcW w:w="19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5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Independent Director to be selected by the Investor Majority prior to the</w:t>
            </w:r>
          </w:p>
        </w:tc>
        <w:tc>
          <w:tcPr>
            <w:tcW w:w="1900" w:type="dxa"/>
            <w:vAlign w:val="bottom"/>
          </w:tcPr>
          <w:p>
            <w:pPr>
              <w:spacing w:after="0"/>
              <w:rPr>
                <w:sz w:val="21"/>
                <w:szCs w:val="21"/>
                <w:color w:val="auto"/>
              </w:rPr>
            </w:pPr>
          </w:p>
        </w:tc>
      </w:tr>
      <w:tr>
        <w:trPr>
          <w:trHeight w:val="234"/>
        </w:trPr>
        <w:tc>
          <w:tcPr>
            <w:tcW w:w="194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5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Exchange Closing</w:t>
            </w:r>
          </w:p>
        </w:tc>
        <w:tc>
          <w:tcPr>
            <w:tcW w:w="1900" w:type="dxa"/>
            <w:vAlign w:val="bottom"/>
          </w:tcPr>
          <w:p>
            <w:pPr>
              <w:spacing w:after="0"/>
              <w:rPr>
                <w:sz w:val="20"/>
                <w:szCs w:val="20"/>
                <w:color w:val="auto"/>
              </w:rPr>
            </w:pPr>
          </w:p>
        </w:tc>
      </w:tr>
      <w:tr>
        <w:trPr>
          <w:trHeight w:val="54"/>
        </w:trPr>
        <w:tc>
          <w:tcPr>
            <w:tcW w:w="1940" w:type="dxa"/>
            <w:vAlign w:val="bottom"/>
            <w:tcBorders>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1900" w:type="dxa"/>
            <w:vAlign w:val="bottom"/>
          </w:tcPr>
          <w:p>
            <w:pPr>
              <w:spacing w:after="0"/>
              <w:rPr>
                <w:sz w:val="4"/>
                <w:szCs w:val="4"/>
                <w:color w:val="auto"/>
              </w:rPr>
            </w:pPr>
          </w:p>
        </w:tc>
      </w:tr>
      <w:tr>
        <w:trPr>
          <w:trHeight w:val="245"/>
        </w:trPr>
        <w:tc>
          <w:tcPr>
            <w:tcW w:w="19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5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Independent Director to be selected by the Investor Majority prior to the</w:t>
            </w:r>
          </w:p>
        </w:tc>
        <w:tc>
          <w:tcPr>
            <w:tcW w:w="1900" w:type="dxa"/>
            <w:vAlign w:val="bottom"/>
          </w:tcPr>
          <w:p>
            <w:pPr>
              <w:spacing w:after="0"/>
              <w:rPr>
                <w:sz w:val="21"/>
                <w:szCs w:val="21"/>
                <w:color w:val="auto"/>
              </w:rPr>
            </w:pPr>
          </w:p>
        </w:tc>
      </w:tr>
      <w:tr>
        <w:trPr>
          <w:trHeight w:val="234"/>
        </w:trPr>
        <w:tc>
          <w:tcPr>
            <w:tcW w:w="194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5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Exchange Closing</w:t>
            </w:r>
          </w:p>
        </w:tc>
        <w:tc>
          <w:tcPr>
            <w:tcW w:w="1900" w:type="dxa"/>
            <w:vAlign w:val="bottom"/>
          </w:tcPr>
          <w:p>
            <w:pPr>
              <w:spacing w:after="0"/>
              <w:rPr>
                <w:sz w:val="20"/>
                <w:szCs w:val="20"/>
                <w:color w:val="auto"/>
              </w:rPr>
            </w:pPr>
          </w:p>
        </w:tc>
      </w:tr>
      <w:tr>
        <w:trPr>
          <w:trHeight w:val="54"/>
        </w:trPr>
        <w:tc>
          <w:tcPr>
            <w:tcW w:w="1940" w:type="dxa"/>
            <w:vAlign w:val="bottom"/>
            <w:tcBorders>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1900" w:type="dxa"/>
            <w:vAlign w:val="bottom"/>
          </w:tcPr>
          <w:p>
            <w:pPr>
              <w:spacing w:after="0"/>
              <w:rPr>
                <w:sz w:val="4"/>
                <w:szCs w:val="4"/>
                <w:color w:val="auto"/>
              </w:rPr>
            </w:pPr>
          </w:p>
        </w:tc>
      </w:tr>
      <w:tr>
        <w:trPr>
          <w:trHeight w:val="588"/>
        </w:trPr>
        <w:tc>
          <w:tcPr>
            <w:tcW w:w="19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dealer as principal and resale by the broker 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 dealers engaged by the Selling Stockholders may arrange for other brokers dealers to participate in sales. Broker 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1" w:name="page152"/>
    <w:bookmarkEnd w:id="151"/>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New Credit Agreement</w:t>
      </w:r>
    </w:p>
    <w:p>
      <w:pPr>
        <w:spacing w:after="0" w:line="200" w:lineRule="exact"/>
        <w:rPr>
          <w:sz w:val="20"/>
          <w:szCs w:val="20"/>
          <w:color w:val="auto"/>
        </w:rPr>
      </w:pP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CREDIT AGREEMENT AND THE RIGHTS AND OBLIGATIONS EVIDENCED HEREBY MAY BECOME SUBORDINATE IN THE MANNER AND TO THE EXTENT SET FORTH IN THE SPECIFIED SUBORDINATION AGREEMENT (AS HEREINAFTER DEFINED) TO THE OBLIGATIONS OWED BY BORROWER UNDER ANY SENIOR CREDIT AGREEMENT (AS HEREINAFTER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200" w:lineRule="exact"/>
        <w:rPr>
          <w:sz w:val="20"/>
          <w:szCs w:val="20"/>
          <w:color w:val="auto"/>
        </w:rPr>
      </w:pPr>
    </w:p>
    <w:p>
      <w:pPr>
        <w:spacing w:after="0" w:line="2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DATED AS OF [_____], 2025</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RENT THE RUNWAY,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BORROWER,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LENDERS FROM TIME TO TIME PARTY HERETO,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LENDERS,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00" w:lineRule="exact"/>
        <w:rPr>
          <w:sz w:val="20"/>
          <w:szCs w:val="20"/>
          <w:color w:val="auto"/>
        </w:rPr>
      </w:pPr>
    </w:p>
    <w:p>
      <w:pPr>
        <w:spacing w:after="0" w:line="25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CHS (US) MANAGEMENT LLC,</w:t>
      </w:r>
    </w:p>
    <w:p>
      <w:pPr>
        <w:spacing w:after="0" w:line="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630"/>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Defined Terms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1.3</w:t>
            </w:r>
          </w:p>
        </w:tc>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Terms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Rounding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1.5</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Times of Day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1.6</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Divisions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1.7</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Loan Documents and Specified Subordination Agreement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20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1.8</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TERM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2.1</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Restatement Date Transactions; Loans and Commitments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2.2</w:t>
            </w:r>
          </w:p>
        </w:tc>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of Interest and Maturity; Evidence of Indebtedness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2.3</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Requests for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2.4</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Disbursement of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2.5</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2.6</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Payments; Default Interest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2.7</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Optional Prepayments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2.8</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Mandatory Repayment of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2.9</w:t>
            </w:r>
          </w:p>
        </w:tc>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 of 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00" w:type="dxa"/>
            <w:vAlign w:val="bottom"/>
          </w:tcPr>
          <w:p>
            <w:pPr>
              <w:spacing w:after="0"/>
              <w:rPr>
                <w:sz w:val="18"/>
                <w:szCs w:val="18"/>
                <w:color w:val="auto"/>
              </w:rPr>
            </w:pPr>
          </w:p>
        </w:tc>
        <w:tc>
          <w:tcPr>
            <w:tcW w:w="8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2.10  Use of Proceeds of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2.11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Incremental Facilities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2.12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SOFR Option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2.13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Losses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20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2.14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Impracticability or Illegality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2"/>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8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8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CONDITIONS.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4.1</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Effectiveness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4.2</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all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20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4.3</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Subsequent to Effectiveness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1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5.1</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Authority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5.2</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Authorization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5.3</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 Title; Leases; Assets; No Liens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5.4</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5.5</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Defaults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5.6</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Enforceability of Agreement and Loan Documents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5.7</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5.8</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Non-contravention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5.9</w:t>
            </w: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00" w:type="dxa"/>
            <w:vAlign w:val="bottom"/>
          </w:tcPr>
          <w:p>
            <w:pPr>
              <w:spacing w:after="0"/>
              <w:rPr>
                <w:sz w:val="18"/>
                <w:szCs w:val="18"/>
                <w:color w:val="auto"/>
              </w:rPr>
            </w:pPr>
          </w:p>
        </w:tc>
        <w:tc>
          <w:tcPr>
            <w:tcW w:w="8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5.10  Consents, Approvals and Filings, Etc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00" w:type="dxa"/>
            <w:vAlign w:val="bottom"/>
          </w:tcPr>
          <w:p>
            <w:pPr>
              <w:spacing w:after="0"/>
              <w:rPr>
                <w:sz w:val="18"/>
                <w:szCs w:val="18"/>
                <w:color w:val="auto"/>
              </w:rPr>
            </w:pPr>
          </w:p>
        </w:tc>
        <w:tc>
          <w:tcPr>
            <w:tcW w:w="8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5.11  Agreements Affecting Financial Condition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00" w:type="dxa"/>
            <w:vAlign w:val="bottom"/>
          </w:tcPr>
          <w:p>
            <w:pPr>
              <w:spacing w:after="0"/>
              <w:rPr>
                <w:sz w:val="18"/>
                <w:szCs w:val="18"/>
                <w:color w:val="auto"/>
              </w:rPr>
            </w:pPr>
          </w:p>
        </w:tc>
        <w:tc>
          <w:tcPr>
            <w:tcW w:w="8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5.12  No Investment Company or Margin Stock</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20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5.13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ERISA</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5.14</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Affecting Business or Properties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5.15</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and Safety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5.16</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5.17</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Adverse Agreements,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5.18</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Contracts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5.19</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5.20</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Structure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5.21</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Accuracy of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5.22</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5.23</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5.24</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5.25</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Documents and Corporate Existence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5.26</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Anti-Money Laundering/Anti-Terrorism</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5.27</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EEA Financial Institution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5.28</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5.29</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Inbound Licenses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5.30</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5.31</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Documents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5.32</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Customers and Suppliers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20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5.33</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Security Systems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8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AFFIRMATIVE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6.3</w:t>
            </w:r>
          </w:p>
        </w:tc>
        <w:tc>
          <w:tcPr>
            <w:tcW w:w="7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Payment of Taxes and Other Obligations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6.4</w:t>
            </w:r>
          </w:p>
        </w:tc>
        <w:tc>
          <w:tcPr>
            <w:tcW w:w="7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Conduct of Business and Maintenance of Existence; Compliance with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6.5</w:t>
            </w:r>
          </w:p>
        </w:tc>
        <w:tc>
          <w:tcPr>
            <w:tcW w:w="7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6.6</w:t>
            </w:r>
          </w:p>
        </w:tc>
        <w:tc>
          <w:tcPr>
            <w:tcW w:w="7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Inspection of Property; Books and Records, Discussions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Hazardous Material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Observation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6.10</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and Other Approvals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0" w:type="dxa"/>
            <w:vAlign w:val="bottom"/>
          </w:tcPr>
          <w:p>
            <w:pPr>
              <w:spacing w:after="0"/>
              <w:rPr>
                <w:sz w:val="18"/>
                <w:szCs w:val="18"/>
                <w:color w:val="auto"/>
              </w:rPr>
            </w:pPr>
          </w:p>
        </w:tc>
        <w:tc>
          <w:tcPr>
            <w:tcW w:w="85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6.11  Compliance with ERISA; ERISA 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6.12</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Defense of Collateral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6.13</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Future Subsidiaries; Additional Collateral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6.14</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6.15</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6.16</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6.17</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Inbound Licensors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6.18</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Anti-Terrorism</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20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6.19</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 and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1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8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NEGATIVE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on Debt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on Liens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of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7.4</w:t>
            </w:r>
          </w:p>
        </w:tc>
        <w:tc>
          <w:tcPr>
            <w:tcW w:w="7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Limitation on Mergers, Dissolution or Sale of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Payments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7.6</w:t>
            </w:r>
          </w:p>
        </w:tc>
        <w:tc>
          <w:tcPr>
            <w:tcW w:w="7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Limitation on Investments, Loans and Advances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2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20"/>
                <w:szCs w:val="20"/>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Sale-Leaseback Transactions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7.9  Limitations on Other Restrictions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7.10  Prepayment of Subordinated Debt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7.11  Amendment of Senior Loan Documents and Subordinated Debt Documents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7.12  Modification of Certain Agreements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7.13</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Fiscal Year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7.14</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Liquidity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7.15</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7.16</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7.17</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7.18</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7.19</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Methods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7.20  Sanctioned Persons; Anti-Corruption Laws; Anti-Money Laundering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260" w:type="dxa"/>
            <w:vAlign w:val="bottom"/>
          </w:tcPr>
          <w:p>
            <w:pPr>
              <w:spacing w:after="0"/>
              <w:rPr>
                <w:sz w:val="20"/>
                <w:szCs w:val="20"/>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7.21</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8.1</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Events of Default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8.2</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Remedies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8.3</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Rights Cumulative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8.4  Waiver by the Borrower of Certain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8.5</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Defaults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260" w:type="dxa"/>
            <w:vAlign w:val="bottom"/>
          </w:tcPr>
          <w:p>
            <w:pPr>
              <w:spacing w:after="0"/>
              <w:rPr>
                <w:sz w:val="20"/>
                <w:szCs w:val="20"/>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8.6</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 Off</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1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PAYMENTS, RECOVERIES AND COLLECTIONS.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9.1</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Procedure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9.2</w:t>
            </w: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Application of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9.3</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Ratable Sharing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260" w:type="dxa"/>
            <w:vAlign w:val="bottom"/>
          </w:tcPr>
          <w:p>
            <w:pPr>
              <w:spacing w:after="0"/>
              <w:rPr>
                <w:sz w:val="20"/>
                <w:szCs w:val="20"/>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9.4  Treatment of a Defaulting Lender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1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YIELD PROTECTION; INCREASED COSTS; MARGIN ADJUSTMENTS; 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10.1  Capital Adequacy and Other Increased Costs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10.2  Right of Lenders to Fund through Branches and Affiliates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10.3</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Delay in Requests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260" w:type="dxa"/>
            <w:vAlign w:val="bottom"/>
          </w:tcPr>
          <w:p>
            <w:pPr>
              <w:spacing w:after="0"/>
              <w:rPr>
                <w:sz w:val="20"/>
                <w:szCs w:val="20"/>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10.4</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4"/>
              </w:rPr>
              <w:t>AGENT.</w:t>
            </w:r>
          </w:p>
        </w:tc>
        <w:tc>
          <w:tcPr>
            <w:tcW w:w="78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11.1  Appointment of the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11.2</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Agency for Perfection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11.3  Scope of the Agent’s Duties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11.4</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11.5</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Decisions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11.6  Authority of the Agent to Enforce This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11.7  Indemnification of the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11.8</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Knowledge of Default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11.9  The Agent’s Authorization; Action by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11.10  Enforcement Actions by the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11.11  Collateral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11.12  The Agent in its Individual Capacity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26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11.13  Specified Subordination Agreement and Subordination Agreements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260" w:type="dxa"/>
            <w:vAlign w:val="bottom"/>
          </w:tcPr>
          <w:p>
            <w:pPr>
              <w:spacing w:after="0"/>
              <w:rPr>
                <w:sz w:val="20"/>
                <w:szCs w:val="20"/>
                <w:color w:val="auto"/>
              </w:rPr>
            </w:pPr>
          </w:p>
        </w:tc>
        <w:tc>
          <w:tcPr>
            <w:tcW w:w="8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11.14  No Reliance on the Agent’s Customer Identification Program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MISCELLANEOUS.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to Jurisdiction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12.4</w:t>
            </w:r>
          </w:p>
        </w:tc>
        <w:tc>
          <w:tcPr>
            <w:tcW w:w="7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Closing Costs and Other Costs; Indemnification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Further Action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12.7</w:t>
            </w:r>
          </w:p>
        </w:tc>
        <w:tc>
          <w:tcPr>
            <w:tcW w:w="7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Successors and Assigns; Participations; Assignments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and Waiver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12.10</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12.11  Substitution or Removal of Lenders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12.12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12.13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12.14</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USA Patriot Act Notice; Beneficial Ownership Certification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12.15</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Complete Agreement; Conflicts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12.16</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12.17</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Table of Contents and Headings; Section References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12.18</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of Certain Provisions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12.19</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Independence of Covenants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12.20</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Electronic Transmissions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12.21</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Advertisements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12.22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Reliance on and Survival of Provisions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12.23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12.24</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Acknowledgment and Consent to Bail-In of EEA Financial Institutions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12.25</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Specified Subordination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12.26</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Restatement of Original Credit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920" w:hanging="912"/>
        <w:spacing w:after="0"/>
        <w:tabs>
          <w:tab w:leader="none" w:pos="9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SECURITY AGREEMENT</w:t>
      </w:r>
    </w:p>
    <w:p>
      <w:pPr>
        <w:spacing w:after="0" w:line="27" w:lineRule="exact"/>
        <w:rPr>
          <w:sz w:val="20"/>
          <w:szCs w:val="20"/>
          <w:color w:val="auto"/>
        </w:rPr>
      </w:pPr>
    </w:p>
    <w:p>
      <w:pPr>
        <w:ind w:left="920" w:hanging="912"/>
        <w:spacing w:after="0"/>
        <w:tabs>
          <w:tab w:leader="none" w:pos="9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AGREEMENT</w:t>
      </w:r>
    </w:p>
    <w:p>
      <w:pPr>
        <w:spacing w:after="0" w:line="9" w:lineRule="exact"/>
        <w:rPr>
          <w:sz w:val="20"/>
          <w:szCs w:val="20"/>
          <w:color w:val="auto"/>
        </w:rPr>
      </w:pPr>
    </w:p>
    <w:p>
      <w:pPr>
        <w:ind w:left="920" w:hanging="912"/>
        <w:spacing w:after="0"/>
        <w:tabs>
          <w:tab w:leader="none" w:pos="9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GUARANTY</w:t>
      </w:r>
    </w:p>
    <w:p>
      <w:pPr>
        <w:spacing w:after="0" w:line="9" w:lineRule="exact"/>
        <w:rPr>
          <w:sz w:val="20"/>
          <w:szCs w:val="20"/>
          <w:color w:val="auto"/>
        </w:rPr>
      </w:pPr>
    </w:p>
    <w:p>
      <w:pPr>
        <w:ind w:left="920" w:hanging="912"/>
        <w:spacing w:after="0"/>
        <w:tabs>
          <w:tab w:leader="none" w:pos="9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REQUEST FOR LOAN</w:t>
      </w:r>
    </w:p>
    <w:p>
      <w:pPr>
        <w:spacing w:after="0" w:line="9" w:lineRule="exact"/>
        <w:rPr>
          <w:sz w:val="20"/>
          <w:szCs w:val="20"/>
          <w:color w:val="auto"/>
        </w:rPr>
      </w:pPr>
    </w:p>
    <w:p>
      <w:pPr>
        <w:ind w:left="920" w:hanging="912"/>
        <w:spacing w:after="0"/>
        <w:tabs>
          <w:tab w:leader="none" w:pos="9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U.S. TAX CERTIFICATES</w:t>
      </w:r>
    </w:p>
    <w:p>
      <w:pPr>
        <w:spacing w:after="0" w:line="9" w:lineRule="exact"/>
        <w:rPr>
          <w:sz w:val="20"/>
          <w:szCs w:val="20"/>
          <w:color w:val="auto"/>
        </w:rPr>
      </w:pPr>
    </w:p>
    <w:p>
      <w:pPr>
        <w:ind w:left="920" w:hanging="912"/>
        <w:spacing w:after="0"/>
        <w:tabs>
          <w:tab w:leader="none" w:pos="9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NOTE</w:t>
      </w:r>
    </w:p>
    <w:p>
      <w:pPr>
        <w:spacing w:after="0" w:line="9" w:lineRule="exact"/>
        <w:rPr>
          <w:sz w:val="20"/>
          <w:szCs w:val="20"/>
          <w:color w:val="auto"/>
        </w:rPr>
      </w:pPr>
    </w:p>
    <w:p>
      <w:pPr>
        <w:ind w:left="920" w:hanging="912"/>
        <w:spacing w:after="0"/>
        <w:tabs>
          <w:tab w:leader="none" w:pos="9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SOFR NOTICE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ANNEXES</w:t>
      </w:r>
    </w:p>
    <w:p>
      <w:pPr>
        <w:spacing w:after="0" w:line="225" w:lineRule="exact"/>
        <w:rPr>
          <w:sz w:val="20"/>
          <w:szCs w:val="20"/>
          <w:color w:val="auto"/>
        </w:rPr>
      </w:pPr>
    </w:p>
    <w:p>
      <w:pPr>
        <w:ind w:left="920" w:hanging="912"/>
        <w:spacing w:after="0"/>
        <w:tabs>
          <w:tab w:leader="none" w:pos="9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Commitments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Notices</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Office</w:t>
            </w:r>
          </w:p>
        </w:tc>
      </w:tr>
      <w:tr>
        <w:trPr>
          <w:trHeight w:val="60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r>
      <w:tr>
        <w:trPr>
          <w:trHeight w:val="20"/>
        </w:trPr>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Compliance Information</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4.1(b)</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Qualified Jurisdictions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4.1(c)(iii)</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UCC Filing Jurisdictions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5.3(b)</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Required Consents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5.15</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Environmental and Safety Matters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5.17</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Employment Agreements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Capital Structure</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5.23</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Employment Matters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5.29</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Licenses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5.33(b)</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Party Data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Existing Debt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Affiliate Transactions</w:t>
            </w:r>
          </w:p>
        </w:tc>
      </w:tr>
    </w:tbl>
    <w:p>
      <w:pPr>
        <w:spacing w:after="0" w:line="9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CREDIT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Amended and Restated Credit Agreement is made as of [____], 2025, by and among the lenders from time to time party hereto (individually</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any and all such lenders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CHS (US) Management LLC (“</w:t>
      </w:r>
      <w:r>
        <w:rPr>
          <w:rFonts w:ascii="Times New Roman" w:cs="Times New Roman" w:eastAsia="Times New Roman" w:hAnsi="Times New Roman"/>
          <w:sz w:val="18"/>
          <w:szCs w:val="18"/>
          <w:b w:val="1"/>
          <w:bCs w:val="1"/>
          <w:color w:val="auto"/>
        </w:rPr>
        <w:t>CHS</w:t>
      </w:r>
      <w:r>
        <w:rPr>
          <w:rFonts w:ascii="Times New Roman" w:cs="Times New Roman" w:eastAsia="Times New Roman" w:hAnsi="Times New Roman"/>
          <w:sz w:val="18"/>
          <w:szCs w:val="18"/>
          <w:color w:val="auto"/>
        </w:rPr>
        <w:t>”), as the administrative agent for the Lenders (in such capacity, together with its successors and assigns in such capacity,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Rent the Runway,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reference is made to that certain Credit Agreement, dated as of July 23, 2018, by and among the lenders from time to time party thereto (individually, an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and any and all such lenders collectively, the “</w:t>
      </w:r>
      <w:r>
        <w:rPr>
          <w:rFonts w:ascii="Times New Roman" w:cs="Times New Roman" w:eastAsia="Times New Roman" w:hAnsi="Times New Roman"/>
          <w:sz w:val="18"/>
          <w:szCs w:val="18"/>
          <w:b w:val="1"/>
          <w:bCs w:val="1"/>
          <w:color w:val="auto"/>
        </w:rPr>
        <w:t>Existing Lenders</w:t>
      </w:r>
      <w:r>
        <w:rPr>
          <w:rFonts w:ascii="Times New Roman" w:cs="Times New Roman" w:eastAsia="Times New Roman" w:hAnsi="Times New Roman"/>
          <w:sz w:val="18"/>
          <w:szCs w:val="18"/>
          <w:color w:val="auto"/>
        </w:rPr>
        <w:t>”; it being understood that each Existing Lender is a Lender hereunder), the Agent and the Borrower (as amended by the First Amendment to Credit Agreement, dated as of December 21, 2018, the Second Amendment to Credit Agreement, dated as of April 24, 2019, the Third Amendment to Credit Agreement and First Amendment to the Security Agreement, dated as of November 26, 2019, the Fourth Amendment to Credit Agreement, dated as of June 2, 2020, the Fifth Amendment to Credit Agreement, dated as of August 18, 2020, the Sixth Amendment to Credit Agreement and Second Amendment to the Security Agreement, dated as of October 26, 2020, the Seventh Amendment to Credit Agreement and Third Amendment to the Security Agreement, dated as of October 18, 2021, the Eighth Amendment to Credit Agreement, dated as of August 15, 2022, the Ninth Amendment to Credit Agreement, dated as of January 31, 2023, the Tenth Amendment to Credit Agreement, dated as of December 1, 2023, the Eleventh Amendment to Credit Agreement, dated as of March 31, 2025, the Twelfth Amendment to Credit Agreement, dated as of May 29, 2025, and as further amended, amended and restated, supplemented or otherwise modified prior to the date hereof, the “</w:t>
      </w:r>
      <w:r>
        <w:rPr>
          <w:rFonts w:ascii="Times New Roman" w:cs="Times New Roman" w:eastAsia="Times New Roman" w:hAnsi="Times New Roman"/>
          <w:sz w:val="18"/>
          <w:szCs w:val="18"/>
          <w:b w:val="1"/>
          <w:bCs w:val="1"/>
          <w:color w:val="auto"/>
        </w:rPr>
        <w:t>Original Credit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the Original Credit Agreement, the Existing Lenders extended a credit facility to the Borrower consisting of term loans (the “</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Borrower and the Existing Lenders hereby agree that notwithstanding the terms of the Original Credit Agreement, pursuant to Section 2.1(a), all accrued but unpaid interest on the Existing Term Loans under the Original Credit Agreement shall be deemed to have been paid by capitalizing such interest and adding such capitalized interest to the outstanding principal amount of the Existing Term Loans (the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 and after giving effect to such capitalization, the aggregate principal amount of Existing Term Loans is set forth opposite each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name in Section 1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immediately after the Interest Capitalization on the Restatement Date (as hereinafter defined), the Existing Lenders exchanged a portion of their Existing Term Loans in an aggregate principal amount equal to $[____________] for [___] shares of Class A Common Stock of the</w:t>
      </w:r>
    </w:p>
    <w:p>
      <w:pPr>
        <w:jc w:val="both"/>
        <w:spacing w:after="0" w:line="253" w:lineRule="auto"/>
        <w:rPr>
          <w:sz w:val="20"/>
          <w:szCs w:val="20"/>
          <w:color w:val="auto"/>
        </w:rPr>
      </w:pPr>
      <w:r>
        <w:rPr>
          <w:rFonts w:ascii="Times New Roman" w:cs="Times New Roman" w:eastAsia="Times New Roman" w:hAnsi="Times New Roman"/>
          <w:sz w:val="18"/>
          <w:szCs w:val="18"/>
          <w:color w:val="auto"/>
        </w:rPr>
        <w:t>Borrower representing approximately 86% of the issued and outstanding Equity Interests of the Borrower on a fully diluted basis as of the Restatement Date (such exchange, the “</w:t>
      </w:r>
      <w:r>
        <w:rPr>
          <w:rFonts w:ascii="Times New Roman" w:cs="Times New Roman" w:eastAsia="Times New Roman" w:hAnsi="Times New Roman"/>
          <w:sz w:val="18"/>
          <w:szCs w:val="18"/>
          <w:b w:val="1"/>
          <w:bCs w:val="1"/>
          <w:color w:val="auto"/>
        </w:rPr>
        <w:t>Debt for Equity Exchange</w:t>
      </w:r>
      <w:r>
        <w:rPr>
          <w:rFonts w:ascii="Times New Roman" w:cs="Times New Roman" w:eastAsia="Times New Roman" w:hAnsi="Times New Roman"/>
          <w:sz w:val="18"/>
          <w:szCs w:val="18"/>
          <w:color w:val="auto"/>
        </w:rPr>
        <w:t>”) in accordance with the terms and subject to the conditions in the Exchange Agreement (as hereinafter defined). After giving effect to the Debt for Equity Exchange, the aggregate outstanding principal amount of Existing Term Loans is $100,000,000;</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immediately after giving effect to the Debt for Equity Exchange, each Existing Lender is deemed, pursuant to Section 2.1(b) of this Agreement, to have exchanged all of its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Term Loans on a dollar-for-dollar cashless basis for Term Loans under this Agreement (such exchange, the “</w:t>
      </w:r>
      <w:r>
        <w:rPr>
          <w:rFonts w:ascii="Times New Roman" w:cs="Times New Roman" w:eastAsia="Times New Roman" w:hAnsi="Times New Roman"/>
          <w:sz w:val="18"/>
          <w:szCs w:val="18"/>
          <w:b w:val="1"/>
          <w:bCs w:val="1"/>
          <w:color w:val="auto"/>
        </w:rPr>
        <w:t>Initial Loan Exchange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immediately following the Initial Loan Exchange on the Restatement Date, the Existing Lenders shall (a) assign a portion of their Term Loans in an aggregate principal amount equal to $30,000,000 to the Restatement Date Assignees (as hereinafter defined) and (b) sell [___] shares of Class A Common Stock of the Borrower to the Restatement Date Assignees, in each case, in accordance with the terms and subject to the conditions in the Purchase and Sale Agreement (as hereinafter defined) (the “</w:t>
      </w:r>
      <w:r>
        <w:rPr>
          <w:rFonts w:ascii="Times New Roman" w:cs="Times New Roman" w:eastAsia="Times New Roman" w:hAnsi="Times New Roman"/>
          <w:sz w:val="18"/>
          <w:szCs w:val="18"/>
          <w:b w:val="1"/>
          <w:bCs w:val="1"/>
          <w:color w:val="auto"/>
        </w:rPr>
        <w:t>Restatement Date Assignment</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 has requested that, immediately following the Restatement Date Assignment, the Lenders with Restatement Date Term Loan Commitments (as hereinafter defined) extend credit to the Borrower consisting of Term Loans in the original principal amount of $20,000,000 on the Restatement Date in accordance with the terms and subject to the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Lenders are prepared to extend such credit as aforesaid, but only on the terms and conditions set forth in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covenants contained herein, the Borrower, the Lenders, and the Agent agree as follows:</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DEFINITIONS.</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For the purposes of this Agreement the following terms will have the following meanings: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shall mean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Control Agreement(s)</w:t>
      </w:r>
      <w:r>
        <w:rPr>
          <w:rFonts w:ascii="Times New Roman" w:cs="Times New Roman" w:eastAsia="Times New Roman" w:hAnsi="Times New Roman"/>
          <w:sz w:val="18"/>
          <w:szCs w:val="18"/>
          <w:color w:val="auto"/>
        </w:rPr>
        <w:t>” shall mean, with respect to any deposit account, any securities account, commodity account, securities entitlement or commodity contract, an agreement, in form and substance reasonably satisfactory to the Agent, among the Agent, the Senior Agent, the financial institution or other Person at which such account is maintained or with which such entitlement or contract is carried and the Borrower or Guarantor maintaining such account, effective to grant “control” (as defined under the applicable UCC) over such account to the Agent.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Term SOFR</w:t>
      </w:r>
      <w:r>
        <w:rPr>
          <w:rFonts w:ascii="Times New Roman" w:cs="Times New Roman" w:eastAsia="Times New Roman" w:hAnsi="Times New Roman"/>
          <w:sz w:val="18"/>
          <w:szCs w:val="18"/>
          <w:color w:val="auto"/>
        </w:rPr>
        <w:t>” means, for purposes of any calculation, the rate per annum equal to Term SOFR for such calculation; provided that if Adjusted Term SOFR as so determined shall ever be less than the Floor, then Adjusted Term SOFR shall be deemed to be the Floor.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shall have the meaning set forth in Section 12‎.11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 Notwithstanding anything herein to the contrary, in no event shall any Agent or any Lender or their respective Affiliates or Related Funds be considered an "Affiliate" of any Credit Party.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Account</w:t>
      </w:r>
      <w:r>
        <w:rPr>
          <w:rFonts w:ascii="Times New Roman" w:cs="Times New Roman" w:eastAsia="Times New Roman" w:hAnsi="Times New Roman"/>
          <w:sz w:val="18"/>
          <w:szCs w:val="18"/>
          <w:color w:val="auto"/>
        </w:rPr>
        <w:t>” shall mean an account at a bank designated by the Agent from time to time as the account into which the Credit Parties shall make all payments to the Agent for the benefit of the Agent and the Lenders under this Agreement and the other Loan Documents.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Amounts Due</w:t>
      </w:r>
      <w:r>
        <w:rPr>
          <w:rFonts w:ascii="Times New Roman" w:cs="Times New Roman" w:eastAsia="Times New Roman" w:hAnsi="Times New Roman"/>
          <w:sz w:val="18"/>
          <w:szCs w:val="18"/>
          <w:color w:val="auto"/>
        </w:rPr>
        <w:t>” shall have the meaning set forth in Section 9‎.3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Credit Agreement and any annexes, exhibits and schedules attached hereto, as it may be amended,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 in Yield</w:t>
      </w:r>
      <w:r>
        <w:rPr>
          <w:rFonts w:ascii="Times New Roman" w:cs="Times New Roman" w:eastAsia="Times New Roman" w:hAnsi="Times New Roman"/>
          <w:sz w:val="18"/>
          <w:szCs w:val="18"/>
          <w:color w:val="auto"/>
        </w:rPr>
        <w:t>” shall have the meaning set forth in Section 2‎.11(b)(v)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shall mean any laws relating to terrorism, trade sanctions programs and embargoes, import/export licensing, money laundering, corruption or bribery, and any regulation, order, or directive promulgated, issued or enforced pursuant to such laws, all as amended, supplemented or replaced from time to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shall mean, as of any date of determination, with respect to the interest rate of (a) any Reference Rate Loan or any portion thereof, 4.00% per annum and (b) any SOFR Loan or any portion thereof, 5.00% per annum.</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Application Event</w:t>
      </w:r>
      <w:r>
        <w:rPr>
          <w:rFonts w:ascii="Times New Roman" w:cs="Times New Roman" w:eastAsia="Times New Roman" w:hAnsi="Times New Roman"/>
          <w:sz w:val="18"/>
          <w:szCs w:val="18"/>
          <w:color w:val="auto"/>
        </w:rPr>
        <w:t>” shall mean the (a) occurrence of an Event of Default and (b) the election by the Agent or the Majority Lenders during the continuance of such Event of Default to require that payments and proceeds of Collateral be applied pursuant to Section 9‎.2(a).</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shall mean the sale, transfer, license, lease or other disposition (including any sale and leaseback transaction), whether in one transaction or in a series of transactions, of any property (including, without limitation, any Equity Interests, contracts, merchant accounts (or any rights thereto)) by any Person (or the granting of any option or other right to do any of the foregoing), including any sale, assignment, transfer or other disposal, with or without recourse, of any notes or accounts receivable or any rights and claims associated therewith. For purposes of clarification, "Asset Sale" shall include any disposition of property through a "plan of division" under the Delaware Limited Liability Company Act or any comparable transaction under any similar law.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shall mean an Assignment Agreement substantially in the form of Exhibit B 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of Business Interruption Insurance Policy</w:t>
      </w:r>
      <w:r>
        <w:rPr>
          <w:rFonts w:ascii="Times New Roman" w:cs="Times New Roman" w:eastAsia="Times New Roman" w:hAnsi="Times New Roman"/>
          <w:sz w:val="18"/>
          <w:szCs w:val="18"/>
          <w:color w:val="auto"/>
        </w:rPr>
        <w:t>” means that certain Assignment of Business Interruption Insurance Policy as Collateral Security, dated as of the Restatement Date, made by the Borrower in favor of the Agent, in form and substance reasonably satisfactory to the Agent.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Signer</w:t>
      </w:r>
      <w:r>
        <w:rPr>
          <w:rFonts w:ascii="Times New Roman" w:cs="Times New Roman" w:eastAsia="Times New Roman" w:hAnsi="Times New Roman"/>
          <w:sz w:val="18"/>
          <w:szCs w:val="18"/>
          <w:color w:val="auto"/>
        </w:rPr>
        <w:t>” shall mean each person who has been authorized by the Borrower to execute and deliver any Requests for Loans hereunder pursuant to a written authorization delivered to the Agent and whose signature card or incumbency certificate has been received by the Agent.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shall mean,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1" w:name="page162"/>
    <w:bookmarkEnd w:id="161"/>
    <w:p>
      <w:pPr>
        <w:jc w:val="both"/>
        <w:spacing w:after="0" w:line="282" w:lineRule="auto"/>
        <w:rPr>
          <w:sz w:val="20"/>
          <w:szCs w:val="20"/>
          <w:color w:val="auto"/>
        </w:rPr>
      </w:pPr>
      <w:r>
        <w:rPr>
          <w:rFonts w:ascii="Times New Roman" w:cs="Times New Roman" w:eastAsia="Times New Roman" w:hAnsi="Times New Roman"/>
          <w:sz w:val="18"/>
          <w:szCs w:val="18"/>
          <w:color w:val="auto"/>
        </w:rPr>
        <w:t>interest calculated with reference to such Benchmark pursuant to this Agreement, in each case, as of such date and not including, for the avoidance of doubt, any tenor for such Benchmark that is then-removed from the definition of “Interest Period” pursuant to Section 2.12(g)(iv).</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EEA Resolution Authority in respect of any liability of an EEA Financial Institution.</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mean Title 11 of the United States Code and the rules promulgated thereunder.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2.12(g)(i).</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the Agent in consultation with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in consultation with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shall mean the earliest to occur of the following events with respect to the then-current Benchmark:</w:t>
      </w:r>
    </w:p>
    <w:p>
      <w:pPr>
        <w:spacing w:after="0" w:line="229" w:lineRule="exact"/>
        <w:rPr>
          <w:sz w:val="20"/>
          <w:szCs w:val="20"/>
          <w:color w:val="auto"/>
        </w:rPr>
      </w:pPr>
    </w:p>
    <w:p>
      <w:pPr>
        <w:jc w:val="both"/>
        <w:ind w:firstLine="656"/>
        <w:spacing w:after="0" w:line="266" w:lineRule="auto"/>
        <w:tabs>
          <w:tab w:leader="none" w:pos="107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thereof) permanently or indefinitely ceases to provide all Available Tenors of such Benchmark (or such component thereof); or</w:t>
      </w:r>
    </w:p>
    <w:p>
      <w:pPr>
        <w:spacing w:after="0" w:line="225" w:lineRule="exact"/>
        <w:rPr>
          <w:sz w:val="20"/>
          <w:szCs w:val="20"/>
          <w:color w:val="auto"/>
        </w:rPr>
      </w:pPr>
    </w:p>
    <w:p>
      <w:pPr>
        <w:jc w:val="both"/>
        <w:ind w:firstLine="656"/>
        <w:spacing w:after="0" w:line="258" w:lineRule="auto"/>
        <w:tabs>
          <w:tab w:leader="none" w:pos="107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w:t>
      </w:r>
    </w:p>
    <w:p>
      <w:pPr>
        <w:spacing w:after="0" w:line="229" w:lineRule="exact"/>
        <w:rPr>
          <w:sz w:val="20"/>
          <w:szCs w:val="20"/>
          <w:color w:val="auto"/>
        </w:rPr>
      </w:pPr>
    </w:p>
    <w:p>
      <w:pPr>
        <w:jc w:val="both"/>
        <w:ind w:firstLine="656"/>
        <w:spacing w:after="0" w:line="261" w:lineRule="auto"/>
        <w:tabs>
          <w:tab w:leader="none" w:pos="9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such prospective event is fewer than 90 days after such statement or publication, the date of such statement or publication).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2.12(g) and (b) ending at the time that a Benchmark Replacement has replaced the then-current Benchmark for all purposes hereunder and under any Loan Document in accordance with Section 2.12(g).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Observer</w:t>
      </w:r>
      <w:r>
        <w:rPr>
          <w:rFonts w:ascii="Times New Roman" w:cs="Times New Roman" w:eastAsia="Times New Roman" w:hAnsi="Times New Roman"/>
          <w:sz w:val="18"/>
          <w:szCs w:val="18"/>
          <w:color w:val="auto"/>
        </w:rPr>
        <w:t>” shall have the meaning specified therefor in Section 6‎.9.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BOD Meeting</w:t>
      </w:r>
      <w:r>
        <w:rPr>
          <w:rFonts w:ascii="Times New Roman" w:cs="Times New Roman" w:eastAsia="Times New Roman" w:hAnsi="Times New Roman"/>
          <w:sz w:val="18"/>
          <w:szCs w:val="18"/>
          <w:color w:val="auto"/>
        </w:rPr>
        <w:t>” shall have the meaning specified therefor in Section 6‎.9.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or a Sunday on which commercial banks are open for domestic and international business (including dealings in foreign exchange) in New York, New York.</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w:t>
      </w:r>
      <w:r>
        <w:rPr>
          <w:rFonts w:ascii="Times New Roman" w:cs="Times New Roman" w:eastAsia="Times New Roman" w:hAnsi="Times New Roman"/>
          <w:sz w:val="18"/>
          <w:szCs w:val="18"/>
          <w:color w:val="auto"/>
        </w:rPr>
        <w:t>” shall mean,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and to be treated as a finance lease in accordance with GAAP.</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Secured L/C</w:t>
      </w:r>
      <w:r>
        <w:rPr>
          <w:rFonts w:ascii="Times New Roman" w:cs="Times New Roman" w:eastAsia="Times New Roman" w:hAnsi="Times New Roman"/>
          <w:sz w:val="18"/>
          <w:szCs w:val="18"/>
          <w:color w:val="auto"/>
        </w:rPr>
        <w:t>” shall mean, a letter of credit issued for the account of the Borrower or a Guarantor and for which the Borrower or Guarantor, as applicable, has provided cash collateral to the financial institution that is the issuer of such letter of credit.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shall mean a Person that is a controlled foreign corporation under Section 957 of the Internal Revenue Code.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 Holding Company</w:t>
      </w:r>
      <w:r>
        <w:rPr>
          <w:rFonts w:ascii="Times New Roman" w:cs="Times New Roman" w:eastAsia="Times New Roman" w:hAnsi="Times New Roman"/>
          <w:sz w:val="18"/>
          <w:szCs w:val="18"/>
          <w:color w:val="auto"/>
        </w:rPr>
        <w:t>” shall mean any Domestic Subsidiary substantially all the assets of which consist (directly or indirectly) of equity interests (including, for this purpose, any debt or other instrument treated as equity for U.S. federal income tax purposes) and/or, if applicable, debt and equity interests in one or more (a) Foreign Subsidiaries that are CFCs and/or (b) other Subsidiaries substantially all the assets of which consist (directly or indirectly) of equity interests (including, for this purpose, any debt or other instrument treated as equity for U.S. federal income tax purposes) and/or, if applicable, debt and equity interests in one or more Foreign Subsidiaries that are CFCs.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shall mean the occurrence, after the Restatement Date, of any of the following: (i) the adoption or introduction of, or any change in any applicable law, treaty, rule or regulation (whether domestic or foreign) now or hereafter in effect and whether or not applicable to any Lender or Agent on such date, or (ii) any change in interpretation, administration or implementation of any such law, treaty, rule or regulation by any Governmental Authority, or (iii) the issuance, making or implementation by any Governmental Authority of any interpretation, administration, request, regulation, guideline, or directive (whether or not having the force of law), including any risk-based capital guidelines. For purposes of this definition, (x) a change in law, treaty, rule, regulation, interpretation, administration or implementation shall include, without limitation, any change made or which becomes effective on the basis of a law, treaty, rule, regulation, interpretation administration or implementation then in force, the effective date of which change is delayed by the terms of such law, treaty, rule, regulation, interpretation, administration or implementation, (y) the </w:t>
      </w:r>
      <w:r>
        <w:rPr>
          <w:rFonts w:ascii="Times New Roman" w:cs="Times New Roman" w:eastAsia="Times New Roman" w:hAnsi="Times New Roman"/>
          <w:sz w:val="18"/>
          <w:szCs w:val="18"/>
          <w:u w:val="single" w:color="auto"/>
          <w:color w:val="auto"/>
        </w:rPr>
        <w:t>Dodd-Frank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Reform and Consumer Protection Act</w:t>
      </w:r>
      <w:r>
        <w:rPr>
          <w:rFonts w:ascii="Times New Roman" w:cs="Times New Roman" w:eastAsia="Times New Roman" w:hAnsi="Times New Roman"/>
          <w:sz w:val="18"/>
          <w:szCs w:val="18"/>
          <w:color w:val="auto"/>
        </w:rPr>
        <w:t xml:space="preserve"> (Pub. L. 111-203,</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4" w:name="page165"/>
    <w:bookmarkEnd w:id="164"/>
    <w:p>
      <w:pPr>
        <w:jc w:val="both"/>
        <w:spacing w:after="0" w:line="258" w:lineRule="auto"/>
        <w:rPr>
          <w:sz w:val="20"/>
          <w:szCs w:val="20"/>
          <w:color w:val="auto"/>
        </w:rPr>
      </w:pPr>
      <w:r>
        <w:rPr>
          <w:rFonts w:ascii="Times New Roman" w:cs="Times New Roman" w:eastAsia="Times New Roman" w:hAnsi="Times New Roman"/>
          <w:sz w:val="18"/>
          <w:szCs w:val="18"/>
          <w:color w:val="auto"/>
        </w:rPr>
        <w:t>H.R. 4173) and all requests, rules, regulations, guidelines, interpretations or directives promulgated thereunder or issued in connection therewith shall be deemed to be a “Change in “Law”, regardless of the date enacted, adopted, issued or promulgated, and (z) 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an event or series of events by which (a) a transaction in which any “person” or “group” (within the meaning of Section 13(d) or 14(d) of the Securities Exchange Act of 1934, as amended) (other than one or more Permitted Holders) becomes the “beneficial owner” (as defined in Rule 13d-3 of the Securities Exchange Act of 1934, as amended), directly or indirectly, of a sufficient number of shares of all classes of stock then outstanding of the Borrower ordinarily entitled to vote in the election of directors of the Borrower, empowering such “person” or “group” to elect a majority of the board of directors of the Borrower, who did not have such power before such transaction, (b) any “person” or “group” (within the meaning of Section 13(d) or 14(d) of the Securities Exchange Act of 1934, as amended) (other than one or more Permitted Holders) shall obtain “beneficial ownership” (as defined in Rule 13d-3 of the Securities Exchange Act of 1934, as amended), either directly or indirectly, of more than 34% of all classes of stock then outstanding of the Borrower ordinarily entitled to vote in the election of directors of the Borrower, (c) the occurrence of an event or series of events that would trigger a violation of any change of control or change in control provision in any of the Subordinated Debt Documents or the Senior Loan Documents, (d) [reserved], (e) either of the individuals holding the offices of chief executive officer or chief financial officer as of the Restatement Date shall for any reason cease to hold such office or be actively engaged in day-to-day management of the Borrower, unless a successor or an interim officer is appointed by the board of directors of the Borrower within 90 days of such cessation (and in the case of a chief executive officer, such successor or interim officer shall be reasonably acceptable to the Agent and the Majority Lenders), or (f) other than pursuant to a transaction expressly permitted under Section 7.4, the Borrower fails at any time to own, directly or indirectly, 100% of the Equity Interests of the other Credit Parties. For the avoidance of doubt, it shall be deemed a Change of Control if an entity is interposed directly above Borrower following the Restatement Date without the Agent’s consent or such direct parent entity does not become a Guarantor at the time of such formation, in accordance with Section 6.19(d). For the avoidance of doubt, no Change of Control will be deemed to have occurred by virtue of the Restatement Date Transactions.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CHS</w:t>
      </w:r>
      <w:r>
        <w:rPr>
          <w:rFonts w:ascii="Times New Roman" w:cs="Times New Roman" w:eastAsia="Times New Roman" w:hAnsi="Times New Roman"/>
          <w:sz w:val="18"/>
          <w:szCs w:val="18"/>
          <w:color w:val="auto"/>
        </w:rPr>
        <w:t>” has the meaning specified therefor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CHS Investments</w:t>
      </w:r>
      <w:r>
        <w:rPr>
          <w:rFonts w:ascii="Times New Roman" w:cs="Times New Roman" w:eastAsia="Times New Roman" w:hAnsi="Times New Roman"/>
          <w:sz w:val="18"/>
          <w:szCs w:val="18"/>
          <w:color w:val="auto"/>
        </w:rPr>
        <w:t>” means CHS US Investments LLC and its Controlled Investment Affiliates.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shall mean (a) with respect to Lenders, each of the following classes of Lenders: (i) Lenders having Term Loan Exposure and (ii) Lenders having Incremental Term Loan Exposure of each applicable tranche, and (b) with respect to Loans, each of the following classes of Loans: (i) Term Loan and (ii) each tranche of Incremental Term Loans.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mean all property or rights in which a security interest, mortgage, lien or other encumbrance in favor of the Agent for the benefit of the Agent and the Lenders is or has been granted or arises or has arisen, under or in connection with this Agreement, the other Loan Documents, or otherwise to secure the Indebtedness.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Access Agreement</w:t>
      </w:r>
      <w:r>
        <w:rPr>
          <w:rFonts w:ascii="Times New Roman" w:cs="Times New Roman" w:eastAsia="Times New Roman" w:hAnsi="Times New Roman"/>
          <w:sz w:val="18"/>
          <w:szCs w:val="18"/>
          <w:color w:val="auto"/>
        </w:rPr>
        <w:t>” shall mean an agreement in form and substance satisfactory to the Agent in its reasonable discretion, pursuant to which a mortgagee or lessor of real property on which Collateral is stored or otherwise located, or a warehouseman, processor or other bailee of inventory or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5" w:name="page166"/>
    <w:bookmarkEnd w:id="165"/>
    <w:p>
      <w:pPr>
        <w:jc w:val="both"/>
        <w:spacing w:after="0" w:line="266" w:lineRule="auto"/>
        <w:rPr>
          <w:sz w:val="20"/>
          <w:szCs w:val="20"/>
          <w:color w:val="auto"/>
        </w:rPr>
      </w:pPr>
      <w:r>
        <w:rPr>
          <w:rFonts w:ascii="Times New Roman" w:cs="Times New Roman" w:eastAsia="Times New Roman" w:hAnsi="Times New Roman"/>
          <w:sz w:val="18"/>
          <w:szCs w:val="18"/>
          <w:color w:val="auto"/>
        </w:rPr>
        <w:t>other property owned by the Borrower or any Guarantor, that acknowledges the Liens under the Collateral Documents and subordinates or waives any Liens held by such Person on such property and, includes such other agreements with respect to the Collateral as the Agent may require in its reasonable discretion, as the same may be amended, restated or otherwise modified from time to time.</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shall mean the Security Agreement, the Pledge Agreements, the Mortgages, the Account Control Agreements, the Collateral Access Agreements, the Assignment of Business Interruption Insurance Policy, the Reaffirmation Agreement, and all other security documents (and any joinders thereto) executed by any Credit Party in favor of the Agent on or after the Original Effective Date, in connection with any of the foregoing collateral documents, in each case, as such collateral documents may be amended or otherwise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shall mean Term Loan Commitments.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shall mean, with respect to either the use or administration of Term SOFR or the use, administration, adoption or implementation of any Benchmark Replacement, any technical, administrative or operational changes (including changes to the definition of “Reference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2.13 and other technical, administrative or operational matters) that the Agent decides may be necessary or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Consolidating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consolidating</w:t>
      </w:r>
      <w:r>
        <w:rPr>
          <w:rFonts w:ascii="Times New Roman" w:cs="Times New Roman" w:eastAsia="Times New Roman" w:hAnsi="Times New Roman"/>
          <w:sz w:val="18"/>
          <w:szCs w:val="18"/>
          <w:color w:val="auto"/>
        </w:rPr>
        <w:t>”) shall mean, when used with reference to any financial term in this Agreement, the aggregate for two or more Persons of the amounts signified by such term for all such Persons determined on a consolidated (or consolidating) basis in accordance with GAAP, applied on a consistent basis. Unless otherwise specified herein, “Consolidated” and “Consolidating” shall refer to the Borrower and its Subsidiaries, determined on a Consolidated or Consolidating basis.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material agreement, instrument or other undertaking to which such Person is a party or by which it or any of its property is bound.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shall mean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Investment Affiliate</w:t>
      </w:r>
      <w:r>
        <w:rPr>
          <w:rFonts w:ascii="Times New Roman" w:cs="Times New Roman" w:eastAsia="Times New Roman" w:hAnsi="Times New Roman"/>
          <w:sz w:val="18"/>
          <w:szCs w:val="18"/>
          <w:color w:val="auto"/>
        </w:rPr>
        <w:t>” means, as to any Person, any other Person that (a) directly or indirectly, is in Control of, is Controlled by, or is under common Control with, such Person and (b) is organized by such Person primarily for the purpose of making equity or debt investments in one or more companies.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6" w:name="page167"/>
    <w:bookmarkEnd w:id="16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shall mean (a) each Credit Party, any other Persons that guaranty the Indebtedness and/or pledge collateral to secure the Indebtedness, (b) each Person that, directly or indirectly, is in control of a Person described in clause (a) above, and (c) all brokers or other agents of any Credit Party acting in any capacity in connection with this Agreement. For purposes of this definition, control of a Person shall mean the direct or indirect</w:t>
      </w:r>
    </w:p>
    <w:p>
      <w:pPr>
        <w:jc w:val="both"/>
        <w:ind w:firstLine="8"/>
        <w:spacing w:after="0" w:line="255" w:lineRule="auto"/>
        <w:tabs>
          <w:tab w:leader="none" w:pos="25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Dat</w:t>
      </w:r>
      <w:r>
        <w:rPr>
          <w:rFonts w:ascii="Times New Roman" w:cs="Times New Roman" w:eastAsia="Times New Roman" w:hAnsi="Times New Roman"/>
          <w:sz w:val="18"/>
          <w:szCs w:val="18"/>
          <w:color w:val="auto"/>
        </w:rPr>
        <w:t>e” shall mean, with respect to each Term Loan, the date such Term Loan is made by the Lenders.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Parties</w:t>
      </w:r>
      <w:r>
        <w:rPr>
          <w:rFonts w:ascii="Times New Roman" w:cs="Times New Roman" w:eastAsia="Times New Roman" w:hAnsi="Times New Roman"/>
          <w:sz w:val="18"/>
          <w:szCs w:val="18"/>
          <w:color w:val="auto"/>
        </w:rPr>
        <w:t>” shall mean the Borrower and its Subsidiaries, if any, and “</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shall mean any one of them, as the context indicates or otherwise requires.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Security Requirements</w:t>
      </w:r>
      <w:r>
        <w:rPr>
          <w:rFonts w:ascii="Times New Roman" w:cs="Times New Roman" w:eastAsia="Times New Roman" w:hAnsi="Times New Roman"/>
          <w:sz w:val="18"/>
          <w:szCs w:val="18"/>
          <w:color w:val="auto"/>
        </w:rPr>
        <w:t>” means, collectively, all of the following to the extent relating to confidential or sensitive information, payment card data, Personal Data, or other protected information relating to individuals or otherwise relating to privacy, security, Processing, marketing, or security breach notification requirements and applicable to the Credit Parties: (i) each Credit Party’s own rules, policies, and procedures (whether physical or technical in nature, or otherwise), (ii) all applicable laws and all industry standards applicable to the Credit Parties’ industry (including the Payment Card Industry Data Security Standard), and (iii) agreements the Credit Parties have entered into or by which any of them is bound.</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shall mean as to any Person, without duplication, (a) all Funded Debt of such Person, (b) all obligations of such Person under conditional sale or other title retention agreements relating to property or assets purchased by such Person, (c) all indebtedness of such Person arising in connection with any Hedging Transaction entered into by such Person, (d) all recourse Debt of any partnership or joint venture (other than a joint venture that is itself a corporation or limited liability company) of which such Person is the general partner, (e) all Off Balance Sheet Liabilities of such Person, (f) all Guarantee Obligations of such Person in respect of any of the types of obligations described in the preceding clauses (a) through (e), and (g) all liabilities of the type described in the preceding clauses (a) through (f) that are secured by any Liens on any property owned by such Person as of such date even though such Person has not assumed or otherwise become liable for the payment thereof,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for Equity Exchange</w:t>
      </w:r>
      <w:r>
        <w:rPr>
          <w:rFonts w:ascii="Times New Roman" w:cs="Times New Roman" w:eastAsia="Times New Roman" w:hAnsi="Times New Roman"/>
          <w:sz w:val="18"/>
          <w:szCs w:val="18"/>
          <w:color w:val="auto"/>
        </w:rPr>
        <w:t>” has the meaning specified therefor in the recitals to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shall mean any event that with the giving of notice or the passage of time, or both, would constitute an Event of Default under this Agreement.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7" w:name="page168"/>
    <w:bookmarkEnd w:id="16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shall mean any Lender that (a) has failed to (i) fund all or any portion of its Loans within two (2)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or any other Lender any other amount required to be paid by it hereunder within two (2) Business Days of the date when due, (b) has notified the Borrower or the Agent in writing that it does not intend to comply with its funding obligations hereunder, or has made a public statement to that effect (unless such writing or public statement is based on such Lender’s good faith determination that a condition precedent to funding (which condition precedent, together with any applicable default, shall be specifically identified in such writing or public statement) has not been satisfied), (c) has failed, within three Business Days after written request by the Agent or the Borrower, to confirm in writing to the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upon delivery of written notice of such determination to the Borrower and each Lender; provided, that notwithstanding anything to the contrary contained in this Agreement, (x) the Agent shall not be responsible or have any liability for, or have any duty to ascertain, inquire into, monitor or enforce, compliance with the provisions hereof relating to a Defaulting Lender and (y) the Borrower and the Lenders acknowledge and agree that the Agent shall have no responsibility or obligation to determine whether any Lender is a Defaulting Lender.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Letter</w:t>
      </w:r>
      <w:r>
        <w:rPr>
          <w:rFonts w:ascii="Times New Roman" w:cs="Times New Roman" w:eastAsia="Times New Roman" w:hAnsi="Times New Roman"/>
          <w:sz w:val="18"/>
          <w:szCs w:val="18"/>
          <w:color w:val="auto"/>
        </w:rPr>
        <w:t>” shall mean a flow of funds agreement, in form and substance satisfactory to the Agent, by and among the Borrower, the Agent and the Lenders, and the related funds flow memorandum describing the sources and uses of all cash payments in connection with the transactions contemplated to occur on the Restatement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is defined in Section 7‎.5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lawful money of the United States of America.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shall mean any Subsidiary that is organized under the laws of the United States of America, any State thereof or the District of Columbia (excluding, for the avoidance of doubt, any Subsidiary organized under the laws of Puerto Rico or any other territory), and “</w:t>
      </w:r>
      <w:r>
        <w:rPr>
          <w:rFonts w:ascii="Times New Roman" w:cs="Times New Roman" w:eastAsia="Times New Roman" w:hAnsi="Times New Roman"/>
          <w:sz w:val="18"/>
          <w:szCs w:val="18"/>
          <w:b w:val="1"/>
          <w:bCs w:val="1"/>
          <w:color w:val="auto"/>
        </w:rPr>
        <w:t>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mean any or all of them.</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8" w:name="page169"/>
    <w:bookmarkEnd w:id="168"/>
    <w:p>
      <w:pPr>
        <w:jc w:val="both"/>
        <w:spacing w:after="0" w:line="282" w:lineRule="auto"/>
        <w:rPr>
          <w:sz w:val="20"/>
          <w:szCs w:val="20"/>
          <w:color w:val="auto"/>
        </w:rPr>
      </w:pPr>
      <w:r>
        <w:rPr>
          <w:rFonts w:ascii="Times New Roman" w:cs="Times New Roman" w:eastAsia="Times New Roman" w:hAnsi="Times New Roman"/>
          <w:sz w:val="18"/>
          <w:szCs w:val="18"/>
          <w:color w:val="auto"/>
        </w:rPr>
        <w:t>this definition, or (c) any financial institution established in an EEA Member Country which is a subsidiary of an institution described in clauses (a) or (b) of this definition and is subject to consolidated supervision with its parent.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Transmission</w:t>
      </w:r>
      <w:r>
        <w:rPr>
          <w:rFonts w:ascii="Times New Roman" w:cs="Times New Roman" w:eastAsia="Times New Roman" w:hAnsi="Times New Roman"/>
          <w:sz w:val="18"/>
          <w:szCs w:val="18"/>
          <w:color w:val="auto"/>
        </w:rPr>
        <w:t>” shall mean each document, instruction, authorization, file, information and any other communication transmitted, posted or otherwise made or communicated by e-mail or E-Fax, or otherwise to or from an E-System or other equivalent service.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shall mean (a) a Lender; (b) any Affiliate of the Agent or any Lender or any Related Fund of the Agent or any Lender; or (c) any other Person (other than a natural person) approved by (i) the Agent and (ii) the Borrower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Borrower’s consent shall not be required (1) after the occurrence and during the continuance of an Event of Default under Section 8.1(a), 8.1(b), 8.1(c) (solely as a result of a breach of Section 6.1, 6.2 or 7.14) or or 8.1(i), (2) if such assignment is in connection with any sale, transfer, or other disposition of all or any substantial portion of the loan portfolio of such Lender or (3) if the Majority Lenders hold more than 50% of the outstanding voting stock of the Borrower and (B) the Borrower shall be deemed to have consented to any such assignment unless it shall object thereto by written notice to the Agent within five (5) Business Days after having received notice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the foregoing, (i) “Eligible Assignee” shall not include the Borrower or any of the Borrower’s Affiliates or Subsidiaries and (ii) no assignment shall be made to a Defaulting Lender (or any Person who would be a Defaulting Lender if such Person was a Lender hereunder) without the consent of the Agent.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Incremental Lenders</w:t>
      </w:r>
      <w:r>
        <w:rPr>
          <w:rFonts w:ascii="Times New Roman" w:cs="Times New Roman" w:eastAsia="Times New Roman" w:hAnsi="Times New Roman"/>
          <w:sz w:val="18"/>
          <w:szCs w:val="18"/>
          <w:color w:val="auto"/>
        </w:rPr>
        <w:t>” shall mean any bank, trust company, savings and loan association, savings bank or other financial institution that</w:t>
      </w:r>
    </w:p>
    <w:p>
      <w:pPr>
        <w:spacing w:after="0" w:line="31" w:lineRule="exact"/>
        <w:rPr>
          <w:sz w:val="20"/>
          <w:szCs w:val="20"/>
          <w:color w:val="auto"/>
        </w:rPr>
      </w:pPr>
    </w:p>
    <w:p>
      <w:pPr>
        <w:ind w:firstLine="8"/>
        <w:spacing w:after="0" w:line="260" w:lineRule="auto"/>
        <w:tabs>
          <w:tab w:leader="none" w:pos="24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engages in the business of extending loans or credit, and whose reported capital and surplus equal at least $250,000,000 and (b) is approved by the Agent and the Majority Lenders.</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shall mean (i) in the case of any corporation, all capital stock and any securities exchangeable for or convertible into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 but excluding, in all of the foregoing cases described in clauses (i), (ii), (iii) and (iv), any Debt that is convertible into or exchangeable for Equity Interests but only prior to any such conversion.</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 as amended, or any successor act or code and the regulations in effect from time to time thereunder.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9" w:name="page170"/>
    <w:bookmarkEnd w:id="16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shall mean,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shall mean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Credit Party or any of its ERISA Affiliates from any Pension Plan with two or more contributing sponsors or the termination of any such Pension Plan resulting in liability to any Credit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Credit Party or any of its ERISA Affiliates pursuant to Section 4062(e) or 4069(a) of ERISA or by reason of the application of Section 4212(c) of ERISA; (i) the withdrawal of any Credit Party or any of its ERISA Affiliates in a complete or partial withdrawal (within the meaning of Sections 4203 and 4205 of ERISA) from any Multiemployer Plan or the receipt by any Credit Party or any of its ERISA Affiliates of notice from any Multiemployer Plan that it is insolvent pursuant to Section 4245 of ERISA, or that it intends to terminate or has terminated under Section 4041A or 4042 of ERISA; (j) the occurrence of an act or omission which could give rise to the imposition on any Credit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Credit Party or any of its ERISA Affiliates; or (l) the imposition of a Lien pursuant to Section 430(k) of the Internal Revenue Code or pursuant to ERISA with respect to any Pension Plan.</w:t>
      </w:r>
    </w:p>
    <w:p>
      <w:pPr>
        <w:spacing w:after="0" w:line="18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E-System</w:t>
      </w:r>
      <w:r>
        <w:rPr>
          <w:rFonts w:ascii="Times New Roman" w:cs="Times New Roman" w:eastAsia="Times New Roman" w:hAnsi="Times New Roman"/>
          <w:sz w:val="18"/>
          <w:szCs w:val="18"/>
          <w:color w:val="auto"/>
        </w:rPr>
        <w:t>” shall mean any electronic system and any other Internet or extranet-based site, whether such electronic system is owned, operated, hosted or utilized by the Agent, any of its Affiliates or any other Person, providing for access to data protected by passcodes or other security system.</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mean each of the conditions or events set forth in Section 8‎.1 hereof.</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xml:space="preserve"> shall mean that certain Exchange Agreement, dated as of August 20, 2025, by and between CHS Investments and Borrower, as amended, restated or otherwise modified from time to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Exchanged Term Loans</w:t>
      </w:r>
      <w:r>
        <w:rPr>
          <w:rFonts w:ascii="Times New Roman" w:cs="Times New Roman" w:eastAsia="Times New Roman" w:hAnsi="Times New Roman"/>
          <w:sz w:val="18"/>
          <w:szCs w:val="18"/>
          <w:color w:val="auto"/>
        </w:rPr>
        <w:t>” shall mean term loans received by an Existing Lender in exchange for such Lender’s Existing Term Loans as described in the recitals hereto or all of the term loans received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by the Existing Lenders in exchange for the Existing Lenders’ Existing Term Loans as described in the recitals hereto, as the context requires.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w:t>
      </w:r>
      <w:r>
        <w:rPr>
          <w:rFonts w:ascii="Times New Roman" w:cs="Times New Roman" w:eastAsia="Times New Roman" w:hAnsi="Times New Roman"/>
          <w:sz w:val="18"/>
          <w:szCs w:val="18"/>
          <w:color w:val="auto"/>
        </w:rPr>
        <w:t>” shall mean (a) any account which is a payroll, withholding, disbursement, zero balance (in which all funds in such zero balance account are transferred on a daily basis to an account subject to an Account Control Agreement) or trust account, (b) any Excluded L/C Account and (c) the Permitted Account.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L/C Account</w:t>
      </w:r>
      <w:r>
        <w:rPr>
          <w:rFonts w:ascii="Times New Roman" w:cs="Times New Roman" w:eastAsia="Times New Roman" w:hAnsi="Times New Roman"/>
          <w:sz w:val="18"/>
          <w:szCs w:val="18"/>
          <w:color w:val="auto"/>
        </w:rPr>
        <w:t>” shall have the meaning specified therefore in Section 7‎.2(f).</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jc w:val="both"/>
        <w:ind w:firstLine="8"/>
        <w:spacing w:after="0" w:line="251" w:lineRule="auto"/>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12‎.11) or (ii) such Lender changes its lending office, except in each case to the extent that pursuant to Section 10‎.4, amounts with respect to such Taxes were payable either to such Lender’s assignor immediately before such Lender became a party hereto or to such Lender immediately before it changed its lending office, (c) Taxes attributable to such Recipient’s failure to comply with Section 12.12 and (d) any U.S. federal withholding Taxes imposed under FATCA.</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has the meaning specified therefor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 has the meaning specified therefor in the recitals to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mean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shall mean the third amended and restated fee letter by and between Borrower and Agent, dated as of the Restatement Date, as amended, restated, replaced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shall mean the fees and charges payable by the Borrower to the Lenders or the Agent hereunder or under the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shall have the meaning specified therefor in Section 4‎.1(h).</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1" w:name="page172"/>
    <w:bookmarkEnd w:id="17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shall mean the fiscal quarter of the Borrower and its Subsidiaries ending on January 31, April 30, July 31 and October 31 of each year.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shall mean the fiscal year of the Borrower and its Subsidiaries ending on January 31 of each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shall mean a rate of interest equal to 1.00%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Benefit Event</w:t>
      </w:r>
      <w:r>
        <w:rPr>
          <w:rFonts w:ascii="Times New Roman" w:cs="Times New Roman" w:eastAsia="Times New Roman" w:hAnsi="Times New Roman"/>
          <w:sz w:val="18"/>
          <w:szCs w:val="18"/>
          <w:color w:val="auto"/>
        </w:rPr>
        <w:t>” shall mean, with respect to any Foreign Plan, (a) the existence of unfunded liabilities in excess of the amount permitted under any Requirement of Law, or in excess of the amount that would be permitted absent a waiver from a Governmental Authority, (b) the failure to make the required contributions or payments, under any Requirement of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or (d) the occurrence of any transaction that is prohibited under any Requirement of Law and that could reasonably be expected to result in the incurrence of any liability by a Credit Party, or the imposition on a Credit Party of, any fine, excise tax or penalty resulting from any noncompliance with any Requirement of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mean a Lender that is not a “United States person,” within the meaning of Section 7701(a)(30) of the Internal 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Plan</w:t>
      </w:r>
      <w:r>
        <w:rPr>
          <w:rFonts w:ascii="Times New Roman" w:cs="Times New Roman" w:eastAsia="Times New Roman" w:hAnsi="Times New Roman"/>
          <w:sz w:val="18"/>
          <w:szCs w:val="18"/>
          <w:color w:val="auto"/>
        </w:rPr>
        <w:t>” shall mean any employee pension benefit plan (within the meaning of Section 3(2) of ERISA, whether or not subject to ERISA) that is maintained or contributed to by a Credit Party with respect to workers employed outside the United States.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any Subsidiary of the Borrower that is not a Domestic Subsidiary, and “Foreign Subsidiaries” shall mean any or all of them.</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Funded Debt</w:t>
      </w:r>
      <w:r>
        <w:rPr>
          <w:rFonts w:ascii="Times New Roman" w:cs="Times New Roman" w:eastAsia="Times New Roman" w:hAnsi="Times New Roman"/>
          <w:sz w:val="18"/>
          <w:szCs w:val="18"/>
          <w:color w:val="auto"/>
        </w:rPr>
        <w:t>” of any Person shall mean, without duplication, (a) all indebtedness of such Person for borrowed money or for the deferred purchase price of property or services as of such date (other than (i) operating leases and (ii) trade payables not outstanding for more than 90 days after the date such payable was due, in each case,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(actual, contingent or otherwise) of such Person in respect of letters of credit, bankers acceptances or similar obligations issued or created for the account of such Person, and (d) all Guarantee Obligations in respect of any liability which constitutes Funded Debt under the preceding clauses (a) through (c); provided, however that Funded Debt shall not include any indebtedness under any Hedging Transaction prior to the occurrence of a termination event with respect thereto.</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as in effect from time to time, generally accepted accounting principles in the United States of America that are applicable to the circumstances as of the date of determination.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International Settlements or the Basel Committee on Banking Supervision or any successor or similar authority to any of the foregoing).</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Obligations</w:t>
      </w:r>
      <w:r>
        <w:rPr>
          <w:rFonts w:ascii="Times New Roman" w:cs="Times New Roman" w:eastAsia="Times New Roman" w:hAnsi="Times New Roman"/>
          <w:sz w:val="18"/>
          <w:szCs w:val="18"/>
          <w:color w:val="auto"/>
        </w:rPr>
        <w:t>” shall mean noncallable direct general obligations of the United States of America or obligations the payment of principal of and interest on which is unconditionally guaranteed by the United States of America.</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 Obligation</w:t>
      </w:r>
      <w:r>
        <w:rPr>
          <w:rFonts w:ascii="Times New Roman" w:cs="Times New Roman" w:eastAsia="Times New Roman" w:hAnsi="Times New Roman"/>
          <w:sz w:val="18"/>
          <w:szCs w:val="18"/>
          <w:color w:val="auto"/>
        </w:rPr>
        <w:t>” shall mean as to any Person (the “guaranteeing person”) any obligation of the guaranteeing Person in respect of any obligation of another Person (the “primary obligor”) (including, without limitation, any bank under any letter of credit), the creation of which was induced by a reimbursement agreement, guaranty agreement, keepwell agreement, purchase agreement, counterindemnity or similar obligation issued by the guaranteeing person, in either case guaranteeing or in effect guaranteeing any Debt, leases, dividends or other obligations (the “primary obligations”) of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applicable Person in good faith.</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shall mean each Subsidiary of the Borrower (and, to the extent the Lenders have agreed to the formation of a direct parent holding entity, such parent entity of the Borrower, in accordance with Section 6.19(d)) which has executed and delivered to the Agent a Guaranty (or a joinder to a Guaranty), and a Security Agreement (or a joinder to the Security Agreement). It is understood and agreed that any Subsidiary or Affiliate of the Borrower that is a guarantor under the Senior Loan Documents (or any Permitted Refinancing Debt in respect of such Debt) shall be required to be a Guarantor hereunder. Notwithstanding anything to the contrary contained herein or in any other Loan Document, a Subsidiary shall not cease to be a Guarantor hereunder solely by virtue of such Subsidiary no longer being a wholly-owned Subsidiary of a Credit Party unless all of the Equity Interests of such Subsidiary held by any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shall mean, collectively, those guaranty agreements executed and delivered from time to time after the Restatement Date (whether by execution of joinder agreements or otherwise) pursuant to Section 6‎.13 hereof or otherwise, in each case in the form attached hereto as Exhibit C, as amended, restated or otherwise modified from time to time.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3" w:name="page174"/>
    <w:bookmarkEnd w:id="173"/>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shall mean any hazardous or toxic waste, substance or material defined or regulated as such in or for purposes of the Hazardous Material Laws.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 Law(s)</w:t>
      </w:r>
      <w:r>
        <w:rPr>
          <w:rFonts w:ascii="Times New Roman" w:cs="Times New Roman" w:eastAsia="Times New Roman" w:hAnsi="Times New Roman"/>
          <w:sz w:val="18"/>
          <w:szCs w:val="18"/>
          <w:color w:val="auto"/>
        </w:rPr>
        <w:t>” shall mean all laws, codes, ordinances, rules, regulations and other governmental restrictions and Requirements of Law issued by any federal, state, local or other governmental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 ordinance, code, rule, regulation, order or decree regulating, relating to, or imposing liability or standards of conduct concerning, any Hazardous Material, as now or at any time during the term of the Agreement in effect.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Transaction</w:t>
      </w:r>
      <w:r>
        <w:rPr>
          <w:rFonts w:ascii="Times New Roman" w:cs="Times New Roman" w:eastAsia="Times New Roman" w:hAnsi="Times New Roman"/>
          <w:sz w:val="18"/>
          <w:szCs w:val="18"/>
          <w:color w:val="auto"/>
        </w:rPr>
        <w:t>” shall mean each interest rate swap transaction, basis swap transaction, forward rate transaction, equity transaction, equity index transaction, foreign exchange transaction, cap transaction, floor transaction (including any option with respect to any of these transactions and any combination of any of the foregoing).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similar terms shall refer to this Agreement and not to any particular paragraph or provision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Highest Lawful Rate</w:t>
      </w:r>
      <w:r>
        <w:rPr>
          <w:rFonts w:ascii="Times New Roman" w:cs="Times New Roman" w:eastAsia="Times New Roman" w:hAnsi="Times New Roman"/>
          <w:sz w:val="18"/>
          <w:szCs w:val="18"/>
          <w:color w:val="auto"/>
        </w:rPr>
        <w:t>” shall mean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Amount Date</w:t>
      </w:r>
      <w:r>
        <w:rPr>
          <w:rFonts w:ascii="Times New Roman" w:cs="Times New Roman" w:eastAsia="Times New Roman" w:hAnsi="Times New Roman"/>
          <w:sz w:val="18"/>
          <w:szCs w:val="18"/>
          <w:color w:val="auto"/>
        </w:rPr>
        <w:t>” has the meaning specified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Commitments</w:t>
      </w:r>
      <w:r>
        <w:rPr>
          <w:rFonts w:ascii="Times New Roman" w:cs="Times New Roman" w:eastAsia="Times New Roman" w:hAnsi="Times New Roman"/>
          <w:sz w:val="18"/>
          <w:szCs w:val="18"/>
          <w:color w:val="auto"/>
        </w:rPr>
        <w:t>” has the meaning specified in Section 2‎.11.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Exposure</w:t>
      </w:r>
      <w:r>
        <w:rPr>
          <w:rFonts w:ascii="Times New Roman" w:cs="Times New Roman" w:eastAsia="Times New Roman" w:hAnsi="Times New Roman"/>
          <w:sz w:val="18"/>
          <w:szCs w:val="18"/>
          <w:color w:val="auto"/>
        </w:rPr>
        <w:t>” shall mean, with respect to any Lender, as of any date of determination, the sum of (a) such Lender’s undrawn Incremental Term Loan Commitment and (b) the aggregate outstanding principal amount of the Incremental Term Loans of such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Lender</w:t>
      </w:r>
      <w:r>
        <w:rPr>
          <w:rFonts w:ascii="Times New Roman" w:cs="Times New Roman" w:eastAsia="Times New Roman" w:hAnsi="Times New Roman"/>
          <w:sz w:val="18"/>
          <w:szCs w:val="18"/>
          <w:color w:val="auto"/>
        </w:rPr>
        <w:t>” has the meaning specified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has the meaning specified in Section 2‎.11.</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shall mean all indebtedness and liabilities (including without limitation principal, interest (including without limitation interest accruing at the then applicable rate provided in this Agreement or any other applicable Loan Document after an applicable maturity date and interest accruing at the then applicable rate provided in this Agreement or any other applicable Loan Document after the filing of any petition in bankruptcy, or the commencement of any insolvency, reorganization or like proceeding, relating to the Credit Parties whether or not a claim for post-filing or post-petition interest is allowed in such proceeding), fees, prepayment premiums (including the Prepayment Premium), expenses, indemnification and other charges) arising under this Agreement or any of the other Loan Documents, whether direct or indirect, absolute or contingent, of any Credit Party to any of the Lenders or Affiliates thereof or to the Agent, in any manner and at any time, whether arising under this Agreement, the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74" w:name="page175"/>
    <w:bookmarkEnd w:id="174"/>
    <w:p>
      <w:pPr>
        <w:jc w:val="both"/>
        <w:spacing w:after="0" w:line="255" w:lineRule="auto"/>
        <w:rPr>
          <w:sz w:val="20"/>
          <w:szCs w:val="20"/>
          <w:color w:val="auto"/>
        </w:rPr>
      </w:pPr>
      <w:r>
        <w:rPr>
          <w:rFonts w:ascii="Times New Roman" w:cs="Times New Roman" w:eastAsia="Times New Roman" w:hAnsi="Times New Roman"/>
          <w:sz w:val="18"/>
          <w:szCs w:val="18"/>
          <w:color w:val="auto"/>
        </w:rPr>
        <w:t>Guaranty or any of the other Loan Documents due or hereafter to become due, now owing or that may hereafter be incurred by any Credit Party to any of the Lenders or Affiliates thereof or to the Agent, in each case whether or not reduced to judgment, with interest according to the rates and terms specified, and any and all consolidations, amendments, renewals, replacements, substitutions or extensions of any of the foregoing; provided, however that for purposes of calculating the Indebtedness outstanding under this Agreement or any of the other Loan Documents, the direct and indirect and absolute and contingent obligations of the Credit Parties (whether direct or contingent) shall be determined without duplication. Without limiting the generality of the foregoing, the Indebtedness of each Credit Party under the Loan Documents includes the obligation of such Person to reimburse any amount in respect of any of the foregoing that any Agent or any Lender (in its sole discretion) may elect to pay or advance on behalf of such Person.</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shall mean, collectively, any and all liabilities, obligations, losses, damages, penalties, claims, costs, expenses and disbursements of any kind or nature whatsoever (including the reasonable fees and disbursements of (i) one outside counsel for the Agent and (ii) one outside counsel for the Lenders taken as a whole (absent a conflict of interest (in which case, each group of similarly situated and conflicted Lenders may engage and be reimbursed for an additional firm of outside counsel) and if necessary, one local counsel in each relevant jurisdiction and such specialist counsel as the Agent or the Lenders may reasonably determine (and in the case of a conflict of interest, one additional local counsel or specialist counsel for the Agent or each group of similarly situated and conflicted Lenders)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(iv) any actual or prospective claim, litigation, investigation or proceeding relating to any of the foregoing, whether based on contract, tort or any other theory, whether brought by a third party or by the Borrower, and regardless of whether any Indemnitee is a party thereto; and (v) any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of this Agreement or the other Loan Documents or the transactions contemplated hereby or thereby (including the Lenders’ agreement to make Loans or the use or intended use of the proceeds thereof, or any enforcement of any of the Loan Documents (including any sale of, collection from, or other realization upon any of the Collateral or the enforcement of the Guaranty)).</w:t>
      </w:r>
    </w:p>
    <w:p>
      <w:pPr>
        <w:spacing w:after="0" w:line="19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shall mean (a) Taxes, other than Excluded Taxes, imposed on or with respect to any payment made by or on account of any obligation of any Credit Party under any Loan Document and (b) to the extent not otherwise described in (a),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shall have the meaning assigned to such term in Section 12‎.4(b).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Loan Exchange</w:t>
      </w:r>
      <w:r>
        <w:rPr>
          <w:rFonts w:ascii="Times New Roman" w:cs="Times New Roman" w:eastAsia="Times New Roman" w:hAnsi="Times New Roman"/>
          <w:sz w:val="18"/>
          <w:szCs w:val="18"/>
          <w:color w:val="auto"/>
        </w:rPr>
        <w:t>” has the meaning specified therefor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shall mean any proceeding commenced by or against any Person under any provision of any Debtor Relief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have the meaning assigned to such term in the Security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5" w:name="page176"/>
    <w:bookmarkEnd w:id="17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License Agreement</w:t>
      </w:r>
      <w:r>
        <w:rPr>
          <w:rFonts w:ascii="Times New Roman" w:cs="Times New Roman" w:eastAsia="Times New Roman" w:hAnsi="Times New Roman"/>
          <w:sz w:val="18"/>
          <w:szCs w:val="18"/>
          <w:color w:val="auto"/>
        </w:rPr>
        <w:t>” shall mean that certain License Agreement entered into on September 12, 2019, between the Borrower and Rent the Runway Limited.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w:t>
      </w:r>
      <w:r>
        <w:rPr>
          <w:rFonts w:ascii="Times New Roman" w:cs="Times New Roman" w:eastAsia="Times New Roman" w:hAnsi="Times New Roman"/>
          <w:sz w:val="18"/>
          <w:szCs w:val="18"/>
          <w:color w:val="auto"/>
        </w:rPr>
        <w:t>” shall mean any promissory note issued or to be issued by any Credit Party to evidence an intercompany loan in form and substance satisfactory to the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Capitalization</w:t>
      </w:r>
      <w:r>
        <w:rPr>
          <w:rFonts w:ascii="Times New Roman" w:cs="Times New Roman" w:eastAsia="Times New Roman" w:hAnsi="Times New Roman"/>
          <w:sz w:val="18"/>
          <w:szCs w:val="18"/>
          <w:color w:val="auto"/>
        </w:rPr>
        <w:t>” has the meaning specified therefor in the recitals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shall mean with respect to (a) any Loan that is a Reference Rate Loan, the first Business Day occurring after the end of each Fiscal Quarter and (b) any Loan that is a SOFR Loan, the first Business Day following the last day of each Interest Period applicable to such Loan.</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shall mean, with respect to each SOFR Loan, a period commencing on the date of the making of such SOFR Loan (or the continuation of a SOFR Loan or the conversion of a Reference Rate Loan to a SOFR Loan) and ending three (3) months thereafter (in each case, subject to the availability thereof); provided, however, that (a) if any Interest Period would end on a day that is not a Business Day, such Interest Period shall be extended (subject to clauses (c)-(e) below) to the next succeeding Business Day, (b) interest shall accrue at the applicable rate based upon Adjusted Term SOFR from and including the first day of each Interest Period to, but excluding, the day on which any Interest Period expires, (c) any Interest Period that would end on a day that is not a Business 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three (3) months after the date on which the Interest Period began, as applicable, (e) the Borrower may not elect an Interest Period which will end after the Maturity Date and (f) no tenor that has been removed from this definition pursuant to Section 2.12(g)(iv) shall be available for specification in such Request for Loan or SOFR Notice.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shall mean the Internal Revenue Code of 1986 of the United States of America, as amended from time to time, and the regulations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shall mean any inventory as defined under the UCC.</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shall mean, when used with respect to any Person, (a) any loan, investment or advance made by such Person to any other Person (including, without limitation, any Guarantee Obligation) in respect of any Equity Interest, Debt, obligation or liability of such other Person, (b) the purchase or other acquisition by such Person, or other obligation for the purchase of, all or substantially all or any material portion of the assets or business interests or a division or line of business or other business unit of any Person or any business or going concern, and (c) any other investment made by such Person (however acquired) in Equity Interests in any other Person, including, without limitation, any investment made in exchange for the issuance of Equity Interest of such Person and any investment made as a capital contribution to such other Person.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 shall have the meaning set forth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shall have the meaning set forth in the preamble and any assignee which becomes a Lender pursuant to Section 12‎.7 hereof.</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any security interest in or lien on or against any property arising from any pledge, assignment, hypothecation, mortgage, security interest, deposit arrangement, trust receipt,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76" w:name="page177"/>
    <w:bookmarkEnd w:id="176"/>
    <w:p>
      <w:pPr>
        <w:jc w:val="both"/>
        <w:spacing w:after="0" w:line="266" w:lineRule="auto"/>
        <w:rPr>
          <w:sz w:val="20"/>
          <w:szCs w:val="20"/>
          <w:color w:val="auto"/>
        </w:rPr>
      </w:pPr>
      <w:r>
        <w:rPr>
          <w:rFonts w:ascii="Times New Roman" w:cs="Times New Roman" w:eastAsia="Times New Roman" w:hAnsi="Times New Roman"/>
          <w:sz w:val="18"/>
          <w:szCs w:val="18"/>
          <w:color w:val="auto"/>
        </w:rPr>
        <w:t>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shall mean an amount equal to the sum of (a) Qualified Cash plus (b) Qualified Cash Equivalents plus (c) availability under the Senior Credit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shall mean a Term Loan.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Account</w:t>
      </w:r>
      <w:r>
        <w:rPr>
          <w:rFonts w:ascii="Times New Roman" w:cs="Times New Roman" w:eastAsia="Times New Roman" w:hAnsi="Times New Roman"/>
          <w:sz w:val="18"/>
          <w:szCs w:val="18"/>
          <w:color w:val="auto"/>
        </w:rPr>
        <w:t>” shall mean an account maintained hereunder by the Agent on its books of account at the Principal Office and with respect to the Borrower, in which it will be charged with all Loans made to, and all other Indebtedness incurred by the Credit Parties.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shall mean, collectively, this Agreement, the Fee Letter, the Notes (if issued), the Disbursement Letter, the Guaranty, the Specified Subordination Agreement (if any), the Subordination Agreements, the Collateral Documents, the Perfection Certificate and any other documents, certificates or agreements that are executed and required to be delivered pursuant to any of the foregoing documents, as such documents may be amended, restated or otherwise modified from time to time.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shall mean, collectively, Lenders whose Pro Rata Share (calculated in accordance with clause (b) of the definition thereof) aggregate at least 50.1%. The Commitments of, and portion of the Indebtedness attributable to, any Defaulting Lender shall be excluded for purposes of making a determination of “Majority Lenders”.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shall mean a material adverse effect on and/or material adverse developments with respect to (i) business, operations, assets or financial condition of the Credit Parties taken as a whole, (ii) the prospect of repayment of all or any portion of the Indebtedness or in otherwise timely performing any Credit Party’s obligations under the Loan Documents, (iii) the validity, perfection, value or priority of the Agent’s security interests in the Collateral, (iv) the legality, validity or enforceability of this Agreement and any other Loan Document, or (v) the rights and remedies of Agent or any Lender under any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determination of Material Adverse Effect to be made on the Restatement Date in connection with the Restatement Date Transactions, “Material Adverse Effect” shall be limited to (1) a “Company Material Adverse Effect” (as defined in the Exchange Agreement) and (2) a Material Adverse Effect pursuant to clauses (iii), (iv) or (v) of the foregoing definition.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shall mean any agreement or contract the loss of which would be reasonably likely to result in a Material Adverse Effect; provided that Material Contracts shall not be deemed to include any Pension Plans, collective bargaining agreements, or casualty or liability or other insurance policies maintained in the ordinary course of business.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the earlier to occur of (i) [_____], 2029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(or if such date is not a Business Day, the immediately preceding Business</w:t>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Day), and (ii) the date that the Term Loans shall become due and payable in full hereunder, whether by acceleration or otherwise, and all Commitments have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0712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28" w:lineRule="exact"/>
        <w:rPr>
          <w:sz w:val="20"/>
          <w:szCs w:val="20"/>
          <w:color w:val="auto"/>
        </w:rPr>
      </w:pPr>
    </w:p>
    <w:p>
      <w:pPr>
        <w:ind w:left="120" w:hanging="112"/>
        <w:spacing w:after="0"/>
        <w:tabs>
          <w:tab w:leader="none" w:pos="120" w:val="left"/>
        </w:tabs>
        <w:numPr>
          <w:ilvl w:val="0"/>
          <w:numId w:val="1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To be the date that is 4 years after the Restatement Date.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7" w:name="page178"/>
    <w:bookmarkEnd w:id="17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Mortgages</w:t>
      </w:r>
      <w:r>
        <w:rPr>
          <w:rFonts w:ascii="Times New Roman" w:cs="Times New Roman" w:eastAsia="Times New Roman" w:hAnsi="Times New Roman"/>
          <w:sz w:val="18"/>
          <w:szCs w:val="18"/>
          <w:color w:val="auto"/>
        </w:rPr>
        <w:t>” shall mean the mortgages, deeds of trust and any other similar documents related thereto or required thereby executed and delivered after the Restatement Date by the Borrower or a Guarantor pursuant to Section 6‎.13 hereof or otherwise, each in form and substance satisfactory to the Agent, and “</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shall mean any such document, as such documents may be amended, restated or otherwise modified from time to time.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shall mean an employee benefit plan which is a multiemployer plan as defined in Section 4001(a)(3) of ERISA, to which a Credit Party or any of its ERISA Affiliates makes or is obligated to make contributions or with respect to which a Credit Party or any of its ERISA Affiliates has any liability.</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xml:space="preserve">” shall mean (a) with respect to any Asset Sale, an amount equal to: (i) cash payments received by any Credit Party from such Asset Sale,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any documented direct costs incurred in connection with such Asset Sale to the extent paid or payable to non-Affiliates, including (A) income or gains taxes payable by the seller as a result of any gain recognized in connection with such Asset Sale, (B) payment of the outstanding principal amount of, premium or penalty, if any, and interest on any Debt (other than the Indebtedness)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such Credit Party in connection with such Asset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release of any such reserve, the amount released shall be considered Net Cash Proceeds; and</w:t>
      </w:r>
    </w:p>
    <w:p>
      <w:pPr>
        <w:spacing w:after="0" w:line="1" w:lineRule="exact"/>
        <w:rPr>
          <w:sz w:val="20"/>
          <w:szCs w:val="20"/>
          <w:color w:val="auto"/>
        </w:rPr>
      </w:pPr>
    </w:p>
    <w:p>
      <w:pPr>
        <w:jc w:val="both"/>
        <w:ind w:firstLine="8"/>
        <w:spacing w:after="0" w:line="252" w:lineRule="auto"/>
        <w:tabs>
          <w:tab w:leader="none" w:pos="25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insurance, condemnation, taking or other casualty proceeds, an amount equal to: (i) any cash payments or proceeds received by any Credit Party (A) under any casualty or business interruption insurance policies in respect of any covered loss thereunder, or (B) as a result of the condemnation or taking of any assets of such Credit Party by any Person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 any documented costs incurred by such Credit Party in connection with the adjustment or settlement of any claims of such Credit Party in respect thereof, and (B) any documented direct costs incurred in connection with any sale of such assets as referred to in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definition to the extent paid or payable to non-Affiliates, including income taxes payable as a result of any gain recognized in connection therewith.</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Nexus</w:t>
      </w:r>
      <w:r>
        <w:rPr>
          <w:rFonts w:ascii="Times New Roman" w:cs="Times New Roman" w:eastAsia="Times New Roman" w:hAnsi="Times New Roman"/>
          <w:sz w:val="18"/>
          <w:szCs w:val="18"/>
          <w:color w:val="auto"/>
        </w:rPr>
        <w:t>” shall mean Nexus Capital Management,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shall have the meaning set forth in Section 12‎.11.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shall mean any Lender that is not, as of the date of relevance, a Defaulting Lender.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mean the notes described in Section 2‎.2 hereof, made by the Borrower to each of the Lenders in the form attached hereto as Exhibit F, as such notes may be amended or supplemented from time to time, and any other notes issued in substitution, replacement or renewal thereof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shall mean the U.S. Department of the Treasury’s Office of Foreign Assets Control.</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 Balance Sheet Liability(ies)</w:t>
      </w:r>
      <w:r>
        <w:rPr>
          <w:rFonts w:ascii="Times New Roman" w:cs="Times New Roman" w:eastAsia="Times New Roman" w:hAnsi="Times New Roman"/>
          <w:sz w:val="18"/>
          <w:szCs w:val="18"/>
          <w:color w:val="auto"/>
        </w:rPr>
        <w:t>” of a Person shall mean (i) any repurchase obligation or liability of such Person with respect to accounts or notes receivables sold by such Person, (ii) any liability under any sale and leaseback transaction which is not a Capitalized Lease, (iii) any liability under any so-called “synthetic lease” transaction entered into by such Person, or (iv) any obligation arising with respect to any other transaction which is the functional equivalent of Debt or any of the liabilities set forth in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subsections (i)-(iii) of this definition, but which does not constitute a liability on the balance sheets of such Person.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Credit Agreement</w:t>
      </w:r>
      <w:r>
        <w:rPr>
          <w:rFonts w:ascii="Times New Roman" w:cs="Times New Roman" w:eastAsia="Times New Roman" w:hAnsi="Times New Roman"/>
          <w:sz w:val="18"/>
          <w:szCs w:val="18"/>
          <w:color w:val="auto"/>
        </w:rPr>
        <w:t>” shall have the meaning specified therefor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Effective Date</w:t>
      </w:r>
      <w:r>
        <w:rPr>
          <w:rFonts w:ascii="Times New Roman" w:cs="Times New Roman" w:eastAsia="Times New Roman" w:hAnsi="Times New Roman"/>
          <w:sz w:val="18"/>
          <w:szCs w:val="18"/>
          <w:color w:val="auto"/>
        </w:rPr>
        <w:t>” shall mean July 23, 2018, the “Effective Date” under the Original Credit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12‎.11).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specified in Section 12‎.7(f).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shall mean the Pension Benefit Guaranty Corporation or any successor thereto.</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shall mean any “employee benefit plan” (within the meaning of Section 3(3) of ERISA) maintained, sponsored or contributed to by a Credit Party or any of its ERISA Affiliates, or to which there is an obligation to contribute by a Credit Party or any of its ERISA Affiliates, or with respect to which a Credit Party or any of its ERISA Affiliates has any liability, which is subject to the minimum funding standards of Section 412 of the Internal Revenue Code, Section 302 of ERISA or Title IV of ERISA, other than a Multiemployer Plan.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shall mean a certificate in form satisfactory to the Agent that provides information with respect to the assets of the Borrower and the Guarantors.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has the meaning specified therefor in the definition of “Term SOFR”.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Account</w:t>
      </w:r>
      <w:r>
        <w:rPr>
          <w:rFonts w:ascii="Times New Roman" w:cs="Times New Roman" w:eastAsia="Times New Roman" w:hAnsi="Times New Roman"/>
          <w:sz w:val="18"/>
          <w:szCs w:val="18"/>
          <w:color w:val="auto"/>
        </w:rPr>
        <w:t>” shall mean a deposit account maintained by the Borrower at Comerica Bank, in which such deposits are restricted cash in favor of Comerica Bank.</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shall mean any acquisition by the Borrower or any Guarantor of all or substantially all of the assets of another Person, or of a division or line of business of another Person, or any Equity Interests of another Person which satisfies and/or is conducted in accordance with the following requirements:</w:t>
      </w:r>
    </w:p>
    <w:p>
      <w:pPr>
        <w:spacing w:after="0" w:line="175" w:lineRule="exact"/>
        <w:rPr>
          <w:sz w:val="20"/>
          <w:szCs w:val="20"/>
          <w:color w:val="auto"/>
        </w:rPr>
      </w:pPr>
    </w:p>
    <w:p>
      <w:pPr>
        <w:ind w:left="1960" w:right="20" w:hanging="656"/>
        <w:spacing w:after="0" w:line="282" w:lineRule="auto"/>
        <w:tabs>
          <w:tab w:leader="none" w:pos="1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is of a business or Person engaged in a line of business which is compatible with, or complementary to, the business of the Borrower or such Guarantor or a reasonable extension therefrom;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9" w:name="page180"/>
    <w:bookmarkEnd w:id="179"/>
    <w:p>
      <w:pPr>
        <w:jc w:val="both"/>
        <w:ind w:left="840" w:hanging="656"/>
        <w:spacing w:after="0" w:line="258"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structured as an acquisition of the Equity Interests of any Person, then the Person so acquired shall (X) become a wholly-owned direct Domestic Subsidiary of the Borrower or of a Guarantor and the Borrower or the applicable Guarantor shall cause such acquired Person to comply with Section 6‎.13 hereof or (Y) provided that the Credit Parties continue to comply with Section 6.4(a) hereof, be merged with and into the Borrower or such a Guarantor (and, in the case of the Borrower, with the Borrower being the surviving entity);</w:t>
      </w:r>
    </w:p>
    <w:p>
      <w:pPr>
        <w:spacing w:after="0" w:line="183"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structured as the acquisition of assets, such assets shall be acquired directly by the Borrower or a Guarantor (subject to compliance with Section 6.4(a) hereof);</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5"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Agent not less than ten (10) (or such shorter period of time agreed to in writing by the Agent) nor more than ninety (90) days prior to the date of such acquisition, notice of such acquisition together with Pro Forma Projected Financial Information, copies of all material documents relating to such acquisition (including then-current drafts of the acquisition agreement and any related document), and historical financial information (including income statements, balance sheets and cash flows) covering at least three (3) complete fiscal years of the acquisition target, if available, prior to the effective date of the acquisition or the entire operating existence of the acquisition target, whichever period is shorter, in each case in form and substance reasonably satisfactory to the Agent;</w:t>
      </w:r>
    </w:p>
    <w:p>
      <w:pPr>
        <w:spacing w:after="0" w:line="188"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after the consummation of such acquisition and after giving effect to the Pro Forma Projected Financial Information, no Default or Event of Default shall have occurred and be continuing;</w:t>
      </w:r>
    </w:p>
    <w:p>
      <w:pPr>
        <w:spacing w:after="0" w:line="161"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be consensual and the board of directors (or other Person(s) exercising similar functions) of the seller of the assets or issuer of the Equity Interests being acquired shall have approved such transaction;</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4"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quasi-governmental, agency, regulatory or similar licenses, authorizations, exemptions, qualifications, consents and approvals necessary under any laws applicable to the Borrower or Guarantor making the acquisition, or the acquisition target (if applicable) for or in connection with the proposed acquisition and all necessary non-governmental and other third-party approvals which, in each case, are material to such acquisition shall have been obtained, and all necessary or appropriate declarations, registrations or other filings with any court, governmental or regulatory authority, securities exchange or any other Person, which in each case, are material to the consummation of such acquisition or to the acquisition target, if applicable, have been made, and evidence thereof reasonably satisfactory in form and substance to the Agent shall have been delivered, or caused to have been delivered, by the Borrower to the Agent;</w:t>
      </w:r>
    </w:p>
    <w:p>
      <w:pPr>
        <w:spacing w:after="0" w:line="191"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actions, suits or proceedings pending or, to the knowledge of any Credit Party threatened against or affecting the acquisition target in any court or before or by any governmental department, agency or instrumentality, which could reasonably be expected to be decided adversely to the acquisition target and which, if decided adversely, could reasonably be expected to have a material adverse effect on the business, operations, properties or financial condition of the</w:t>
      </w:r>
    </w:p>
    <w:p>
      <w:pPr>
        <w:spacing w:after="0" w:line="2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180" w:name="page181"/>
    <w:bookmarkEnd w:id="180"/>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acquisition target and its subsidiaries (taken as a whole) or would materially adversely affect the ability of the acquisition target to enter into or perform its obligations in connection with the proposed acquisition, nor shall there be any actions, suits, or proceedings pending, or to the knowledge of any Credit Party threatened against the Credit Party that is making the acquisition which would materially adversely affect the ability of such Credit Party to enter into or perform its obligations in connection with the proposed acquisition;</w:t>
      </w:r>
    </w:p>
    <w:p>
      <w:pPr>
        <w:spacing w:after="0" w:line="183" w:lineRule="exact"/>
        <w:rPr>
          <w:sz w:val="20"/>
          <w:szCs w:val="20"/>
          <w:color w:val="auto"/>
        </w:rPr>
      </w:pPr>
    </w:p>
    <w:p>
      <w:pPr>
        <w:jc w:val="both"/>
        <w:ind w:left="1960" w:hanging="656"/>
        <w:spacing w:after="0" w:line="255" w:lineRule="auto"/>
        <w:tabs>
          <w:tab w:leader="none" w:pos="19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(A)The aggregate Purchase Price for acquisitions of assets that are not located within the United States or Equity Interests of Persons that are not organized in a jurisdiction located within the United States shall not exceed $5,000,000 in the aggregate for all such acquisitions during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(A) shall not apply to acquisitions of assets and Equity Interests that are located within (or organized in) a jurisdiction in which the Agent reasonably determines a perfected Lien may be granted on such assets and Equity Interests in form and substance reasonably acceptable to the Agent (such determination to be evidenced in writing), and (B) such assets and Equity Interests described in clause (A) above shall be pledged to the Agent for the benefit of the Agent and the Lenders in accordance with Section 6.13(b); and</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proposed new acquisition, computed on the basis of total acquisition consideration paid or incurred, or required to be paid or incurred, with respect thereto, when added to the Purchase Price of each other acquisition consummated hereunder as a Permitted Acquisition during the same Fiscal Year as the applicable acquisition does not exceed Five Million Dollars ($5,000,000); provided, that, with respect to any Fiscal Year ending on or after January 31, 2027, any unused amounts from such Fiscal Year may be carried forward into the immediately succeeding Fiscal Year; provided, further, that the aggregate amount carried forward to the immediately succeeding Fiscal Year shall not exceed Five Million Dollars ($5,000,000).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w:t>
      </w:r>
      <w:r>
        <w:rPr>
          <w:rFonts w:ascii="Times New Roman" w:cs="Times New Roman" w:eastAsia="Times New Roman" w:hAnsi="Times New Roman"/>
          <w:sz w:val="18"/>
          <w:szCs w:val="18"/>
          <w:color w:val="auto"/>
        </w:rPr>
        <w:t>” shall mean each of CHS Investments, STORY3, Nexus or any Controlled Investment Affiliate of the foregoing.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shall mean with respect to any Person:</w:t>
      </w:r>
    </w:p>
    <w:p>
      <w:pPr>
        <w:spacing w:after="0" w:line="229" w:lineRule="exact"/>
        <w:rPr>
          <w:sz w:val="20"/>
          <w:szCs w:val="20"/>
          <w:color w:val="auto"/>
        </w:rPr>
      </w:pPr>
    </w:p>
    <w:p>
      <w:pPr>
        <w:ind w:left="1680" w:hanging="376"/>
        <w:spacing w:after="0"/>
        <w:tabs>
          <w:tab w:leader="none" w:pos="16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Obligations;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9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state or commonwealth of the United States or the obligations of the District of Columbia or any possession of the United States, or any political subdivision of any of the foregoing, which are described in Section 103(a) of the Internal Revenue Code and are graded in any of the highest three (3) major grades as determined by at least one Rating Agency or secured, as to payments of principal and interest, by a letter of credit provided by a financial institution or insurance provided by a bond insurance company which in each case is itself or its debt is rated in one of the highest three (3) major grades as determined by at least one Rating Agency;</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7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acceptances, commercial accounts, demand deposit accounts, certificates of deposit, other time deposits or depository receipts issued by or maintained with any Lender or any Affiliate thereof, or any bank, trust company, savings and loan association, savings bank or other financial institution whose deposits are insured by the Federal Deposit Insurance Corporation and whose reported capital and surplus equal at least $250,000,000, provided that such minimum capital and surplus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color w:val="auto"/>
        </w:rPr>
        <w:t>requirement shall not apply to demand deposit accounts maintained by any Credit Party in the ordinary course of business;</w:t>
      </w:r>
    </w:p>
    <w:p>
      <w:pPr>
        <w:spacing w:after="0" w:line="225" w:lineRule="exact"/>
        <w:rPr>
          <w:sz w:val="20"/>
          <w:szCs w:val="20"/>
          <w:color w:val="auto"/>
        </w:rPr>
      </w:pPr>
    </w:p>
    <w:p>
      <w:pPr>
        <w:ind w:firstLine="1304"/>
        <w:spacing w:after="0" w:line="282" w:lineRule="auto"/>
        <w:tabs>
          <w:tab w:leader="none" w:pos="17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rated at the time of purchase within the two highest classifications established by not less than two Rating Agencies, and which matures within 270 days after the date of issue;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repurchase agreements against obligations itemized in paragraph (a) above, and executed by a bank or trust company or by members of the association of primary dealers or other recognized dealers in United States government securities, the market value of which must be maintained at levels at least equal to the amounts advanced; and</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 or other pooling arrangement which exclusively purchases and holds the investments itemized in (a) through (e) above.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shall mean with respect to any Person:</w:t>
      </w:r>
    </w:p>
    <w:p>
      <w:pPr>
        <w:spacing w:after="0" w:line="225" w:lineRule="exact"/>
        <w:rPr>
          <w:sz w:val="20"/>
          <w:szCs w:val="20"/>
          <w:color w:val="auto"/>
        </w:rPr>
      </w:pPr>
    </w:p>
    <w:p>
      <w:pPr>
        <w:jc w:val="both"/>
        <w:ind w:firstLine="1304"/>
        <w:spacing w:after="0" w:line="259" w:lineRule="auto"/>
        <w:tabs>
          <w:tab w:leader="none" w:pos="16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(i) taxes or governmental assessments or charges the payment of which is not required under Section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.3(a) or (ii) customs duties in connection with the importation of goods to the extent such Liens attach to the imported goods that are the subject of the duties (x) to the extent not yet due, (y) as to which the period of grace, if any, related thereto has not expired or (z) which are being contested in good faith by appropriate proceedings, provided that in the case of any such contest, any proceedings for the enforcement of such liens have been suspended and adequate reserves with respect thereto are maintained on the books of such Person in conformity with GAAP;</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processor’s, landlord’s liens or other like liens arising in the ordinary course of business which secure obligations that are not overdue for a period of more than 30 days or which are being contested in good faith by appropriate proceedings, provided that in the case of any such contest, (x) any proceedings commenced for the enforcement of such Liens have been suspended and (y) appropriate reserves with respect thereto are maintained on the books of such Person in conformity with GAAP;</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1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incurred in the ordinary course of business to secure the performance of statutory obligations arising in connection with progress payments or advance payments due under contracts with the United States government or any agency thereof entered into in the ordinary course of business and (ii) Liens incurred or deposits made in the ordinary course of business to secure the performance of statutory obligations, bids, leases, fee and expense arrangements with trustees and fiscal agents, trade contracts, surety and appeal bonds, performance bonds and other similar obligations (exclusive of obligations incurred in connection with the borrowing of money, any lease-purchase arrangements or the payment of the deferred purchase price of property), whether by means of a letter of credit, guarantee, escrow or otherwise, provided that in each case full provision for the payment of all such obligations has been made on the books of such Person as may be required by GAAP;</w:t>
      </w:r>
    </w:p>
    <w:p>
      <w:pPr>
        <w:spacing w:after="0" w:line="184"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securing judgments and other proceedings not constituting an Event of Default under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.1(g);</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survey exceptions or minor encumbrances, easements or reservations, or rights of others for rights-of-way, utilities and other similar purposes, or zoning or other restrictions as to the use of real properties, or any interest of any lessor or sublessor under any lease permitted hereunder which, in each case, does not materially interfere with the business of such Person;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2" w:name="page183"/>
    <w:bookmarkEnd w:id="182"/>
    <w:p>
      <w:pPr>
        <w:ind w:left="1700" w:hanging="396"/>
        <w:spacing w:after="0"/>
        <w:tabs>
          <w:tab w:leader="none" w:pos="17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Liens arising pursuant to a transaction permitted under Section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 hereof;</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worker’s compensation, unemployment insurance, old age pensions and social security benefits and similar statutory obligations (excluding Liens arising under ERISA), provided that no enforcement proceedings in respect of such Liens are pending and provisions have been made for the payment of such liens on the books of such Person as may be required by GAAP;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continuations of Liens that are permitted under subsections (a)-(f) hereof, provided such continuations do not violate the specific time periods set forth in subsections (b) and (d) and provided further that such Liens do not extend to any additional property or assets of any Credit Party or secure any additional obligations of any Credit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 Debt</w:t>
      </w:r>
      <w:r>
        <w:rPr>
          <w:rFonts w:ascii="Times New Roman" w:cs="Times New Roman" w:eastAsia="Times New Roman" w:hAnsi="Times New Roman"/>
          <w:sz w:val="18"/>
          <w:szCs w:val="18"/>
          <w:color w:val="auto"/>
        </w:rPr>
        <w:t>” shall mean the extension of maturity, refinancing or modification of the terms of Debt so long as:</w:t>
      </w:r>
    </w:p>
    <w:p>
      <w:pPr>
        <w:spacing w:after="0" w:line="229" w:lineRule="exact"/>
        <w:rPr>
          <w:sz w:val="20"/>
          <w:szCs w:val="20"/>
          <w:color w:val="auto"/>
        </w:rPr>
      </w:pPr>
    </w:p>
    <w:p>
      <w:pPr>
        <w:jc w:val="both"/>
        <w:ind w:firstLine="1304"/>
        <w:spacing w:after="0" w:line="261" w:lineRule="auto"/>
        <w:tabs>
          <w:tab w:leader="none" w:pos="17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extension, refinancing or modification, the amount of such Debt is not greater than the amount of Debt outstanding immediately prior to such extension, refinancing or modification (other than by the amount of premiums paid thereon and the fees and expenses incurred in connection therewith, by the amount of accrued interest capitalized in the course of such refinancing, and by the amount of unfunded commitments with respect thereto);</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extension, refinancing or modification does not result in a shortening of the average weighted maturity (measured as of the extension, refinancing or modification) of the Debt so extended, refinanced or modified;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extension, refinancing or modification is pursuant to terms that are not (when taken as a whole) less favorable to the Credit Parties and the Lenders than the terms of the Debt (including, without limitation, terms relating to the collateral (if any) and subordination (if any)) being extended, refinanced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 rate, original issue discount and other related economic terms of the Debt being extended, refinanced or modified may be set substantially at the applicable then-prevailing market rate available to the Borrower; and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that is extended, refinanced or modified is not recourse to any Credit Party that is liable on account of the obligations other than those Persons which were obligated with respect to the Debt that was refinanced, renewed, or extended.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shall mean all information or data relating to one or more individual(s) that is personally identifying (i.e., data that identifies an individual or, in combination with any other information or data, is capable of identifying an individual), including all information or data regulated or protected by one or more federal, state, or foreign data privacy or security laws.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Agreement(s)</w:t>
      </w:r>
      <w:r>
        <w:rPr>
          <w:rFonts w:ascii="Times New Roman" w:cs="Times New Roman" w:eastAsia="Times New Roman" w:hAnsi="Times New Roman"/>
          <w:sz w:val="18"/>
          <w:szCs w:val="18"/>
          <w:color w:val="auto"/>
        </w:rPr>
        <w:t>” shall mean any pledge agreement executed and delivered from time to time after the Original Effective Date by the Borrower or a Guarantor pursuant to Section 6‎.13 hereof, Section 6.13 of the Original Credit Agreement or otherwise, and any agreements, instruments or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documents related thereto, in each case in form and substance satisfactory to the Agent, as amended, restated or otherwise modified from time to time.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Post-Default Rate</w:t>
      </w:r>
      <w:r>
        <w:rPr>
          <w:rFonts w:ascii="Times New Roman" w:cs="Times New Roman" w:eastAsia="Times New Roman" w:hAnsi="Times New Roman"/>
          <w:sz w:val="18"/>
          <w:szCs w:val="18"/>
          <w:color w:val="auto"/>
        </w:rPr>
        <w:t>” shall have the meaning specified therefor in Section 2‎.6(d).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Premium</w:t>
      </w:r>
      <w:r>
        <w:rPr>
          <w:rFonts w:ascii="Times New Roman" w:cs="Times New Roman" w:eastAsia="Times New Roman" w:hAnsi="Times New Roman"/>
          <w:sz w:val="18"/>
          <w:szCs w:val="18"/>
          <w:color w:val="auto"/>
        </w:rPr>
        <w:t>” shall have the meaning specified therefor in the Fee Letter.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xml:space="preserve">” shall mean the Agent’s “Principal Office” as set forth on </w:t>
      </w:r>
      <w:r>
        <w:rPr>
          <w:rFonts w:ascii="Times New Roman" w:cs="Times New Roman" w:eastAsia="Times New Roman" w:hAnsi="Times New Roman"/>
          <w:sz w:val="18"/>
          <w:szCs w:val="18"/>
          <w:u w:val="single" w:color="auto"/>
          <w:color w:val="auto"/>
        </w:rPr>
        <w:t>Annex III</w:t>
      </w:r>
      <w:r>
        <w:rPr>
          <w:rFonts w:ascii="Times New Roman" w:cs="Times New Roman" w:eastAsia="Times New Roman" w:hAnsi="Times New Roman"/>
          <w:sz w:val="18"/>
          <w:szCs w:val="18"/>
          <w:color w:val="auto"/>
        </w:rPr>
        <w:t>, or such other office as the Agent may from time to time designate in writing to the Borrower and each Lender.</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Projected Financial Information</w:t>
      </w:r>
      <w:r>
        <w:rPr>
          <w:rFonts w:ascii="Times New Roman" w:cs="Times New Roman" w:eastAsia="Times New Roman" w:hAnsi="Times New Roman"/>
          <w:sz w:val="18"/>
          <w:szCs w:val="18"/>
          <w:color w:val="auto"/>
        </w:rPr>
        <w:t>” shall mean, as to any proposed acquisition, a statement prepared by the Borrower (supported by reasonable detail) setting forth the total Purchase Price to be paid or incurred in connection with the proposed acquisition, and pro forma combined projected financial information for the Credit Parties and the acquisition target (if applicable), consisting of projected balance sheets as of the proposed effective date of the acquisition and as of the end of at least the next succeeding three (3) Fiscal Years following the acquisition and projected statements of income and cash flows for each of those years, as projected as of the effective date of the acquisition and as of the ends of those Fiscal Years and accompanied by (i) a statement in reasonable detail specifying all material assumptions underlying the projections and (ii) such other information as the Agent or the Lenders shall reasonably request.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shall mean (a) with respect to all payments, computations, and other matters relating solely to Incremental Term Loan Commitments or Incremental Term Loans, the percentage obtained by dividing (i) the Incremental Term Loan Exposure of that Lender, by (ii) the aggregate Incremental Term Loan Exposure of all Lenders and (b) for all other purposes with respect to each Lender, the percentage obtained by dividing</w:t>
      </w:r>
    </w:p>
    <w:p>
      <w:pPr>
        <w:ind w:firstLine="8"/>
        <w:spacing w:after="0" w:line="260" w:lineRule="auto"/>
        <w:tabs>
          <w:tab w:leader="none" w:pos="2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the Term Loan Exposure and the Incremental Term Loan Exposure of that Lender, by (ii) an amount equal to the sum of the aggregate Term Loan Exposure and the aggregate Incremental Term Loan Exposure of all Lenders.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shall mean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and Sale Agreement</w:t>
      </w:r>
      <w:r>
        <w:rPr>
          <w:rFonts w:ascii="Times New Roman" w:cs="Times New Roman" w:eastAsia="Times New Roman" w:hAnsi="Times New Roman"/>
          <w:sz w:val="18"/>
          <w:szCs w:val="18"/>
          <w:color w:val="auto"/>
        </w:rPr>
        <w:t>” shall mean that certain Debt and Equity Purchase Agreement, dated as of August 20, 2025, by and among CHS Investments, STORY3, Nexus, the Agent and the Borrower, as amended, restated, amended and restated or otherwise modified from time to time.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with respect to any acquisition, an amount equal to the sum of (a) the aggregate consideration paid in cash or cash equivalents by a Credit Party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Credit Parties after giving effect to such acquisition, plus (c) the aggregate amount of all transaction fees, costs and expenses incurred by the Credit Parties in connection with such acquisition.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4" w:name="page185"/>
    <w:bookmarkEnd w:id="18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Cash</w:t>
      </w:r>
      <w:r>
        <w:rPr>
          <w:rFonts w:ascii="Times New Roman" w:cs="Times New Roman" w:eastAsia="Times New Roman" w:hAnsi="Times New Roman"/>
          <w:sz w:val="18"/>
          <w:szCs w:val="18"/>
          <w:color w:val="auto"/>
        </w:rPr>
        <w:t>” means, as of any date of determination, the aggregate amount of unrestricted cash on-hand of the Credit Parties maintained in deposit accounts in the name of a Credit Party in the United States as of such date, which deposit accounts are subject to Account Control Agreements.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Cash Equivalents</w:t>
      </w:r>
      <w:r>
        <w:rPr>
          <w:rFonts w:ascii="Times New Roman" w:cs="Times New Roman" w:eastAsia="Times New Roman" w:hAnsi="Times New Roman"/>
          <w:sz w:val="18"/>
          <w:szCs w:val="18"/>
          <w:color w:val="auto"/>
        </w:rPr>
        <w:t>” means, as of any date of determination, the aggregate amount of Permitted Investments of the Credit Parties that constitute “cash equivalents” (as defined under GAAP) that are maintained in securities accounts in the name of a Credit Party in the United States as of such date, which securities accounts are subject to Account Control Agreements.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 shall mean Moody’s Investor Services, Inc., Standard and Poor’s Ratings Services, their respective successors or any other nationally recognized statistical rating organization which is acceptable to the Agent.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Reaffirmation Agreement</w:t>
      </w:r>
      <w:r>
        <w:rPr>
          <w:rFonts w:ascii="Times New Roman" w:cs="Times New Roman" w:eastAsia="Times New Roman" w:hAnsi="Times New Roman"/>
          <w:sz w:val="18"/>
          <w:szCs w:val="18"/>
          <w:color w:val="auto"/>
        </w:rPr>
        <w:t>” means that certain Reaffirmation Agreement, dated as of the Restatement Date, made by the Credit Parties in favor of the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shall mean (a) the Agent and (b) any Lender.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w:t>
      </w:r>
      <w:r>
        <w:rPr>
          <w:rFonts w:ascii="Times New Roman" w:cs="Times New Roman" w:eastAsia="Times New Roman" w:hAnsi="Times New Roman"/>
          <w:sz w:val="18"/>
          <w:szCs w:val="18"/>
          <w:color w:val="auto"/>
        </w:rPr>
        <w:t xml:space="preserve">” means, for any period, the greatest of (a) 2.00% per annum, (b) the Federal Funds Rate plus 0.50% per annum, (c) Adjusted Term SOFR (which rate shall be calculated based upon an Interest Period of three (3) months and shall be determined on a daily basis) plus 1.00% per annum, and (d) the rate last quoted by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as the “Prime Rate” in the United States or, if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Reference Rate shall be effective from and including the date such change is publicly announced as being effective.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 Loan</w:t>
      </w:r>
      <w:r>
        <w:rPr>
          <w:rFonts w:ascii="Times New Roman" w:cs="Times New Roman" w:eastAsia="Times New Roman" w:hAnsi="Times New Roman"/>
          <w:sz w:val="18"/>
          <w:szCs w:val="18"/>
          <w:color w:val="auto"/>
        </w:rPr>
        <w:t>” shall mean each portion of a Loan that bears interest at a rate determined by reference to the Reference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 Term SOFR Determination Day</w:t>
      </w:r>
      <w:r>
        <w:rPr>
          <w:rFonts w:ascii="Times New Roman" w:cs="Times New Roman" w:eastAsia="Times New Roman" w:hAnsi="Times New Roman"/>
          <w:sz w:val="18"/>
          <w:szCs w:val="18"/>
          <w:color w:val="auto"/>
        </w:rPr>
        <w:t>” has the meaning specified therefor in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shall have the meaning specified therefor in Section 12‎.7(h).</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mean, respectively, Regulations T, U and X of the Board or any successor, as the same may be amended or supplemented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Amounts</w:t>
      </w:r>
      <w:r>
        <w:rPr>
          <w:rFonts w:ascii="Times New Roman" w:cs="Times New Roman" w:eastAsia="Times New Roman" w:hAnsi="Times New Roman"/>
          <w:sz w:val="18"/>
          <w:szCs w:val="18"/>
          <w:color w:val="auto"/>
        </w:rPr>
        <w:t>” shall have the meaning specified therefor in Section 2‎.8(a).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means, with respect to any Person, an Affiliate of such Person, or a fund or account managed by such Person or an Affiliate of such Person.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spilling, leaking, pumping, pouring, emitting, emptying, discharging, injecting, escaping, leaching, seeping, migrating, dumping or disposing of any Hazardous Material (including the abandonment or discarding of barrels, containers and other closed receptacles containing any Hazardous Material) into the indoor or outdoor environment, including, without limitation, the movement of Hazardous Materials through or in any environmental media, including the indoor or outdoor air, soil, surface or ground water, sediments or property.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shall have the meaning specified therefor in Section 12‎.11.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Compliance Event</w:t>
      </w:r>
      <w:r>
        <w:rPr>
          <w:rFonts w:ascii="Times New Roman" w:cs="Times New Roman" w:eastAsia="Times New Roman" w:hAnsi="Times New Roman"/>
          <w:sz w:val="18"/>
          <w:szCs w:val="18"/>
          <w:color w:val="auto"/>
        </w:rPr>
        <w:t>” shall mean that any Covered Entity becomes a Sanctioned Person, or is indicted, arraigned, investigated or custodially detained, or receives an inquiry from regulatory or law enforcement officials, in connection with any Anti-Terrorism Law or any predicate crime to any Anti-Terrorism Law, or has knowledge of or self-discovers facts or circumstances implicating any aspect of its operations with the actual or possible violation of any Anti-Terrorism Law.</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shall mean an event described in Section 4043 of ERISA (other than an event not subject to the provision for 30-day notice to the PBGC under the regulations promulgated under such Section).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 for Loan</w:t>
      </w:r>
      <w:r>
        <w:rPr>
          <w:rFonts w:ascii="Times New Roman" w:cs="Times New Roman" w:eastAsia="Times New Roman" w:hAnsi="Times New Roman"/>
          <w:sz w:val="18"/>
          <w:szCs w:val="18"/>
          <w:color w:val="auto"/>
        </w:rPr>
        <w:t>” shall mean a request for a Loan issued by the Borrower under Section 2.3 in the form attached hereto as Exhibit D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Prepayment Date</w:t>
      </w:r>
      <w:r>
        <w:rPr>
          <w:rFonts w:ascii="Times New Roman" w:cs="Times New Roman" w:eastAsia="Times New Roman" w:hAnsi="Times New Roman"/>
          <w:sz w:val="18"/>
          <w:szCs w:val="18"/>
          <w:color w:val="auto"/>
        </w:rPr>
        <w:t>” shall have the meaning specified therefor in Section 2‎.9(b).</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shall mean as to any Person, the certificate of incorporation and bylaws, the partnership agreement or other organizational or governing documents of such Person and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shall mean, with respect to any Person, the chief executive officer, chief financial officer, treasurer, president, secretary or controller of such Person or any other officer of such Person having substantially the same authority and responsibility.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w:t>
      </w:r>
      <w:r>
        <w:rPr>
          <w:rFonts w:ascii="Times New Roman" w:cs="Times New Roman" w:eastAsia="Times New Roman" w:hAnsi="Times New Roman"/>
          <w:sz w:val="18"/>
          <w:szCs w:val="18"/>
          <w:color w:val="auto"/>
        </w:rPr>
        <w:t>” shall mean the date on which all the conditions precedent set forth in Sections 4‎.1 and 4‎.2 have been satisfied.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 Assignees</w:t>
      </w:r>
      <w:r>
        <w:rPr>
          <w:rFonts w:ascii="Times New Roman" w:cs="Times New Roman" w:eastAsia="Times New Roman" w:hAnsi="Times New Roman"/>
          <w:sz w:val="18"/>
          <w:szCs w:val="18"/>
          <w:color w:val="auto"/>
        </w:rPr>
        <w:t>” shall mean each of STORY3, Nexus and any of their respective Affiliates and Related Funds that are assigned Term Loans pursuant to the Restatement Date Assignment.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 Assignment</w:t>
      </w:r>
      <w:r>
        <w:rPr>
          <w:rFonts w:ascii="Times New Roman" w:cs="Times New Roman" w:eastAsia="Times New Roman" w:hAnsi="Times New Roman"/>
          <w:sz w:val="18"/>
          <w:szCs w:val="18"/>
          <w:color w:val="auto"/>
        </w:rPr>
        <w:t>” shall have the meaning specified therefor in the recitals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 Term Loan</w:t>
      </w:r>
      <w:r>
        <w:rPr>
          <w:rFonts w:ascii="Times New Roman" w:cs="Times New Roman" w:eastAsia="Times New Roman" w:hAnsi="Times New Roman"/>
          <w:sz w:val="18"/>
          <w:szCs w:val="18"/>
          <w:color w:val="auto"/>
        </w:rPr>
        <w:t>” shall mean a term loan made by a Lender to the Borrower pursuant to Section 2.1(c) or all of the term loans made by the Lenders to the Borrower pursuant to Section 2.1(c), as the context requires.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 Term Loan Commitment</w:t>
      </w:r>
      <w:r>
        <w:rPr>
          <w:rFonts w:ascii="Times New Roman" w:cs="Times New Roman" w:eastAsia="Times New Roman" w:hAnsi="Times New Roman"/>
          <w:sz w:val="18"/>
          <w:szCs w:val="18"/>
          <w:color w:val="auto"/>
        </w:rPr>
        <w:t>” shall mean the commitment of a Lender to make or otherwise fund a Restatement Date Term Loan and “</w:t>
      </w:r>
      <w:r>
        <w:rPr>
          <w:rFonts w:ascii="Times New Roman" w:cs="Times New Roman" w:eastAsia="Times New Roman" w:hAnsi="Times New Roman"/>
          <w:sz w:val="18"/>
          <w:szCs w:val="18"/>
          <w:b w:val="1"/>
          <w:bCs w:val="1"/>
          <w:color w:val="auto"/>
        </w:rPr>
        <w:t>Restatement Date Term Loan Commitments</w:t>
      </w:r>
      <w:r>
        <w:rPr>
          <w:rFonts w:ascii="Times New Roman" w:cs="Times New Roman" w:eastAsia="Times New Roman" w:hAnsi="Times New Roman"/>
          <w:sz w:val="18"/>
          <w:szCs w:val="18"/>
          <w:color w:val="auto"/>
        </w:rPr>
        <w:t xml:space="preserve">” shall mean such commitments of all Lenders in the aggregate. The amount of each Lender’s Restatement Term Loan Commitment, if any, is set forth in Section 2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The aggregate amount of Restatement Term Loan Commitments as of the Restatement Date is $20,000,000.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 Transactions</w:t>
      </w:r>
      <w:r>
        <w:rPr>
          <w:rFonts w:ascii="Times New Roman" w:cs="Times New Roman" w:eastAsia="Times New Roman" w:hAnsi="Times New Roman"/>
          <w:sz w:val="18"/>
          <w:szCs w:val="18"/>
          <w:color w:val="auto"/>
        </w:rPr>
        <w:t>” has the meaning specified therefor in Section 2.1(c).</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6" w:name="page187"/>
    <w:bookmarkEnd w:id="18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any sanction administered or enforced by the United States Government (including, without limitation, OFAC), the United Nations Security Council, the European Union, Her Majesty’s Treasury or other relevant sanctions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shall mean a country subject to a sanctions program maintained under any Anti-Terrorism Law.</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171"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other similar or successor agency of the Federal government administering the Securities Act.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shall mean, collectively, the amended and restated security agreement executed and delivered by the Borrower on the Restatement Date pursuant to Section 4‎.1, and any such agreements executed and delivered by the Guarantors after the Restatement Date (whether by execution of a joinder agreement to any existing security agreement or otherwise) pursuant to Section 6‎.13 hereof or otherwise, in the form of the Security Agreement attached hereto as Exhibit A, as amended, restated or otherwise modified from time to time.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Agent</w:t>
      </w:r>
      <w:r>
        <w:rPr>
          <w:rFonts w:ascii="Times New Roman" w:cs="Times New Roman" w:eastAsia="Times New Roman" w:hAnsi="Times New Roman"/>
          <w:sz w:val="18"/>
          <w:szCs w:val="18"/>
          <w:color w:val="auto"/>
        </w:rPr>
        <w:t>” shall mean the administrative agent and/or collateral agent under the Senior Credit Agreement and its successors and permitted assigns in such capacity.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Credit Agreement</w:t>
      </w:r>
      <w:r>
        <w:rPr>
          <w:rFonts w:ascii="Times New Roman" w:cs="Times New Roman" w:eastAsia="Times New Roman" w:hAnsi="Times New Roman"/>
          <w:sz w:val="18"/>
          <w:szCs w:val="18"/>
          <w:color w:val="auto"/>
        </w:rPr>
        <w:t>” shall mean a revolver credit agreement, in form and substance reasonably satisfactory to the Agent in all respects (such approval to be evidenced in writing by the Agent), if executed, to be executed by and among the Senior Agent, the Senior Lenders and the Borrower, as the same may be amended, restated, supplemented or otherwise modified from time to time in a manner not prohibited by the terms of the Specified Subordination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Debt</w:t>
      </w:r>
      <w:r>
        <w:rPr>
          <w:rFonts w:ascii="Times New Roman" w:cs="Times New Roman" w:eastAsia="Times New Roman" w:hAnsi="Times New Roman"/>
          <w:sz w:val="18"/>
          <w:szCs w:val="18"/>
          <w:color w:val="auto"/>
        </w:rPr>
        <w:t>” shall mean Debt of the Borrower or any Guarantor under the Senior Loan Documents, if 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Lenders</w:t>
      </w:r>
      <w:r>
        <w:rPr>
          <w:rFonts w:ascii="Times New Roman" w:cs="Times New Roman" w:eastAsia="Times New Roman" w:hAnsi="Times New Roman"/>
          <w:sz w:val="18"/>
          <w:szCs w:val="18"/>
          <w:color w:val="auto"/>
        </w:rPr>
        <w:t>” shall mean the lenders party to the Senior Credit Agreement, if 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Loan Documents</w:t>
      </w:r>
      <w:r>
        <w:rPr>
          <w:rFonts w:ascii="Times New Roman" w:cs="Times New Roman" w:eastAsia="Times New Roman" w:hAnsi="Times New Roman"/>
          <w:sz w:val="18"/>
          <w:szCs w:val="18"/>
          <w:color w:val="auto"/>
        </w:rPr>
        <w:t>” shall mean, collectively, the Senior Credit Agreement and any and all other documents, instruments and certificates executed and delivered pursuant thereto, in each case, as the same may be amended, restated, supplemented or otherwise modified from time to time in a manner not prohibited by the terms of the Specified Subordination Agreement. For the avoidance of doubt, no Senior Loan Document is in effect on the Restatement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shall mean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shall mean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Borrowing</w:t>
      </w:r>
      <w:r>
        <w:rPr>
          <w:rFonts w:ascii="Times New Roman" w:cs="Times New Roman" w:eastAsia="Times New Roman" w:hAnsi="Times New Roman"/>
          <w:sz w:val="18"/>
          <w:szCs w:val="18"/>
          <w:color w:val="auto"/>
        </w:rPr>
        <w:t>” shall mean, as to any borrowing, the SOFR Loans comprising such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Deadline</w:t>
      </w:r>
      <w:r>
        <w:rPr>
          <w:rFonts w:ascii="Times New Roman" w:cs="Times New Roman" w:eastAsia="Times New Roman" w:hAnsi="Times New Roman"/>
          <w:sz w:val="18"/>
          <w:szCs w:val="18"/>
          <w:color w:val="auto"/>
        </w:rPr>
        <w:t>” has the meaning specified therefor in Section 2.12(a).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7" w:name="page188"/>
    <w:bookmarkEnd w:id="187"/>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shall mean a Loan that bears interest at a rate based on Adjusted Term SOFR, other than pursuant to clause (c) of the definition of “Reference 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Notice</w:t>
      </w:r>
      <w:r>
        <w:rPr>
          <w:rFonts w:ascii="Times New Roman" w:cs="Times New Roman" w:eastAsia="Times New Roman" w:hAnsi="Times New Roman"/>
          <w:sz w:val="18"/>
          <w:szCs w:val="18"/>
          <w:color w:val="auto"/>
        </w:rPr>
        <w:t xml:space="preserve">” shall mean a written notice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Option</w:t>
      </w:r>
      <w:r>
        <w:rPr>
          <w:rFonts w:ascii="Times New Roman" w:cs="Times New Roman" w:eastAsia="Times New Roman" w:hAnsi="Times New Roman"/>
          <w:sz w:val="18"/>
          <w:szCs w:val="18"/>
          <w:color w:val="auto"/>
        </w:rPr>
        <w:t>” has the meaning specified therefor in Section 2.12(a).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shall mean, with respect to any Person on a particular date, that on such date (a) such Person is able to realize upon its assets and pay its debts and other liabilities, contingent obligations and other commitments as they mature in the normal course of business, (b) such Person does not intend to, and does not believe that it will, incur debts or liabilities beyond such Person’s ability to pay as such debts and liabilities mature, and (c) such Person is not engaged in business or a transaction, and is not about to engage in business or a transaction, for which such Person’s property would constitute unreasonably small capital.</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means those representations and warranties made in Section 5.1 (limited to the existence of each Credit Party under the laws of the state of its incorporation or formation), Section 5.2(i), Section 5.2(ii), Section 5.2(iii) (limited to contravention of the Borrower’s or any Guarantor’s organizational documents), Section 5.2(iv), Section 5.4, Section 5.6, Section 5.7(b), Section 5.9(ii), Section 5.10, Section 5.12, Section 5.22, and Section 5.31.</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Subordination Agreement</w:t>
      </w:r>
      <w:r>
        <w:rPr>
          <w:rFonts w:ascii="Times New Roman" w:cs="Times New Roman" w:eastAsia="Times New Roman" w:hAnsi="Times New Roman"/>
          <w:sz w:val="18"/>
          <w:szCs w:val="18"/>
          <w:color w:val="auto"/>
        </w:rPr>
        <w:t>” shall mean a subordination agreement, in form and substance reasonably satisfactory to the Agent and the Lenders in all respects, if executed, to be executed by and between the Senior Agent and the Agent and to be acknowledged and agreed by the Borrower and the Guarantors, as the same may be amended, restated, supplemented or otherwise modified from time to time in accordance with the terms thereof. For the avoidance of doubt, no Specified Subordination Agreement is in effect on the Restatement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STORY3</w:t>
      </w:r>
      <w:r>
        <w:rPr>
          <w:rFonts w:ascii="Times New Roman" w:cs="Times New Roman" w:eastAsia="Times New Roman" w:hAnsi="Times New Roman"/>
          <w:sz w:val="18"/>
          <w:szCs w:val="18"/>
          <w:color w:val="auto"/>
        </w:rPr>
        <w:t>” shall mean STORY3 Capital Partners LLC.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shall mean any unsecured Funded Debt of any Credit Party and other obligations under the Subordinated Debt Documents and any other Funded Debt of any Credit Party which has been subordinated in right of payment and priority to the Indebtedness, all on terms and conditions satisfactory to the Agent.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 Documents</w:t>
      </w:r>
      <w:r>
        <w:rPr>
          <w:rFonts w:ascii="Times New Roman" w:cs="Times New Roman" w:eastAsia="Times New Roman" w:hAnsi="Times New Roman"/>
          <w:sz w:val="18"/>
          <w:szCs w:val="18"/>
          <w:color w:val="auto"/>
        </w:rPr>
        <w:t>” shall mean and include any documents evidencing any Subordinated Debt, in each case, as the same may be amended, modified, supplemented or otherwise modified from time to time in compliance with the terms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Agreements</w:t>
      </w:r>
      <w:r>
        <w:rPr>
          <w:rFonts w:ascii="Times New Roman" w:cs="Times New Roman" w:eastAsia="Times New Roman" w:hAnsi="Times New Roman"/>
          <w:sz w:val="18"/>
          <w:szCs w:val="18"/>
          <w:color w:val="auto"/>
        </w:rPr>
        <w:t>” shall mean, collectively, any subordination agreements entered into by any Person from time to time in favor of the Agent in connection with any Subordinated Debt, the terms of which are acceptable to the Agent, in each case as the same may be amended, restated or otherwise modified from time to time, and “</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shall mean any one of them.</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Subsidiary(ies)</w:t>
      </w:r>
      <w:r>
        <w:rPr>
          <w:rFonts w:ascii="Times New Roman" w:cs="Times New Roman" w:eastAsia="Times New Roman" w:hAnsi="Times New Roman"/>
          <w:sz w:val="18"/>
          <w:szCs w:val="18"/>
          <w:color w:val="auto"/>
        </w:rPr>
        <w:t>” shall mean any other corporation, association, joint stock company, business trust, limited liability company, partnership or any other business entity of which more than fifty percent (50%) of the outstanding voting stock, share capital, membership, partnership or other interests, as the case may be, is owned either directly or indirectly by any Person or one or more of its Subsidiaries. Unless otherwise specified to the contrary herein or the context otherwise requires, Subsidiary(ies) shall refer to the Subsidiary(ies) of the Borrower.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8" w:name="page189"/>
    <w:bookmarkEnd w:id="18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Agent</w:t>
      </w:r>
      <w:r>
        <w:rPr>
          <w:rFonts w:ascii="Times New Roman" w:cs="Times New Roman" w:eastAsia="Times New Roman" w:hAnsi="Times New Roman"/>
          <w:sz w:val="18"/>
          <w:szCs w:val="18"/>
          <w:color w:val="auto"/>
        </w:rPr>
        <w:t>” shall have the meaning set forth in Section 11‎.4(a) hereof.</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shall mean the Exchanged Term Loans, the Restatement Date Term Loans and the Incremental Term Loans, as the context requires.</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shall mean the Restatement Date Term Loan Commitment or the Incremental Term Loan Commitment (if any) of a Lender, and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shall mean such commitments of all Lenders.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Exposure</w:t>
      </w:r>
      <w:r>
        <w:rPr>
          <w:rFonts w:ascii="Times New Roman" w:cs="Times New Roman" w:eastAsia="Times New Roman" w:hAnsi="Times New Roman"/>
          <w:sz w:val="18"/>
          <w:szCs w:val="18"/>
          <w:color w:val="auto"/>
        </w:rPr>
        <w:t>” shall mean, with respect to any Lender, as of any date of determination, the outstanding principal amount of the Term Loan of such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1304"/>
        <w:spacing w:after="0" w:line="254" w:lineRule="auto"/>
        <w:tabs>
          <w:tab w:leader="none" w:pos="165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4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Reference Rate Loan on any day, the Term SOFR Reference Rate for a tenor of three months on the day (such day, the “</w:t>
      </w:r>
      <w:r>
        <w:rPr>
          <w:rFonts w:ascii="Times New Roman" w:cs="Times New Roman" w:eastAsia="Times New Roman" w:hAnsi="Times New Roman"/>
          <w:sz w:val="18"/>
          <w:szCs w:val="18"/>
          <w:u w:val="single" w:color="auto"/>
          <w:color w:val="auto"/>
        </w:rPr>
        <w:t>Reference Rate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 Term SOFR Administrator; provided, however, that if as of 5:00 p.m. (New York City time) on any Reference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Reference Rate SOFR Determination Day.</w:t>
      </w:r>
    </w:p>
    <w:p>
      <w:pPr>
        <w:spacing w:after="0" w:line="18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shall mean CME Group Benchmark Administration Limited (CBA) (or a successor administrator of the Term SOFR Reference Rate selected by the Agent in its reasonable discretion).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9" w:name="page190"/>
    <w:bookmarkEnd w:id="18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in effect in any applicable state; provided that, unless specified otherwise or the context otherwise requires, such terms shall refer to the Uniform Commercial Code as in effect in the State of New York.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shall mean an individual unit (i.e., wardrobe and similar merchandise) owned by the Borrower and currently available for rent or held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any Person that is a “United States Person” as defined in Section 7701(a)(30) of the Internal Revenue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shall have the meaning specified therefor in Section 12‎.12.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shall have the meaning specified therefor in Section 5‎.7.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Waivable Mandatory Prepayment”</w:t>
      </w:r>
      <w:r>
        <w:rPr>
          <w:rFonts w:ascii="Times New Roman" w:cs="Times New Roman" w:eastAsia="Times New Roman" w:hAnsi="Times New Roman"/>
          <w:sz w:val="18"/>
          <w:szCs w:val="18"/>
          <w:color w:val="auto"/>
        </w:rPr>
        <w:t xml:space="preserve"> shall have the meaning specified therefor in Section 2‎.9(b).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shall mean any Credit Party and the Agent.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162" w:lineRule="exact"/>
        <w:rPr>
          <w:sz w:val="20"/>
          <w:szCs w:val="20"/>
          <w:color w:val="auto"/>
        </w:rPr>
      </w:pPr>
    </w:p>
    <w:p>
      <w:pPr>
        <w:jc w:val="both"/>
        <w:ind w:firstLine="1304"/>
        <w:spacing w:after="0" w:line="253" w:lineRule="auto"/>
        <w:tabs>
          <w:tab w:leader="none" w:pos="168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be deemed to be followed by the phrase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 The word “</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shall be construed to have the same meaning and effect as the word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90" w:name="page191"/>
    <w:bookmarkEnd w:id="190"/>
    <w:p>
      <w:pPr>
        <w:jc w:val="both"/>
        <w:spacing w:after="0" w:line="266" w:lineRule="auto"/>
        <w:rPr>
          <w:sz w:val="20"/>
          <w:szCs w:val="20"/>
          <w:color w:val="auto"/>
        </w:rPr>
      </w:pPr>
      <w:r>
        <w:rPr>
          <w:rFonts w:ascii="Times New Roman" w:cs="Times New Roman" w:eastAsia="Times New Roman" w:hAnsi="Times New Roman"/>
          <w:sz w:val="18"/>
          <w:szCs w:val="18"/>
          <w:color w:val="auto"/>
        </w:rPr>
        <w:t>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76" w:lineRule="exact"/>
        <w:rPr>
          <w:sz w:val="20"/>
          <w:szCs w:val="20"/>
          <w:color w:val="auto"/>
        </w:rPr>
      </w:pPr>
    </w:p>
    <w:p>
      <w:pPr>
        <w:ind w:firstLine="1304"/>
        <w:spacing w:after="0" w:line="282" w:lineRule="auto"/>
        <w:tabs>
          <w:tab w:leader="none" w:pos="169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1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or in any other Loan Document to the satisfaction, repayment, or payment in full of the Indebtedness shall mean the repayment in Dollars in full in cash or immediately available funds of all of the Indebtedness (including the Prepayment Premium) other than unasserted contingent indemnification obligations.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7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“determination” by the Agent include good faith estimates by the Agent (in the case of quantitative determinations) and good faith beliefs by the Agent (in the case of qualitative determinations). A Default or Event of Default shall be deemed to exist at all times during the period commencing on the date that such Default or Event of Default occurs to the date on which such Default or Event of Default is waived in writing in accordance with Section 8.5 of this Agreement or, in the case of a Default, is cured within any period of cure expressly provided for in this Agreement; and an Event of Default shall “continue” or be “continuing” until such Event of Default has been waived in writing in accordance with Section 8.5 of this Agreement. Any Lien referred to in this Agreement or any other Loan Document as having been created in favor of the Agent, any agreement entered into by the Agent pursuant to this Agreement or any other Loan Document, any payment made by or to or funds received by the Agent pursuant to or as contemplated by this Agreement or any other Loan Document, or any act taken or omitted to be taken by the Agent, shall, unless otherwise expressly provided, be created, entered into, made or received, or taken or omitted, for the benefit or account of the Agent and the Lenders. Wherever the phrase “to the knowledge of any Credit Party” or words of similar import relating to the knowledge or the awareness of any Credit Party are used in this Agreement or any other Loan Document, such phrase shall mean and refer to (i) the actual knowledge of a senior officer of any Credit Party or</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that a senior officer would have obtained if such officer had engaged in good faith and diligent performance of such officer’s duties, including the making of such reasonably specific inquiries as may be necessary of the employees or agents of such Credit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9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Accounting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9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1" w:name="page192"/>
    <w:bookmarkEnd w:id="191"/>
    <w:p>
      <w:pPr>
        <w:jc w:val="both"/>
        <w:spacing w:after="0" w:line="256" w:lineRule="auto"/>
        <w:rPr>
          <w:sz w:val="20"/>
          <w:szCs w:val="20"/>
          <w:color w:val="auto"/>
        </w:rPr>
      </w:pPr>
      <w:r>
        <w:rPr>
          <w:rFonts w:ascii="Times New Roman" w:cs="Times New Roman" w:eastAsia="Times New Roman" w:hAnsi="Times New Roman"/>
          <w:sz w:val="18"/>
          <w:szCs w:val="18"/>
          <w:color w:val="auto"/>
        </w:rPr>
        <w:t>GAAP applied on a consistent basis, as in effect from time to time, applied in a manner consistent with that used in preparing the Audited Financial Statements, except as otherwise specifically prescribed herein or as reflected in the management financials provided prior to the Restatement Date to (i) include any proceeds from end-of-life liquidated inventory in revenue and related costs in cost of revenue, which is presented as net gains or losses from sale of end-of-life liquidated inventory on GAAP financials and (ii) not adjust the purchases of property, plant and equipment (“PPE”) and rental product for any unpaid accounts payable balances. Additionally, GAAP financial statements may include more detailed or more summarized line items than what is presented in the management financials.</w:t>
      </w:r>
    </w:p>
    <w:p>
      <w:pPr>
        <w:spacing w:after="0" w:line="187" w:lineRule="exact"/>
        <w:rPr>
          <w:sz w:val="20"/>
          <w:szCs w:val="20"/>
          <w:color w:val="auto"/>
        </w:rPr>
      </w:pPr>
    </w:p>
    <w:p>
      <w:pPr>
        <w:jc w:val="both"/>
        <w:ind w:firstLine="1304"/>
        <w:spacing w:after="0" w:line="255" w:lineRule="auto"/>
        <w:tabs>
          <w:tab w:leader="none" w:pos="169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Majority Lenders shall so request, the Agent, the Lenders and the Borrower shall negotiate in good faith to amend such ratio or requirement to preserve the original intent thereof in light of such change in GAAP (subject to the approval of the Majority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therein and (ii)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21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used in this Agreement which are defined in Article 8 or Article 9 of the Uniform Commercial Code as in effect from time to time in the State of New York and which are not otherwise defined herein shall have the same meanings herein as set forth therein; provided that terms used herein which are defined in the Uniform Commercial Code as in effect in the State of New York on the date hereof shall continue to have the same meaning notwithstanding any replacement or amendment of such statute, except as the Agent may otherwise determine.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or the Guarantors pursuant to this Agreement shall be calculated by dividing the appropriate component by the other component, carrying the result to two places more than the number of places by which such ratio is expressed herein and rounding the result up or down to the nearest number (with a rounding up if there is no nearest number).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(a). Unless otherwise specified, all references herein to times of day shall be references to Eastern time (daylight or standard, as applicable), as in effect in New York City on such day. For purposes of the computation of a period of time from a specified date to a later specified date, the word “from” means “from and including” and the words “to” and “until” each means “to but excluding”; provided, however, that with respect to a computation of fees or interest payable to any Secured Party, such period shall in any event consist of at least one full day. Whenever any action or delivery to be taken or made under this Agreement or any other Loan Document shall be stated to be due on a day other than a Business Day, such action or delivery shall be deemed to be due on the next succeeding Business Day.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2" w:name="page193"/>
    <w:bookmarkEnd w:id="192"/>
    <w:p>
      <w:pPr>
        <w:jc w:val="both"/>
        <w:ind w:firstLine="8"/>
        <w:spacing w:after="0" w:line="266" w:lineRule="auto"/>
        <w:tabs>
          <w:tab w:leader="none" w:pos="25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Senior Loan Documents and Specified Subordination Agreement</w:t>
      </w:r>
      <w:r>
        <w:rPr>
          <w:rFonts w:ascii="Times New Roman" w:cs="Times New Roman" w:eastAsia="Times New Roman" w:hAnsi="Times New Roman"/>
          <w:sz w:val="18"/>
          <w:szCs w:val="18"/>
          <w:color w:val="auto"/>
        </w:rPr>
        <w:t>. The Borrower agrees and acknowledges that each reference to any Senior Loan Document, Senior Debt, Senior Agent, Senior Lenders, or the Specified Subordination Agreement in any Loan Document (including, without limitation this Agreement and the Security Agreement) shall be disregarded until each of the Senior Credit Agreement and the Specified Subordination Agreement shall have been executed and delivered by the requisite parties thereto (including, in the case of the Specified Subordination Agreement, the Agent) and are in full force and effect.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Agent does not warrant or accept responsibility for, and shall not have any liability with respect to (a) the continuation of, administration of, submission of, calculation of or any other matter related to the Reference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Reference Rate,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Reference Rate, the Term SOFR Reference Rate, Term SOFR, Adjusted Term SOFR, any alternative, successor or replacement rate (including any Benchmark Replacement) or any relevant adjustments thereto, in each case, in a manner adverse to the Borrower. The Agent may select information sources or services in its reasonable discretion to ascertain the Reference Rate, the Term SOFR Reference Rate, Term SOFR, Adjusted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TERM LOANS.</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Restatement Date Transactions; Loans and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0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Capitalization; Debt for Equity Exchange</w:t>
      </w:r>
      <w:r>
        <w:rPr>
          <w:rFonts w:ascii="Times New Roman" w:cs="Times New Roman" w:eastAsia="Times New Roman" w:hAnsi="Times New Roman"/>
          <w:sz w:val="18"/>
          <w:szCs w:val="18"/>
          <w:color w:val="auto"/>
        </w:rPr>
        <w:t>. On the Restatement Date, (i) the Interest Capitalization shall be deemed to have occurred and (ii) immediately following the Interest Capitalization, the Debt for Equity Exchange occurred in accordance with the terms and conditions of the Exchange Agreement. Immediately after giving effect to the Debt for Equity Exchange, the aggregate outstanding principal amount of Existing Term Loans was equal to $100,000,000.</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Loan Exchange</w:t>
      </w:r>
      <w:r>
        <w:rPr>
          <w:rFonts w:ascii="Times New Roman" w:cs="Times New Roman" w:eastAsia="Times New Roman" w:hAnsi="Times New Roman"/>
          <w:sz w:val="18"/>
          <w:szCs w:val="18"/>
          <w:color w:val="auto"/>
        </w:rPr>
        <w:t>. Immediately after the consummation of the Debt for Equity Exchange, the Initial Loan Exchange is deemed to have occurred. The aggregate outstanding principal amount of the Exchanged Term Loans under this Agreement immediately following the Initial Loan Exchange is equal to $100,000,000. Immediately following the consummation of the Initial Loan Exchange, the Restatement Date Assignment occurred in accordance with the terms of the Purchase and Sale Agreement.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3" w:name="page194"/>
    <w:bookmarkEnd w:id="193"/>
    <w:p>
      <w:pPr>
        <w:jc w:val="both"/>
        <w:ind w:firstLine="1304"/>
        <w:spacing w:after="0" w:line="256" w:lineRule="auto"/>
        <w:tabs>
          <w:tab w:leader="none" w:pos="178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Restatement Date Term Loans</w:t>
      </w:r>
      <w:r>
        <w:rPr>
          <w:rFonts w:ascii="Times New Roman" w:cs="Times New Roman" w:eastAsia="Times New Roman" w:hAnsi="Times New Roman"/>
          <w:sz w:val="18"/>
          <w:szCs w:val="18"/>
          <w:color w:val="auto"/>
        </w:rPr>
        <w:t>. Subject to the terms and conditions hereof, each Lender with a Restatement Date Term Loan Commitment severally agrees to make, on the Restatement Date, immediately following the consummation of the Restatement Date Assignment, a term loan to the Borrower in an amount equal to such Lender’s Restatement Date Term Loan Commitment. The Borrower may make only one borrowing under the Restatement Date Term Loan Commitments which shall be on the Restatement Date. Each Lender’s Restatement Date Term Loan Commitment shall terminate immediately and without further action on the Restatement Date after giving effect to the funding of such Restatement Date Term Loan Commitment, if any, on such date.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Borrower, the Agent and each Lender hereby acknowledge, confirm and agree that after giving effect to the Debt for Equity Exchange, the Initial Loan Exchange, the Restatement Date Assignment and the funding of the Restatement Date Term Loans (collectively, the “</w:t>
      </w:r>
      <w:r>
        <w:rPr>
          <w:rFonts w:ascii="Times New Roman" w:cs="Times New Roman" w:eastAsia="Times New Roman" w:hAnsi="Times New Roman"/>
          <w:sz w:val="18"/>
          <w:szCs w:val="18"/>
          <w:b w:val="1"/>
          <w:bCs w:val="1"/>
          <w:color w:val="auto"/>
        </w:rPr>
        <w:t>Restatement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as of the Restatement Date, (i) the aggregate outstanding principal amount of the Term Loans is equal to $120,000,000 and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amount of Term Loans held by each Lender is set forth in Section 3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Term Loan that has been repaid or prepaid may be reborrowed. All amounts owed hereunder with respect to the Term Loan shall be paid in full no later than the Maturity Date.</w:t>
      </w:r>
    </w:p>
    <w:p>
      <w:pPr>
        <w:spacing w:after="0" w:line="16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Accrual of Interest and Maturity; Evidence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6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promises to pay to the Agent for the account of each Lender the then unpaid principal amount of each Loan (plus all accrued and unpaid interest) of and any other outstanding Indebtedness hereunder (including the Prepayment Premium) owing to such Lender to the Borrower on the Maturity Date and, subject to the terms of the Specified Subordination Agreement, on such other dates and in such other amounts as may be required from time to time pursuant to this Agreement. Subject to the terms and conditions hereof, each Loan shall, from time to time from and after the date of such Loan (until paid), bear interest in accordance with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indebtedness of the Borrower to the appropriate lending office of such Lender resulting from each Loan made by such lending office of such Lender from time to time, including the amounts of principal and interest payable thereon and paid to such Lender from time to time under this Agreement.</w:t>
      </w:r>
    </w:p>
    <w:p>
      <w:pPr>
        <w:spacing w:after="0" w:line="171" w:lineRule="exact"/>
        <w:rPr>
          <w:rFonts w:ascii="Times New Roman" w:cs="Times New Roman" w:eastAsia="Times New Roman" w:hAnsi="Times New Roman"/>
          <w:sz w:val="18"/>
          <w:szCs w:val="18"/>
          <w:color w:val="auto"/>
        </w:rPr>
      </w:pPr>
    </w:p>
    <w:p>
      <w:pPr>
        <w:jc w:val="both"/>
        <w:ind w:firstLine="1304"/>
        <w:spacing w:after="0" w:line="262" w:lineRule="auto"/>
        <w:tabs>
          <w:tab w:leader="none" w:pos="168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maintain the Register pursuant to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.7(h), and a subaccount therein for each Lender, in which Register and subaccounts (taken together) shall be recorded (i) the amount of each Loan made hereunder, (ii) the amount of any principal or interest due and payable or to become due and payable from the Borrower to each Lender hereunder in respect of the Loans and (iii) both the amount of any sum received by the Agent hereunder from the Borrower in respect of the Loans and each Lender’s share thereof.</w:t>
      </w:r>
    </w:p>
    <w:p>
      <w:pPr>
        <w:spacing w:after="0" w:line="176" w:lineRule="exact"/>
        <w:rPr>
          <w:rFonts w:ascii="Times New Roman" w:cs="Times New Roman" w:eastAsia="Times New Roman" w:hAnsi="Times New Roman"/>
          <w:sz w:val="18"/>
          <w:szCs w:val="18"/>
          <w:color w:val="auto"/>
        </w:rPr>
      </w:pPr>
    </w:p>
    <w:p>
      <w:pPr>
        <w:jc w:val="both"/>
        <w:ind w:firstLine="1304"/>
        <w:spacing w:after="0" w:line="257" w:lineRule="auto"/>
        <w:tabs>
          <w:tab w:leader="none" w:pos="169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entries made in the Register maintained pursuant to paragraph (c) of this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 and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.7(h) shall, absent manifest error, to the extent permitted by applicable law, be prima facie evidence of the existence and amounts of the obligations of the Borrower therein recorded;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any Lender or the Agent to maintain the Register or any account, as applicable, or any error therein, shall not in any manner affect the obligation of the Borrower to repay the Loans (and all other amounts owing with respect thereto) made to the Borrower by the Lenders in accordance with the terms of this Agreement. In the event of any conflict between the accounts and records maintained by any Lender and the accounts and records of the Agent in respect of such matters, the accounts and records of the Agent shall control in the absence of manifest error.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4" w:name="page195"/>
    <w:bookmarkEnd w:id="194"/>
    <w:p>
      <w:pPr>
        <w:ind w:firstLine="1304"/>
        <w:spacing w:after="0" w:line="282" w:lineRule="auto"/>
        <w:tabs>
          <w:tab w:leader="none" w:pos="168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upon written request to the Agent by any Lender, the Borrower will execute and deliver, to such Lender, at the Borrower’s own expense, a Note evidencing the outstanding Loans owing to such Lender.</w:t>
      </w:r>
    </w:p>
    <w:p>
      <w:pPr>
        <w:spacing w:after="0" w:line="16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Requests for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70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Restatement Date Term Loan, the Borrower shall deliver to the Agent a Request for Loan fully executed by an Authorized Signer no later than 2 Business Days prior to the Restatement Date (or such shorter period as the Agent may agree in writing in its sole discretion). Following the Restatement Date, whenever the Borrower desires that Lenders make a Term Loan (other than the Restatement Date Term Loan), the Borrower shall deliver to the Agent a fully executed and delivered Request for Loan (which shall specify the principal amount of the proposed Loan and the proposed date of such Loan, which must be a Business Day) no later than 10:00 a.m. (New York City time) at least 10 days in advance of the proposed Credit Date. Except as otherwise provided herein, a Request for Loan for a Term Loan shall be irrevocable on and after the date of receipt by the Agent, and the Borrower shall be bound to make a borrowing in accordance therewith. Promptly upon receipt by the Agent of any Request for Loan, the Agent shall notify each Lender of the proposed borrowing. The Agent and Lenders (i) may act without liability upon the basis of written or facsimile notice believed by the Agent in good faith to be from the Borrower (or from any Authorized Signer), (ii) shall be entitled to rely conclusively on any Authorized Signer’s authority to request a Term Loan on behalf of the Borrower until the Agent receives written notice to the contrary, and (iii) shall have no duty to verify the authenticity of the signature appearing on any written Request for Loan.</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its Term Loan available to the Agent not later than 12:00 p.m. (New York City time) on the applicable Credit Date, by wire transfer of same day funds in Dollars, at the Agent’s Principal Office. Upon satisfaction or waiver of the conditions precedent specified herein, the Agent shall make the proceeds of the Term Loans available to the Borrower on the applicable Credit Date by causing an amount of same day funds in Dollars equal to the proceeds of all such Loans received by the Agent from Lenders to be credited to the account of the Borrower designated in writing to the Agent by the Borrower.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70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Request for Loan, once delivered to the Agent, shall not be revocable by the Borrower and shall constitute a certification by the Borrower as of the date thereof that:</w:t>
      </w:r>
    </w:p>
    <w:p>
      <w:pPr>
        <w:spacing w:after="0" w:line="157" w:lineRule="exact"/>
        <w:rPr>
          <w:rFonts w:ascii="Times New Roman" w:cs="Times New Roman" w:eastAsia="Times New Roman" w:hAnsi="Times New Roman"/>
          <w:sz w:val="18"/>
          <w:szCs w:val="18"/>
          <w:color w:val="auto"/>
        </w:rPr>
      </w:pPr>
    </w:p>
    <w:p>
      <w:pPr>
        <w:ind w:right="20" w:firstLine="1952"/>
        <w:spacing w:after="0" w:line="286" w:lineRule="auto"/>
        <w:tabs>
          <w:tab w:leader="none" w:pos="2433"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to the making of Loans set forth in Sections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.1 and/or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.2, as applicable, of this Agreement have been satisfied, and shall remain satisfied to the date of such Loan (both before and immediately after giving effect to such Loan);</w:t>
      </w:r>
    </w:p>
    <w:p>
      <w:pPr>
        <w:spacing w:after="0" w:line="158" w:lineRule="exact"/>
        <w:rPr>
          <w:rFonts w:ascii="Times New Roman" w:cs="Times New Roman" w:eastAsia="Times New Roman" w:hAnsi="Times New Roman"/>
          <w:sz w:val="18"/>
          <w:szCs w:val="18"/>
          <w:color w:val="auto"/>
        </w:rPr>
      </w:pPr>
    </w:p>
    <w:p>
      <w:pPr>
        <w:ind w:right="20" w:firstLine="1952"/>
        <w:spacing w:after="0" w:line="282" w:lineRule="auto"/>
        <w:tabs>
          <w:tab w:leader="none" w:pos="235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after giving effect to the making of such Loan and the application of the proceeds thereof, no Default or Event of Default has occurred and is continuing or would result from the making of the Loan to be made; and</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44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Credit Parties contained in this Agreement and the other Loan Documents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5" w:name="page196"/>
    <w:bookmarkEnd w:id="195"/>
    <w:p>
      <w:pPr>
        <w:jc w:val="both"/>
        <w:spacing w:after="0" w:line="282" w:lineRule="auto"/>
        <w:rPr>
          <w:sz w:val="20"/>
          <w:szCs w:val="20"/>
          <w:color w:val="auto"/>
        </w:rPr>
      </w:pPr>
      <w:r>
        <w:rPr>
          <w:rFonts w:ascii="Times New Roman" w:cs="Times New Roman" w:eastAsia="Times New Roman" w:hAnsi="Times New Roman"/>
          <w:sz w:val="18"/>
          <w:szCs w:val="18"/>
          <w:color w:val="auto"/>
        </w:rPr>
        <w:t>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Disbursement of Loans</w:t>
      </w:r>
      <w:r>
        <w:rPr>
          <w:rFonts w:ascii="Times New Roman" w:cs="Times New Roman" w:eastAsia="Times New Roman" w:hAnsi="Times New Roman"/>
          <w:sz w:val="18"/>
          <w:szCs w:val="18"/>
          <w:color w:val="auto"/>
        </w:rPr>
        <w:t xml:space="preserve">. Unless the Agent shall have been notified in writing by any Lender prior to the applicable Credit Date that such Lender does not intend to make available to the Agent the amount of such Lender’s Loan requested on such Credit Date, the Agent may assume that such Lender has made such amount available to the Agent on such Credit Date and the Agent may but shall not be obligated to, make available to the Borrower a corresponding amount on such Credit Date. If such corresponding amount is not in fact made available to the Agent by such Lender, the Agent shall be entitled to recover such corresponding amount on demand from such Lender together with interest thereon, for each day from such Credit Date until the date such amount is paid to the Agent, at the customary rate set by the Agent for the correction of errors among banks for three Business Days and thereafter at the rate specified in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2.6(a). If such Lender does not pay such corresponding amount forthwith upon the Agent’s demand therefor, the Agent shall promptly notify the Borrower and the Borrower shall immediately pay such corresponding amount to the Agent together with interest thereon, for each day from such Credit Date until the date such amount is paid to the Agent, at the rate specified in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2.6(a). Nothing in this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2.4 shall be deemed to relieve any Lender from its obligation to fulfill its Term Loan Commitments hereunder or to prejudice any rights that the Borrower may have against any Lender as a result of any default by such Lender hereunder.</w:t>
      </w:r>
    </w:p>
    <w:p>
      <w:pPr>
        <w:spacing w:after="0" w:line="19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Borrower agrees to pay to the Agent all fees payable by it in the Fee Letter in the amounts and at the times specified therein.</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Interest Payments; Default 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7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at the option of the Borrower, the Term Loan or any portion thereof shall be either a Reference Rate Loan or a SOFR Loan. Except as otherwise set forth herein, each Class of Loan shall bear interest on the unpaid principal amount thereof from the date made through repayment (whether by acceleration or otherwise) thereof as follows:</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36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portion of the Term Loan that is a Reference Rate Loan shall bear interest on the principal amount thereof from time to time outstanding, from the date of the Term Loan until repaid, at a rate per annum equal to the Reference Rate plus the Applicable Margin;</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7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portion of the Term Loan that is a SOFR Loan shall bear interest on the principal amount thereof from time to time outstanding, from the date of the Term Loan until repaid, at a rate per annum equal to Adjusted Term SOFR for the Interest Period in effect for the Term Loan (or such portion thereof) plus the Applicable Margin;</w:t>
      </w:r>
    </w:p>
    <w:p>
      <w:pPr>
        <w:spacing w:after="0" w:line="17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Incremental Term Loans, at the rate set forth in the Joinder Agreement; and</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Term Loan shall be due and payable in cash, in arrears, on each Interest Payment Date.</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payable (i) as set forth in clause (a) above; (ii) upon any prepayment of that Loan, whether voluntary or mandatory, to the extent accrued on the amount of principal being prepaid; and (iii) on the Maturity Date. Whenever any payment under this Section 2.6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6" w:name="page197"/>
    <w:bookmarkEnd w:id="196"/>
    <w:p>
      <w:pPr>
        <w:spacing w:after="0" w:line="282" w:lineRule="auto"/>
        <w:rPr>
          <w:sz w:val="20"/>
          <w:szCs w:val="20"/>
          <w:color w:val="auto"/>
        </w:rPr>
      </w:pPr>
      <w:r>
        <w:rPr>
          <w:rFonts w:ascii="Times New Roman" w:cs="Times New Roman" w:eastAsia="Times New Roman" w:hAnsi="Times New Roman"/>
          <w:sz w:val="18"/>
          <w:szCs w:val="18"/>
          <w:color w:val="auto"/>
        </w:rPr>
        <w:t>shall become due on a day which is not a Business Day, the date for payment thereof shall be extended to the next Business Day. Interest shall be computed on the basis of a 360 day year, in each case for the actual number of days elapsed in the period during which it accrues.</w:t>
      </w:r>
    </w:p>
    <w:p>
      <w:pPr>
        <w:spacing w:after="0" w:line="162" w:lineRule="exact"/>
        <w:rPr>
          <w:sz w:val="20"/>
          <w:szCs w:val="20"/>
          <w:color w:val="auto"/>
        </w:rPr>
      </w:pPr>
    </w:p>
    <w:p>
      <w:pPr>
        <w:jc w:val="both"/>
        <w:ind w:firstLine="1304"/>
        <w:spacing w:after="0" w:line="255" w:lineRule="auto"/>
        <w:tabs>
          <w:tab w:leader="none" w:pos="171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the principal amount of all Loans outstanding and, to the extent permitted by applicable law, any interest payments on the Loans or any fees or other amounts owed hereunder (including the Prepayment Premium), shall thereafter automatically bear interest (including post-petition interest in any proceeding under the Bankruptcy Code or other applicable bankruptcy laws), from the date such Event of Default occurred until the date such Event of Default is cured or waived in writing in accordance herewith, payable on demand at a rate that is 2% per annum in excess of the interest rate otherwise payable hereunder with respect to the applicable Loans (“</w:t>
      </w:r>
      <w:r>
        <w:rPr>
          <w:rFonts w:ascii="Times New Roman" w:cs="Times New Roman" w:eastAsia="Times New Roman" w:hAnsi="Times New Roman"/>
          <w:sz w:val="18"/>
          <w:szCs w:val="18"/>
          <w:b w:val="1"/>
          <w:bCs w:val="1"/>
          <w:color w:val="auto"/>
        </w:rPr>
        <w:t>Post-Default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Payment or acceptance of the increased rates of interest provided for in this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.6(d) is not a permitted alternative to timely payment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constitute a waiver of any Event of Default or otherwise prejudice or limit any rights or remedies of the Agent or any Lender.</w:t>
      </w:r>
    </w:p>
    <w:p>
      <w:pPr>
        <w:spacing w:after="0" w:line="18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Optional Prepayments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2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Specified Subordination Agreement, with respect to each Term Loan, the Borrower may prepay such Term Loan on any Business Day, in whole or in part, in an aggregate minimum amount of $5,000,000 and integral multiples of $1,000,000 in excess of that amount, subject to the payment of the Prepayment Premium to the extent payable in accordance with the terms of the Fee Letter.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prepayments shall be made upon not less than 10 Business Days’ (or such shorter period as the Agent may agree in writing in its sole discretion) prior written notice to the Agent by 10:00 a.m. (New York time) on the date required. Upon the giving of any such notice, the principal amount of the Term Loan specified in such notice shall become due and payable on the prepayment date specified therein.</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Mandatory 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3" w:lineRule="auto"/>
        <w:tabs>
          <w:tab w:leader="none" w:pos="236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Subject to the terms of the Specified Subordination Agreement, no later than the third Business Day following the date of receipt by any Credit Party of any Net Cash Proceeds from Asset Sales (excluding Asset Sales permitted under Section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other than Section 7.4(n)) in excess of $1,000,000 in the aggregate in any Fiscal Year, the Borrower shall prepay the Loans as set forth in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.9(a) in an aggregate amount equal to such Net Cash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 long as (i) no Event of Default shall have occurred and be continuing, (ii) the Borrower has delivered the Agent prior written notice of the Borrower’s intention to apply such monies (the “</w:t>
      </w:r>
      <w:r>
        <w:rPr>
          <w:rFonts w:ascii="Times New Roman" w:cs="Times New Roman" w:eastAsia="Times New Roman" w:hAnsi="Times New Roman"/>
          <w:sz w:val="18"/>
          <w:szCs w:val="18"/>
          <w:b w:val="1"/>
          <w:bCs w:val="1"/>
          <w:color w:val="auto"/>
        </w:rPr>
        <w:t>Reinvestment Amounts</w:t>
      </w:r>
      <w:r>
        <w:rPr>
          <w:rFonts w:ascii="Times New Roman" w:cs="Times New Roman" w:eastAsia="Times New Roman" w:hAnsi="Times New Roman"/>
          <w:sz w:val="18"/>
          <w:szCs w:val="18"/>
          <w:color w:val="auto"/>
        </w:rPr>
        <w:t>”) to the costs of replacement of the properties or assets that are the subject of such sale or disposition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sale or disposition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Nothing contained in this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.8(a) shall permit the Borrower or any of its Subsidiaries to sell or otherwise dispose of any assets other than in accordance with Section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7" w:name="page198"/>
    <w:bookmarkEnd w:id="197"/>
    <w:p>
      <w:pPr>
        <w:jc w:val="both"/>
        <w:ind w:firstLine="1304"/>
        <w:spacing w:after="0" w:line="253" w:lineRule="auto"/>
        <w:tabs>
          <w:tab w:leader="none" w:pos="169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Insurance/Condemnation Proceeds</w:t>
      </w:r>
      <w:r>
        <w:rPr>
          <w:rFonts w:ascii="Times New Roman" w:cs="Times New Roman" w:eastAsia="Times New Roman" w:hAnsi="Times New Roman"/>
          <w:sz w:val="18"/>
          <w:szCs w:val="18"/>
          <w:color w:val="auto"/>
        </w:rPr>
        <w:t xml:space="preserve">. Subject to the terms of the Specified Subordination Agreement, no later than the third Business Day following the date of receipt by any Credit Party, or the Agent as loss payee, of any Net Cash Proceeds from insurance or any condemnation, taking or other casualty in excess of $1,000,000 in the aggregate in any Fiscal Year, the Borrower shall prepay the Loans in an aggregate amount equal to such Net Cash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 long as (i) no Event of Default shall have occurred and be continuing, (ii) the Borrower has delivered the Agent prior written notice of the Borrower’s intention to apply the Reinvestment Amounts to the costs of replacement of the properties or assets that are the subject of such condemnation, taking or other casualty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condemnation, taking or other casualty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.9(a).</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Debt</w:t>
      </w:r>
      <w:r>
        <w:rPr>
          <w:rFonts w:ascii="Times New Roman" w:cs="Times New Roman" w:eastAsia="Times New Roman" w:hAnsi="Times New Roman"/>
          <w:sz w:val="18"/>
          <w:szCs w:val="18"/>
          <w:color w:val="auto"/>
        </w:rPr>
        <w:t>. Subject to the terms of the Specified Subordination Agreement, on the date of receipt by any Credit Party of any cash proceeds from the incurrence of any Debt of any Credit Party (other than with respect to any Debt permitted to be incurred pursuant to Section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 the Borrower shall prepay the Loans in accordance with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.9(a) in an aggregate amount equal to 100% of such proceeds, net of underwriting discounts and commissions and other reasonable costs and expenses associated therewith, in each case, paid to non-Affiliates, including reasonable legal fees and expenses.</w:t>
      </w:r>
    </w:p>
    <w:p>
      <w:pPr>
        <w:spacing w:after="0" w:line="183"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Notice and Certificate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2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provide written notice to the Agent of the anticipated date of any prepayment of the Loans (which notice is not required to include the amount of such prepayment) pursuant to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.8(a) through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.8(c) at least 10 Business Days (or such shorter period as the Borrower and Agent may agree) prior to such prepayment.</w:t>
      </w:r>
    </w:p>
    <w:p>
      <w:pPr>
        <w:spacing w:after="0" w:line="171" w:lineRule="exact"/>
        <w:rPr>
          <w:rFonts w:ascii="Times New Roman" w:cs="Times New Roman" w:eastAsia="Times New Roman" w:hAnsi="Times New Roman"/>
          <w:sz w:val="18"/>
          <w:szCs w:val="18"/>
          <w:color w:val="auto"/>
        </w:rPr>
      </w:pPr>
    </w:p>
    <w:p>
      <w:pPr>
        <w:jc w:val="both"/>
        <w:ind w:firstLine="1952"/>
        <w:spacing w:after="0" w:line="259" w:lineRule="auto"/>
        <w:tabs>
          <w:tab w:leader="none" w:pos="238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prepayment of the Loans pursuant to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.8(a) through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.8(c), the Borrower shall deliver to the Agent a certificate of a Responsible Officer demonstrating the calculation of the amount of the applicable cash proceeds and compensation owing to Lenders under the Fee Letter. In the event that the Borrower shall subsequently determine that the actual amount received exceeded the amount set forth in such certificate, the Borrower shall promptly make an additional prepayment of the Loans, and the Borrower shall concurrently therewith deliver to the Agent a certificate of a Responsible Officer demonstrating the derivation of such excess.</w:t>
      </w:r>
    </w:p>
    <w:p>
      <w:pPr>
        <w:spacing w:after="0" w:line="18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68" w:lineRule="auto"/>
        <w:tabs>
          <w:tab w:leader="none" w:pos="179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prepayment of any Term Loan pursuant to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 and (ii) except in connection with any Waivable Mandatory Prepayment provided for in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.9(b), so long as no Application Event has occurred and is continuing, any mandatory prepayment of any Loan pursuant to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 in each case, shall be applied to ratably prepay the principal of the Term Loan until paid in full.</w:t>
      </w:r>
    </w:p>
    <w:p>
      <w:pPr>
        <w:spacing w:after="0" w:line="174" w:lineRule="exact"/>
        <w:rPr>
          <w:rFonts w:ascii="Times New Roman" w:cs="Times New Roman" w:eastAsia="Times New Roman" w:hAnsi="Times New Roman"/>
          <w:sz w:val="18"/>
          <w:szCs w:val="18"/>
          <w:color w:val="auto"/>
        </w:rPr>
      </w:pPr>
    </w:p>
    <w:p>
      <w:pPr>
        <w:ind w:firstLine="1304"/>
        <w:spacing w:after="0" w:line="282" w:lineRule="auto"/>
        <w:tabs>
          <w:tab w:leader="none" w:pos="184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contained herein to the contrary notwithstanding, in the event the Borrower is required to make any mandatory prepayment (a “</w:t>
      </w:r>
      <w:r>
        <w:rPr>
          <w:rFonts w:ascii="Times New Roman" w:cs="Times New Roman" w:eastAsia="Times New Roman" w:hAnsi="Times New Roman"/>
          <w:sz w:val="18"/>
          <w:szCs w:val="18"/>
          <w:b w:val="1"/>
          <w:bCs w:val="1"/>
          <w:color w:val="auto"/>
        </w:rPr>
        <w:t>Waivable Mandatory Prepayment</w:t>
      </w:r>
      <w:r>
        <w:rPr>
          <w:rFonts w:ascii="Times New Roman" w:cs="Times New Roman" w:eastAsia="Times New Roman" w:hAnsi="Times New Roman"/>
          <w:sz w:val="18"/>
          <w:szCs w:val="18"/>
          <w:color w:val="auto"/>
        </w:rPr>
        <w:t>”)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8" w:name="page199"/>
    <w:bookmarkEnd w:id="198"/>
    <w:p>
      <w:pPr>
        <w:jc w:val="both"/>
        <w:spacing w:after="0" w:line="254" w:lineRule="auto"/>
        <w:rPr>
          <w:sz w:val="20"/>
          <w:szCs w:val="20"/>
          <w:color w:val="auto"/>
        </w:rPr>
      </w:pPr>
      <w:r>
        <w:rPr>
          <w:rFonts w:ascii="Times New Roman" w:cs="Times New Roman" w:eastAsia="Times New Roman" w:hAnsi="Times New Roman"/>
          <w:sz w:val="18"/>
          <w:szCs w:val="18"/>
          <w:color w:val="auto"/>
        </w:rPr>
        <w:t>the Term Loans, not less than three Business Days prior to the date (the “</w:t>
      </w:r>
      <w:r>
        <w:rPr>
          <w:rFonts w:ascii="Times New Roman" w:cs="Times New Roman" w:eastAsia="Times New Roman" w:hAnsi="Times New Roman"/>
          <w:sz w:val="18"/>
          <w:szCs w:val="18"/>
          <w:b w:val="1"/>
          <w:bCs w:val="1"/>
          <w:color w:val="auto"/>
        </w:rPr>
        <w:t>Required Prepayment Date</w:t>
      </w:r>
      <w:r>
        <w:rPr>
          <w:rFonts w:ascii="Times New Roman" w:cs="Times New Roman" w:eastAsia="Times New Roman" w:hAnsi="Times New Roman"/>
          <w:sz w:val="18"/>
          <w:szCs w:val="18"/>
          <w:color w:val="auto"/>
        </w:rPr>
        <w:t>”) on which the Borrower is required to make such Waivable Mandatory Prepayment, the Borrower shall notify the Agent in writing of the amount of such prepayment by 2:00 p.m. (New York City time) on such date, and the Agent will promptly thereafter notify each Lender holding an outstanding Term Loan of the amount of such Lender’s Pro Rata Share of such Waivable Mandatory Prepayment and such Lender’s option to decline such amount. Each such Lender may exercise such option by giving written notice to the Borrower and the Agent of its election to do so on or before 2:00 p.m. (New York City time) on the first Business Day prior to the Required Prepayment Date (it being understood that any Lender which does not notify the Borrower and the Agent of its election to exercise such option on or before 2:00 p.m. (New York City time) on the first Business Day prior to the Required Prepayment Date shall be deemed to have elected, as of such date, not to exercise such option). On the Required Prepayment Date, the Borrower shall pay to the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.9(a)), and (ii) to the extent of any excess, to the Borrower for working capital and general corporate purposes.</w:t>
      </w:r>
    </w:p>
    <w:p>
      <w:pPr>
        <w:spacing w:after="0" w:line="182" w:lineRule="exact"/>
        <w:rPr>
          <w:sz w:val="20"/>
          <w:szCs w:val="20"/>
          <w:color w:val="auto"/>
        </w:rPr>
      </w:pPr>
    </w:p>
    <w:p>
      <w:pPr>
        <w:jc w:val="both"/>
        <w:ind w:firstLine="1304"/>
        <w:spacing w:after="0" w:line="262" w:lineRule="auto"/>
        <w:tabs>
          <w:tab w:leader="none" w:pos="174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 Application Event has occurred and is continuing, all payments shall be applied pursuant to Section 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Nothing contained herein shall modify the provisions of the Fee Letter or Section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.1(c) regarding the requirement that all prepayments be accompanied by accrued interest and fees and premiums (including the Prepayment Premium) on the principal amount being prepaid to the date of such prepayment, or any requirement otherwise contained herein to pay all other amounts as the same become due and payable.</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Use of Proceeds of Loans</w:t>
      </w:r>
      <w:r>
        <w:rPr>
          <w:rFonts w:ascii="Times New Roman" w:cs="Times New Roman" w:eastAsia="Times New Roman" w:hAnsi="Times New Roman"/>
          <w:sz w:val="18"/>
          <w:szCs w:val="18"/>
          <w:color w:val="auto"/>
        </w:rPr>
        <w:t>. The proceeds of the Restatement Date Term Loan made on the Restatement Date shall be used by the Borrower for general working capital purposes of the Borrower and to pay fees and expenses related to this Agreement and the Restatement Date Transactions.</w:t>
      </w:r>
    </w:p>
    <w:p>
      <w:pPr>
        <w:spacing w:after="0" w:line="16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Incremental Facilities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1304"/>
        <w:spacing w:after="0" w:line="253" w:lineRule="auto"/>
        <w:tabs>
          <w:tab w:leader="none" w:pos="179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2.11(b), the Borrower may by written notice to Agent elect to request the establishment of one or more Incremental Term Loan commitments (the “</w:t>
      </w:r>
      <w:r>
        <w:rPr>
          <w:rFonts w:ascii="Times New Roman" w:cs="Times New Roman" w:eastAsia="Times New Roman" w:hAnsi="Times New Roman"/>
          <w:sz w:val="18"/>
          <w:szCs w:val="18"/>
          <w:b w:val="1"/>
          <w:bCs w:val="1"/>
          <w:color w:val="auto"/>
        </w:rPr>
        <w:t>Incremental Term Loan Commitments</w:t>
      </w:r>
      <w:r>
        <w:rPr>
          <w:rFonts w:ascii="Times New Roman" w:cs="Times New Roman" w:eastAsia="Times New Roman" w:hAnsi="Times New Roman"/>
          <w:sz w:val="18"/>
          <w:szCs w:val="18"/>
          <w:color w:val="auto"/>
        </w:rPr>
        <w:t>”), in an aggregate amount of up to $10,000,000. Each such notice shall specify the date (an “</w:t>
      </w:r>
      <w:r>
        <w:rPr>
          <w:rFonts w:ascii="Times New Roman" w:cs="Times New Roman" w:eastAsia="Times New Roman" w:hAnsi="Times New Roman"/>
          <w:sz w:val="18"/>
          <w:szCs w:val="18"/>
          <w:b w:val="1"/>
          <w:bCs w:val="1"/>
          <w:color w:val="auto"/>
        </w:rPr>
        <w:t>Increased Amount Date</w:t>
      </w:r>
      <w:r>
        <w:rPr>
          <w:rFonts w:ascii="Times New Roman" w:cs="Times New Roman" w:eastAsia="Times New Roman" w:hAnsi="Times New Roman"/>
          <w:sz w:val="18"/>
          <w:szCs w:val="18"/>
          <w:color w:val="auto"/>
        </w:rPr>
        <w:t>”) on which the Borrower proposes that the Incremental Term Loan Commitments shall be effective, which shall be a date not less than 30 days after the date on which such notice is delivered to the Agent. The opportunity to commit to provide all or a portion of the Incremental Term Loan Commitment shall be offered by the Borrower to any Eligible Incremental Lenders. To the extent any Eligible Incremental Lenders have provided a commitment to provide such Incremental Term Loan Commitment, the Borrower shall provide a copy of such commitment letter to the Agent for distribution to the existing Lenders and offer the existing Lenders the opportunity to provide such Incremental Term Loan Commitment on the same terms as set forth in such commitment letter (the date the Agent receives such commitment letter,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If the existing Lenders have not agreed in writing to provide such Incremental Term Loan Commitment within 15 days of the Notice Date, then the Eligible Incremental Lenders may provide the Incremental Term Loan Commitment on the terms of such commitment letter and subject to this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 Any existing Lender approached to provide all or a portion of such Incremental Term Loan Commitments may elect or decline, in its sole discretion, to provide such Incremental Term Loan Commitment.</w:t>
      </w:r>
    </w:p>
    <w:p>
      <w:pPr>
        <w:spacing w:after="0" w:line="193"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Term Loan Commitments shall become effective, as of such Increased Amount Date, subject to the satisfaction of each of the following conditions: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99" w:name="page200"/>
    <w:bookmarkEnd w:id="199"/>
    <w:p>
      <w:pPr>
        <w:ind w:left="2340" w:hanging="388"/>
        <w:spacing w:after="0"/>
        <w:tabs>
          <w:tab w:leader="none" w:pos="23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47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obtained the commitment of one or more Incremental Term Loan Lenders to provide the applicable Incremental Term Loan and any such Incremental Term Loan Lenders, the Borrower and the Agent have signed an amendment to this Agreement pursuant to which such Incremental Term Loan Lenders agree to make, subject to the terms of this Agreement, a term loan to the Borrower (an “</w:t>
      </w:r>
      <w:r>
        <w:rPr>
          <w:rFonts w:ascii="Times New Roman" w:cs="Times New Roman" w:eastAsia="Times New Roman" w:hAnsi="Times New Roman"/>
          <w:sz w:val="18"/>
          <w:szCs w:val="18"/>
          <w:b w:val="1"/>
          <w:bCs w:val="1"/>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in an amount equal to its Incremental Term Loan Commitment and to otherwise evidence such Incremental Term Loan, in form and substance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satisfactory to the Agent (each, a “</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on such Increased Amount Date;</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41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Increased Amount Date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6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reached agreement with the lenders making the Incremental Term Loan (the “</w:t>
      </w:r>
      <w:r>
        <w:rPr>
          <w:rFonts w:ascii="Times New Roman" w:cs="Times New Roman" w:eastAsia="Times New Roman" w:hAnsi="Times New Roman"/>
          <w:sz w:val="18"/>
          <w:szCs w:val="18"/>
          <w:b w:val="1"/>
          <w:bCs w:val="1"/>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 Lenders</w:t>
      </w:r>
      <w:r>
        <w:rPr>
          <w:rFonts w:ascii="Times New Roman" w:cs="Times New Roman" w:eastAsia="Times New Roman" w:hAnsi="Times New Roman"/>
          <w:sz w:val="18"/>
          <w:szCs w:val="18"/>
          <w:color w:val="auto"/>
        </w:rPr>
        <w:t>”) with respect to the interest margins applicable to such Incremental Term Loan (which interest margins may be higher than, equal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 than the interest margins applicable to the Term Loan set forth in this Agreement immediately prior to the date of the making of such Incremental Term Loan, as applicable) and shall have communicated the amount of such interest margins to the Agent. Anything to the contrary contained herein notwithstanding, if the all in yield (including interest margins, interest floors, original issue discount, closing fees or other similar yield related discounts based on an assumed four-year to life maturity, but excluding any arrangement, underwriting or similar fees that are not shared with all of the Lenders or prospective lenders) (the “</w:t>
      </w:r>
      <w:r>
        <w:rPr>
          <w:rFonts w:ascii="Times New Roman" w:cs="Times New Roman" w:eastAsia="Times New Roman" w:hAnsi="Times New Roman"/>
          <w:sz w:val="18"/>
          <w:szCs w:val="18"/>
          <w:b w:val="1"/>
          <w:bCs w:val="1"/>
          <w:color w:val="auto"/>
        </w:rPr>
        <w:t>All In Yield</w:t>
      </w:r>
      <w:r>
        <w:rPr>
          <w:rFonts w:ascii="Times New Roman" w:cs="Times New Roman" w:eastAsia="Times New Roman" w:hAnsi="Times New Roman"/>
          <w:sz w:val="18"/>
          <w:szCs w:val="18"/>
          <w:color w:val="auto"/>
        </w:rPr>
        <w:t>”) that is to be applicable to such Incremental Term Loan is 50 basis points or more higher than the All In Yield applicable to the Term Loans hereunder immediately prior to the applicable Increased Amount Date (the amount by which the interest margins are higher, the “</w:t>
      </w:r>
      <w:r>
        <w:rPr>
          <w:rFonts w:ascii="Times New Roman" w:cs="Times New Roman" w:eastAsia="Times New Roman" w:hAnsi="Times New Roman"/>
          <w:sz w:val="18"/>
          <w:szCs w:val="18"/>
          <w:u w:val="single" w:color="auto"/>
          <w:color w:val="auto"/>
        </w:rPr>
        <w:t>Excess</w:t>
      </w:r>
      <w:r>
        <w:rPr>
          <w:rFonts w:ascii="Times New Roman" w:cs="Times New Roman" w:eastAsia="Times New Roman" w:hAnsi="Times New Roman"/>
          <w:sz w:val="18"/>
          <w:szCs w:val="18"/>
          <w:color w:val="auto"/>
        </w:rPr>
        <w:t>”), then the All In Yield applicable to each applicable Class of Term Loans immediately prior to the Increased Amount Date shall be increased by the amount of the Excess minus 50 basis points, effective on the applicable Increased Amount Date, and without the necessity of any action by any party hereto.</w:t>
      </w:r>
    </w:p>
    <w:p>
      <w:pPr>
        <w:spacing w:after="0" w:line="186"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Loan Lender shall make an Incremental Term Loan subject to the satisfaction of each of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w:t>
      </w:r>
    </w:p>
    <w:p>
      <w:pPr>
        <w:spacing w:after="0" w:line="202"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conditions set forth in Section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.2 shall have been satisfied on the applicable Credit Date; and</w:t>
      </w:r>
    </w:p>
    <w:p>
      <w:pPr>
        <w:spacing w:after="0" w:line="229" w:lineRule="exact"/>
        <w:rPr>
          <w:rFonts w:ascii="Times New Roman" w:cs="Times New Roman" w:eastAsia="Times New Roman" w:hAnsi="Times New Roman"/>
          <w:sz w:val="18"/>
          <w:szCs w:val="18"/>
          <w:color w:val="auto"/>
        </w:rPr>
      </w:pPr>
    </w:p>
    <w:p>
      <w:pPr>
        <w:ind w:firstLine="1952"/>
        <w:spacing w:after="0" w:line="282" w:lineRule="auto"/>
        <w:tabs>
          <w:tab w:leader="none" w:pos="247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Incremental Term Loan shall be in an aggregate amount of at least $5,000,000 and integral multiples of $1,000,000 above such amount (except, in each case, such</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0" w:name="page201"/>
    <w:bookmarkEnd w:id="200"/>
    <w:p>
      <w:pPr>
        <w:spacing w:after="0" w:line="282" w:lineRule="auto"/>
        <w:rPr>
          <w:sz w:val="20"/>
          <w:szCs w:val="20"/>
          <w:color w:val="auto"/>
        </w:rPr>
      </w:pPr>
      <w:r>
        <w:rPr>
          <w:rFonts w:ascii="Times New Roman" w:cs="Times New Roman" w:eastAsia="Times New Roman" w:hAnsi="Times New Roman"/>
          <w:sz w:val="18"/>
          <w:szCs w:val="18"/>
          <w:color w:val="auto"/>
        </w:rPr>
        <w:t>minimum amount and integral multiples amount shall not apply when the Borrower uses all of the Incremental Term Loan Commitments available at such time).</w:t>
      </w:r>
    </w:p>
    <w:p>
      <w:pPr>
        <w:spacing w:after="0" w:line="162" w:lineRule="exact"/>
        <w:rPr>
          <w:sz w:val="20"/>
          <w:szCs w:val="20"/>
          <w:color w:val="auto"/>
        </w:rPr>
      </w:pPr>
    </w:p>
    <w:p>
      <w:pPr>
        <w:jc w:val="both"/>
        <w:ind w:firstLine="1304"/>
        <w:spacing w:after="0" w:line="261" w:lineRule="auto"/>
        <w:tabs>
          <w:tab w:leader="none" w:pos="175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Increased Amount Date on which any Incremental Term Loan Commitments of any tranche are effective, subject to the satisfaction of the foregoing terms and conditions, each Incremental Term Loan Lender shall become a Lender hereunder with respect to the Incremental Term Loan Commitment and the Incremental Term Loans made pursuant thereto. Any Incremental Term Loans made on an Increased Amount Date shall be designated a separate Class for all purposes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7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the Incremental Term Loans and Incremental Term Loan Commitments shall be, except as otherwise set forth herein or in a Joinder Agreement, identical to the Term Loan immediately prior to the making of such Incremental Term Loan. Each such Joinder Agreement may, without the consent of any other Lenders, effect such amendments to this Agreement and the other Loan Documents as may be necessary or appropriate, in the reasonable opinion of Agent, to effect the provision of this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.11. All Incremental Term Loans shall be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Term Loans, shall not be secured by a Lien on any assets of the Borrower or any Guarantor not constituting Collateral and shall not be guaranteed by any person other than the Guarantors.</w:t>
      </w:r>
    </w:p>
    <w:p>
      <w:pPr>
        <w:spacing w:after="0" w:line="18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SOFR Option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72" w:lineRule="auto"/>
        <w:tabs>
          <w:tab w:leader="none" w:pos="1716"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at any time and from time to time, so long as no Default or Event of Default has occurred and is continuing, elect to have interest on all or a portion of the Loans be charged at a rate of interest based upon Adjusted Term SOFR (the “</w:t>
      </w:r>
      <w:r>
        <w:rPr>
          <w:rFonts w:ascii="Times New Roman" w:cs="Times New Roman" w:eastAsia="Times New Roman" w:hAnsi="Times New Roman"/>
          <w:sz w:val="17"/>
          <w:szCs w:val="17"/>
          <w:u w:val="single" w:color="auto"/>
          <w:color w:val="auto"/>
        </w:rPr>
        <w:t>SOFR Option</w:t>
      </w:r>
      <w:r>
        <w:rPr>
          <w:rFonts w:ascii="Times New Roman" w:cs="Times New Roman" w:eastAsia="Times New Roman" w:hAnsi="Times New Roman"/>
          <w:sz w:val="17"/>
          <w:szCs w:val="17"/>
          <w:color w:val="auto"/>
        </w:rPr>
        <w:t>”) by notifying the Agent prior to 11:00 a.m. (New York City time) at least three Business Days prior to (i) the proposed borrowing date of a Loan (as provided in Section 2.3),</w:t>
      </w:r>
    </w:p>
    <w:p>
      <w:pPr>
        <w:spacing w:after="0" w:line="1" w:lineRule="exact"/>
        <w:rPr>
          <w:rFonts w:ascii="Times New Roman" w:cs="Times New Roman" w:eastAsia="Times New Roman" w:hAnsi="Times New Roman"/>
          <w:sz w:val="17"/>
          <w:szCs w:val="17"/>
          <w:color w:val="auto"/>
        </w:rPr>
      </w:pPr>
    </w:p>
    <w:p>
      <w:pPr>
        <w:jc w:val="both"/>
        <w:ind w:firstLine="8"/>
        <w:spacing w:after="0" w:line="252" w:lineRule="auto"/>
        <w:tabs>
          <w:tab w:leader="none" w:pos="27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conversion of a Reference Rate Loan to a SOFR Loan, the commencement of the proposed Interest Period or (iii) in the case of the continuation of a SOFR Loan as a SOFR Loan, the last day of the then current Interest Period (the “</w:t>
      </w:r>
      <w:r>
        <w:rPr>
          <w:rFonts w:ascii="Times New Roman" w:cs="Times New Roman" w:eastAsia="Times New Roman" w:hAnsi="Times New Roman"/>
          <w:sz w:val="18"/>
          <w:szCs w:val="18"/>
          <w:u w:val="single" w:color="auto"/>
          <w:color w:val="auto"/>
        </w:rPr>
        <w:t>SOFR Deadline</w:t>
      </w:r>
      <w:r>
        <w:rPr>
          <w:rFonts w:ascii="Times New Roman" w:cs="Times New Roman" w:eastAsia="Times New Roman" w:hAnsi="Times New Roman"/>
          <w:sz w:val="18"/>
          <w:szCs w:val="18"/>
          <w:color w:val="auto"/>
        </w:rPr>
        <w:t>”). Notice of the Borrower’s election of the SOFR Option for a permitted portion of the Loans and an Interest Period pursuant to this Section 2.12(a) shall be made by delivery to the Agent of (A) a Request for Loan (in the case of the initial making of a Loan) in accordance with Section 2.3 or (B) a SOFR Notice prior to the SOFR Deadline. Promptly upon its receipt of each such SOFR Notice, the Agent shall provide a copy thereof to each of the Lenders. Each SOFR Notice shall be irrevocable and binding on the Borrower. For the avoidance of doubt, the first Interest Period for the Term Loans shall commence on the Restatement Date and end on the last Business Day of the Fiscal Quarter in which the Restatement Date occurs.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53"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SOFR Loans shall be payable in accordance with Section 2.6(a). On the last day of each applicable Interest Period, unless the Borrower properly have exercised the SOFR Option with respect thereto, the interest rate applicable to such SOFR Loans automatically shall convert to the rate of interest then applicable to Reference Rate Loans of the same type hereunder. At any time that a Default or an Event of Default has occurred and is continuing, the Borrower no longer shall have the option to request that any portion of the Loans bear interest at Adjusted Term SOFR and the Agent shall have the right to convert the interest rate on all outstanding SOFR Loans to the rate of interest then applicable to Reference Rate Loans of the same type hereunder on the last day of the then current Interest Period.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Borrower (i) shall have not more than five (5) SOFR Loans in effect at any given time, and (ii) only may exercise the SOFR Option for SOFR Loans of at least $500,000 and integral multiples of $100,000 in excess thereof.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1" w:name="page202"/>
    <w:bookmarkEnd w:id="201"/>
    <w:p>
      <w:pPr>
        <w:jc w:val="both"/>
        <w:ind w:firstLine="1304"/>
        <w:spacing w:after="0" w:line="258" w:lineRule="auto"/>
        <w:tabs>
          <w:tab w:leader="none" w:pos="169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prepay SOFR Loans at any time; provided, however, that in the event that SOFR Loans are prepaid on any date that is not the last day of the Interest Period applicable thereto, including as a result of any mandatory prepayment pursuant to Section 2.8 or any application of payments or proceeds of Collateral in accordance with Section 9.2 or for any other reason, including early termination of the term of this Agreement or acceleration of all or any portion of the Indebtedness pursuant to the terms hereof, the Borrower shall indemnify, defend and hold the Agent and the Lenders and their participants harmless against any and all Funding Losses (as defined below) in accordance with Section 2.13.</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Borrower and the Lenders of the effectiveness of any Conforming Changes in connection with the use or administration of Term SOFR. Anything to the contrary contained herein notwithstanding, neither Agent, nor any Lender, nor any of their participants, is required actually to match fund any Obligation as to which interest accrues at Adjusted Term SOFR or the Term SOFR Reference Rate.</w:t>
      </w:r>
    </w:p>
    <w:p>
      <w:pPr>
        <w:spacing w:after="0" w:line="18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(g) below, if on or prior to the first day of any Interest Period for any SOFR Loan,</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40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determines (which determination shall be conclusive and binding absent manifest error) that “Adjusted Term SOFR” cannot be determined pursuant to the definition thereof, or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425"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Majority Lenders have provided notice of such determination to the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Agent shall give written notice to the Borrower and to the Lenders as soon as practicable thereafter.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notice thereof by the Agent to the Borrower, any obligation of the Lenders to make SOFR Loans, and any right of the Borrower to continue SOFR Loans or to convert Reference Rate Loans to SOFR Loans, shall be suspended (to the extent of the affected SOFR Loans or affected Interest Periods) until the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Reference Rate Loans in the amount specified therein and (ii) any outstanding affected SOFR Loans will be deemed to have been converted into Reference Rate Loans at the end of the applicable Interest Period. Upon any such conversion, the Borrower shall also pay accrued interest on the amount so converted, together with any additional amounts required pursuant to Section 2.13. Subject to Section 2.12(g), if the Agent determines (which determination shall be conclusive and binding absent manifest error) that “Adjusted Term SOFR” cannot be determined pursuant to the definition thereof on any given day, the interest rate on Reference Rate Loans shall be determined by the Agent without reference to clause (c) of the definition of “Reference Rate” until the Agent revokes such determination.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2" w:name="page203"/>
    <w:bookmarkEnd w:id="202"/>
    <w:p>
      <w:pPr>
        <w:ind w:left="1700" w:hanging="396"/>
        <w:spacing w:after="0"/>
        <w:tabs>
          <w:tab w:leader="none" w:pos="17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42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Majority Lenders. No replacement of a Benchmark with a Benchmark Replacement pursuant to this Section 2.12(g)(i) will occur prior to the applicable Benchmark Transition Start Date. No swap agreement shall be deemed to be a “Loan Document” for purposes of this Section 2.12(g).</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57"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407"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promptly notify the Borrower and the Lenders of (A) the implementation of any Benchmark Replacement and (B) the effectiveness of any Conforming Changes in connection with the use, administration, adoption or implementation of a Benchmark Replacement. The Agent will notify the Borrower of (1) the removal or reinstatement of any tenor of a Benchmark pursuant to Section 2.12(g)(iv) and (2) the commencement of any Benchmark Unavailability Period. Any determination, decision or election that may be made by the Agent or, if applicable, any Lender (or group of Lenders) pursuant to this Section 2.12(g),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2.12(g).</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84"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(A) if the then-current Benchmark is a term rate (including the Term SOFR Reference Rate) and either</w:t>
      </w:r>
    </w:p>
    <w:p>
      <w:pPr>
        <w:jc w:val="both"/>
        <w:ind w:firstLine="8"/>
        <w:spacing w:after="0" w:line="251" w:lineRule="auto"/>
        <w:tabs>
          <w:tab w:leader="none" w:pos="26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193" w:lineRule="exact"/>
        <w:rPr>
          <w:rFonts w:ascii="Times New Roman" w:cs="Times New Roman" w:eastAsia="Times New Roman" w:hAnsi="Times New Roman"/>
          <w:sz w:val="18"/>
          <w:szCs w:val="18"/>
          <w:color w:val="auto"/>
        </w:rPr>
      </w:pPr>
    </w:p>
    <w:p>
      <w:pPr>
        <w:ind w:firstLine="1952"/>
        <w:spacing w:after="0" w:line="282" w:lineRule="auto"/>
        <w:tabs>
          <w:tab w:leader="none" w:pos="2388"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Borrower’s receipt of notice of the commencement of a Benchmark Unavailability Period, the Borrower may revoke any pending request for a SOFR Borrowing of, conversion to or continuation of SOFR Loans to be made, converted or continued during 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3" w:name="page204"/>
    <w:bookmarkEnd w:id="203"/>
    <w:p>
      <w:pPr>
        <w:jc w:val="both"/>
        <w:spacing w:after="0" w:line="261" w:lineRule="auto"/>
        <w:rPr>
          <w:sz w:val="20"/>
          <w:szCs w:val="20"/>
          <w:color w:val="auto"/>
        </w:rPr>
      </w:pPr>
      <w:r>
        <w:rPr>
          <w:rFonts w:ascii="Times New Roman" w:cs="Times New Roman" w:eastAsia="Times New Roman" w:hAnsi="Times New Roman"/>
          <w:sz w:val="18"/>
          <w:szCs w:val="18"/>
          <w:color w:val="auto"/>
        </w:rPr>
        <w:t>Benchmark Unavailability Period and, failing that, the Borrower will be deemed to have converted any such request into a request for a borrowing of or conversion to Reference Rate Loans. During a Benchmark Unavailability Period or at any time that a tenor for the then-current Benchmark is not an Available Tenor, the component of Reference Rate based upon the then-current Benchmark or such tenor for such Benchmark, as applicable, will not be used in any determination of Reference Rate.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In the event of (a) the payment of any principal of any SOFR Loan other than on the last day of the Interest Period applicable thereto (including as a result of a Default or an Event of Default or any mandatory prepayment required pursuant to Section 2.8), (b) the conversion of any SOFR Loan other than on the last day of the Interest Period applicable thereto (including as a result of a Default or an Event of Default),</w:t>
      </w:r>
    </w:p>
    <w:p>
      <w:pPr>
        <w:spacing w:after="0" w:line="1" w:lineRule="exact"/>
        <w:rPr>
          <w:sz w:val="20"/>
          <w:szCs w:val="20"/>
          <w:color w:val="auto"/>
        </w:rPr>
      </w:pPr>
    </w:p>
    <w:p>
      <w:pPr>
        <w:jc w:val="both"/>
        <w:ind w:firstLine="8"/>
        <w:spacing w:after="0" w:line="252" w:lineRule="auto"/>
        <w:tabs>
          <w:tab w:leader="none" w:pos="2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borrow, convert, continue or prepay any SOFR Loan on the date specified in any notice delivered pursuant hereto, or (d) the assignment of any SOFR Loan other than on the last day of the Interest Period applicable thereto as a result of a request by the Borrower or the Agent pursuant to Section 12.11, then, in any such event, the Borrower shall compensate each Lender for any loss, cost and expense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attributable to such event, including any loss, cost or expense arising from the liquidation or redeployment of funds or from any fees payable. A certificate of any Lender setting forth any amount or amounts that such Lender is entitled to receive pursuant to this Section 2.13 shall be delivered to the Borrower and shall be conclusive absent manifest error. The Borrower shall pay such Lender the amount shown as due on any such certificate upon demand after receipt thereof.</w:t>
      </w:r>
    </w:p>
    <w:p>
      <w:pPr>
        <w:spacing w:after="0" w:line="19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u w:val="single" w:color="auto"/>
          <w:color w:val="auto"/>
        </w:rPr>
        <w:t>Impracticability or Illegality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80" w:hanging="376"/>
        <w:spacing w:after="0"/>
        <w:tabs>
          <w:tab w:leader="none" w:pos="16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9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Requirement of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based upon SOFR, the Term SOFR Reference Rate, Adjusted Term SOFR or Term SOFR, then, upon notice thereof by such Lender to the Borrower (through the Agent) (an “</w:t>
      </w:r>
      <w:r>
        <w:rPr>
          <w:rFonts w:ascii="Times New Roman" w:cs="Times New Roman" w:eastAsia="Times New Roman" w:hAnsi="Times New Roman"/>
          <w:sz w:val="18"/>
          <w:szCs w:val="18"/>
          <w:u w:val="single" w:color="auto"/>
          <w:color w:val="auto"/>
        </w:rPr>
        <w:t>Illegality Notice</w:t>
      </w:r>
      <w:r>
        <w:rPr>
          <w:rFonts w:ascii="Times New Roman" w:cs="Times New Roman" w:eastAsia="Times New Roman" w:hAnsi="Times New Roman"/>
          <w:sz w:val="18"/>
          <w:szCs w:val="18"/>
          <w:color w:val="auto"/>
        </w:rPr>
        <w:t>”), (i) any obligation of the Lenders to make SOFR Loans, and any right of the Borrower to continue SOFR Loans or to convert Reference Rate Loans to SOFR Loans, shall be suspended, and (ii) the interest rate on which Reference Rate Loans shall, if necessary to avoid such illegality, be determined by the Agent without reference to clause (c) of the definition of “Reference Rate”, in each case until each affected Lender notifies the Agent and the Borrower that the circumstances giving rise to such determination no longer exist. Upon receipt of an Illegality Notice, the Borrower shall, if necessary to avoid such illegality, upon demand from any Lender (with a copy to the Agent), prepay or, if applicable, convert all SOFR Loans to Reference Rate Loans (the interest rate on which Reference Rate Loans shall, if necessary to avoid such illegality, be determined by the Agent without reference to clause (c) of the definition of “Reference Rate”), on the last day of the Interest Period therefor, if all affected Lenders may lawfully continue to maintain such SOFR Loans to such day, or immediately, if any Lender may not lawfully continue to maintain such SOFR Loans to such day, in each case until the Agent is advised in writing by each affected Lender that it is no longer illegal for such Lender to determine or charge interest rates based upon SOFR, the Term SOFR Reference Rate, Adjusted Term SOFR or Term SOFR. Upon any such prepayment or conversion, the Borrower shall also pay accrued interest on the amount so prepaid or converted, together with any additional amounts required pursuant to Section 2.13.</w:t>
      </w:r>
    </w:p>
    <w:p>
      <w:pPr>
        <w:spacing w:after="0" w:line="195"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Credit Parties under this Section 2.14 shall survive the termination of this Agreement and the payment of the Loans and all other amounts payable hereunder.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4" w:name="page205"/>
    <w:bookmarkEnd w:id="204"/>
    <w:p>
      <w:pPr>
        <w:ind w:left="320" w:hanging="312"/>
        <w:spacing w:after="0"/>
        <w:tabs>
          <w:tab w:leader="none" w:pos="32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[INTENTIONALLY OMITTED].</w:t>
      </w:r>
    </w:p>
    <w:p>
      <w:pPr>
        <w:spacing w:after="0" w:line="22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The effectiveness of this Agreement and the obligations of the Lenders to make the Restatement Date Term Loan pursuant to this Agreement on the Restatement Date are subject to the following conditions:</w:t>
      </w:r>
    </w:p>
    <w:p>
      <w:pPr>
        <w:spacing w:after="0" w:line="162" w:lineRule="exact"/>
        <w:rPr>
          <w:sz w:val="20"/>
          <w:szCs w:val="20"/>
          <w:color w:val="auto"/>
        </w:rPr>
      </w:pPr>
    </w:p>
    <w:p>
      <w:pPr>
        <w:jc w:val="both"/>
        <w:ind w:firstLine="1304"/>
        <w:spacing w:after="0" w:line="258" w:lineRule="auto"/>
        <w:tabs>
          <w:tab w:leader="none" w:pos="167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this Agreement and the other Loan Documents</w:t>
      </w:r>
      <w:r>
        <w:rPr>
          <w:rFonts w:ascii="Times New Roman" w:cs="Times New Roman" w:eastAsia="Times New Roman" w:hAnsi="Times New Roman"/>
          <w:sz w:val="18"/>
          <w:szCs w:val="18"/>
          <w:color w:val="auto"/>
        </w:rPr>
        <w:t>. The Borrower shall have executed and delivered to the Agent for the account of each Lender requesting Notes, the Notes; the Borrower, the Agent, and each Lender shall have executed and delivered this Agreement; and the Borrower and each Guarantor shall have executed and delivered the other Loan Documents to which the Borrower or such Guarantor is required to be a party (including all schedules and other documents to be delivered pursuant hereto); and such Notes (if any), this Agreement and the other Loan Documents shall be in full force and effect in accordance with the terms of the Disbursement Letter.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9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The Agent shall have received, from the Borrower and each Guarantor, a certificate of its Secretary, Assistant Secretary or Chief Operating Officer, dated as of the Restatement Date, as to:</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52"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resolutions (or the equivalent) of the Borrower and each Guarantor authorizing the transactions contemplated by this Agreement and the other Loan Documents, approving this Agreement and the other Loan Documents, in each case to which the Borrower and each such Guarantor is party, and authorizing the execution and delivery of this Agreement and the other Loan Documents, and in the case of the Borrower, authorizing the execution and delivery of requests for Loans hereunder,</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38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incumbency and signature of the officers or other authorized persons of the Borrower and each Guarantor executing any Loan Document and in the case of the Borrower, the officers who are authorized to execute any Requests for Loan,</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7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or continued existence (or the equivalent thereof) from the state of its incorporation or formation, and from every state or other jurisdiction where the Borrower and each Guarantor is qualified to do business (but only to the extent the failure to be so qualified could reasonably be expected to result in a Material Adverse Effect), which jurisdictions are listed on Schedule 4.1(b) attached hereto, and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38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such articles of incorporation and bylaws or other constitutional documents of the Borrower and each Guarantor, as in effect on the Restatement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7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 Guaranties and other Loan Documents.</w:t>
      </w:r>
      <w:r>
        <w:rPr>
          <w:rFonts w:ascii="Times New Roman" w:cs="Times New Roman" w:eastAsia="Times New Roman" w:hAnsi="Times New Roman"/>
          <w:sz w:val="18"/>
          <w:szCs w:val="18"/>
          <w:color w:val="auto"/>
        </w:rPr>
        <w:t xml:space="preserve"> The Agent shall have received the following documents, each in form and substance satisfactory to the Agent and fully executed by each party thereto:</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52"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Collateral Documents, each in form and substance acceptable to the Agent and fully executed by each party thereto and dated as of the Restatement Date:</w:t>
      </w:r>
    </w:p>
    <w:p>
      <w:pPr>
        <w:spacing w:after="0" w:line="161"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Reaffirmation Agreement, executed and delivered by the Borrower and each Guarantor;</w:t>
      </w:r>
    </w:p>
    <w:p>
      <w:pPr>
        <w:spacing w:after="0" w:line="225"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Certificate, duly executed by the Borrower;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05" w:name="page206"/>
    <w:bookmarkEnd w:id="205"/>
    <w:p>
      <w:pPr>
        <w:ind w:left="3020" w:hanging="420"/>
        <w:spacing w:after="0"/>
        <w:tabs>
          <w:tab w:leader="none" w:pos="3020"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w:t>
      </w:r>
    </w:p>
    <w:p>
      <w:pPr>
        <w:spacing w:after="0" w:line="225"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Business Interruption Insurance Policy; and</w:t>
      </w:r>
    </w:p>
    <w:p>
      <w:pPr>
        <w:spacing w:after="0" w:line="225" w:lineRule="exact"/>
        <w:rPr>
          <w:rFonts w:ascii="Times New Roman" w:cs="Times New Roman" w:eastAsia="Times New Roman" w:hAnsi="Times New Roman"/>
          <w:sz w:val="18"/>
          <w:szCs w:val="18"/>
          <w:color w:val="auto"/>
        </w:rPr>
      </w:pPr>
    </w:p>
    <w:p>
      <w:pPr>
        <w:ind w:right="20" w:firstLine="2600"/>
        <w:spacing w:after="0" w:line="282" w:lineRule="auto"/>
        <w:tabs>
          <w:tab w:leader="none" w:pos="3123"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law deed of confirmation in respect of the amended and restated Irish law share charge dated 23 November 2021 between the Borrower and the Agent (the “</w:t>
      </w:r>
      <w:r>
        <w:rPr>
          <w:rFonts w:ascii="Times New Roman" w:cs="Times New Roman" w:eastAsia="Times New Roman" w:hAnsi="Times New Roman"/>
          <w:sz w:val="18"/>
          <w:szCs w:val="18"/>
          <w:b w:val="1"/>
          <w:bCs w:val="1"/>
          <w:color w:val="auto"/>
        </w:rPr>
        <w:t>Irish Deed of Confirmation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Letter, executed and delivered by the Agent and the Borrower and dated as of the Restatement Date;</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421"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copies of uniform commercial code requests for information, or a similar search report certified by a party acceptable to the Agent, dated a date reasonably prior to the Restatement Date, listing all effective financing statements in the jurisdiction noted on Schedule 4.1(c)(iii) which name the Borrower or any Guarantor (under their present names or under any previous names used within five (5) years prior to the Restatement Date) as debtors, together 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Section 7.2 of this Agreement) and (B) intellectual property search reports results from the United States Patent and Trademark Office and the United States Copyright Office for the Borrower and each Guarantor dated a date reasonably prior to the Restatement Date.</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8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(including, without limitation, financing statements, amendments to financing statements and assignments of financing statements, stock powers executed in blank and any endorsements) requested by the Agent and reasonably required to be provided in connection with the Collateral Documents to create, in favor of the Agent (for and on behalf of the Lenders), a perfected security interest in the Collateral thereunder shall have been filed, registered or recorded, or shall have been delivered to the Agent in proper form for filing, registration or recordation.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Agent shall have received evidence reasonably satisfactory to it that the Borrower and Guarantors have obtained the insurance policies required by Section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 hereof and that such insurance policies are in full force and effect (subject to Section 4.3 with respect to required endorsements).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Schedules and Exhibits</w:t>
      </w:r>
      <w:r>
        <w:rPr>
          <w:rFonts w:ascii="Times New Roman" w:cs="Times New Roman" w:eastAsia="Times New Roman" w:hAnsi="Times New Roman"/>
          <w:sz w:val="18"/>
          <w:szCs w:val="18"/>
          <w:color w:val="auto"/>
        </w:rPr>
        <w:t>. The Agent shall have received (i) schedules to this Agreement, the Perfection Certificate, and the Security Agreement and (ii) exhibits to this Agreement and the Security Agreement, in each case of the foregoing clauses (i) and (ii), in form and substance reasonably satisfactory to the Agent (it being acknowledged that the form of the schedules to this Agreement and the Perfection Certificate as agreed between the Agent and the Borrower as of the date of the Exchange Agreement are satisfactory to the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0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xml:space="preserve">. The Borrower and Guarantors shall have furnished to the Agent and the Lenders customary opinions of counsel to the Borrower and Guarantors, in each case dated the Restatement Date and covering such matters as reasonably required by and otherwise reasonably satisfactory in form and substance to the Agent and each of the Lenders. The Agent and the Lenders shall have received a customary opinion of Arthur Cox LLP, Irish counsel to the Agent dated the Restatement Date and covering such matters as reasonably required by and otherwise reasonably satisfactory in form and substance to the Agent and each of the Lenders (it being acknowledged that form of opinion provided by Arthur Cox dated 23 November 2021 is satisfactory to the Agent and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6" w:name="page207"/>
    <w:bookmarkEnd w:id="206"/>
    <w:p>
      <w:pPr>
        <w:spacing w:after="0" w:line="282" w:lineRule="auto"/>
        <w:rPr>
          <w:sz w:val="20"/>
          <w:szCs w:val="20"/>
          <w:color w:val="auto"/>
        </w:rPr>
      </w:pPr>
      <w:r>
        <w:rPr>
          <w:rFonts w:ascii="Times New Roman" w:cs="Times New Roman" w:eastAsia="Times New Roman" w:hAnsi="Times New Roman"/>
          <w:sz w:val="18"/>
          <w:szCs w:val="18"/>
          <w:color w:val="auto"/>
        </w:rPr>
        <w:t>Lenders fail to procure such opinion, the Borrower may cause the delivery of a customary opinion of another nationally recognized firm of counsel in lieu thereof.</w:t>
      </w:r>
    </w:p>
    <w:p>
      <w:pPr>
        <w:spacing w:after="0" w:line="162" w:lineRule="exact"/>
        <w:rPr>
          <w:sz w:val="20"/>
          <w:szCs w:val="20"/>
          <w:color w:val="auto"/>
        </w:rPr>
      </w:pPr>
    </w:p>
    <w:p>
      <w:pPr>
        <w:jc w:val="both"/>
        <w:ind w:firstLine="1304"/>
        <w:spacing w:after="0" w:line="266" w:lineRule="auto"/>
        <w:tabs>
          <w:tab w:leader="none" w:pos="17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The Borrower shall have paid to the Agent all fees, costs or expenses due and outstanding to the Agent or the Lenders as of the Restatement Date (including reasonable fees, disbursements and other charges of counsel to the Agent payable under Section 12.4(a) hereof), in each case to the extent invoiced at least one Business Day prior to the Restatement Date.</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Borrower shall have delivered to the Lenders and the Agent, in form and substance satisfactory to the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 audited financial statements of the Borrower for the Fiscal Year ended January 31, 2025, and presented in accordance with GAAP (it being acknowledged that the Agent and Lenders are in receipt of such audited financial statements described in this clause (a)), and (b) unaudited financial statements of the Borrower for the most recently ended Fiscal Quarter prior to the Restatement Date which are required to be delivered pursuant to Section 6.1(b) of the Existing Credit Agreement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in form reasonably acceptable to the Agent.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Restatement Date Transactions</w:t>
      </w:r>
      <w:r>
        <w:rPr>
          <w:rFonts w:ascii="Times New Roman" w:cs="Times New Roman" w:eastAsia="Times New Roman" w:hAnsi="Times New Roman"/>
          <w:sz w:val="18"/>
          <w:szCs w:val="18"/>
          <w:color w:val="auto"/>
        </w:rPr>
        <w:t>. Each of the transactions set forth in the Exchange Agreement (including, without limitation, the Exchange Transactions (as defined therein)) and the Purchase and Sale Agreement shall have been consummated in accordance with the terms and conditions thereof.</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The Agent shall have received copies of all Material Contracts described on Schedule 5.18 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and Other Approvals</w:t>
      </w:r>
      <w:r>
        <w:rPr>
          <w:rFonts w:ascii="Times New Roman" w:cs="Times New Roman" w:eastAsia="Times New Roman" w:hAnsi="Times New Roman"/>
          <w:sz w:val="18"/>
          <w:szCs w:val="18"/>
          <w:color w:val="auto"/>
        </w:rPr>
        <w:t>. The Agent shall have received copies of all authorizations, consents, approvals, licenses, qualifications or formal exemptions, filings, declarations and registrations with, any court, governmental agency or regulatory authority or any securities exchange or any other person or party (whether or not governmental) received by the Borrower or any Guarantor that, in each case, are necessary in connection with the transactions contemplated by the Loan Documents to occur on the Restatement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7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The Agent shall have received a certificate of a Responsible Officer of the Borrower dated the Restatement Date, stating that to the best of his or her respective knowledge after due inquiry, (i) the conditions set forth in Sections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.2(b) and 4.2(d) have been satisfied; and (ii) since January 31, 2025, no Material Adverse Effect has occurred.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77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Agent shall have received a certificate of the chief financial officer of the Borrower, certifying that the Borrower is Solvent (after giving effect to the making of the Restatement Date Term Loan and the other Restatement Date Transactions).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Agent and each Lender acknowledge that:</w:t>
      </w:r>
    </w:p>
    <w:p>
      <w:pPr>
        <w:spacing w:after="0" w:line="225" w:lineRule="exact"/>
        <w:rPr>
          <w:sz w:val="20"/>
          <w:szCs w:val="20"/>
          <w:color w:val="auto"/>
        </w:rPr>
      </w:pPr>
    </w:p>
    <w:p>
      <w:pPr>
        <w:jc w:val="both"/>
        <w:ind w:firstLine="656"/>
        <w:spacing w:after="0" w:line="261" w:lineRule="auto"/>
        <w:tabs>
          <w:tab w:leader="none" w:pos="105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any document or instrument required to be delivered pursuant to the foregoing shall be deemed satisfactory if such document or instrument is in the form separately agreed with the Agent prior to execution and delivery of the Exchange Agreement or, if no such form is agreed, in a form substantially consistent with the form of such document or instrument with respect to the Existing Credit Agreement or, if no such form exists, in customary form reasonably acceptable to the Agent; and</w:t>
      </w:r>
    </w:p>
    <w:p>
      <w:pPr>
        <w:spacing w:after="0" w:line="17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to create or perfect any security interest shall constitute a condition precedent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7" w:name="page208"/>
    <w:bookmarkEnd w:id="207"/>
    <w:p>
      <w:pPr>
        <w:jc w:val="both"/>
        <w:spacing w:after="0" w:line="258" w:lineRule="auto"/>
        <w:rPr>
          <w:sz w:val="20"/>
          <w:szCs w:val="20"/>
          <w:color w:val="auto"/>
        </w:rPr>
      </w:pPr>
      <w:r>
        <w:rPr>
          <w:rFonts w:ascii="Times New Roman" w:cs="Times New Roman" w:eastAsia="Times New Roman" w:hAnsi="Times New Roman"/>
          <w:sz w:val="18"/>
          <w:szCs w:val="18"/>
          <w:color w:val="auto"/>
        </w:rPr>
        <w:t>to the effectiveness of this Agreement so long as the Security Agreement and Account Control Agreements in respect of each deposit accounts and securities accounts (other than the Excluded Accounts) is executed and delivered by the Borrower and each Guarantor and the security interest under the Security Agreement is perfected to the extent it is capable of perfection by the filing of a UCC-1 financing statement; provided that any other document, instrument or action that would otherwise be required to create or perfect any security interest shall be delivered and/or complied with by the Borrower within 30 days after the Restatement Date (or such later date as the Agent may agree).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Conditions to all Loans</w:t>
      </w:r>
      <w:r>
        <w:rPr>
          <w:rFonts w:ascii="Times New Roman" w:cs="Times New Roman" w:eastAsia="Times New Roman" w:hAnsi="Times New Roman"/>
          <w:sz w:val="18"/>
          <w:szCs w:val="18"/>
          <w:color w:val="auto"/>
        </w:rPr>
        <w:t>. The obligations of each Lender to make Loans (including the Restatement Date Term Loan) shall be subject to the following conditions:</w:t>
      </w:r>
    </w:p>
    <w:p>
      <w:pPr>
        <w:spacing w:after="0" w:line="162" w:lineRule="exact"/>
        <w:rPr>
          <w:sz w:val="20"/>
          <w:szCs w:val="20"/>
          <w:color w:val="auto"/>
        </w:rPr>
      </w:pPr>
    </w:p>
    <w:p>
      <w:pPr>
        <w:ind w:left="1680" w:hanging="376"/>
        <w:spacing w:after="0"/>
        <w:tabs>
          <w:tab w:leader="none" w:pos="16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fully executed Request for Loan;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after giving effect to the making of such Loan and the application of the proceeds thereof, (i) except in connection with consummation of the Restatement Date Transactions, no Default or (ii) Event of Default, in each case has occurred and is continuing or would result from the making of the Loan to be made;</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0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consummation of the Restatement Date Transactions, as of such Credit Date,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2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consummation of the Restatement Date Transactions, (i) the Specified Representations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Restatement Date as though made at and as of such date, except to the extent that such representations and warranties expressly relate to an earlier date (in which case such representations and warranties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earlier date) and (ii) each of the representations and warranties other than the Specified Representations of the Credit Parties in this Agreement and the other Loan Documents shall be true and correct as of the Restatement Date as though made at and as of such date, except to the extent that any such other representations and warranties expressly relate to an earlier date (in which case such other representations and warranties shall be true and correct as of such earlier date), in each case of this clause (ii), determined without regard to qualifications as to “materiality” or “Material Adverse Effect”, except that the condition in this clause (ii) will be satisfied unless the failure of any such representations and warranties to be so true and correct has resulted in, or could reasonably be expected to result in, individually or in the aggregate, a Material Adverse Effect. The representations and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8" w:name="page209"/>
    <w:bookmarkEnd w:id="208"/>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warranties made in connection with the Restatement Date Transactions under the Loan Documents will be those required to be accurate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Conditions Subsequent to Effectiveness</w:t>
      </w:r>
      <w:r>
        <w:rPr>
          <w:rFonts w:ascii="Times New Roman" w:cs="Times New Roman" w:eastAsia="Times New Roman" w:hAnsi="Times New Roman"/>
          <w:sz w:val="18"/>
          <w:szCs w:val="18"/>
          <w:color w:val="auto"/>
        </w:rPr>
        <w:t>. As an accommodation to the Credit Parties, the Agent and the Lenders have agreed to execute this Agreement and to make the Restatement Date Term Loan on the Restatement Date notwithstanding the failure by the Credit Parties to satisfy the conditions set forth below on or before the Restatement Date. In consideration of such accommodation, the Credit Parties agree that, in addition to all other terms, conditions and provisions set forth in this Agreement and the other Loan Documents, the Credit Parties shall satisfy each of the conditions subsequent set forth below on or before the date applicable thereto (it being understood that (i) the failure by the Credit Parties to perform or cause to be performed any such condition subsequent on or before the date applicable thereto shall constitute an Event of Default and (ii) to the extent that the existence of any such condition subsequent would otherwise cause any representation, warranty or covenant in this Agreement or any other Loan Document to be breached, the Majority Lenders hereby waive such breach for the period from the Restatement Date until the date on which such condition subsequent is required to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fulfilled pursuant to this Section </w:t>
      </w:r>
      <w:r>
        <w:rPr>
          <w:rFonts w:ascii="Times New Roman" w:cs="Times New Roman" w:eastAsia="Times New Roman" w:hAnsi="Times New Roman"/>
          <w:sz w:val="23"/>
          <w:szCs w:val="23"/>
          <w:color w:val="auto"/>
        </w:rPr>
        <w:t>‎</w:t>
      </w:r>
      <w:r>
        <w:rPr>
          <w:rFonts w:ascii="Times New Roman" w:cs="Times New Roman" w:eastAsia="Times New Roman" w:hAnsi="Times New Roman"/>
          <w:sz w:val="18"/>
          <w:szCs w:val="18"/>
          <w:color w:val="auto"/>
        </w:rPr>
        <w:t>4.3):</w:t>
      </w:r>
    </w:p>
    <w:p>
      <w:pPr>
        <w:spacing w:after="0" w:line="209" w:lineRule="exact"/>
        <w:rPr>
          <w:sz w:val="20"/>
          <w:szCs w:val="20"/>
          <w:color w:val="auto"/>
        </w:rPr>
      </w:pPr>
    </w:p>
    <w:p>
      <w:pPr>
        <w:jc w:val="both"/>
        <w:ind w:firstLine="1304"/>
        <w:spacing w:after="0" w:line="258" w:lineRule="auto"/>
        <w:tabs>
          <w:tab w:leader="none" w:pos="167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that is thirty (30) days following the Restatement Date (or such later date as agreed to in writing by the Agent in its sole discretion), the Borrower and each Guarantor shall have delivered to the Agent long form insurance endorsements with respect to the Borrower’s and such Guarantor’s insurance policies, in form and substance satisfactory to the Agent, naming the Agent as additional insured or lender’s loss payee thereunder, as applicable, and providing that such policy may be terminated or cancelled (by the insurer or the insured thereunder) only upon 30 days’ prior written notice to the Agent (or 10 days prior written notice in the case of nonpayment).</w:t>
      </w:r>
    </w:p>
    <w:p>
      <w:pPr>
        <w:spacing w:after="0" w:line="1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represents and warrants to the Agent and the Lenders as follows: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Each Credit Party is a corporation (or other business entity) duly organized and existing in good standing under the laws of the state or jurisdiction of its incorporation or formation, as applicable, and each Credit Party is duly qualified and authorized to do business as a foreign corporation in each jurisdiction where the character of its assets or the nature of its activities makes such qualification and authorization necessary except where failure to be so qualified or be in good standing could not reasonably be expected to have a Material Adverse Effect. Each Credit Party has all requisite corporate, limited liability or partnership power (as applicable) and authority to own all its property (whether real, personal, tangible or intangible or of any kind whatsoever) and to carry on its business.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Execution, delivery and performance of this Agreement, and the other Loan Documents, to which each Credit Party is party, and the issuance of the Notes by the Borrower (if requested) (i) are within such Person’s corporate, limited liability or partnership power (as applicable), (ii) have been duly authorized by all necessary action, (iii) are not in contravention of any Requirement of Law applicable to such Credit Party or the terms of such Credit Party’s organizational documents, any Material Contract or the Senior Loan Documents or (iv) do not and will not result in or require the creation of any Lien (other than pursuant to any Loan Document or Senior Loan Document) upon or with respect to any of its properties.</w:t>
      </w:r>
    </w:p>
    <w:p>
      <w:pPr>
        <w:spacing w:after="0" w:line="18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Good Title; Leases; Assets; No Liens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68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to the extent applicable, has good and valid title (or, in the case of real property, good and marketable title) to all assets owned by it, subject only to the Liens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t>permitted under Section 7.2 hereof, and each Credit Party has a valid leasehold or interest as a lessee or a licensee in all of its leased real property;</w:t>
      </w:r>
    </w:p>
    <w:p>
      <w:pPr>
        <w:spacing w:after="0" w:line="225" w:lineRule="exact"/>
        <w:rPr>
          <w:sz w:val="20"/>
          <w:szCs w:val="20"/>
          <w:color w:val="auto"/>
        </w:rPr>
      </w:pPr>
    </w:p>
    <w:p>
      <w:pPr>
        <w:ind w:firstLine="1304"/>
        <w:spacing w:after="0" w:line="282" w:lineRule="auto"/>
        <w:tabs>
          <w:tab w:leader="none" w:pos="168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5.3(b) hereto identifies all of the real property owned or leased, as lessee thereunder, by the Borrower or any Guarantor on the Restatement Date, including all warehouse or bailee locations;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will collectively own or collectively have a valid leasehold interest in all assets that were owned or leased (as lessee) by the Credit Parties immediately prior to the Restatement Date to the extent that such assets are necessary for the continued operation of the Credit Parties’ businesses in substantially the manner as such businesses were operated immediately prior to the Restatement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owns or has a valid leasehold interest in all real property necessary for its continued operations and, to the best knowledge of the Borrower, no material condemnation, eminent domain or expropriation action has been commenced or threatened against any such owned or leased real property;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0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on and no financing statements on file with respect to any of the assets owned by the Credit Parties, except for the Liens permitted pursuant to Section 7.2 of this Agreement and any financing statements relating thereto;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that is not the Borrower or a Guarantor holds or owns any assets that are material to the business of the Borrower and its Subsidiaries nor any Intellectual Property (unless held by Rent the Runway Limited in the ordinary course of business for use in fulfilling its obligations to Borrower in a manner substantially consistent with the Intercompany License Agreement as of the Restatement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 All Tax returns and other reports required by applicable Requirements of Law to be filed by any Credit Party have been timely filed (taking into account any extensions granted by the applicable Governmental Authority) and (ii) all Taxes imposed upon any Credit Party or any property of any Credit Party which have become due and payable on or prior to the Restatement Date have been paid, except (A) unpaid Taxes in an aggregate amount at any one time not in excess of $1,000,000, (B) unpaid sales Taxes that are due and payable in the ordinary course of business and are not delinquent and (C) Taxes contested in good faith by proper proceedings which stay the imposition of any Lien resulting from the non-payment thereof and with respect to which adequate reserves have been set aside for the payment thereof in accordance with GAAP on the Financial Statements.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No Credit Party is in default under or with respect to any agreement, instrument or undertaking to which is a party or by which it or any of its property is bound which would cause or would reasonably be expected to cause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Enforceability of Agreement and Loan Documents</w:t>
      </w:r>
      <w:r>
        <w:rPr>
          <w:rFonts w:ascii="Times New Roman" w:cs="Times New Roman" w:eastAsia="Times New Roman" w:hAnsi="Times New Roman"/>
          <w:sz w:val="18"/>
          <w:szCs w:val="18"/>
          <w:color w:val="auto"/>
        </w:rPr>
        <w:t>. This Agreement and each of the other Loan Documents to which any Credit Party is a party (including without limitation, each Request for Loan), have each been duly executed and delivered by its duly authorized officers and constitute the valid and binding obligations of such Credit Party, enforceable against such Credit Party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0" w:name="page211"/>
    <w:bookmarkEnd w:id="2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(a) Except as disclosed on Schedule 5.7, each Credit Party has complied with all applicable federal, state and local laws, ordinances, codes, rules, regulations and guidelines (including consent decrees and administrative orders) including but not limited to Hazardous Material Laws, and is in compliance with any Requirement of Law, except to the extent that failure to comply therewith could not reasonably be expected to have a Material Adverse Effect; and (b) neither the extension of credit made pursuant to this Agreement or the use of the proceeds thereof by the Credit Parties will violate any Anti-Terrorism Laws, including the United States Foreign Corrupt Practices Act of 1977,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Act of 2001, Public Law 10756, October 26, 2001 or Executive Order 13224 of September 23, 2001 issued by the President of the United States (66 Fed. Reg. 49049 (2001)).</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of this Agreement and the other Loan Documents (including each Request for Loan) to which each Credit Party is a party are not in contravention of the terms of any indenture, agreement or undertaking to which such Credit Party is a party or by which it or its properties are bound where such violation could reasonably be expected to have a Material Adverse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5.9 hereto, there is no suit, action, proceeding, including, without limitation, any bankruptcy proceeding or governmental investigation pending against or to the knowledge of the Borrower, threatened in writing against any Credit Party (other than any suit, action or proceeding in which a Credit Party is the plaintiff and in which no counterclaim or cross-claim against such Credit Party has been filed), or any judgment, decree, injunction, rule, or order of any court, government, department, commission, agency, instrumentality or arbitrator outstanding against any Credit Party, nor is any Credit Party in violation of any applicable order, injunction, decree or requirement of any governmental body or court which (i) could in any of the foregoing events reasonably be expected to have a Material Adverse Effect or (ii) relates to this Agreement or any other Loan Document.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Consents, Approvals and Filings, Etc</w:t>
      </w:r>
      <w:r>
        <w:rPr>
          <w:rFonts w:ascii="Times New Roman" w:cs="Times New Roman" w:eastAsia="Times New Roman" w:hAnsi="Times New Roman"/>
          <w:sz w:val="18"/>
          <w:szCs w:val="18"/>
          <w:color w:val="auto"/>
        </w:rPr>
        <w:t>. Except as set forth on Schedule 5.10 hereto, (a)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the execution, delivery and performance: (i) by any Credit Party of this Agreement and any of the other Loan Documents to which such Credit Party is a party or (ii) by the Credit Parties of the grant of Liens granted, conveyed or otherwise established (or to be granted, conveyed or otherwise established) by or under this Agreement or the other Loan Documents, as applicable, and (b) no material authorization, consent, approval, license, qualification or formal exemption from, nor any filing, declaration or registration with, any court, governmental agency or regulatory authority or any securities exchange or any other Person (whether or not governmental) is otherwise necessary to the operation of its business, except in each case for (x) such matters which have been previously obtained, and (y) such filings to be made concurrently herewith or promptly following the Restatement Date as are required by the Collateral Documents to perfect Liens in favor of the Agent. All such authorizations, consents, approvals, licenses, qualifications, exemptions, filings, declarations and registrations which have previously been obtained or made, as the case may be, are in full force and effect and, to the best knowledge of the Borrower, are not the subject of any attack or threatened attack (in each case in any material respect) by appeal or direct proceeding or otherwise.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1" w:name="page212"/>
    <w:bookmarkEnd w:id="21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Agreements Affecting Financial Condition</w:t>
      </w:r>
      <w:r>
        <w:rPr>
          <w:rFonts w:ascii="Times New Roman" w:cs="Times New Roman" w:eastAsia="Times New Roman" w:hAnsi="Times New Roman"/>
          <w:sz w:val="18"/>
          <w:szCs w:val="18"/>
          <w:color w:val="auto"/>
        </w:rPr>
        <w:t>. No Credit Party is party to any agreement or instrument or subject to any charter or other corporate restriction which could reasonably be expected to have a Material Adverse Effect.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 Investment Company or Margin Stock</w:t>
      </w:r>
      <w:r>
        <w:rPr>
          <w:rFonts w:ascii="Times New Roman" w:cs="Times New Roman" w:eastAsia="Times New Roman" w:hAnsi="Times New Roman"/>
          <w:sz w:val="18"/>
          <w:szCs w:val="18"/>
          <w:color w:val="auto"/>
        </w:rPr>
        <w:t>. No Credit Party is an “investment company” within the meaning of the Investment Company Act of 1940, as amended. No Credit Party is engaged principally, or as one of its important activities, directly or indirectly, in the business of extending credit for the purpose of purchasing or carrying margin stock. No Credit Party is or will be engaged in the business of extending credit for the purpose of purchasing or carrying margin stock (within the meaning of Regulation T, U or X), and no proceeds of any Loan will be used to purchase or carry any margin stock or to extend credit to others for the purpose of purchasing or carrying any margin stock or for any purpose that violates, or is inconsistent with, the provisions of Regulation T, U and X. Terms for which meanings are provided in Regulation T, U and X of the Board of Governors of the Federal Reserve System or any regulations substituted therefore, as from time to time in effect, are used in this paragraph with such meanings.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or Foreign Benefit Event has occurred and, to the knowledge of the Borrower, no ERISA Event or Foreign Benefit Event is reasonably expected to occur, except as would not reasonably be expected to have a Material Adverse Effect when taken either individually or in the aggregate with all other such ERISA Events or Foreign Benefit Events for which liability could be reasonably expected to occur. Each Pension Plan and Foreign Plan is being maintained and funded in accordance with its terms and is in compliance with the requirements of the Internal Revenue Code and ERISA and other Requirements of Law, except to the extent that failure to comply therewith could not, either individually or in the aggregate, reasonably be expected to have a Material Adverse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Conditions Affecting Business or Properties</w:t>
      </w:r>
      <w:r>
        <w:rPr>
          <w:rFonts w:ascii="Times New Roman" w:cs="Times New Roman" w:eastAsia="Times New Roman" w:hAnsi="Times New Roman"/>
          <w:sz w:val="18"/>
          <w:szCs w:val="18"/>
          <w:color w:val="auto"/>
        </w:rPr>
        <w:t>. Neither the respective businesses nor the properties of any Credit Party is affected by any fire, explosion, accident, strike, lockout or other dispute, drought, storm, hail, earthquake, embargo, Act of God, or other casualty which could reasonably be expected to have a Material Adverse Effect.</w:t>
      </w:r>
    </w:p>
    <w:p>
      <w:pPr>
        <w:spacing w:after="0" w:line="17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7"/>
          <w:szCs w:val="17"/>
          <w:u w:val="single" w:color="auto"/>
          <w:color w:val="auto"/>
        </w:rPr>
        <w:t>Environmental and Safety Matters</w:t>
      </w:r>
      <w:r>
        <w:rPr>
          <w:rFonts w:ascii="Times New Roman" w:cs="Times New Roman" w:eastAsia="Times New Roman" w:hAnsi="Times New Roman"/>
          <w:sz w:val="17"/>
          <w:szCs w:val="17"/>
          <w:color w:val="auto"/>
        </w:rPr>
        <w:t>. Except as set forth in Schedules 5.9, 5.10 and 5.15:</w:t>
      </w:r>
    </w:p>
    <w:p>
      <w:pPr>
        <w:spacing w:after="0" w:line="225" w:lineRule="exact"/>
        <w:rPr>
          <w:sz w:val="20"/>
          <w:szCs w:val="20"/>
          <w:color w:val="auto"/>
        </w:rPr>
      </w:pPr>
    </w:p>
    <w:p>
      <w:pPr>
        <w:ind w:firstLine="1304"/>
        <w:spacing w:after="0" w:line="282" w:lineRule="auto"/>
        <w:tabs>
          <w:tab w:leader="none" w:pos="170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facilities and property owned or leased by the Credit Parties are in compliance with all Hazardous Material Laws, except to the extent that any non-compliance could not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Borrower, except as could not reasonably be expected to result in a Material Adverse Effect, there have been no unresolved and outstanding past, and there are no pending or threatened:</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complaints, notices or requests for information received by any Credit Party with respect to any alleged violation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Hazardous Material Law, or</w:t>
      </w:r>
    </w:p>
    <w:p>
      <w:pPr>
        <w:spacing w:after="0" w:line="206" w:lineRule="exact"/>
        <w:rPr>
          <w:rFonts w:ascii="Times New Roman" w:cs="Times New Roman" w:eastAsia="Times New Roman" w:hAnsi="Times New Roman"/>
          <w:sz w:val="18"/>
          <w:szCs w:val="18"/>
          <w:color w:val="auto"/>
        </w:rPr>
      </w:pPr>
    </w:p>
    <w:p>
      <w:pPr>
        <w:ind w:left="2420" w:hanging="468"/>
        <w:spacing w:after="0"/>
        <w:tabs>
          <w:tab w:leader="none" w:pos="242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complaints, notices or inquiries to any Credit Party regarding potential liability of any Credit Parties under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 and</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Borrower, no conditions exist at, on or under any property now or previously owned or leased by any Credit Party, in each case which, with the passage of time, or the giving of notice or both, are or would be reasonably likely to give rise to liability under any Hazardous Material Law or create a significant adverse effect on the value of the property, except to the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color w:val="auto"/>
        </w:rPr>
        <w:t>extent that such condition or liability could not reasonably be expected to result in a Material Adverse Effect.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Except as disclosed on Schedule 5.16 hereto as of the Restatement Date, and thereafter, except as disclosed to the Agent in writing from time to time, no Credit Party has any Subsidiaries.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Adverse Agreements, Etc</w:t>
      </w:r>
      <w:r>
        <w:rPr>
          <w:rFonts w:ascii="Times New Roman" w:cs="Times New Roman" w:eastAsia="Times New Roman" w:hAnsi="Times New Roman"/>
          <w:sz w:val="18"/>
          <w:szCs w:val="18"/>
          <w:color w:val="auto"/>
        </w:rPr>
        <w:t>. No Credit Party or any of its Subsidiaries is a party to any Contractual Obligation or subject to any restriction or limitation in any governing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Schedule 5.18 attached hereto is an accurate and complete list of all Material Contracts in effect on or as of the Restatement Date to which any Credit Party is a party or is bound. Each such Material Contract is in full force and effect and is binding upon and enforceable against each Credit Party that is a party thereto and, to the best knowledge of such Credit Party, all other parties thereto in accordance with its terms.</w:t>
      </w:r>
    </w:p>
    <w:p>
      <w:pPr>
        <w:spacing w:after="0" w:line="17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5.19</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Each Credit Party maintains all insurance required by Section</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6.5.</w:t>
      </w:r>
    </w:p>
    <w:p>
      <w:pPr>
        <w:spacing w:after="0" w:line="2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 Schedule 5.20 attached hereto sets forth all issued and outstanding Equity Interests of each Credit Party (other than the Borrower), including the number of authorized, issued and outstanding Equity Interests of each Credit Party, the par value of such Equity Interests and the holders of such Equity Interests, all on and as of the Restatement Date. All issued and outstanding Equity Interests of each Credit Party are duly authorized and validly issued, fully paid, nonassessable, free and clear of all Liens (in the case of Liens on the Equity Interests of any Credit Party (other than the Borrower), except for Liens in favor of (i) the Agent or (ii) the Senior Agent under the Senior Loan Documents) and such Equity Interests were issued in compliance with all applicable state, federal and foreign laws concerning the issuance of securities. Except as disclosed on Schedule 5.20, there are no preemptive or other outstanding rights, options, warrants, conversion rights or similar agreements or understandings for the purchase or acquisition from any Credit Party, of any Equity Interests of any Credit Party.</w:t>
      </w:r>
    </w:p>
    <w:p>
      <w:pPr>
        <w:spacing w:after="0" w:line="19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72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for the fiscal year ended January 31, 2025, furnished to the Agent and the Lenders prior to the Restatement Date fairly present in all material respects the financial condition of the Borrower and its respective Subsidiaries and the results of their operations for the periods covered thereby, and have been prepared in accordance with GAAP. The projections and the other pro forma financial information delivered to the Agent prior to the Restatement Date are based upon good faith estimates and assumptions believed by management of the Borrower to be accurate and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w:t>
      </w:r>
    </w:p>
    <w:p>
      <w:pPr>
        <w:spacing w:after="0" w:line="18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31, 2025, no Material Adverse Effect has occurred.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70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Credit Parties, as of the Restatement Date, (i) the Credit Parties do not have any material contingent obligations (including any liability for taxes) not disclosed by or reserved against in the opening balance sheet to be delivered hereunder and (ii) there are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3" w:name="page214"/>
    <w:bookmarkEnd w:id="213"/>
    <w:p>
      <w:pPr>
        <w:jc w:val="both"/>
        <w:spacing w:after="0" w:line="282" w:lineRule="auto"/>
        <w:rPr>
          <w:sz w:val="20"/>
          <w:szCs w:val="20"/>
          <w:color w:val="auto"/>
        </w:rPr>
      </w:pPr>
      <w:r>
        <w:rPr>
          <w:rFonts w:ascii="Times New Roman" w:cs="Times New Roman" w:eastAsia="Times New Roman" w:hAnsi="Times New Roman"/>
          <w:sz w:val="18"/>
          <w:szCs w:val="18"/>
          <w:color w:val="auto"/>
        </w:rPr>
        <w:t>no unrealized or anticipated losses from any present commitment of the Credit Parties which contingent obligations and losses in the aggregate could reasonably be expected to have a Material Adverse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 After giving effect to the consummation of the Restatement Date Transactions and the other transactions contemplated by this Agreement and the other Loan Documents and (ii) after the Restatement Date, before and after giving effect to each Loan, the Credit Parties, taken as a whole, will be Solvent. This Agreement is being executed and delivered by the Borrower to the Agent and the Lenders in good faith and in exchange for fair, equivalent consideration. The Credit Parties do not contemplate filing a petition in bankruptcy or for an arrangement or reorganization under the Bankruptcy Code or any similar law of any jurisdiction now or hereafter in effect relating to any Credit Party, nor does any Credit Party have any knowledge of any threatened bankruptcy or insolvency proceedings against a Credit Party.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There are no strikes, slowdowns, work stoppages, unfair labor practice complaints, grievances, arbitration proceedings or controversies pending or, to the best knowledge of the Borrower, threatened in writing against any Credit Party by any employees of any Credit Party, other than non-material employee grievances or controversies arising in the ordinary course of business and other grievances or controversies which could not reasonably be expected to have a Material Adverse Effect. Set forth on Schedule 5.23 are all union contracts or agreements to which any Credit Party is party as of the Restatement Date and the related expiration dates of each such contract.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Credit Party has disclosed to the Agent and the Lenders all agreements, instruments and corporate or other restrictions to which it is subject, and all other matters known to it, that, individually or in the aggregate, could reasonably be expected to result in a Material Adverse Effect. Neither this Agreement nor any other Loan Document, certificate, written information or report furnished or to be furnished by or on behalf of a Credit Party to the Agent or any Lender in connection with any of the transactions contemplated hereby or thereby, contains a misstatement of material fact, or omits to state a material fact required to be stated in order to make the statements contained herein or therein, taken as a whole, not materially misleading in the light of the circumstances under which such statements were made. There is no fact, other than information known to the public generally, known to any Credit Party after diligent inquiry, that could reasonably be expect to have a Material Adverse Effect that has not expressly been disclosed to the Agent in writing.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Corporate Documents and Corporate Existence</w:t>
      </w:r>
      <w:r>
        <w:rPr>
          <w:rFonts w:ascii="Times New Roman" w:cs="Times New Roman" w:eastAsia="Times New Roman" w:hAnsi="Times New Roman"/>
          <w:sz w:val="18"/>
          <w:szCs w:val="18"/>
          <w:color w:val="auto"/>
        </w:rPr>
        <w:t>. As to the Borrower and any Guarantor, (a) it is an organization as described on Schedule 1.1 hereto and has provided the Agent and the Lenders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1.1 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Anti-Money Laundering/Anti-Terrorism</w:t>
      </w:r>
      <w:r>
        <w:rPr>
          <w:rFonts w:ascii="Times New Roman" w:cs="Times New Roman" w:eastAsia="Times New Roman" w:hAnsi="Times New Roman"/>
          <w:sz w:val="18"/>
          <w:szCs w:val="18"/>
          <w:color w:val="auto"/>
        </w:rPr>
        <w:t>. Each Credit Party represents and warrants that (i) no Covered Entity (in the case of clauses (b) and (c) of the definition of “Covered Entity,” to the knowledge of the Credit Parties) (A) is a Sanctioned Person; (B), either in its own right or through any third party, (1) has any of its assets in a Sanctioned Country or in the possession, custody or control of a Sanctioned Person; (2) does business in or with, or derives any of its income from investments in or transactions with, any Sanctioned Country or Sanctioned Person in violation of any Anti-Terrorism Law; or (3) engages in any dealings or transactions prohibited by, any Anti-Terrorism Laws.</w:t>
      </w:r>
    </w:p>
    <w:p>
      <w:pPr>
        <w:spacing w:after="0" w:line="18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5.27</w:t>
      </w:r>
      <w:r>
        <w:rPr>
          <w:sz w:val="20"/>
          <w:szCs w:val="20"/>
          <w:color w:val="auto"/>
        </w:rPr>
        <w:tab/>
      </w: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Neither the Borrower nor any Guarantor is an EEA Financial Institution.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4" w:name="page215"/>
    <w:bookmarkEnd w:id="214"/>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5.28</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72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Borrower’s knowledge, the Credit Parties own or have rights to use the Intellectual Property necessary for the conduct of their businesses. To the best of the Borrower’s knowledge, each of the Copyrights, Trademarks and Patents (in each case, as defined in the Security Agreement) owned by the Borrower is valid and enforceable, and no part of such Intellectual Property has been judged invalid or unenforceable, in whole or in part, and no claim has been made to the Borrower that any part of such Intellectual Property violates the rights of any third party except to the extent such claim could not reasonably be expected to cause a Material Adverse Effect.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9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and any Person acting for or on behalf of the Credit Parties have complied with all Data Security Requirements, except such non-compliance that could not reasonably be expected to result in a Material Adverse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Inbound Licenses</w:t>
      </w:r>
      <w:r>
        <w:rPr>
          <w:rFonts w:ascii="Times New Roman" w:cs="Times New Roman" w:eastAsia="Times New Roman" w:hAnsi="Times New Roman"/>
          <w:sz w:val="18"/>
          <w:szCs w:val="18"/>
          <w:color w:val="auto"/>
        </w:rPr>
        <w:t>. Except as disclosed on Schedule 5.29, the Borrower is not a party to, nor is it bound by, any material inbound license or other material agreement the failure, breach, or termination of which could reasonably be expected to cause a Material Adverse Effect, or that prohibits or otherwise restricts the Borrower from granting a security interest in the Borrower’s interest in such license or any other property.</w:t>
      </w:r>
    </w:p>
    <w:p>
      <w:pPr>
        <w:spacing w:after="0" w:line="16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5.30</w:t>
      </w:r>
      <w:r>
        <w:rPr>
          <w:sz w:val="20"/>
          <w:szCs w:val="20"/>
          <w:color w:val="auto"/>
        </w:rPr>
        <w:tab/>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shall be used in accordance with Section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2.10.</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The Security Agreement creates in favor of the Agent, for the benefit of itself and the Lenders, a legal, valid, continuing and enforceable security interest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18"/>
          <w:szCs w:val="18"/>
          <w:color w:val="auto"/>
        </w:rPr>
        <w:t>. There exists no actual or threatened termination, cancellation or limitation of, or modification to or change in, the business relationship between (i) any Credit Party, on the one hand, and any customer or any group thereof, on the other hand, whose agreements with any Credit Party are individually or in the aggregate material to the business or operations of such Credit Party, or (ii) any Credit Party, on the one hand, and any supplier or any group thereof, on the other hand, whose agreements with any Credit Party are individually or in the aggregate material to the business or operations of such Credit Party; and there exists no present state of facts or circumstances that could give rise to or result in any such termination, cancellation, limitation, modification or change, except, in each case of this Section 5.32, where such termination, cancellation, limitation, modification or change that could not reasonably be expected to result in a Material Adverse Effect.</w:t>
      </w:r>
    </w:p>
    <w:p>
      <w:pPr>
        <w:spacing w:after="0" w:line="18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5.33</w:t>
      </w:r>
      <w:r>
        <w:rPr>
          <w:sz w:val="20"/>
          <w:szCs w:val="20"/>
          <w:color w:val="auto"/>
        </w:rPr>
        <w:tab/>
      </w:r>
      <w:r>
        <w:rPr>
          <w:rFonts w:ascii="Times New Roman" w:cs="Times New Roman" w:eastAsia="Times New Roman" w:hAnsi="Times New Roman"/>
          <w:sz w:val="17"/>
          <w:szCs w:val="17"/>
          <w:u w:val="single" w:color="auto"/>
          <w:color w:val="auto"/>
        </w:rPr>
        <w:t>Technology Security Systems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75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each of its Subsidiaries has implemented and maintains adequate administrative, physical, and technical security measures and procedures (consistent with industry standards for companies and businesses of similar size in similar industries) to protect the confidentiality, integrity, and security of (i) its computers, computer systems, servers, hardware, software, websites, databases, networks, and all other information technology equipment and systems, including any hosted locations and other outsourced systems and processes (all of the foregoing in this clause (i), “</w:t>
      </w:r>
      <w:r>
        <w:rPr>
          <w:rFonts w:ascii="Times New Roman" w:cs="Times New Roman" w:eastAsia="Times New Roman" w:hAnsi="Times New Roman"/>
          <w:sz w:val="18"/>
          <w:szCs w:val="18"/>
          <w:u w:val="single" w:color="auto"/>
          <w:color w:val="auto"/>
        </w:rPr>
        <w:t>Credit Party Systems</w:t>
      </w:r>
      <w:r>
        <w:rPr>
          <w:rFonts w:ascii="Times New Roman" w:cs="Times New Roman" w:eastAsia="Times New Roman" w:hAnsi="Times New Roman"/>
          <w:sz w:val="18"/>
          <w:szCs w:val="18"/>
          <w:color w:val="auto"/>
        </w:rPr>
        <w:t>”) and (ii) all individually identifiable information, including sensitive and confidential information, accessed, collected, used, processed, stored, transferred or disclosed by or on behalf of any Credit Party or any Subsidiary of any Credit Party (all such data and information referred to</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5" w:name="page216"/>
    <w:bookmarkEnd w:id="215"/>
    <w:p>
      <w:pPr>
        <w:jc w:val="both"/>
        <w:spacing w:after="0" w:line="254" w:lineRule="auto"/>
        <w:rPr>
          <w:sz w:val="20"/>
          <w:szCs w:val="20"/>
          <w:color w:val="auto"/>
        </w:rPr>
      </w:pPr>
      <w:r>
        <w:rPr>
          <w:rFonts w:ascii="Times New Roman" w:cs="Times New Roman" w:eastAsia="Times New Roman" w:hAnsi="Times New Roman"/>
          <w:sz w:val="18"/>
          <w:szCs w:val="18"/>
          <w:color w:val="auto"/>
        </w:rPr>
        <w:t>in this clause (ii), “</w:t>
      </w:r>
      <w:r>
        <w:rPr>
          <w:rFonts w:ascii="Times New Roman" w:cs="Times New Roman" w:eastAsia="Times New Roman" w:hAnsi="Times New Roman"/>
          <w:sz w:val="18"/>
          <w:szCs w:val="18"/>
          <w:u w:val="single" w:color="auto"/>
          <w:color w:val="auto"/>
        </w:rPr>
        <w:t>Credit Party Data</w:t>
      </w:r>
      <w:r>
        <w:rPr>
          <w:rFonts w:ascii="Times New Roman" w:cs="Times New Roman" w:eastAsia="Times New Roman" w:hAnsi="Times New Roman"/>
          <w:sz w:val="18"/>
          <w:szCs w:val="18"/>
          <w:color w:val="auto"/>
        </w:rPr>
        <w:t>”), in all cases including from theft, destruction, corruption, loss or unauthorized use, access, interruption, deletion, alteration or modification by any Person except, in each case of this clause (a), as has not had, and would not reasonably be expected to have, individually or in the aggregate, a Material Adverse Effect. All Credit Party Systems necessary to the operation of Credit Party’s business are operational in all material respects and have adequate backups and disaster recovery arrangements that are at least reasonable and at least consistent with, as protective as, and no less rigorous than, industry standards for companies and businesses of similar size in similar industries. Without limiting the generality of the foregoing, each Credit Party and each of its Subsidiaries (x) takes commercially reasonable efforts to securely store applicable equipment and software that is material to its business, (y) utilizes industry-accepted virus and intrusion checking software and firewalls, and (z) limits access to Credit Party Data to only those employees and agents who need such access for the conduct of the business of the Credit Parties and their Subsidiaries.</w:t>
      </w:r>
    </w:p>
    <w:p>
      <w:pPr>
        <w:spacing w:after="0" w:line="192" w:lineRule="exact"/>
        <w:rPr>
          <w:sz w:val="20"/>
          <w:szCs w:val="20"/>
          <w:color w:val="auto"/>
        </w:rPr>
      </w:pPr>
    </w:p>
    <w:p>
      <w:pPr>
        <w:jc w:val="both"/>
        <w:ind w:firstLine="1304"/>
        <w:spacing w:after="0" w:line="253" w:lineRule="auto"/>
        <w:tabs>
          <w:tab w:leader="none" w:pos="178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or any Subsidiary of any Credit Party has experienced any (i) security incidents, data breaches, intrusions or unauthorized access, use or compromise of any of the Credit Party Systems, (ii) unauthorized collection, access, use, processing, loss, compromise, interruption, deletion, modification or disclosure of any Credit Party Data or trade secrets of any Credit Party or any Subsidiary of any Credit Party or (iii) cyber, social engineering, spoofing, phishing, ransom, viral or other attack, theft or intrusion (all of the foregoing clauses (i), (ii) and (iii),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Breaches</w:t>
      </w:r>
      <w:r>
        <w:rPr>
          <w:rFonts w:ascii="Times New Roman" w:cs="Times New Roman" w:eastAsia="Times New Roman" w:hAnsi="Times New Roman"/>
          <w:sz w:val="18"/>
          <w:szCs w:val="18"/>
          <w:color w:val="auto"/>
        </w:rPr>
        <w:t>”) that has allowed an unauthorized Person to access, copy, encrypt or otherwise use any Credit Party Data, in each case, which could reasonably be expected to cause a Material Adverse Effect. Each Credit Party and each of its Subsidiaries is in material compliance with all Requirements of Laws regarding the privacy or security of all Credit Party Data. Except as set forth on Schedule 5.33(b), no Credit Party or any Subsidiary of any Credit Party has received or is aware of any notice, allegation, complaint or other communication, and to the knowledge of the Credit Parties there is no pending investigation by any Governmental Authority or other Person regarding any actual or possible violation of any Requirements of Laws regarding the privacy or security of any Credit Party Data.</w:t>
      </w:r>
    </w:p>
    <w:p>
      <w:pPr>
        <w:spacing w:after="0" w:line="1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AFFIRMATIVE COVENANTS.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Borrower covenants and agrees, so long as any Lender has any commitment to extend credit hereunder, or any of the Indebtedness (including any Prepayment Premium) remains outstanding and unpaid, that it will, and, as applicable, it will cause each of its Subsidiaries to:</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Furnish to the Agent, in form and detail satisfactory to the Agent, with sufficient copies for each Lender, the following documents:</w:t>
      </w:r>
    </w:p>
    <w:p>
      <w:pPr>
        <w:spacing w:after="0" w:line="162" w:lineRule="exact"/>
        <w:rPr>
          <w:sz w:val="20"/>
          <w:szCs w:val="20"/>
          <w:color w:val="auto"/>
        </w:rPr>
      </w:pPr>
    </w:p>
    <w:p>
      <w:pPr>
        <w:jc w:val="both"/>
        <w:ind w:firstLine="1304"/>
        <w:spacing w:after="0" w:line="253" w:lineRule="auto"/>
        <w:tabs>
          <w:tab w:leader="none" w:pos="1702"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hundred twenty (120) days after the end of each Fiscal Year, a copy of the audited Consolidated financial statements of the Borrower and its Consolidated Subsidiaries and the related audited Consolidated statements of income, stockholders equity, and cash flows of the Borrower and its Consolidated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25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upcoming maturity date under this Agreement or the Senior Credit Agreement occurring within one year from the time such report is delivered or (y) any inability to satisfy the financial covenants set forth in the Senior Credit Agreement;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6" w:name="page217"/>
    <w:bookmarkEnd w:id="216"/>
    <w:p>
      <w:pPr>
        <w:jc w:val="both"/>
        <w:ind w:firstLine="1304"/>
        <w:spacing w:after="0" w:line="255" w:lineRule="auto"/>
        <w:tabs>
          <w:tab w:leader="none" w:pos="168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Fiscal Quarter (including the last Fiscal Quarter of each Fiscal Year which, for such Fiscal Quarter, shall be a Borrower prepared draft subject to standard audit adjustments), (i) the Borrower prepared unaudited Consolidated balance sheets of the Borrower and its Consolidated Subsidiaries as at the end of such Fiscal Quarter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Quarter, setting forth in each case in comparative form the figures for the corresponding periods in the previous Fiscal Year, and (ii) a report reflecting compliance with Section 7.16 (with reasonably detailed supporting information), in each case, certified by a Responsible Officer of the Borrower as being fairly stated in all material respects; and</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0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end of each month (or such later date as the Agent agrees in its sole discretion), (including the last month of each Fiscal Quarter and each Fiscal Year, which, for such months, shall be a Borrower prepared draft subject to standard audit adjustments), commencing with the first full month occurring after the Restatement Date, the Borrower prepared unaudited Consolidated balance sheets of the Borrower and its Consolidated Subsidiaries as at the end of such month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Month, setting forth in each case in comparative form the figures for the corresponding periods in the previous Fiscal Year, and certified by a Responsible Officer of the Borrower as being fairly stated in all material respects;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such financial statements to be complete and correct in all material respects and to be prepared in reasonable detail and in accordance with GAAP consistently applied, throughout the periods reflected therein and with prior periods (except as approved by a Responsible Officer of the Borrower and disclosed therein), provided however that (i) the Consolidating financial statements delivered pursuant to clause (a) hereof, (ii) all the financial statements delivered pursuant to clause (b) hereof will not be required to include footnotes and will be subject to change as a result of audit and year-end adjustments and (iii) all the financial statements delivered pursuant to clause (c) hereof will not be required to include exhibits and will be subject to change as a result of audit, quarterly and/or year-end adjustments.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may be satisfied with respect to financial information of the Borrower and its Consolidated Subsidiaries by furnishing Form 10-K or 10-Q of the Borrower,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information is in lieu of information required to be provided under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such materials are accompanied by a report and opinion of the Borrower’s auditor or any other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Furnish to the Agent, in form and detail acceptable to the Agent, with sufficient copies for each Lender, the following documents:</w:t>
      </w:r>
    </w:p>
    <w:p>
      <w:pPr>
        <w:spacing w:after="0" w:line="162" w:lineRule="exact"/>
        <w:rPr>
          <w:sz w:val="20"/>
          <w:szCs w:val="20"/>
          <w:color w:val="auto"/>
        </w:rPr>
      </w:pPr>
    </w:p>
    <w:p>
      <w:pPr>
        <w:jc w:val="both"/>
        <w:ind w:firstLine="1304"/>
        <w:spacing w:after="0" w:line="266" w:lineRule="auto"/>
        <w:tabs>
          <w:tab w:leader="none" w:pos="183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thereof, copies of all significant reports submitted by the Credit Parties’ firm(s) of certified public accountants in connection with each annual, interim or special audit or review of any type of the financial statements or related internal control systems of the Credit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t>Parties made by such accountants, including any comment letter submitted by such accountants to management in connection with their services;</w:t>
      </w:r>
    </w:p>
    <w:p>
      <w:pPr>
        <w:spacing w:after="0" w:line="225" w:lineRule="exact"/>
        <w:rPr>
          <w:sz w:val="20"/>
          <w:szCs w:val="20"/>
          <w:color w:val="auto"/>
        </w:rPr>
      </w:pPr>
    </w:p>
    <w:p>
      <w:pPr>
        <w:jc w:val="both"/>
        <w:ind w:firstLine="1304"/>
        <w:spacing w:after="0" w:line="261" w:lineRule="auto"/>
        <w:tabs>
          <w:tab w:leader="none" w:pos="17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reports, statements, press releases, other material information or written notices delivered to the Senior Agent, the Senior Lenders or the holders of the Subordinated Debt pursuant to any Senior Loan Documents or any applicable Subordinated Debt Documents (to the extent not otherwise required hereunder), as and when delivered to such Persons (including, without limitation, any compliance certificate (or similar report) delivered pursuant to the Senior Credit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after the end of such Fiscal Year, projections for the Credit Parties for the Fiscal Year then in progress, with the projections presented on a quarterly basis, including a balance sheet, as at the end of each relevant period and for the period commencing at the beginning of the Fiscal Year and ending on the last day of such relevant period, such projections approved by the Borrower’s board of directors and certified by a Responsible Officer of the Borrower as being believed to be reasonable estimates and assumptions taking into account all facts and information known by a Responsible Officer of the Borrower;</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delivery of the financial statements of the Credit Parties required by Section 6.1, if, as a result of any change in accounting principles and policies from those used in the preparation of the Financial Statements, the Consolidated financial statements of the Borrower delivered pursuant to Section 6.1 will differ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7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information as required by any Loan Document, and such additional schedules, certificates and reports respecting all or any of the Collateral, the items or amounts received by the Credit Parties in full or partial payment thereof, and any goods (the sale or lease of which shall have given rise to any of the Collateral) possession of which has been obtained by the Credit Parties, all to such extent as the Agent may reasonably request from time to time, any such schedule, certificate or report to be certified as true and correct in all material respects by a Responsible Officer of the applicable Credit Party and shall be in such form and detail as the Agent may reasonably specify;</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80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upon the Agent’s request, a report of the cash account balances of the Credit Parties, confirming the Credit Parties’ compliance with the covenant set forth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financial and/or other information as the Agent or any Lender may from time to time reasonably request, promptly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such request.</w:t>
      </w:r>
    </w:p>
    <w:p>
      <w:pPr>
        <w:spacing w:after="0" w:line="207"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Payment of Taxes and Other Obligations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2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full before delinquency or before the expiration of any extension period, all Taxes imposed upon any Credit Party or any property of any Credit Party, except (i) unpaid Taxes in an aggregate amount at any one time not in excess of $1,000,000, and (ii) Taxes contested in good faith by proper proceedings which stay the imposition of any Lien resulting from the non-payment thereof and with respect to which adequate reserves have been set aside for the payment thereof in accordance with GAAP.</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or otherwise satisfy, at or before maturity or before they become delinquent, as the case may be, all of its material obligations (other than obligations described in clause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8" w:name="page219"/>
    <w:bookmarkEnd w:id="218"/>
    <w:p>
      <w:pPr>
        <w:jc w:val="both"/>
        <w:ind w:firstLine="8"/>
        <w:spacing w:after="0" w:line="266" w:lineRule="auto"/>
        <w:tabs>
          <w:tab w:leader="none" w:pos="26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of whatever nature, including without limitation all assessments, governmental charges, claims for labor, supplies, rent or other obligations, except where the amount or validity thereof is currently being appropriately contested in good faith and reserves in conformity with GAAP with respect thereto have been provided on the books of the Credit Parties.</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Conduct of Business and Maintenance of Existence; 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75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their respective business and operations substantially as conducted immediately prior to the Restatement Date, except as otherwise permitted pursuant to Section 7.4 or as may be agreed by the Agent from time to time in its reasonable discretion;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5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renew and keep in full force and effect its existence and maintain its qualifications to do business in each jurisdiction where such qualifications are necessary for its operations, except as otherwise permitted pursuant to Section 7.4;</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8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 it deems necessary in its reasonable business judgment to maintain all rights, privileges, licenses and franchises, and protect all algorithms, Software and customer lists, in each case as are necessary for the normal conduct of its business except where the failure to so maintain such rights, privileges or franchises or so protect such algorithms, Software and customer lists could not, either singly or in the aggregate, reasonably be expected to have a Material Adverse Effect. If, despite the restrictions contained in Section 7.3 and subject to the exceptions for Rent the Runway Limited set forth therein, any Subsidiary of the Borrower that is not the Borrower or a Guarantor holds, acquires, exclusively licenses or develops material algorithms, material customer lists, or material Software, the Borrower shall promptly cause (i) such Subsidiary to transfer such material algorithms, material customer lists, or material Software and any rights thereto to the Borrower or a Guarantor and (ii) grant a perfected security interest in any such material algorithms, material customer lists, or material Software in accordance with the requirements set forth in the Loan Documents and, provided that if Borrower or a Guarantor complies with the foregoing sentence, such holding, acquisition, exclusive license or development shall not constitute a breach of this Section 6.4;</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72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or renew all of its Intellectual Property, except to the extent such Intellectual Property is no longer used or useful to the business of the Credit Parties, based on Credit Parties’ reasonable business judgment;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Contractual Obligations and Requirements of Law, except to the extent that failure to comply therewith could not, either singly or in the aggregate, reasonably be expected to have a Material Adverse Effect;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(ii) not engage in the transactions prohibited by Section 2 of that Order or become associated with Persons such that a violation of Section 2 of the Order would arise, and (iii) not become a Person on the list of Specially Designated Nationals and Blocked Persons, or (iv) otherwise not become subject to the limitation of any OFAC regulation or executive order.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(a) Keep all material property it deems, in its reasonable business judgment, useful and necessary in its business in working order (ordinary wear and tear excepted); (b) maintain insurance coverage with financially sound and reputable insurance companies on physical assets and against other business risks in such amounts and of such types as are customarily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9" w:name="page220"/>
    <w:bookmarkEnd w:id="219"/>
    <w:p>
      <w:pPr>
        <w:jc w:val="both"/>
        <w:spacing w:after="0" w:line="252" w:lineRule="auto"/>
        <w:rPr>
          <w:sz w:val="20"/>
          <w:szCs w:val="20"/>
          <w:color w:val="auto"/>
        </w:rPr>
      </w:pPr>
      <w:r>
        <w:rPr>
          <w:rFonts w:ascii="Times New Roman" w:cs="Times New Roman" w:eastAsia="Times New Roman" w:hAnsi="Times New Roman"/>
          <w:sz w:val="18"/>
          <w:szCs w:val="18"/>
          <w:color w:val="auto"/>
        </w:rPr>
        <w:t>carried by companies similar in size and nature (including without limitation casualty and public liability and property damage insurance), and in the event of acquisition of additional property, real or personal, or of the incurrence of additional risks of any nature, increase such insurance coverage in such manner and to such extent as prudent business judgment and present practice or any applicable Requirements of Law would dictate; (c) in the case of all insurance policies covering any Collateral, such insurance policies shall provide that the loss payable thereunder shall be payable to the applicable Credit Party, and to the Agent (as mortgagee, or, in the case of personal property interests, lender loss payee) as their respective interests may appear; (d) in the case of all public liability insurance policies, such policies shall list the Agent as an additional insured, as the Agent may reasonably request; and (e) if requested by the Agent, certificates evidencing such policies, including all endorsements thereto, to be deposited with the Agent, such certificates being in form and substance reasonably acceptable to the Agent (which policies shall provide that it shall not be canceled, modified or not renewed (i) by reason of nonpayment of premium except upon not less than ten (10) days’ prior written notice thereof by insurer to the Agent (giving the Agent the right to cure defaults in the payment of premiums) or (ii) for any other reason except upon not less than thirty (30) days’ prior written notice thereof by the insurer to the Agent. If any Credit Party fails to maintain such insurance, the Agent may arrange for such insurance, but at the Borrower’s expense and without any responsibility on the Agent’s part for obtaining the insurance, the solvency of the insurance companies, the adequacy of the coverage, or the collection of claims. Upon the occurrence and during the continuance of an Event of Default, subject to the terms of the Specified Subordination Agreement, the Agent shall have the sole right, in the name of the Lenders or any Credit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Inspection of Property; Books and Records, Discussions</w:t>
      </w:r>
      <w:r>
        <w:rPr>
          <w:rFonts w:ascii="Times New Roman" w:cs="Times New Roman" w:eastAsia="Times New Roman" w:hAnsi="Times New Roman"/>
          <w:sz w:val="18"/>
          <w:szCs w:val="18"/>
          <w:color w:val="auto"/>
        </w:rPr>
        <w:t>. Permit the Agent and each Lender, through their authorized attorneys, accountants and representatives (i) at all reasonable times during normal business hours, upon the request of the Agent or such Lender, to examine each Credit Party’s books, accounts, records, ledgers and assets and properties, (ii) during normal business hours and at their own risk, to enter onto the real property owned or leased by any Credit Party to conduct inspections, investigations or other reviews of such real property, and (iii) at reasonable times during normal business hours and at reasonable intervals, to visit all of the Credit Parties’ offices, discuss each Credit Party’s respective financial matters with their respective officers, as applicable, and, by this provision, the Borrower authorizes, and will cause each of its respective Subsidiaries to authorize, its independent certified or chartered public accountants to discuss the finances and affairs of any Credit Party and examine any of such Credit Party’s books, reports or records held by such accountants; provided, however, when an Event of Default exists, the Agent and each Lender, through their authorized attorneys, accountants and representatives, may do any of the foregoing at the expense of the Credit Parties at any time during normal business hours and without advance notice.</w:t>
      </w:r>
    </w:p>
    <w:p>
      <w:pPr>
        <w:spacing w:after="0" w:line="19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Give written notice to the Agent of:</w:t>
      </w:r>
    </w:p>
    <w:p>
      <w:pPr>
        <w:spacing w:after="0" w:line="225" w:lineRule="exact"/>
        <w:rPr>
          <w:sz w:val="20"/>
          <w:szCs w:val="20"/>
          <w:color w:val="auto"/>
        </w:rPr>
      </w:pPr>
    </w:p>
    <w:p>
      <w:pPr>
        <w:ind w:firstLine="1304"/>
        <w:spacing w:after="0" w:line="282" w:lineRule="auto"/>
        <w:tabs>
          <w:tab w:leader="none" w:pos="167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2 Business Days after the occurrence thereof, the occurrence of any Default or Event of Default of which any Credit Party has knowledge or the occurrence of any Reportable Compliance Event;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any (i) litigation or proceeding existing at any time between any Credit Party and any Governmental Authority or other third party, or any investigation of any Credit Party conducted by any Governmental Authority, which in any case if adversely determined would have a Material Adverse Effect together with all documents and information furnished to such Governmental Authority in connection thereof (to the extent such disclosure is not prohibited by any Requirements 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0" w:name="page221"/>
    <w:bookmarkEnd w:id="220"/>
    <w:p>
      <w:pPr>
        <w:ind w:right="20"/>
        <w:spacing w:after="0" w:line="282" w:lineRule="auto"/>
        <w:rPr>
          <w:sz w:val="20"/>
          <w:szCs w:val="20"/>
          <w:color w:val="auto"/>
        </w:rPr>
      </w:pPr>
      <w:r>
        <w:rPr>
          <w:rFonts w:ascii="Times New Roman" w:cs="Times New Roman" w:eastAsia="Times New Roman" w:hAnsi="Times New Roman"/>
          <w:sz w:val="18"/>
          <w:szCs w:val="18"/>
          <w:color w:val="auto"/>
        </w:rPr>
        <w:t>Law) or (ii) Material Adverse Effect on the financial condition of any Credit Party since the date of the last audited financial statements delivered pursuant to Section 6.1(a) hereto;</w:t>
      </w:r>
    </w:p>
    <w:p>
      <w:pPr>
        <w:spacing w:after="0" w:line="162" w:lineRule="exact"/>
        <w:rPr>
          <w:sz w:val="20"/>
          <w:szCs w:val="20"/>
          <w:color w:val="auto"/>
        </w:rPr>
      </w:pPr>
    </w:p>
    <w:p>
      <w:pPr>
        <w:ind w:right="20" w:firstLine="1304"/>
        <w:spacing w:after="0" w:line="282" w:lineRule="auto"/>
        <w:tabs>
          <w:tab w:leader="none" w:pos="175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which any Credit Party believes could reasonably be expected to have a Material Adverse Effect, promptly, but in any event within 5 Business Days, after concluding that such event could reasonably be expected to have such a Material Adverse Effect;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any event within 5 Business Days, after becoming aware thereof, the taking by the Internal Revenue Service or any state, local or foreign taxing jurisdiction of a written tax position (or any such tax position taken by any Credit Party in a filing with the Internal Revenue Service or any state, local or foreign taxing jurisdiction) which could reasonably be expected to have a Material Adverse Effect, setting forth the details of such position and the financial impact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2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jurisdictions in which the Borrower or any Guarantor proposes to become qualified after the Restatement Date to transact business, (ii) the acquisition or creation of any new Subsidiaries, (iii) any material change after the Restatement Date in the authorized and issued Equity Interests of any Credit Party or any other material amendment to any Credit Party’s charter, by-laws or other organizational documents, such notice, in each case, to identify the applicable jurisdictions, capital structures or amendments as applicable, provided that such notice shall be given not less than ten (10) Business Days prior to the proposed effectiveness of such changes, acquisition or creation, as the case may be (or such shorter period to which the Agent may consent);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71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notices that any Credit Party executes or receives in connection with any Material Contract, as soon as possible and in any event within 5 Business Days after execution, receipt or delivery thereof, together with copies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 the sending or filing thereof, copies of all statements, reports and other information any Credit Party sends to any holders of its Debt in excess of $100,000 or its securities or files with the SEC or any national (domestic or foreign) securities exchange, and (ii) the receipt thereof, a copy of any material notice any Credit Party receives from any holder of its Debt in excess of $100,000;</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Security Breaches, all investigations by a Governmental Authority or other Person regarding an actual or possible material violation of any Applicable Laws regarding the privacy or security of any Credit Party Data, and all material notices, allegations, complaints, and other communications relating to any of the foregoing;</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fifteen (15) Business Days (or such other shorter period to which the Agent may agree) prior to the proposed effective date thereof (or to the extent the Borrower requests any such modification less than fifteen (15) Business Days prior to the proposed effective date thereof, upon receipt thereof), (i) any proposed amendments, restatements or other modifications to any Senior Loan Document or (ii) any material proposed amendments, restatements or other modifications to any Subordinated Debt Documents;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or event of default by any Person under any Senior Loan Document or any Subordinated Debt Document, concurrently with delivery or promptly, but in any event within 5 Business Days, after receipt (as the case may be) of any notice of default or event of default under the applicable document, as the case may be.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notice pursuant to this Section shall be accompanied by a statement of a Responsible Officer of the Borrower setting forth details of the occurrence referred to therein and, in the case of notices referred to in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t>clauses (a), (b), (c), (d), (h) and (j) hereof stating what action the applicable Credit Party has taken or proposes to take with respect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obligations in this Section may be satisfied by disclosure in public filings of the Borrower filed with the SEC.</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u w:val="single" w:color="auto"/>
          <w:color w:val="auto"/>
        </w:rPr>
        <w:t>Hazardous Material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2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and operate all of its business, facilities and properties in material compliance with all applicable Hazardous Material Laws, keep all material required permits, approvals, certificates, licenses and other authorizations required under such Hazardous Material Laws in effect and remain in compliance therewith, and handle all Hazardous Materials in material compliance with all applicable Hazardous Material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Promptly notify the Agent and provide copies upon receipt of all written claims, complaints, notices or inquiries received by any Credit Party relating to its facilities and properties or compliance with Hazardous Material Laws which, if adversely determined, could reasonably be expected to have a Material Adverse Effect and (ii) promptly cure and have dismissed with prejudice to the reasonable satisfaction of the Agent and the Majority Lenders any material actions and proceedings relating to compliance with, or liability under, Hazardous Material Laws to which any Credit Party is named a party, other than such actions or proceedings being contested in good faith and with the establishment of reasonable reserves;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Hazardous Material Laws, remediate or monitor contamination arising from a release or disposal of Hazardous Material, or undertake corrective action to address any noncompliance with or liability under Hazardous Material Laws, in each case which solely, or together with other releases, instances of noncompliance, liability or disposals of Hazardous Materials could reasonably be expected to have a Material Adverse Effect; and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1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information and certifications which the Agent or any Lender may reasonably request from time to time to evidence compliance with this Section 6.8.</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Board Observation Rights</w:t>
      </w:r>
      <w:r>
        <w:rPr>
          <w:rFonts w:ascii="Times New Roman" w:cs="Times New Roman" w:eastAsia="Times New Roman" w:hAnsi="Times New Roman"/>
          <w:sz w:val="18"/>
          <w:szCs w:val="18"/>
          <w:color w:val="auto"/>
        </w:rPr>
        <w:t>. (a) Each of STORY3 and Nexus shall be entitled to designate one observer and (b) CHS Investments shall be entitled to designate two observers (each such observer described in foregoing clauses (a) and (b), a “</w:t>
      </w:r>
      <w:r>
        <w:rPr>
          <w:rFonts w:ascii="Times New Roman" w:cs="Times New Roman" w:eastAsia="Times New Roman" w:hAnsi="Times New Roman"/>
          <w:sz w:val="18"/>
          <w:szCs w:val="18"/>
          <w:b w:val="1"/>
          <w:bCs w:val="1"/>
          <w:color w:val="auto"/>
        </w:rPr>
        <w:t>Board Observer</w:t>
      </w:r>
      <w:r>
        <w:rPr>
          <w:rFonts w:ascii="Times New Roman" w:cs="Times New Roman" w:eastAsia="Times New Roman" w:hAnsi="Times New Roman"/>
          <w:sz w:val="18"/>
          <w:szCs w:val="18"/>
          <w:color w:val="auto"/>
        </w:rPr>
        <w:t>”), in each case, to attend in person (or, only in the case of BOD Meetings that other board members or observers are permitted to attend by telephone, videoconference or other electronic means, by telephone, videoconference or such other electronic means) any regular or special meeting (a “</w:t>
      </w:r>
      <w:r>
        <w:rPr>
          <w:rFonts w:ascii="Times New Roman" w:cs="Times New Roman" w:eastAsia="Times New Roman" w:hAnsi="Times New Roman"/>
          <w:sz w:val="18"/>
          <w:szCs w:val="18"/>
          <w:b w:val="1"/>
          <w:bCs w:val="1"/>
          <w:color w:val="auto"/>
        </w:rPr>
        <w:t>BOD Meeting</w:t>
      </w:r>
      <w:r>
        <w:rPr>
          <w:rFonts w:ascii="Times New Roman" w:cs="Times New Roman" w:eastAsia="Times New Roman" w:hAnsi="Times New Roman"/>
          <w:sz w:val="18"/>
          <w:szCs w:val="18"/>
          <w:color w:val="auto"/>
        </w:rPr>
        <w:t xml:space="preserve">”) of the board of directors of the Borrower (or any relevant committees thereof), except that no Board Observer shall be entitled to vote on matters presented to or discussed by the board of directors (or any relevant committee thereof) of the Borrower at any such meetings. Each Board Observer shall be timely notified of the time and place of any BOD Meetings and will be given written notice (such notice to be delivered to the Board Observers contemporaneously with delivery of such notice to the other board members) of all proposed actions to be taken by the board of directors (or any relevant committee thereof) of the Borrower at such meeting as if such Board Observer were a member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contained in this Section 6.9, the Board Observers may be excluded from meetings (or a portion thereof) and materials provided to the Board Observers in connection with such meetings may be redacted to the extent that the board of directors of the Borrower (or any relevant committees thereof) reasonably determines that such exclusion or redaction is necessary (a) to preserve attorney-client privilege or (b) to avoid a conflict of interest between the interests of the Borrower or any of its Subsidiaries, as applicable, and those of the Agent or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exclusion or redaction shall be limited to the portion of such meeting or materials that is the basis for such exclusion or redaction and shall not</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2" w:name="page223"/>
    <w:bookmarkEnd w:id="222"/>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extend to any portion of such meeting or materials that does not involve or pertain to such exclusion or redaction. Such notice shall describe in reasonable detail the nature and substance of the matters to be discussed and/or voted upon at such meeting (or the proposed actions to be taken by written consent without a meeting). In the event any Board Observer is excluded from any meeting or portion thereof or is delivered any redacted information or materials related thereto, the Borrower shall promptly provide to such Board Observer a general description, which shall be true and correct in all material respects, of the matters discussed during such meeting or portion thereof at which such Board Observer was excluded and any such redacted information or materials;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description may exclude any information to the extent that the Borrower reasonably determines that such exclusion is necessary (i) to preserve attorney-client privilege or (ii) to avoid a conflict of interest between the interests of the Borrower or any of its Subsidiaries, as applicable, and those of the Agent or any Lender. Subject to the first proviso in the second sentence of this Section, the Board Observers shall have the right to receive all information provided to the members of the board of directors or any similar group performing an executive oversight or similar function (or any relevant committee thereof) of the Borrower in anticipation of or at such meeting (regular or special and whether telephonic, videoconference or otherwise), in addition to copies of the records of the proceedings or minutes of such meeting, when provided to the members, and the Board Observers shall keep such materials and information confidential in accordance with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12.10. Each Board Observer shall be identified by CHS Investments, STORY3 or Nexus, as applicable, and consented to by the Borrower (such consent not to be unreasonably delayed or withheld), and each of CHS Investments, STORY3 and Nexus shall have the right to replace its Board Observer(s) at any time subject to consent by the Borrower (such consent not to be unreasonably delayed or withheld). The Borrower shall reimburse each Board Observer for all reasonable out-of-pocket costs and expenses incurred in connection with its participation in any such BOD Meeting.</w:t>
      </w:r>
    </w:p>
    <w:p>
      <w:pPr>
        <w:spacing w:after="0" w:line="1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Governmental and Other Approvals</w:t>
      </w:r>
      <w:r>
        <w:rPr>
          <w:rFonts w:ascii="Times New Roman" w:cs="Times New Roman" w:eastAsia="Times New Roman" w:hAnsi="Times New Roman"/>
          <w:sz w:val="18"/>
          <w:szCs w:val="18"/>
          <w:color w:val="auto"/>
        </w:rPr>
        <w:t>. Apply for, obtain and/or maintain in effect, as applicable, all authorizations, consents, approvals, licenses, qualifications, exemptions, filings, declarations and registrations (whether with any court, governmental agency, regulatory authority, securities exchange or otherwise) which are necessary or reasonably requested by the Agent in connection with the execution, delivery and performance by any Credit Party of, as applicable, this Agreement, the other Loan Documents, the Senior Loan Documents, the Subordinated Debt Documents, or any other documents or instruments to be executed and/or delivered by any Credit Party, as applicable in connection therewith or herewith, except where the failure to so apply for, obtain or maintain could not reasonably be expected to have a Material Adverse Effect.</w:t>
      </w:r>
    </w:p>
    <w:p>
      <w:pPr>
        <w:spacing w:after="0" w:line="18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u w:val="single" w:color="auto"/>
          <w:color w:val="auto"/>
        </w:rPr>
        <w:t>Compliance with ERISA; ERISA Notices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1304"/>
        <w:spacing w:after="0" w:line="261" w:lineRule="auto"/>
        <w:tabs>
          <w:tab w:leader="none" w:pos="171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all requirements imposed by ERISA and the Internal Revenue Code and other Requirements of Law, including, but not limited to, the minimum funding requirements for any Pension Plan (other than a Multiemployer Plan), and to prevent any occurrence of an ERISA Event or Foreign Benefit Event, except to the extent that failure to comply therewith could not, either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Agent in writing if any ERISA Event or Foreign Benefit Event occurs, or is reasonably expected to occur, to the extent that such ERISA Event or Foreign Benefit Event could reasonably be expected to have a Material Adverse Effect when taken either individually or in the aggregate with all other such ERISA Events or Foreign Benefit Events for which liability could be reasonably expected to occur.</w:t>
      </w:r>
    </w:p>
    <w:p>
      <w:pPr>
        <w:spacing w:after="0" w:line="17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u w:val="single" w:color="auto"/>
          <w:color w:val="auto"/>
        </w:rPr>
        <w:t>Defense of Collateral</w:t>
      </w:r>
      <w:r>
        <w:rPr>
          <w:rFonts w:ascii="Times New Roman" w:cs="Times New Roman" w:eastAsia="Times New Roman" w:hAnsi="Times New Roman"/>
          <w:sz w:val="18"/>
          <w:szCs w:val="18"/>
          <w:color w:val="auto"/>
        </w:rPr>
        <w:t>. Defend the Collateral from any Liens other than Liens permitted by Section 7.2.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3" w:name="page224"/>
    <w:bookmarkEnd w:id="223"/>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7"/>
          <w:szCs w:val="17"/>
          <w:u w:val="single" w:color="auto"/>
          <w:color w:val="auto"/>
        </w:rPr>
        <w:t>Future Subsidiaries; Additional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72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Person which becomes a (i) Domestic Subsidiary of the Borrower (directly or indirectly) subsequent to the Restatement Date, whether by Permitted Acquisition or otherwise, cause such new Domestic Subsidiary or (ii) Foreign Subsidiary (including any CFC) of the Borrower (directly or indirectly) subsequent to the Restatement Date, whether by Permitted Acquisition or otherwise, unless the Agent, acting in consultation with the Borrower, reasonably determines in good faith that the cost, burden, difficulty and/or consequence of obtaining a guaranty or security interest with respect thereto outweigh the benefit to the Lenders after conducting due diligence on such Foreign Subsidiary, cause such new Foreign Subsidiary, to execute and deliver to the Agent, for and on behalf of itself and each of the Lenders (unless waived by the Agent) the below items set forth in clauses (i)-(iii); provided, that no CFC or CFC Holding Company shall be required to complete the items set forth in clauses (a)(i)-(iii) below if completing such requirements would reasonably be expected to result in material tax liabilities or material adverse tax consequences as jointly determined in good faith by the Borrower and the Agent:</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2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date such Person becomes a Subsidiary (or such longer time period as the Agent may determine, without any requirement for Lender consent), a Guaranty, or in the event that a Guaranty already exists, a joinder agreement to the Guaranty whereby such Subsidiary becomes obligated as a Guarantor under the Guaranty;</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41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date such Person becomes a Subsidiary (or such longer time period as the Agent may determine, without any requirement for Lender consent), a joinder agreement to the Security Agreement whereby such Subsidiary grants a Lien over its assets (other than Equity Interests which should be governed by (b) of this Section 6.13) as set forth in the Security Agreement, and such Subsidiary shall take such additional actions as may be necessary to ensure a valid perfected Lien over such assets of such Subsidiary, subject only to the other Liens permitted pursuant to Section 7.2 of this Agreement; and</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407"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and to the extent required under clause (c) of this Section 6.13, a Mortgage, Collateral Access Agreements and/or other documents required to be delivered in connection therewith;</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9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Equity Interests of each Person which becomes (whether by Permitted Acquisition or otherwise) (i) a Domestic Subsidiary or a Foreign Subsidiary which becomes (or is required to become) a Guarantor subsequent to the Restatement Date, cause the Borrower or the Guarantor that holds such Equity Interests to execute and deliver such Pledge Agreements, and take such actions as may be necessary to ensure a valid perfected Lien over one hundred percent (100%) of the Equity Interests of such Subsidiary held by the Borrower or such Guarantor, such Pledge Agreements to be executed and delivered (unless waived in writing by the Agent) within thirty (30) days after the date such Person becomes a Subsidiary (or such longer time period as the Agent may determine, without any requirement for Lender consent); provided that with respect to any CFC Holding Company that is not required to become a Guarantor, there shall be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 of such CFC Holding Company; and (ii) a Foreign Subsidiary subsequent to the Restatement Date and is not required to become a Guarantor, the Equity Interests of which is held directly by the Borrower or a Guarantor, cause the Borrower or such Guarantor that holds such Equity Interests to execute and deliver such Pledge Agreements and take such actions as may be necessary to ensure a valid perfected Lien over sixty-five percent (65%) (or more than sixty-five percent (65%) unless such greater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4" w:name="page225"/>
    <w:bookmarkEnd w:id="224"/>
    <w:p>
      <w:pPr>
        <w:jc w:val="both"/>
        <w:spacing w:after="0" w:line="261" w:lineRule="auto"/>
        <w:rPr>
          <w:sz w:val="20"/>
          <w:szCs w:val="20"/>
          <w:color w:val="auto"/>
        </w:rPr>
      </w:pPr>
      <w:r>
        <w:rPr>
          <w:rFonts w:ascii="Times New Roman" w:cs="Times New Roman" w:eastAsia="Times New Roman" w:hAnsi="Times New Roman"/>
          <w:sz w:val="18"/>
          <w:szCs w:val="18"/>
          <w:color w:val="auto"/>
        </w:rPr>
        <w:t>percentage would reasonably be expected to cause any material adverse tax consequences to the Borrower as jointly determined in good faith by the Borrower and the Agent) of the voting Equity Interest and one hundred percent (100%) of the non-voting Equity Interests of such Foreign Subsidiary, such Pledge Agreements to be executed and delivered (unless waived in writing by the Agent) within thirty (30) days after the date such Person becomes a Foreign Subsidiary (or such longer time period as the Agent may determine, without any requirement for Lender consent); and</w:t>
      </w:r>
    </w:p>
    <w:p>
      <w:pPr>
        <w:spacing w:after="0" w:line="180" w:lineRule="exact"/>
        <w:rPr>
          <w:sz w:val="20"/>
          <w:szCs w:val="20"/>
          <w:color w:val="auto"/>
        </w:rPr>
      </w:pPr>
    </w:p>
    <w:p>
      <w:pPr>
        <w:jc w:val="both"/>
        <w:ind w:firstLine="1304"/>
        <w:spacing w:after="0" w:line="252" w:lineRule="auto"/>
        <w:tabs>
          <w:tab w:leader="none" w:pos="172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the acquisition of a fee interest in real property by the Borrower or any Guarantor after the Restatement Date (whether by Permitted Acquisition or otherwise), not later than sixty (60) days after the acquisition is consummated (or such longer time period as the Agent may determine, without any requirement for Lender consent), the Borrower or such Guarantor shall execute or cause to be executed (unless waived in writing by the Agent), a Mortgage (or an amendment to an existing mortgage, where appropriate) covering such real property, together with such additional real estate documentation, environmental reports, title policies and surveys as may be reasonably required by the Agent; (ii) with respect to the acquisition of any leasehold interest in real property by the Borrower or any Guarantor after the Restatement Date (whether by Permitted Acquisition or otherwise) at which the Borrower or such Guarantor maintains its headquarters location, not later than forty-five (45) days after the acquisition is consummated (or such longer time period as the Agent may determine, without any requirement for Lender consent), the Borrower or such Guarantor shall deliver to the Agent a copy of the applicable lease agreement and shall use commercially reasonably efforts to execute or cause to be executed, unless otherwise waived in writing by the Agent, a Collateral Access Agreement in form and substance reasonably acceptable to the Agent together with such other documentation as may be reasonably required by the Agent; and (iii) with respect to the acquisition of any other leasehold interest in real property by the Borrower or any Guarantor after the Restatement Date (whether by Permitted Acquisition or otherwise) at which the Borrower or such Guarantor holds or stores Collateral with an aggregate net book value in excess of $2,500,000 at each such location, not later than sixty (60) days after the date on which Collateral in excess of such threshold amount is located on the location subject to such lease (or such longer time period as the Agent may determine, without any requirement for Lender consent), the Borrower or such Guarantor shall deliver to the Agent a copy of the applicable lease agreement and shall use commercially reasonable efforts to execute or cause to be executed, unless otherwise waived by the Agent, a Collateral Access Agreement in form and substance reasonably acceptable to the Agent, together with such other documentation as may be reasonably required by the Agent;</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case in form reasonably satisfactory to the Agent, in its reasonable discretion, together with such supporting documentation, including without limitation corporate authority items, certificates and opinions of counsel, as reasonably required by the Agent. Upon the Agent’s request, the Borrower and the Guarantors shall take, or cause to be taken, such additional steps as are necessary or advisable under applicable law to perfect and ensure the validity and priority of the Liens granted under this Section 6.13.</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All deposit accounts and securities accounts of the Borrower and the Guarantors (other than Excluded Accounts and other deposit accounts and/or securities accounts that the Agent shall agree in its sole discretion) shall be subject to Account Control Agreements. The Borrower and the Guarantors shall take all other steps necessary, or in the opinion of the Agent, desirable to ensure that the Agent has a perfected security interest in such account. Notwithstanding the foregoing, the Borrower shall be permitted to maintain the Permitted Account without delivering the documentation required under this Section 6.14 with respect to such Permitted Account, so long as no Event of Default has occurred and is continuing and the aggregate balance in the Permitted Account does not exceed Three Hundred Thousand Dollars ($300,000) at any time. The Borrower and the Guarantors shall deposit, or cause to be deposited promptly, and in any event no later than the next Business Day after the date of receipt thereof, all proceeds in respect of any Collateral and all other amounts received by the Borrower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5" w:name="page226"/>
    <w:bookmarkEnd w:id="225"/>
    <w:p>
      <w:pPr>
        <w:jc w:val="both"/>
        <w:spacing w:after="0" w:line="261" w:lineRule="auto"/>
        <w:rPr>
          <w:sz w:val="20"/>
          <w:szCs w:val="20"/>
          <w:color w:val="auto"/>
        </w:rPr>
      </w:pPr>
      <w:r>
        <w:rPr>
          <w:rFonts w:ascii="Times New Roman" w:cs="Times New Roman" w:eastAsia="Times New Roman" w:hAnsi="Times New Roman"/>
          <w:sz w:val="18"/>
          <w:szCs w:val="18"/>
          <w:color w:val="auto"/>
        </w:rPr>
        <w:t>and the Guarantors into an account of the Borrower or Guarantors. The Borrower and the Guarantors shall not maintain cash or other amounts in any deposit account or securities account, unless the Agent shall have received an Account Control Agreement in respect of each such account (other than the Excluded Accounts). Subject to the terms of the Specified Subordination Agreement, if an Event of Default has occurred and is continuing, all amounts received in such accounts shall, if so directed by the Agent, be wired each Business Day into the Agent’s Account.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Use the Loans in accordance with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2.10. The Borrower shall not use any portion of the proceeds of any such advances for the purpose of purchasing or carrying any “margin stock” (as defined in Regulation U of the Board of Governors of the Federal Reserve System) in any manner which violates the provisions of Regulation T, U or X of said Board of Governors or for any other purpose in violation of any applicable statute or regulation and not use the Loans to fund any operations in, finance any investments or activities in, or, make any payments to, a Sanctioned Country or Sanctioned Person in violation of any Anti-Terrorism Law or in any other manner that would result in a violation of Sanctions by any Person.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could not reasonably be expected to have a Material Adverse Effect, the Borrower shall (i) protect, defend and maintain the validity and enforceability of the material Trademarks, Patents, Copyrights and Trade Secrets owned by the Borrower, (ii) use commercially reasonable efforts to detect or otherwise protect against infringements of the Trademarks, Patents and Copyrights or misappropriation of Trade Secrets owned by the Borrower and promptly advise the Agent in writing of material infringements or misappropriations detected and (iii) not allow any Intellectual Property owned by the Borrower to be abandoned, forfeited or dedicated to the public without the written consent of the Agent, which shall not be unreasonably withheld. If, despite the restrictions contained in Section 7.3 and subject to the exceptions for Rent the Runway Limited set forth therein, any Subsidiary of the Borrower that is not the Borrower or a Guarantor holds, acquires, exclusively licenses or develops material Intellectual Property, the Borrower shall promptly cause (i) such Subsidiary to transfer such material Intellectual Property and any rights thereto to the Borrower or a Guarantor and (ii) grant a perfected security interest in any such Intellectual Property in accordance with the requirements set forth in the Loan Documents.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Consent of Inbound Licensors</w:t>
      </w:r>
      <w:r>
        <w:rPr>
          <w:rFonts w:ascii="Times New Roman" w:cs="Times New Roman" w:eastAsia="Times New Roman" w:hAnsi="Times New Roman"/>
          <w:sz w:val="18"/>
          <w:szCs w:val="18"/>
          <w:color w:val="auto"/>
        </w:rPr>
        <w:t>. Promptly after entering into or becoming bound by any inbound license or agreement (other than over-the-counter software that is commercially available to the public), the failure, breach or termination of which could reasonably be expected to cause a Material Adverse Effect, the Borrower shall provide written notice to the Agent of the material terms of such license or agreement with a description of its likely impact on the Borrower’s business or financial condition. The Borrower shall, in good faith, take such actions as the Agent may reasonably request to obtain the consent of, or waiver by, any person whose consent or waiver is necessary for (a) the Borrower’s interest in such licenses or contract rights to be deemed Collateral and for the Agent to have, for the benefit of the Lenders, a security interest in it that might otherwise be restricted by the terms of the applicable license or agreement, whether now existing or entered into in the future (in each case, only to the extent they constitute Collateral), and (b) the Agent to have the ability in the event of a liquidation of any Collateral to dispose of such Collateral in accordance with the Agent’s rights and remedies under this Agreement and the other Loan Documents, provided, however, that the failure to obtain any such consent or waiver shall not constitute an Event of Default under this Agreement.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Anti-Terrorism</w:t>
      </w:r>
      <w:r>
        <w:rPr>
          <w:rFonts w:ascii="Times New Roman" w:cs="Times New Roman" w:eastAsia="Times New Roman" w:hAnsi="Times New Roman"/>
          <w:sz w:val="18"/>
          <w:szCs w:val="18"/>
          <w:color w:val="auto"/>
        </w:rPr>
        <w:t>. Not permit (i) any Covered Entity (in the case of clauses (b) and (c) of the definition of “Covered Entity,” to the knowledge of the Credit Parties) to become a Sanctioned Person, (ii) any Covered Entity (in the case of clauses (b) and (c) of the definition of “Covered Entity,” to the knowledge of the Credit Parties), either in its own right or through any third party, to (A) have any of its assets in a Sanctioned Country or in the possession, custody or control of a Sanctioned Person in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6" w:name="page227"/>
    <w:bookmarkEnd w:id="226"/>
    <w:p>
      <w:pPr>
        <w:ind w:right="20"/>
        <w:spacing w:after="0" w:line="276" w:lineRule="auto"/>
        <w:rPr>
          <w:sz w:val="20"/>
          <w:szCs w:val="20"/>
          <w:color w:val="auto"/>
        </w:rPr>
      </w:pPr>
      <w:r>
        <w:rPr>
          <w:rFonts w:ascii="Times New Roman" w:cs="Times New Roman" w:eastAsia="Times New Roman" w:hAnsi="Times New Roman"/>
          <w:sz w:val="17"/>
          <w:szCs w:val="17"/>
          <w:color w:val="auto"/>
        </w:rPr>
        <w:t>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w:t>
      </w:r>
    </w:p>
    <w:p>
      <w:pPr>
        <w:spacing w:after="0" w:line="1" w:lineRule="exact"/>
        <w:rPr>
          <w:sz w:val="20"/>
          <w:szCs w:val="20"/>
          <w:color w:val="auto"/>
        </w:rPr>
      </w:pPr>
    </w:p>
    <w:p>
      <w:pPr>
        <w:jc w:val="both"/>
        <w:ind w:firstLine="8"/>
        <w:spacing w:after="0" w:line="253" w:lineRule="auto"/>
        <w:tabs>
          <w:tab w:leader="none" w:pos="29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Loans to fund any operations in, finance any investments or activities in, or, make any payments to, a Sanctioned Country or Sanctioned Person in violation of any Anti-Terrorism Law, (iii) the funds used to repay the Indebtedness will not be derived from any unlawful activity, and (iv) shall cause each Covered Entity (in the case of clauses (b) and (c) of the definition of “Covered Entity,” to the knowledge of the Credit Parties) to comply with all Anti-Terrorism Laws.</w:t>
      </w:r>
    </w:p>
    <w:p>
      <w:pPr>
        <w:spacing w:after="0" w:line="18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6.19</w:t>
      </w:r>
      <w:r>
        <w:rPr>
          <w:sz w:val="20"/>
          <w:szCs w:val="20"/>
          <w:color w:val="auto"/>
        </w:rPr>
        <w:tab/>
      </w:r>
      <w:r>
        <w:rPr>
          <w:rFonts w:ascii="Times New Roman" w:cs="Times New Roman" w:eastAsia="Times New Roman" w:hAnsi="Times New Roman"/>
          <w:sz w:val="17"/>
          <w:szCs w:val="17"/>
          <w:u w:val="single" w:color="auto"/>
          <w:color w:val="auto"/>
        </w:rPr>
        <w:t>Further Assurances and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702"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actions as the Agent or Majority Lenders may from time to time reasonably request to establish and maintain perfected security interests in and Liens on all of the Collateral, subject only to those Liens permitted under Section 7.2 hereof, including executing and delivering such additional pledges, assignments, mortgages, lien instruments or other security instruments covering any or all of the Borrower’s and the Guarantors’ assets as the Agent may reasonably require, such documentation to be in form and substance reasonably acceptable to the Agent, and prepared at the expense of the Borrower.</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or cause to be executed and delivered to the Agent within a reasonable time following the Agent’s request, and at the expense of the Borrower, such other documents or instruments as the Agent may reasonably require to effectuate more fully the purposes of this Agreement or the other Loan Documents.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Agent and the Lenders with any other information required by Section 326 of the USA Patriot Act or necessary for the Agent and the Lenders to verify the identity of any Credit Party as required by Section 326 of the USA Patriot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99"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Agent, in its sole discretion, consents in writing to the formation or other existence of a direct parent entity of the Borrower, cause such parent entity to become a Guarantor and a party hereunder and the other Loan Documents, grant a security interest in all of the assets of such entity, including a pledge of 100% of the Equity Interests of the Borrower, and amend, restate, amend and restate, supplement or otherwise modify this Agreement and any other Loan Document to give effect to the foregoing, including causing such direct parent entity to be subject to, among other things, the representations, affirmative covenants, negative covenants (including, without limitation, a passive holding covenant, a restriction on granting Liens on any Equity Interests of the Borrower and a restriction prohibiting the “round-tripping” of cash equity contributions to any equity holders) and events of default hereunder.</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NEGATIVE COVENANTS.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Borrower covenants and agrees that, so long as any Lender has any commitment to extend credit hereunder, or any of the Indebtedness (including any Prepayment Premium) remains outstanding and unpaid, it will not, and, as applicable, it will not permit any of its Subsidiaries to:</w:t>
      </w:r>
    </w:p>
    <w:p>
      <w:pPr>
        <w:spacing w:after="0" w:line="16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Limitation on Debt</w:t>
      </w:r>
      <w:r>
        <w:rPr>
          <w:rFonts w:ascii="Times New Roman" w:cs="Times New Roman" w:eastAsia="Times New Roman" w:hAnsi="Times New Roman"/>
          <w:sz w:val="17"/>
          <w:szCs w:val="17"/>
          <w:color w:val="auto"/>
        </w:rPr>
        <w:t>. Create, incur, assume or suffer to exist any Debt, except:</w:t>
      </w:r>
    </w:p>
    <w:p>
      <w:pPr>
        <w:spacing w:after="0" w:line="225" w:lineRule="exact"/>
        <w:rPr>
          <w:sz w:val="20"/>
          <w:szCs w:val="20"/>
          <w:color w:val="auto"/>
        </w:rPr>
      </w:pPr>
    </w:p>
    <w:p>
      <w:pPr>
        <w:ind w:left="1680" w:hanging="376"/>
        <w:spacing w:after="0"/>
        <w:tabs>
          <w:tab w:leader="none" w:pos="16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Credit Party to the Agent or any Lender;</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existing on the Restatement Date and set forth in Schedule 7.1 attached hereto and any Permitted Refinancing Debt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of such Debt;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7" w:name="page228"/>
    <w:bookmarkEnd w:id="227"/>
    <w:p>
      <w:pPr>
        <w:jc w:val="both"/>
        <w:ind w:firstLine="1304"/>
        <w:spacing w:after="0" w:line="258" w:lineRule="auto"/>
        <w:tabs>
          <w:tab w:leader="none" w:pos="171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of the Borrower or any of its Subsidiaries incurred to finance the acquisition of fixed or capital assets, or any Permitted Refinancing Debt thereof, whether pursuant to a loan or a Capitalized Lease provided that both at the time of and immediately after giving effect to the incurrence thereof (i) no Event of Default shall have occurred and be continuing, (ii) other than in the case of a refinancing, such Debt is incurred within 180 days of the acquisition thereof and (iii) the aggregate principal amount of all such Debt at any one time outstanding (including, without limitation, any Debt of the type described in this clause (c) which is set forth on Schedule 7.1 hereto) shall not exceed $10,000,000;</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72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of the Credit Parties under the Senior Loan Documents in the aggregate principal amount not to exceed $30,000,000 so long as such Debt and all other obligations of the Credit Parties in connection therewith are subject to the Specified Subordination Agreement;</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under any Hedging Transactions, provided that such transaction is entered into for risk management purposes and not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purposes;</w:t>
      </w:r>
    </w:p>
    <w:p>
      <w:pPr>
        <w:spacing w:after="0" w:line="202"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arising from judgments or decrees not deemed to be a Default or Event of Default under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.1(g);</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owing to a Person that is a Credit Party, but only to the extent permitted under Section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.6(d) or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.6(m);</w:t>
      </w:r>
    </w:p>
    <w:p>
      <w:pPr>
        <w:spacing w:after="0" w:line="229" w:lineRule="exact"/>
        <w:rPr>
          <w:rFonts w:ascii="Times New Roman" w:cs="Times New Roman" w:eastAsia="Times New Roman" w:hAnsi="Times New Roman"/>
          <w:sz w:val="18"/>
          <w:szCs w:val="18"/>
          <w:color w:val="auto"/>
        </w:rPr>
      </w:pPr>
    </w:p>
    <w:p>
      <w:pPr>
        <w:ind w:firstLine="1304"/>
        <w:spacing w:after="0" w:line="282" w:lineRule="auto"/>
        <w:tabs>
          <w:tab w:leader="none" w:pos="173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in respect of credit cards, credit card processing services, debit cards, stored value cards, purchase cards (including so-called “procurement cards” or “P-cards”) or other similar cash management services,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73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obligations with respect to Cash Secured L/Cs;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face amount of all Cash Secured L/Cs shall not exceed $15,000,000 at any time;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otherwise permitted under this Section 7.1, provided that both at the time of and immediately after giving effect to the incurrence thereof (i) no Event of Default shall have occurred and be continuing or result therefrom and (ii) the aggregate amount of all such Debt shall not exceed $7,500,000 at any one time outstanding.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or sign or file or suffer to exist under the UCC or any similar Law or statute of any jurisdiction a financing statement that names any Credit Party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except for:</w:t>
      </w:r>
    </w:p>
    <w:p>
      <w:pPr>
        <w:spacing w:after="0" w:line="183" w:lineRule="exact"/>
        <w:rPr>
          <w:sz w:val="20"/>
          <w:szCs w:val="20"/>
          <w:color w:val="auto"/>
        </w:rPr>
      </w:pPr>
    </w:p>
    <w:p>
      <w:pPr>
        <w:ind w:left="1680" w:hanging="376"/>
        <w:spacing w:after="0"/>
        <w:tabs>
          <w:tab w:leader="none" w:pos="168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699"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Debt permitted by Section 7.1(c), provided that (i) such Liens are created only upon fixed or capital assets acquired by the applicable Credit Party after the date of this Agreement (including without limitation by virtue of a loan or a Capitalized Lease), (ii) any such Lien is created solely for the purpose of securing indebtedness representing or incurred to finance the cost of the acquisition of the item of property subject thereto,</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Debt secured by any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8" w:name="page229"/>
    <w:bookmarkEnd w:id="228"/>
    <w:p>
      <w:pPr>
        <w:jc w:val="both"/>
        <w:spacing w:after="0" w:line="261" w:lineRule="auto"/>
        <w:rPr>
          <w:sz w:val="20"/>
          <w:szCs w:val="20"/>
          <w:color w:val="auto"/>
        </w:rPr>
      </w:pPr>
      <w:r>
        <w:rPr>
          <w:rFonts w:ascii="Times New Roman" w:cs="Times New Roman" w:eastAsia="Times New Roman" w:hAnsi="Times New Roman"/>
          <w:sz w:val="18"/>
          <w:szCs w:val="18"/>
          <w:color w:val="auto"/>
        </w:rPr>
        <w:t>such Lien shall at no time exceed 100% of the sum of the purchase price or cost of the applicable property, equipment or improvements and the related costs and charges imposed by the vendors thereof and (iv) the Lien does not cover any property other than the fixed or capital asset acquired; provided, however, that no such Lien shall be created over any owned real property of any Credit Party for which the Agent has received a Mortgage or for which such Credit Party is required to execute a Mortgage pursuant to the terms of this Agreement;</w:t>
      </w:r>
    </w:p>
    <w:p>
      <w:pPr>
        <w:spacing w:after="0" w:line="180" w:lineRule="exact"/>
        <w:rPr>
          <w:sz w:val="20"/>
          <w:szCs w:val="20"/>
          <w:color w:val="auto"/>
        </w:rPr>
      </w:pPr>
    </w:p>
    <w:p>
      <w:pPr>
        <w:ind w:left="1680" w:hanging="376"/>
        <w:spacing w:after="0"/>
        <w:tabs>
          <w:tab w:leader="none" w:pos="16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Loan Documents;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9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Collateral securing the Senior Debt permitted by Section 7.1(d) so long as such Liens and all obligations of the Credit Parties in connection therewith are subject to the Specified Subordination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7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existing on the Restatement Date and set forth on Schedule 7.2; provided, that any such Lien shall only secure the Debt that it secures on the Restatement Date and any Permitted Refinancing Debt in respect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9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and cash on deposit in deposit accounts securing the Cash Secured L/Cs constituting Debt permitted by Section 7.1(j) (each, an "</w:t>
      </w:r>
      <w:r>
        <w:rPr>
          <w:rFonts w:ascii="Times New Roman" w:cs="Times New Roman" w:eastAsia="Times New Roman" w:hAnsi="Times New Roman"/>
          <w:sz w:val="18"/>
          <w:szCs w:val="18"/>
          <w:b w:val="1"/>
          <w:bCs w:val="1"/>
          <w:color w:val="auto"/>
        </w:rPr>
        <w:t>Excluded L/C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amount of such cash collateral and cash in Excluded L/C Accounts does not exceed 105% of the face amount of the Cash Secured L/Cs;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which do not secure Indebtedness for borrowed money or letters of credit and as to which the aggregate amount of the obligations secured thereby does not exceed $2,500,000, so long as both at the time of and immediately after giving effect to the incurrence thereof no Event of Default shall have occurred and be continuing or result therefrom.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Regardless of the provisions of this Section 7.2, no Lien (except for those Liens (i) for the benefit of the Agent and the Lenders or (ii) for the benefit of the Senior Lenders under the Senior Loan Documents) over the Equity Interests owned by any Credit Party shall be permitted under the terms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Material Assets</w:t>
      </w:r>
      <w:r>
        <w:rPr>
          <w:rFonts w:ascii="Times New Roman" w:cs="Times New Roman" w:eastAsia="Times New Roman" w:hAnsi="Times New Roman"/>
          <w:sz w:val="18"/>
          <w:szCs w:val="18"/>
          <w:color w:val="auto"/>
        </w:rPr>
        <w:t>. Fail to cause the Borrower or a Guarantor to hold, acquire, develop, own and possess any asset that is material to the business of the Borrower and its Subsidiaries, including, without limitation, material Intellectual Property, material algorithms, material customer lists, material Software source code (or portions thereof) and, other than in the ordinary course, other material Software; provided, that, Rent the Runway Limited may develop and use on a non-exclusive basis Intellectual Property of the Borrower so long as such Intellectual Property is solely used to fulfill its obligations to Borrower pursuant to the Intercompany License Agreement as of the Restatement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Limitation on Mergers, Dissolution or Sale of Assets</w:t>
      </w:r>
      <w:r>
        <w:rPr>
          <w:rFonts w:ascii="Times New Roman" w:cs="Times New Roman" w:eastAsia="Times New Roman" w:hAnsi="Times New Roman"/>
          <w:sz w:val="18"/>
          <w:szCs w:val="18"/>
          <w:color w:val="auto"/>
        </w:rPr>
        <w:t>. Merge, dissolve, liquidate or consolidate with or into another Person (or agree to do any of the foregoing) or make any Asset Sale or enter into any agreement to make any Asset Sale except:</w:t>
      </w:r>
    </w:p>
    <w:p>
      <w:pPr>
        <w:spacing w:after="0" w:line="162" w:lineRule="exact"/>
        <w:rPr>
          <w:sz w:val="20"/>
          <w:szCs w:val="20"/>
          <w:color w:val="auto"/>
        </w:rPr>
      </w:pPr>
    </w:p>
    <w:p>
      <w:pPr>
        <w:ind w:left="1680" w:hanging="376"/>
        <w:spacing w:after="0"/>
        <w:tabs>
          <w:tab w:leader="none" w:pos="16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leased or sold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obsolete, damaged, uneconomic or worn out machinery, equipment or Units, or machinery, equipment or Units no longer used or useful in the conduct of the applicable Credit Party’s business (including write-offs of any such assets); provided that the fair market value of such equipment not financed by the Agent or a Lender shall not exceed $2,500,000 in any Fiscal Year (it being understood and agreed for the avoidance of doubt that any write-off of assets shall not count toward such cap);</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9" w:name="page230"/>
    <w:bookmarkEnd w:id="229"/>
    <w:p>
      <w:pPr>
        <w:ind w:left="1680" w:hanging="376"/>
        <w:spacing w:after="0"/>
        <w:tabs>
          <w:tab w:leader="none" w:pos="16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8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of any Subsidiary of the Borrower with or into the Borrower or any Guarantor so long as the Borrower or such Guarantor shall be the continuing or surviving entity; provided that at the time of each such merger or consolidation, both before and after giving effect thereto, no Event of Default shall have occurred and be continuing or result from such merger or consolidation;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Borrower may liquidate or dissolve into the Borrower or a Guarantor if the Borrower determines in good faith that such liquidation or dissolution is in the best interests of the Borrower, so long as no Event of Default has occurred and is continuing or would result therefrom;</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transfers, including without limitation upon voluntary liquidation from any Guarantor to the Borrower or to another Guarantor, provided that the Borrower or Guarantor takes such actions as the Agent may reasonably request to ensure the perfection and priority of the Liens in favor of the Lenders over such transferred assets;</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sale or disposition of Permitted Investments and other cash or cash equivalents in the ordinary course of business;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69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charitable donations of cash or Units (valued using the net book value) not to exceed $2,000,000 in the aggregate in any Fiscal Year; provided that charitable donations of cash may not exceed $750,000 in any Fiscal Year;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3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and similar non-exclusive arrangements for the use of property (including Intellectual Property, rights in or to algorithms, rights in or to Software (including any portions of source code therein) and rights in or to customer lists) of the Borrower or its Subsidiaries in the ordinary course of business;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machinery or equipment to the extent that such machinery or equipment is exchanged for credit against the purchase price of similar replacement machinery or equipment;</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owned or leased vehicles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6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that are not permitted by any other provision of this Section; provided that (i) the aggregate fair value of all assets disposed of in reliance on this clause shall not exceed $1,000,000 during any Fiscal Year, (ii) all dispositions made in reliance on this clause shall be made for fair value and at least 75% cash or cash equivalents consideration, (iii) the assets being sold do not consist of any Equity Interests of any Subsidiary of the Borrower, and (iv) no Default or Event of Default has occurred and is continuing at the time of each such sale (both before and after giving effect to such Asset Sale); and</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7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 Sales approved in writing by the Majority Lenders in their sole discretion so long as the Net Cash Proceeds of such Asset Sale described in this clause (n) are paid to the Agent for the benefit of the Agent and the Lenders pursuant to the terms of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0" w:name="page231"/>
    <w:bookmarkEnd w:id="23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else set forth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to the contrary, except to the extent permitted under </w:t>
      </w:r>
      <w:r>
        <w:rPr>
          <w:rFonts w:ascii="Times New Roman" w:cs="Times New Roman" w:eastAsia="Times New Roman" w:hAnsi="Times New Roman"/>
          <w:sz w:val="18"/>
          <w:szCs w:val="18"/>
          <w:u w:val="single" w:color="auto"/>
          <w:color w:val="auto"/>
        </w:rPr>
        <w:t>Section 7.4(j)</w:t>
      </w:r>
      <w:r>
        <w:rPr>
          <w:rFonts w:ascii="Times New Roman" w:cs="Times New Roman" w:eastAsia="Times New Roman" w:hAnsi="Times New Roman"/>
          <w:sz w:val="18"/>
          <w:szCs w:val="18"/>
          <w:color w:val="auto"/>
        </w:rPr>
        <w:t>, no Asset Sale (other than an Asset Sale to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Lenders hereby consent and agree to the release by the Agent of any and all Liens on the property sold or otherwise disposed of in compliance with this Section 7.4.</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Declare or make, directly or indirectly, (x) any distributions, dividend, payment or other distribution of assets, properties, cash, rights, obligations or securities (collectively,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on account of any of its Equity Interests, as applicable, or (y) any payment (whether in cash, securities or other property), including any sinking fund or similar deposit, on account of the purchase, redemption, retirement, defeasance, acquisition, cancellation or termination of any such Equity Interest, or on account of any return of capital to its stockholders, partners or members (or the equivalent of any thereof), or any option, warrant or other right to acquire any such dividend or other distribution or payment (collectively, “</w:t>
      </w:r>
      <w:r>
        <w:rPr>
          <w:rFonts w:ascii="Times New Roman" w:cs="Times New Roman" w:eastAsia="Times New Roman" w:hAnsi="Times New Roman"/>
          <w:sz w:val="18"/>
          <w:szCs w:val="18"/>
          <w:b w:val="1"/>
          <w:bCs w:val="1"/>
          <w:color w:val="auto"/>
        </w:rPr>
        <w:t>Purchases</w:t>
      </w:r>
      <w:r>
        <w:rPr>
          <w:rFonts w:ascii="Times New Roman" w:cs="Times New Roman" w:eastAsia="Times New Roman" w:hAnsi="Times New Roman"/>
          <w:sz w:val="18"/>
          <w:szCs w:val="18"/>
          <w:color w:val="auto"/>
        </w:rPr>
        <w:t>”), or incur any obligation (contingent or otherwise) to do any of the foregoing, except that (subject to Section 7.3):</w:t>
      </w:r>
    </w:p>
    <w:p>
      <w:pPr>
        <w:spacing w:after="0" w:line="187" w:lineRule="exact"/>
        <w:rPr>
          <w:sz w:val="20"/>
          <w:szCs w:val="20"/>
          <w:color w:val="auto"/>
        </w:rPr>
      </w:pPr>
    </w:p>
    <w:p>
      <w:pPr>
        <w:ind w:left="1680" w:hanging="376"/>
        <w:spacing w:after="0"/>
        <w:tabs>
          <w:tab w:leader="none" w:pos="16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may pay cash Distributions to the Borrower or a Guarantor;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9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may declare and make Distributions payable in the Equity Interests of such Credit Party, provided that the issuance of such Equity Interests does not otherwise violate the terms of this Agreement and no Default or Event of Default has occurred and is continuing at the time of making such Distribution or would result from the making of such Distribution;</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68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Purchase the stock of current and former employees pursuant to stock repurchase agreements by the cancellation of indebtedness owed by such former employees, regardless of whether an Event of Default exists; and</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79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Purchase shares of its Equity Interests or warrant or options to acquire any such Equity Interests from its stockholders consistent with the requirement of existing equity agreements of the Borrower to the extent the consideration paid in respect thereof is paid solely in Equity Interests of the Borrower.</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in the event Borrower or any other Credit Party receives proceeds from an equity contribution or the issuance of Equity Interests and such proceeds are used to satisfy a financial test, liquidity test or other similar test under this Agreement, the Senior Credit Agreement or otherwise, such proceeds shall not be permitted to used make a Distribution and/or Purchase pursuant to this Section 7.5.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Limitation on Investments, Loans and Advances</w:t>
      </w:r>
      <w:r>
        <w:rPr>
          <w:rFonts w:ascii="Times New Roman" w:cs="Times New Roman" w:eastAsia="Times New Roman" w:hAnsi="Times New Roman"/>
          <w:sz w:val="18"/>
          <w:szCs w:val="18"/>
          <w:color w:val="auto"/>
        </w:rPr>
        <w:t>. Make or allow to remain outstanding any Investment (whether such investment shall be of the character of investment in shares of stock, evidences of indebtedness or other securities or otherwise) in, or any loans or advances to, any Person other than (subject to Section 7.3):</w:t>
      </w:r>
    </w:p>
    <w:p>
      <w:pPr>
        <w:spacing w:after="0" w:line="176" w:lineRule="exact"/>
        <w:rPr>
          <w:sz w:val="20"/>
          <w:szCs w:val="20"/>
          <w:color w:val="auto"/>
        </w:rPr>
      </w:pPr>
    </w:p>
    <w:p>
      <w:pPr>
        <w:ind w:left="1680" w:hanging="376"/>
        <w:spacing w:after="0"/>
        <w:tabs>
          <w:tab w:leader="none" w:pos="16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72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existing on the Restatement Date and listed on Schedule 7.6 hereto but not any increase in the amount thereof as set forth in such Schedule or any other modification of the terms thereof;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1" w:name="page232"/>
    <w:bookmarkEnd w:id="231"/>
    <w:p>
      <w:pPr>
        <w:ind w:left="1680" w:hanging="376"/>
        <w:spacing w:after="0"/>
        <w:tabs>
          <w:tab w:leader="none" w:pos="16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created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loans or intercompany Investments made by any Credit Party to or in any Guarantor, the Borrower or any other Credit Party; provided that, in the case of any intercompany loans or intercompany Investments made by (i) a Credit Party that is not the Borrower or a Guarantor, such Credit Party is party to an intercompany subordination agreement, in form and substance reasonably satisfactory to the Agent, or (ii) the Borrower or a Guarantor to or in a Credit Party that is not the Borrower or a Guarantor, the aggregate amount outstanding in respect thereof shall not exceed $250,000; and provided further that in each case, no Default or Event of Default shall have occurred and be continuing at the time of making such intercompany loan or intercompany Investment or result from such intercompany loan or intercompany Investment being made and that any intercompany loans shall be evidenced by and funded under an Intercompany Note pledged to the Agent under the appropriate Collateral Documents;</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67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respect of Hedging Transactions provided that such transaction is entered into for risk management purposes and not for speculative purposes;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0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temporary advances to employees to cover incidental expenses to be incurred in the ordinary course of business, in an aggregate outstanding amount not to exceed $50,000 in the aggregate at any time outstanding;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the Borrower’s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and securities accounts in which the Agent, on behalf of itself and the Lenders, has a perfected security interest;</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accepted in connection with transfers or dispositions of property that are otherwise permitted under Section 7.4(m);</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loans to employees, officers or directors relating to the purchase of equity securities of the Borrower or its Subsidiaries pursuant to employee stock purchase plan agreements approved by the Borrower’s board of directors and any related tax liabilities so long as the cash portion does not exceed $500,000 in the aggregate in any Fiscal Year, provided that no Event of Default has occurred, is continuing or would exist after giving effect to the loan;</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9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notes receivable of, or prepaid royalties and other credit extensions, to customers and suppliers who are not Affiliates, in the ordinary course of business, provided that this clause (l)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not apply to Investments by the Borrower in any Subsidiary;</w:t>
      </w:r>
    </w:p>
    <w:p>
      <w:pPr>
        <w:spacing w:after="0" w:line="16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Investments, Investments permitted under Section 7.4(d), 7.4(e) or 7.4(f);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or would result therefrom, any other Investments in an aggregate amount not to exceed $2,500,000 in the aggregate at any time outstanding; provided, however, that no more than $1,250,000 in the aggregate at any time outstanding may be used for Investments by the Borrower or any Guarantor in any Subsidiary that is not a Guarantor;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2" w:name="page233"/>
    <w:bookmarkEnd w:id="23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else set forth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to the contrary, no Investment (other than an investment in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valuing any Investments for the purpose of applying the limitations set forth in this Section 7.6 (except as otherwise expressly provided herein), such Investment shall be taken at the original cost thereof, without allowance for any subsequent write-offs or appreciation or depreciation, but less any amount repaid or recovered on account of capital or principal.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set forth on Schedule 7.7, enter into any transaction, including, without limitation, any purchase, sale, lease or exchange of property or the rendering of any service, with any Affiliates of the Credit Parties except: (a) transactions among the Borrower or Guarantors; (b) transactions permitted under this Agreement; (c) transactions in the ordinary course of a Credit Party’s business and upon fair and reasonable terms (x) no less favorable to such Credit Party than it would obtain in a comparable arm’s length transaction from unrelated third parties and</w:t>
      </w:r>
    </w:p>
    <w:p>
      <w:pPr>
        <w:spacing w:after="0" w:line="3" w:lineRule="exact"/>
        <w:rPr>
          <w:sz w:val="20"/>
          <w:szCs w:val="20"/>
          <w:color w:val="auto"/>
        </w:rPr>
      </w:pPr>
    </w:p>
    <w:p>
      <w:pPr>
        <w:ind w:right="20" w:firstLine="8"/>
        <w:spacing w:after="0" w:line="260" w:lineRule="auto"/>
        <w:tabs>
          <w:tab w:leader="none" w:pos="25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fully disclosed to the Agent in writing prior to the consummation thereof, if they involve one or more payments by any Credit Party in excess of $100,000 for any single transaction or series of related transactions; and (d) issuances of Equity Interests or Subordinated Debt.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Sale-Leaseback Transactions</w:t>
      </w:r>
      <w:r>
        <w:rPr>
          <w:rFonts w:ascii="Times New Roman" w:cs="Times New Roman" w:eastAsia="Times New Roman" w:hAnsi="Times New Roman"/>
          <w:sz w:val="18"/>
          <w:szCs w:val="18"/>
          <w:color w:val="auto"/>
        </w:rPr>
        <w:t>. Enter into any arrangement with any Person providing for the leasing by a Credit Party of real or personal property which has been or is to be sold or transferred by such Credit Party to such Person or to any other Person to whom funds have been or are to be advanced by such Person on the security of such property or rental obligations of such Credit Party, as the case may be, provided that if, at the time that a Credit Party acquires fixed or capital assets, such Credit Party intends to sell to and then lease any such assets with an aggregate value in excess of $500,000 from another Person pursuant to a financing arrangement that would be permitted under Section 7.1(c), such transaction will not constitute a violation of this Section 7.8 so long as (i) such transaction is consummated within one hundred eighty (180) days following the acquisition of such assets and (ii) the Borrower provides a written notice of such transaction to the Agent at least 10 Business Days prior to the date on which such asset is leased to such Person.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Limitations on Other Restrictions</w:t>
      </w:r>
      <w:r>
        <w:rPr>
          <w:rFonts w:ascii="Times New Roman" w:cs="Times New Roman" w:eastAsia="Times New Roman" w:hAnsi="Times New Roman"/>
          <w:sz w:val="18"/>
          <w:szCs w:val="18"/>
          <w:color w:val="auto"/>
        </w:rPr>
        <w:t>. Except for this Agreement, any other Loan Document or the Senior Loan Documents, enter into any agreement, document or instrument which would (i) restrict the ability of any Subsidiary of the Borrower to pay or make dividends or distributions in cash or kind to the Borrower or any Guarantor, to make loans, advances or other payments of whatever nature to any Credit Party, or to make transfers or distributions of all or any part of its assets to any Credit Party; or (ii) restrict or prevent any Credit Party from granting the Agent on behalf of Lenders Liens upon, security interests in and pledges of their respective assets, except to the extent such restrictions exist in documents creating Liens permitted by Section 7.2(b) 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Prepayment of Subordinated Debt</w:t>
      </w:r>
      <w:r>
        <w:rPr>
          <w:rFonts w:ascii="Times New Roman" w:cs="Times New Roman" w:eastAsia="Times New Roman" w:hAnsi="Times New Roman"/>
          <w:sz w:val="18"/>
          <w:szCs w:val="18"/>
          <w:color w:val="auto"/>
        </w:rPr>
        <w:t>. Make any prepayment (whether optional or mandatory), repurchase, redemption, defeasance or any other payment in respect of any Subordinated Debt, provided, however, that the applicable Credit Party may make certain payments in respect of Subordinated Debt to the extent permitted by the applicable Subordination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Amendment of Senior Loan Documents and Subordinated Debt Documents</w:t>
      </w:r>
      <w:r>
        <w:rPr>
          <w:rFonts w:ascii="Times New Roman" w:cs="Times New Roman" w:eastAsia="Times New Roman" w:hAnsi="Times New Roman"/>
          <w:sz w:val="18"/>
          <w:szCs w:val="18"/>
          <w:color w:val="auto"/>
        </w:rPr>
        <w:t>. Amend, modify or otherwise alter (or suffer to be amended, modified or altered) (a) any Senior Loan Document except in a manner not prohibited by the terms of the Specified Subordination Agreement or (b) any Subordinated Debt Documents except as permitted in the applicable Subordinated Debt Documents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3" w:name="page234"/>
    <w:bookmarkEnd w:id="233"/>
    <w:p>
      <w:pPr>
        <w:jc w:val="both"/>
        <w:spacing w:after="0" w:line="282" w:lineRule="auto"/>
        <w:rPr>
          <w:sz w:val="20"/>
          <w:szCs w:val="20"/>
          <w:color w:val="auto"/>
        </w:rPr>
      </w:pPr>
      <w:r>
        <w:rPr>
          <w:rFonts w:ascii="Times New Roman" w:cs="Times New Roman" w:eastAsia="Times New Roman" w:hAnsi="Times New Roman"/>
          <w:sz w:val="18"/>
          <w:szCs w:val="18"/>
          <w:color w:val="auto"/>
        </w:rPr>
        <w:t>Subordination Agreements, or if no such restrictions exist in the applicable Subordinated Debt Documents or Subordination Agreements, without the prior written consent of the Agent.</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Modification of Certain Agreements</w:t>
      </w:r>
      <w:r>
        <w:rPr>
          <w:rFonts w:ascii="Times New Roman" w:cs="Times New Roman" w:eastAsia="Times New Roman" w:hAnsi="Times New Roman"/>
          <w:sz w:val="18"/>
          <w:szCs w:val="18"/>
          <w:color w:val="auto"/>
        </w:rPr>
        <w:t>. Make, permit or consent to any amendment, supplement or other modification to the constitutional documents of any Credit Party, any Material Contract (other than the Senior Loan Documents) or the Intercompany License Agreement except to the extent that any such amendment, supplement or modification (i) does not violate the terms and conditions of this Agreement or any of the other Loan Documents,</w:t>
      </w:r>
    </w:p>
    <w:p>
      <w:pPr>
        <w:spacing w:after="0" w:line="1" w:lineRule="exact"/>
        <w:rPr>
          <w:sz w:val="20"/>
          <w:szCs w:val="20"/>
          <w:color w:val="auto"/>
        </w:rPr>
      </w:pPr>
    </w:p>
    <w:p>
      <w:pPr>
        <w:jc w:val="both"/>
        <w:ind w:firstLine="8"/>
        <w:spacing w:after="0" w:line="253" w:lineRule="auto"/>
        <w:tabs>
          <w:tab w:leader="none" w:pos="26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materially adversely affect the interest of the Lenders as creditors and/or secured parties under any Loan Document, (iii) could not reasonably be expected to have a Material Adverse Effect and (iv) with respect to the Intercompany License Agreement, does not amend, supplement or otherwise modify the fees in excess of Costs (as defined in the Intercompany License Agreement as of the Restatement Date) payable thereunder in excess of 105% of the fees historically paid thereunder as of the Restatement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Permit the Fiscal Year of any Credit Party to end on a day other than January 31, except as may be agreed to by the Agent from time to time in its reasonable discretion.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(a). Permit Liquidity to be less than (a) $15,000,000 at any time during the period from the Restatement Date until the date that is eighteen (18) months after the Effective Date (as defined in the Exchange Agreement) or (b) $30,000,000 at any time after the period set forth in the foregoing clause (a).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Notwithstanding anything herein or any other Loan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the Agent, and in the event that any Credit Party that is a limited liability company divides itself into two or more limited liability companies (with or without the prior consent of the Agent as required above), any limited liability companies formed as a result of such division shall be required to comply with the obligations set forth in Section 6.13 and the other further assurances obligations set forth in the Loan Documents and become a Guarantor under this Agreement and the other Loan Documents.</w:t>
      </w:r>
    </w:p>
    <w:p>
      <w:pPr>
        <w:spacing w:after="0" w:line="18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7.16</w:t>
        <w:tab/>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Adopt, or permit any of its ERISA Affiliates to adopt, any employee welfare benefit plan within the meaning of Section 3(1) of ERISA that provides benefits to employees after termination of employment other than as required by Section 601 of ERISA or other Requirements of Law, except, either individually or in the aggregate, as could not reasonably be expected to result in a Material Adverse Effect.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Permit the use, handling, generation, storage, treatment, Release or disposal of Hazardous Materials on, in, at, under or from any property owned, leased or operated by it or any of its Subsidiaries, except in compliance in all material respects with Environmental Laws (other than any noncompliance that could not reasonably be expected to have a Material Adverse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Accounting Methods</w:t>
      </w:r>
      <w:r>
        <w:rPr>
          <w:rFonts w:ascii="Times New Roman" w:cs="Times New Roman" w:eastAsia="Times New Roman" w:hAnsi="Times New Roman"/>
          <w:sz w:val="18"/>
          <w:szCs w:val="18"/>
          <w:color w:val="auto"/>
        </w:rPr>
        <w:t>. Modify or change, or permit any of its Subsidiaries to modify or change, its method of accounting or accounting principles from those utilized in the preparation of the Financial Statements (other than as may be required to conform to GAAP or with the prior written consent of the Agent (not to be unreasonably withheld, delayed or conditioned), as recommended by an auditor or accounting firm of the Borrower and its Subsidiaries (so long as such recommendation is in accordance with GAAP)).</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4" w:name="page235"/>
    <w:bookmarkEnd w:id="234"/>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7.20</w:t>
      </w:r>
      <w:r>
        <w:rPr>
          <w:sz w:val="20"/>
          <w:szCs w:val="20"/>
          <w:color w:val="auto"/>
        </w:rPr>
        <w:tab/>
      </w:r>
      <w:r>
        <w:rPr>
          <w:rFonts w:ascii="Times New Roman" w:cs="Times New Roman" w:eastAsia="Times New Roman" w:hAnsi="Times New Roman"/>
          <w:sz w:val="17"/>
          <w:szCs w:val="17"/>
          <w:u w:val="single" w:color="auto"/>
          <w:color w:val="auto"/>
        </w:rPr>
        <w:t>Sanctioned Persons; Anti-Corruption Laws; Anti-Money Laundering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0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nor permit any of its Subsidiaries to conduct, any business or engage in any transaction or deal with or for the benefit of any Sanctioned Person, including the making or receiving of any contribution of funds, goods or services to, from or for the benefit of any Sanctioned Person;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nor permit any of its Subsidiaries to use, directly or indirectly, any of the proceeds of any Loan, (i) to fund any activities or business of or with any Sanctioned Person or in any other manner that would result in a violation of any Sanctions by any Person (including by any Person participating in any Loan, whether as underwriter, advisor, investor or otherwise), or (ii) for the purpose of an offer, payment, promise to pay, or authorization of the payment or giving of money, or anything else of value, to any Person in violation of any Anti-Terrorism Law.</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Permit any Loan or the proceeds of any Loan under this Agreement to be used for any purpose that would cause such Loan to be a margin loan under the provisions of Regulation T, U or X of the Board of Governors of the Federal Reserve System.</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DEFAULTS.</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The occurrence of any of the following events shall constitute an Event of Default hereunder:</w:t>
      </w:r>
    </w:p>
    <w:p>
      <w:pPr>
        <w:spacing w:after="0" w:line="225" w:lineRule="exact"/>
        <w:rPr>
          <w:sz w:val="20"/>
          <w:szCs w:val="20"/>
          <w:color w:val="auto"/>
        </w:rPr>
      </w:pPr>
    </w:p>
    <w:p>
      <w:pPr>
        <w:ind w:left="1680" w:hanging="376"/>
        <w:spacing w:after="0"/>
        <w:tabs>
          <w:tab w:leader="none" w:pos="168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when due of the principal or interest on the Indebtedness;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9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any Fees or other amounts (including any Prepayment Premium) due and owing by the Borrower under this Agreement or by any Credit Party under any of the other Loan Documents to which it is a party, other than as set forth in subsection (a) above, within three</w:t>
      </w:r>
    </w:p>
    <w:p>
      <w:pPr>
        <w:ind w:left="260" w:hanging="252"/>
        <w:spacing w:after="0"/>
        <w:tabs>
          <w:tab w:leader="none" w:pos="2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same is due and payable;</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9"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observance or performance of any of the conditions, covenants or agreements of the Borrower set forth in (i) Sections 6.1, 6.2, 6.4(b) (solely with respect to maintenance of the Borrower’s existence), 6.4(e), 6.5, 6.6, 6.7, 6.13, 6.14, 6.15, 6.16, 6.17, 6.18, 6.19 or Article 7 in its entirety or Sections 4.5(a), 4.7(a) or 4.8(b)(i) of the Security Agreement or (ii) Section 6.9 and such default continues for a period of 5 consecutive days;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observance or performance of any of the other conditions, covenants or agreements set forth in this Agreement or any of the other Loan Documents by any Credit Party and continuance thereof for a period of twenty (20) consecutive days after the earlier of (i) the date that a Responsible Officer of the Borrower or such other Credit Party becomes aware of the same or (ii) the date on which notice shall have been given to the Borrower or any other Credit Party from the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9"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any Credit Party herein, any other Loan Document or in any certificate, instrument or other document submitted pursuant hereto or thereto proves untrue or misleading in any material adverse respect (or in any respect if such representation or warranty is qualified or modified as to materiality or “Material Adverse Effect” in the text thereof) when made;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default by any Credit Party in the payment of any Debt, whether under a direct obligation or guaranty (other than Indebtedness and the Senior Debt) of any Credit Party in excess of One Million Dollars ($1,000,000) (or the equivalent thereof in any currency other than Dollars) individually or in the aggregate when due and continuance thereof beyond any applicable period of cure or (ii) failure to</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5" w:name="page236"/>
    <w:bookmarkEnd w:id="235"/>
    <w:p>
      <w:pPr>
        <w:jc w:val="both"/>
        <w:spacing w:after="0" w:line="261" w:lineRule="auto"/>
        <w:rPr>
          <w:sz w:val="20"/>
          <w:szCs w:val="20"/>
          <w:color w:val="auto"/>
        </w:rPr>
      </w:pPr>
      <w:r>
        <w:rPr>
          <w:rFonts w:ascii="Times New Roman" w:cs="Times New Roman" w:eastAsia="Times New Roman" w:hAnsi="Times New Roman"/>
          <w:sz w:val="18"/>
          <w:szCs w:val="18"/>
          <w:color w:val="auto"/>
        </w:rPr>
        <w:t>comply with the terms of any other obligation of any Credit Party with respect to any Debt (other than Indebtedness and the Senior Debt) in excess of One Million Dollars ($1,000,000) (or the equivalent thereof in any currency other than Dollars) individually or in the aggregate, which continues beyond any applicable period of cure and which would permit the holder or holders thereto to accelerate such other Debt, or require the prepayment, repurchase, redemption or defeasance of such indebtedness;</w:t>
      </w:r>
    </w:p>
    <w:p>
      <w:pPr>
        <w:spacing w:after="0" w:line="180" w:lineRule="exact"/>
        <w:rPr>
          <w:sz w:val="20"/>
          <w:szCs w:val="20"/>
          <w:color w:val="auto"/>
        </w:rPr>
      </w:pPr>
    </w:p>
    <w:p>
      <w:pPr>
        <w:jc w:val="both"/>
        <w:ind w:firstLine="1304"/>
        <w:spacing w:after="0" w:line="258" w:lineRule="auto"/>
        <w:tabs>
          <w:tab w:leader="none" w:pos="172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any judgment (not covered by adequate insurance from a solvent carrier which is defending such action without reservation of rights) for the payment of money in excess of the sum of One Million Dollars ($1,000,000) (or the equivalent thereof in any currency other than Dollars) individually or in the aggregate against any Credit Party, and (i) enforcement proceedings shall have been commenced by any creditor upon any such judgment or (ii) there shall be a period of thirty (30) consecutive days after entry thereof during which (A) a stay of enforcement thereof is not in effect or (B) the same is not vacated, discharged, stayed or bonded pending appeal;</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or Foreign Benefit Event that could reasonably be expected to result in a Material Adverse Effect when taken either individually or in the aggregate with all other such ERISA Events or Foreign Benefit Events for which liability could be reasonably expected to occur;</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under this Agreement, any Credit Party shall be dissolved (other than a dissolution of a Subsidiary of the Borrower which is not a Guarantor or the Borrower) or liquidated (or any judgment, order or decree therefor shall be entered); or if a creditors’ committee shall have been appointed for the business of any Credit Party; or if any Credit Party shall have made a general assignment for the benefit of creditors or shall have been adjudicated bankrupt and if not an adjudication based on a filing by a Credit Party, it shall not have been dismissed within forty five (45) days, or shall have filed a voluntary petition in bankruptcy or for reorganization or to effect a plan or arrangement with creditors or shall fail to pay its debts generally as such debts become due in the ordinary course of business (except as contested in good faith and for which adequate reserves are made in such party’s financial statements in accordance with GAAP); or shall file an answer to a creditor’s petition or other petition filed against it, admitting the material allegations thereof for an adjudication in bankruptcy or for reorganization; or shall have applied for or permitted the appointment of a receiver or trustee or custodian for any of its property or assets; or such receiver, trustee or custodian shall have been appointed for any of its property or assets (otherwise than upon application or consent of a Credit Party ) and shall not have been removed within forty five (45) days; or if an order shall be entered approving any petition for reorganization of any Credit Party and shall not have been reversed or dismissed within forty five (45) days;</w:t>
      </w:r>
    </w:p>
    <w:p>
      <w:pPr>
        <w:spacing w:after="0" w:line="19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have occurred;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binding effect or enforceability of any subordination provisions relating to any Subordinated Debt shall be contested by any Person party thereto (other than any Lender or the Agent), or such subordination provisions shall fail to be enforceable by the Agent and the Lenders in accordance with the terms thereof, or the Indebtedness shall for any reason not have the priority contemplated by this Agreement or such subordination provisions;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0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Loan Document shall at any time for any reason cease to be in full force and effect (other than in accordance with the terms thereof or hereof), (ii) the validity, binding effect or enforceability thereof shall be contested by any party thereto (other than any Lender or the Agent), (iii) any Person (other than in accordance with the terms thereof or hereof) shall deny that it has any or further liability or obligation under any Loan Document,</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0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Loan Document shall be terminated (other than in accordance with the terms thereof), invalidated, revoked or set aside or in any way cease to give or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6" w:name="page237"/>
    <w:bookmarkEnd w:id="236"/>
    <w:p>
      <w:pPr>
        <w:jc w:val="both"/>
        <w:spacing w:after="0" w:line="266" w:lineRule="auto"/>
        <w:rPr>
          <w:sz w:val="20"/>
          <w:szCs w:val="20"/>
          <w:color w:val="auto"/>
        </w:rPr>
      </w:pPr>
      <w:r>
        <w:rPr>
          <w:rFonts w:ascii="Times New Roman" w:cs="Times New Roman" w:eastAsia="Times New Roman" w:hAnsi="Times New Roman"/>
          <w:sz w:val="18"/>
          <w:szCs w:val="18"/>
          <w:color w:val="auto"/>
        </w:rPr>
        <w:t>provide to the Lenders and the Agent the benefits purported to be created thereby, (v) any Loan Document purporting to grant a Lien to secure any Indebtedness shall for any reason, at any time after the delivery of such Loan Document, fail to create a valid and enforceable Lien on any Collateral purported to be covered thereby or (vi) such Lien shall fail to cease to be a perfected Lien with the priority required in the relevant Loan Document;</w:t>
      </w:r>
    </w:p>
    <w:p>
      <w:pPr>
        <w:spacing w:after="0" w:line="176" w:lineRule="exact"/>
        <w:rPr>
          <w:sz w:val="20"/>
          <w:szCs w:val="20"/>
          <w:color w:val="auto"/>
        </w:rPr>
      </w:pPr>
    </w:p>
    <w:p>
      <w:pPr>
        <w:jc w:val="both"/>
        <w:ind w:firstLine="1304"/>
        <w:spacing w:after="0" w:line="266" w:lineRule="auto"/>
        <w:tabs>
          <w:tab w:leader="none" w:pos="176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failure to perform in any of the Senior Loan Documents and continuance thereof beyond any applicable period of grace or cure; provided that, an Event of Default shall only occur under this clause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as a result of a default or failure to perform in any of the Senior Loan Documents, the Senior Debt is accelerated or otherwise becomes due and payable prior to the stated maturity therein;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hereunder, any action by the Credit Parties, taken as a whole, to suspend the operation of their business in the ordinary course, liquidate all or a material portion of their assets, or employ an agent or other third party to conduct a program of closings, liquidations or “Going-Out-Of-Business” sales of any material portion of their business;</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uninsured loss to any material portion of the Collateral;</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of its Subsidiaries is enjoined, restrained or in any way prevented by the order of any court or any Governmental Authority from conducting, or otherwise ceases to conduct for any reason whatsoever, all or any material part of the business of the Borrower and its Subsidiaries, taken as a whole, for more than 30 consecutive days;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damage to, or loss, theft or destruction of, any Collateral, whether or not insured, or any strike, lockout, labor dispute, embargo, condemnation, act of God or public enemy, or other casualty which, in each case, causes, for more than 30 consecutive days, the cessation or substantial curtailment of revenue producing activities of the Borrower and its Subsidiaries, taken as a whole;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4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suspension or revocation of, or failure to renew, any license or permit now held or hereafter acquired by the Borrower or any of its Subsidiaries, if such loss, suspension, revocation or failure to renew could reasonably be expected to have a Material Adverse Effect; or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indictment of the Borrower or any of its Subsidiaries or any senior officer thereof under any criminal statute, or commencement of criminal or civil proceedings against the Borrower or any of its Subsidiaries or any senior officer thereof, pursuant to which statute or proceedings the penalties or remedies sought include forfeiture to any Governmental Authority of any material portion of the Collateral.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Exercise of Remedies</w:t>
      </w:r>
      <w:r>
        <w:rPr>
          <w:rFonts w:ascii="Times New Roman" w:cs="Times New Roman" w:eastAsia="Times New Roman" w:hAnsi="Times New Roman"/>
          <w:sz w:val="18"/>
          <w:szCs w:val="18"/>
          <w:color w:val="auto"/>
        </w:rPr>
        <w:t>. If an Event of Default has occurred and is continuing hereunder: (a) [reserved]; (b) the Agent may, and shall, upon being directed to do so by the Majority Lenders, declare the entire unpaid principal Indebtedness, including the Notes, and any accrued and unpaid interest or other amounts (including the Prepayment Premium), immediately due and payable, without presentment, notice or demand, all of which are hereby expressly waived by the Borrower; (c) upon the occurrence of any Event of Default specified in Section 8.1(i) and notwithstanding the lack of any declaration by the Agent under preceding clause (b), the entire unpaid principal Indebtedness and any accrued and unpaid interest or other amounts (including the Prepayment Premium) shall become automatically and immediately due and payable, and the Commitments shall be automatically and immediately terminated; and (d) the Agent may, and shall, upon being directed to do so by the Majority Lenders or the Lenders, as applicable (subject to the terms hereof), exercise any remedy permitted by this Agreement, the other Loan Documents or law.</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7" w:name="page238"/>
    <w:bookmarkEnd w:id="2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Rights Cumulative</w:t>
      </w:r>
      <w:r>
        <w:rPr>
          <w:rFonts w:ascii="Times New Roman" w:cs="Times New Roman" w:eastAsia="Times New Roman" w:hAnsi="Times New Roman"/>
          <w:sz w:val="18"/>
          <w:szCs w:val="18"/>
          <w:color w:val="auto"/>
        </w:rPr>
        <w:t>. No delay or failure of the Agent and/or Lenders in exercising any right, power or privilege hereunder shall affect such right, power or privilege, nor shall any single or partial exercise thereof preclude any further exercise thereof, or the exercise of any other power, right or privilege. The rights of the Agent and Lenders under this Agreement are cumulative and not exclusive of any right or remedies which Lenders would otherwise have.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Waiver by the Borrower of Certain Laws</w:t>
      </w:r>
      <w:r>
        <w:rPr>
          <w:rFonts w:ascii="Times New Roman" w:cs="Times New Roman" w:eastAsia="Times New Roman" w:hAnsi="Times New Roman"/>
          <w:sz w:val="18"/>
          <w:szCs w:val="18"/>
          <w:color w:val="auto"/>
        </w:rPr>
        <w:t>. To the extent permitted by applicable law, the Borrower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 contemplated by or granted under or in connection with this Agreement. These waivers have been voluntarily given, with full knowledge of the consequences thereof.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Waiver of Defaults</w:t>
      </w:r>
      <w:r>
        <w:rPr>
          <w:rFonts w:ascii="Times New Roman" w:cs="Times New Roman" w:eastAsia="Times New Roman" w:hAnsi="Times New Roman"/>
          <w:sz w:val="18"/>
          <w:szCs w:val="18"/>
          <w:color w:val="auto"/>
        </w:rPr>
        <w:t>. No Event of Default shall be waived by the Lenders except in a writing signed by an officer of the Agent in accordance with Section 12.9 hereof. No single or partial exercise of any right, power or privilege hereunder, nor any delay in the exercise thereof, shall preclude other or further exercise of their rights by the Agent or the Lenders. No waiver of any Event of Default shall extend to any other or further Event of Default. No forbearance on the part of the Agent or the Lenders in enforcing any of their rights shall constitute a waiver of any of their rights. The Borrower expressly agrees that this Section may not be waived or modified by the Lenders or the Agent by course of performance, estoppel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Set Off</w:t>
      </w:r>
      <w:r>
        <w:rPr>
          <w:rFonts w:ascii="Times New Roman" w:cs="Times New Roman" w:eastAsia="Times New Roman" w:hAnsi="Times New Roman"/>
          <w:sz w:val="18"/>
          <w:szCs w:val="18"/>
          <w:color w:val="auto"/>
        </w:rPr>
        <w:t xml:space="preserve">. Upon the occurrence and during the continuance of any Event of Default, each Lender may at any time and from time to time, without notice to the Borrower but subject to the provisions of Section 9.3 hereof (any requirement for such notice being expressly waived by the Borrower), setoff and apply against any and all of the obligations of the Borrower now or hereafter existing under this Agreement, whether owing to such Lender, any Affiliate of such Lender or any other Lender or the Agent, any and all deposits (general or special, time or demand, provisional or final) at any time held and other indebtedness at any time owing by such Lender to or for the credit or the account of the Borrower and any property of the Borrower from time to time in possession of such Lender, irrespective of whether or not such deposits held or indebtedness owing by such Lender may be contingent and unmatured and regardless of whether any Collateral then held by the Agent or any Lender is adequate to cover the Indebtedness (including any Prepayment Premium). Promptly following any such setoff, such Lender shall give written notice to the Agent and the Borrower of the occurrence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Section 9.4 and, pending such payment, shall be segregated by such Defaulting Lender from its other funds and deemed held for the benefit of the Agent and the Lenders, and (y) the Defaulting Lender shall provide promptly to the Agent a statement describing in reasonable detail the Indebtedness owing to such Defaulting Lender as to which it exercised such right of setoff. The Borrower hereby grants to the Lenders and the Agent a lien on and security interest in all such deposits, indebtedness and property as collateral security for the payment and performance of all of the obligations of the Borrower under this Agreement. The rights of each Lender under this Section 8.6 are in addition to the other rights and remedies (including, without limitation, other rights of setoff) which such Lender may have.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8" w:name="page239"/>
    <w:bookmarkEnd w:id="238"/>
    <w:p>
      <w:pPr>
        <w:ind w:left="320" w:hanging="312"/>
        <w:spacing w:after="0"/>
        <w:tabs>
          <w:tab w:leader="none" w:pos="32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 RECOVERIES AND COLLECTIONS.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Payment 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689"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the Borrower shall be made without condition or deduction for any counterclaim, defense, recoupment or setoff. Except as otherwise provided herein, all payments made by the Borrower of principal, interest or fees hereunder shall be made without setoff or counterclaim on the date specified for payment under this Agreement and must be received by the Agent not later than 12:00 p.m. (New York time) (or such later time on such date as agreed to by Agent) on the date such payment is required or intended to be made in Dollars in immediately available funds to the Agent’s Account. The Agent shall deem any payment by or on behalf of the Borrower hereunder that is not made in same day funds prior to 12:00 p.m. (New York time) to be a non-conforming payment. Any such payment shall not be deemed to have been received by the Agent until the later of (i) the time such funds become available funds, and (ii) the applicable next Business Day. The Agent shall give prompt telephonic notice to the Borrower and each applicable Lender (confirmed in writing) if any payment is non-conforming. Any non-conforming payment may constitute or become a Default or Event of Default in accordance with the terms of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.1(a) or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.1(b), as applicable. Interest shall continue to accrue on any principal as to which a non-conforming payment is made until such funds become available funds (but in no event less than the period from the date of such payment to the next succeeding applicable Business Day) at the default interest rate determined pursuant to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.6(d) from the date such amount was due and payable until the date such amount is paid in full.</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the Borrower hereby authorize the Agent to, and the Agent may, from time to time, charge the Loan Account with any amount due and payable by the Borrower under any Loan Document. Any amount charged to the Loan Account shall be deemed Indebtedness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2"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the principal amount of any Loan shall be accompanied by payment of accrued interest on the principal amount being repaid or prepaid, together with any fees or premiums (including the Prepayment Premium) and all other amounts payable with respect to the principal amount being repaid or prepaid.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distribute to each Lender at such account or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the Agent.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02"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to be made hereunder shall otherwise be due on a day which is not a Business Day, such payment shall be made on the next succeeding Business Day and such extension of time shall be included in computing interest, if any, in connection with such payment.</w:t>
      </w:r>
    </w:p>
    <w:p>
      <w:pPr>
        <w:spacing w:after="0" w:line="16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71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 Application Event has occurred and is continuing, or the maturity of the Indebtedness shall have been accelerated pursuant to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 all payments or proceeds received by the Agent hereunder or under any other Loan Document in respect of any of the Indebtedness, including, but not limited to all proceeds received by the Agent in respect of any sale, any collection from, or other realization upon all or any part of the Collateral, shall be applied in full or in part as follows: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39" w:name="page240"/>
    <w:bookmarkEnd w:id="239"/>
    <w:p>
      <w:pPr>
        <w:ind w:left="1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ratably to pay the Indebtedness in respect of any fees (other than the Prepayment Premium), expense reimbursements,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indemnities and other amounts then due and payable to the Agent until paid in full;</w:t>
      </w:r>
    </w:p>
    <w:p>
      <w:pPr>
        <w:spacing w:after="0" w:line="158" w:lineRule="exact"/>
        <w:rPr>
          <w:sz w:val="20"/>
          <w:szCs w:val="20"/>
          <w:color w:val="auto"/>
        </w:rPr>
      </w:pPr>
    </w:p>
    <w:p>
      <w:pPr>
        <w:ind w:left="1300"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ratably to pay the Indebtedness in respect of any fees (other than the Prepayment Premium), expense reimbursements,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indemnities then due and payable to the Lenders until paid in full;</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ratably to pay interest then due and payable in respect of the Loans;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ratably to pay principal of the Term Loan until paid in full;</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ratably to pay the Indebtedness in respect of the Prepayment Premium then due and payable to the Lenders until paid in</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full;</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ratable payment of all other Indebtedness then due and payable until paid in full;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all remaining amounts to the Borrower or such other Person entitled thereto under applicable law.</w:t>
      </w:r>
    </w:p>
    <w:p>
      <w:pPr>
        <w:spacing w:after="0" w:line="223" w:lineRule="exact"/>
        <w:rPr>
          <w:sz w:val="20"/>
          <w:szCs w:val="20"/>
          <w:color w:val="auto"/>
        </w:rPr>
      </w:pPr>
    </w:p>
    <w:p>
      <w:pPr>
        <w:jc w:val="both"/>
        <w:ind w:firstLine="1304"/>
        <w:spacing w:after="0" w:line="262" w:lineRule="auto"/>
        <w:tabs>
          <w:tab w:leader="none" w:pos="169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the event of a direct conflict between the priority provisions of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0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0 shall control and govern.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Ratable Sharing</w:t>
      </w:r>
      <w:r>
        <w:rPr>
          <w:rFonts w:ascii="Times New Roman" w:cs="Times New Roman" w:eastAsia="Times New Roman" w:hAnsi="Times New Roman"/>
          <w:sz w:val="18"/>
          <w:szCs w:val="18"/>
          <w:color w:val="auto"/>
        </w:rPr>
        <w:t>(a). Lenders hereby agree among themselves that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in respect of fees and other amounts then due and owing to such Lender hereunder or under the other Loan Documents (collectively, the “</w:t>
      </w:r>
      <w:r>
        <w:rPr>
          <w:rFonts w:ascii="Times New Roman" w:cs="Times New Roman" w:eastAsia="Times New Roman" w:hAnsi="Times New Roman"/>
          <w:sz w:val="18"/>
          <w:szCs w:val="18"/>
          <w:b w:val="1"/>
          <w:bCs w:val="1"/>
          <w:color w:val="auto"/>
        </w:rPr>
        <w:t>Aggregate Amounts Due</w:t>
      </w:r>
      <w:r>
        <w:rPr>
          <w:rFonts w:ascii="Times New Roman" w:cs="Times New Roman" w:eastAsia="Times New Roman" w:hAnsi="Times New Roman"/>
          <w:sz w:val="18"/>
          <w:szCs w:val="18"/>
          <w:color w:val="auto"/>
        </w:rPr>
        <w:t xml:space="preserve">” to such Lender) which is greater than the proportion received by any other Lender in respect of the Aggregate Amounts Due to such other Lender having Loans of the same Class, then the Lender receiving such proportionately greater payment shall (a) notify the Agent and each other Lender in writing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Loans of the same Class in proportion to the Aggregate Amounts Due to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40" w:name="page241"/>
    <w:bookmarkEnd w:id="240"/>
    <w:p>
      <w:pPr>
        <w:jc w:val="both"/>
        <w:spacing w:after="0" w:line="266" w:lineRule="auto"/>
        <w:rPr>
          <w:sz w:val="20"/>
          <w:szCs w:val="20"/>
          <w:color w:val="auto"/>
        </w:rPr>
      </w:pPr>
      <w:r>
        <w:rPr>
          <w:rFonts w:ascii="Times New Roman" w:cs="Times New Roman" w:eastAsia="Times New Roman" w:hAnsi="Times New Roman"/>
          <w:sz w:val="18"/>
          <w:szCs w:val="18"/>
          <w:color w:val="auto"/>
        </w:rPr>
        <w:t>Borrower expressly consents to the foregoing arrangement and agrees that any holder of a participation so purchased may exercise any and all rights of banker’s lien, set off or counterclaim with respect to any and all monies owing by the Borrower to that holder with respect thereto as fully as if that holder were owed the amount of the participation held by that holder.</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Treatment of a Defaulting Lender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67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any Lender to make any Loan hereunder shall not be affected by the failure of any other Lender to make any Loan under this Agreement, and no Lender shall have any liability to the Borrower or any of its Subsidiaries, the Agent, any other Lender, or any other Person for another Lender’s failure to make any loan or Loan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become a Defaulting Lender, then such Defaulting Lender’s right to vote in respect of any amendment, consent or waiver of the terms of this Agreement or such other Loan Documents, or to direct or approve any action or inaction by the Agent shall be subject to the restrictions set forth in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7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principal, interest, fees or other amounts received by the Agent for the account of such Defaulting Lender (whether voluntary or mandatory, at maturity, pursuant to Article 9 or otherwise) or received by the Agent from a Defaulting Lender pursuant to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 shall be applied at such time or times as may be determined by the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in accordance with their Pro Rata Shares prior to being applied to the payment of any Loans of such Defaulting Lender until such time as all Loans are held by the Lenders pro rata in accordance with their respective Pro Rata Shares.</w:t>
      </w:r>
    </w:p>
    <w:p>
      <w:pPr>
        <w:spacing w:after="0" w:line="19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YIELD PROTECTION; INCREASED COSTS; MARGIN ADJUSTMENTS;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Capital Adequacy and Other Increased Costs</w:t>
      </w:r>
      <w:r>
        <w:rPr>
          <w:rFonts w:ascii="Times New Roman" w:cs="Times New Roman" w:eastAsia="Times New Roman" w:hAnsi="Times New Roman"/>
          <w:sz w:val="18"/>
          <w:szCs w:val="18"/>
          <w:color w:val="auto"/>
        </w:rPr>
        <w:t>. If any Change in Law affects or would affect the capital or liquidity requirements of a Lender or the Agent (or any corporation controlling such Lender or the Agent) (including as a result of the imposition of Taxes other than Indemnified Taxes, Taxes described in clauses (b) through (d) of the definition of Excluded Taxes or Other Connection Taxes) and such Lender or the Agent, as the case may be, determines that the amount of required capital is increased by, or based upon the existence of such Lender’s or the Agent’s obligations or Loans hereunder, the effect of such Change in Law is to result in such an increase, and such increase has the effect of reducing the rate of return on such Lender’s or the Agent’s (or such controlling corporation’s) capital as a consequence of such obligations or Loans hereunder to a level below that which such Lender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1" w:name="page242"/>
    <w:bookmarkEnd w:id="241"/>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or the Agent (or such controlling corporation) could have achieved but for such circumstances (taking into consideration its policies with respect to capital adequacy or liquidity) by an amount deemed by such Lender or the Agent to be material, then the Agent or such Lender shall notify the Borrower, and thereafter the Borrower shall pay to such Lender or the Agent, as the case may be, within ten (10) Business Days of written demand therefor from such Lender or the Agent, additional amounts sufficient to compensate such Lender or the Agent (or such controlling corporation) for any such reduction which such Lender or the Agent determines to be allocable to the existence of such Lender’s or the Agent’s obligations or Loans hereunder. A statement setting forth the amount of such compensation, the methodology for the calculation and the calculation thereof which shall also be prepared in good faith and in reasonable detail by such Lender or the Agent, as the case may be, shall be submitted by such Lender or by the Agent to the Borrower, reasonably promptly after becoming aware of any event described in this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10.1 and shall be conclusively presumed to be correct, absent manifest error.</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Right of Lenders to Fund through Branches and Affiliates</w:t>
      </w:r>
      <w:r>
        <w:rPr>
          <w:rFonts w:ascii="Times New Roman" w:cs="Times New Roman" w:eastAsia="Times New Roman" w:hAnsi="Times New Roman"/>
          <w:sz w:val="18"/>
          <w:szCs w:val="18"/>
          <w:color w:val="auto"/>
        </w:rPr>
        <w:t xml:space="preserve">. Each Lender may, if it so elects, fulfill its commitment as to any Loan hereunder by designating a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 shall remain solely responsible for the performances of its obligations hereunder and (b) no such designation shall result in any material increased costs to the Borrower or the Agent.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to demand compensation pursuant to the foregoing provisions of this Section 10.3 shall not constitute a waiver of such Lender’s right to demand such compensation, provided that the Borrower shall not be required to compensate a Lender pursuant to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10.1, for any increased costs incurred or reductions suffered more than 180 days prior to the date that such Lender notifies the Borrower of the Change in Law (provided that this provision will not apply to any Change in Law of the type referred to in clauses (x), (y) or (z) of the definition thereof) giving rise to such increased costs or reductions and of such Lender’s intention to claim compensation therefor (except that, if the Change in Law giving rise to such increased costs or reductions is retroactive, then the 180 day period referred to above shall be extended to include the period of retroactive effect thereof).</w:t>
      </w:r>
    </w:p>
    <w:p>
      <w:pPr>
        <w:spacing w:after="0" w:line="18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74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10.4) the applicable Recipient receives an amount equal to the sum it would have received had no such deduction or withholding been made.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7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Section 10.4(a), the Credit Parties shall timely pay to the relevant Governmental Authority in accordance with applicable law, or at the option of the Agent, timely reimburse it for the payment of, any Other Taxes.</w:t>
      </w:r>
    </w:p>
    <w:p>
      <w:pPr>
        <w:spacing w:after="0" w:line="157" w:lineRule="exact"/>
        <w:rPr>
          <w:rFonts w:ascii="Times New Roman" w:cs="Times New Roman" w:eastAsia="Times New Roman" w:hAnsi="Times New Roman"/>
          <w:sz w:val="18"/>
          <w:szCs w:val="18"/>
          <w:color w:val="auto"/>
        </w:rPr>
      </w:pPr>
    </w:p>
    <w:p>
      <w:pPr>
        <w:ind w:firstLine="1304"/>
        <w:spacing w:after="0" w:line="286" w:lineRule="auto"/>
        <w:tabs>
          <w:tab w:leader="none" w:pos="170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Taxes by any Credit Party to a Governmental Authority pursuant to this 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such Credit Party shall deliver to the Agent the original or a certified copy of a receipt issued by such Governmental Authority evidencing such payment,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t>a copy of the return reporting such payment or other evidence of such payment reasonably satisfactory to the Agent.</w:t>
      </w:r>
    </w:p>
    <w:p>
      <w:pPr>
        <w:spacing w:after="0" w:line="225" w:lineRule="exact"/>
        <w:rPr>
          <w:sz w:val="20"/>
          <w:szCs w:val="20"/>
          <w:color w:val="auto"/>
        </w:rPr>
      </w:pPr>
    </w:p>
    <w:p>
      <w:pPr>
        <w:jc w:val="both"/>
        <w:ind w:firstLine="1304"/>
        <w:spacing w:after="0" w:line="253" w:lineRule="auto"/>
        <w:tabs>
          <w:tab w:leader="none" w:pos="172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determines, in its sole discretion exercised in good faith, that it has received a refund of any Taxes as to which it has been indemnified pursuant to this 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(including by payment of additional amounts pursuant to this 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it shall pay to the indemnifying party an amount equal to such refund (but only to the extent of additional amounts or indemnification paid under this 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(d) (plus any penalties, interest or other charges imposed by the relevant Governmental Authority) in the event that such indemnified party is required to repay such refund to such Governmental Authority.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1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Recipient, within ten (10) days after demand therefor, for the full amount of any Indemnified Taxes (including Indemnified Taxes imposed or asserted on or attributable to amounts payable under this Section 10.4)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3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Agent, within ten (10) days after demand therefor, for (i) any Indemnified Taxes attributable to such Lender (but only to the extent the Borrower has not already indemnified the Agent for such Indemnified Taxes and without limiting the obligation of the Borrower to do so), (ii) any Taxes attributable to such Lender’s failure to comply with the provisions of Section 12.7 hereof relating to the maintenance of a Participant Register and (iii) any Excluded Taxes attributable to such Lender (or assignee or participant, if applicable), in each case, that are payable or paid by the Agent or Borrower, as and if applicable,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accompanied by reasonable supporting documentation,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(f).</w:t>
      </w:r>
    </w:p>
    <w:p>
      <w:pPr>
        <w:spacing w:after="0" w:line="184"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the term “applicable law” includes FATCA.</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75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shall survive the resignation or replacement of the Agent or any assignment of rights by, or the replacement of a Lender, the termination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color w:val="auto"/>
        </w:rPr>
        <w:t>of Commitments and the repayment, satisfaction or discharge of all obligations under any Loan Document.</w:t>
      </w: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AGENT.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Appointment of the Agent</w:t>
      </w:r>
      <w:r>
        <w:rPr>
          <w:rFonts w:ascii="Times New Roman" w:cs="Times New Roman" w:eastAsia="Times New Roman" w:hAnsi="Times New Roman"/>
          <w:sz w:val="18"/>
          <w:szCs w:val="18"/>
          <w:color w:val="auto"/>
        </w:rPr>
        <w:t>. Each Lender and the holder of each Note (if issued) irrevocably appoints and authorizes the Agent to act on behalf of such Lender or holder under this Agreement and the other Loan Documents and to exercise such powers hereunder and thereunder as are specifically delegated to the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 non-fiduciary agent of the Lenders and does not assume and shall not be deemed to have assumed any obligation towards or relationship of agency or trust with or for any Credit Party.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Agency for Perfection</w:t>
      </w:r>
      <w:r>
        <w:rPr>
          <w:rFonts w:ascii="Times New Roman" w:cs="Times New Roman" w:eastAsia="Times New Roman" w:hAnsi="Times New Roman"/>
          <w:sz w:val="18"/>
          <w:szCs w:val="18"/>
          <w:color w:val="auto"/>
        </w:rPr>
        <w:t>. Each Lender hereby appoints the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the Agent and each Lender hereby acknowledges that it holds possession of or otherwise controls any such Collateral for the benefit of the Agent and the Lenders as secured party. Should any Lender obtain possession or control of any such Collateral, such Lender shall notify the Agent thereof in writing, and, promptly upon the Agent’s request therefore shall deliver such Collateral to the Agent or in accordance with the Agent’s instructions.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Scope of the Agent’s Duties</w:t>
      </w:r>
      <w:r>
        <w:rPr>
          <w:rFonts w:ascii="Times New Roman" w:cs="Times New Roman" w:eastAsia="Times New Roman" w:hAnsi="Times New Roman"/>
          <w:sz w:val="18"/>
          <w:szCs w:val="18"/>
          <w:color w:val="auto"/>
        </w:rPr>
        <w:t>. The Agent shall have no duties or responsibilities except those expressly set forth herein, and shall not, by reason of this Agreement or otherwise, have a fiduciary relationship with any Lender (and no implied covenants or other obligations shall be read into this Agreement against the Agent). None of the Agent, its Affiliates nor any of their respective directors, officers, employees or agents shall be liable for any action taken or omitted to be taken by it or them under this Agreement or any document executed pursuant hereto, or in connection herewith or therewith:</w:t>
      </w:r>
    </w:p>
    <w:p>
      <w:pPr>
        <w:spacing w:after="0" w:line="3" w:lineRule="exact"/>
        <w:rPr>
          <w:sz w:val="20"/>
          <w:szCs w:val="20"/>
          <w:color w:val="auto"/>
        </w:rPr>
      </w:pPr>
    </w:p>
    <w:p>
      <w:pPr>
        <w:jc w:val="both"/>
        <w:ind w:firstLine="8"/>
        <w:spacing w:after="0" w:line="251" w:lineRule="auto"/>
        <w:tabs>
          <w:tab w:leader="none" w:pos="23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or (ii) in the absence of its own gross negligence or willful misconduct, as determined by a court of competent jurisdiction by a final and non-appealable judgment; provided, that, no action taken or not taken by the Agent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shall be considered gross negligence or willful misconduct of the Agent. None of the Agent, its Affiliates nor any of their respective directors, officers, employees or agents shall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 any security thereunder, (c) the performance by the Credit Parties of their respective obligations hereunder or thereunder, or (d) the satisfaction of any condition hereunder or thereunder, including without limitation in connection with the making of any Loan. The Agent and its Affiliates shall be entitled to rely upon, and shall not incur any liability for relying upon, any certificate, notice, document or other communication (including any cable, telegraph, telex, facsimile transmission or oral communication) believed by it to be genuine and correct and to have been sent or given by or on behalf of a proper Person. The Agent may treat the payee of any Note as the holder thereof. The Agent may employ agents and may consult with</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4" w:name="page245"/>
    <w:bookmarkEnd w:id="244"/>
    <w:p>
      <w:pPr>
        <w:jc w:val="both"/>
        <w:spacing w:after="0" w:line="261" w:lineRule="auto"/>
        <w:rPr>
          <w:sz w:val="20"/>
          <w:szCs w:val="20"/>
          <w:color w:val="auto"/>
        </w:rPr>
      </w:pPr>
      <w:r>
        <w:rPr>
          <w:rFonts w:ascii="Times New Roman" w:cs="Times New Roman" w:eastAsia="Times New Roman" w:hAnsi="Times New Roman"/>
          <w:sz w:val="18"/>
          <w:szCs w:val="18"/>
          <w:color w:val="auto"/>
        </w:rPr>
        <w:t>legal counsel, independent public accountants and other experts selected by it and shall not be liable to any Person for the negligence or misconduct of any such Person (except to the extent that a court of competent jurisdiction determines in a final and non-appealable judgment that the Agent acted with gross negligence or willful misconduct in the selection of such Person) or for any action taken or omitted to be taken by it in good faith in accordance with the advice of such counsel, accountants or experts.</w:t>
      </w:r>
    </w:p>
    <w:p>
      <w:pPr>
        <w:spacing w:after="0" w:line="18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Successor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68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resign as such at any time upon at least thirty (30) days prior notice to the Borrower and each of the Lenders. If the Agent at any time shall resign or if the office of the Agent shall become vacant for any other reason, Majority Lenders shall, by written instrument, appoint successor agent(s) (“</w:t>
      </w:r>
      <w:r>
        <w:rPr>
          <w:rFonts w:ascii="Times New Roman" w:cs="Times New Roman" w:eastAsia="Times New Roman" w:hAnsi="Times New Roman"/>
          <w:sz w:val="18"/>
          <w:szCs w:val="18"/>
          <w:b w:val="1"/>
          <w:bCs w:val="1"/>
          <w:color w:val="auto"/>
        </w:rPr>
        <w:t>Successor Agent</w:t>
      </w:r>
      <w:r>
        <w:rPr>
          <w:rFonts w:ascii="Times New Roman" w:cs="Times New Roman" w:eastAsia="Times New Roman" w:hAnsi="Times New Roman"/>
          <w:sz w:val="18"/>
          <w:szCs w:val="18"/>
          <w:color w:val="auto"/>
        </w:rPr>
        <w:t>”) satisfactory to such Majority Lenders and, so long as no Event of Default has occurred and is continuing, to the Borrower (which approval shall not be unreasonably withheld or delayed); provided, however that any such successor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Agent shall thereupon become the Agent hereunder, as applicable, and the Agent shall deliver or cause to be delivered to any successor agent such documents of transfer and assignment as such Successor Agent may reasonably request. If a Successor Agent is not so appointed or does not accept such appointment before the resigning Agent’s resignation becomes effective, the resigning Agent may, but shall be under no obligation to, appoint a temporary successor to act until such appointment by the Majority Lenders and, if applicable, the Borrower, is made and accepted, or if no such temporary successor is appointed as provided above by the resigning the Agent, the Majority Lenders shall thereafter perform all of the duties of the resigning the Agent hereunder until such appointment by the Majority Lenders and, if applicable, the Borrower, is made and accepted. Such Successor Agent shall succeed to all of the rights and obligations of the resigning Agent as if originally named. The resigning Agent shall duly assign, transfer and deliver to such Successor Agent all moneys at the time held by the resigning Agent hereunder after deducting therefrom its expenses for which it is entitled to be reimbursed hereunder. Upon such succession of any such Successor Agent, the resigning Agent shall be discharged from its duties and obligations, in its capacity as the Agent hereunder, and the provisions of this Article 11, Section 10.4(e)-(f) and Section 12.4 shall continue in effect for the benefit of the resigning Agent in respect of any actions taken or omitted to be taken by it while it was acting as the Agent.</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CHS may assign its rights and duties as the Agent hereunder to its Affiliates and Related Funds without the prior written consent of, or prior written notice to, the Borrower or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and the Lenders may deem and treat such assigning Agent as the Agent for all purposes hereof, unless and until such assigning Agent provides written notice to the Borrower and the Lenders of such assignment. Upon such assignment such Person shall succeed to and become vested with all rights, powers, privileges and duties as the Agent hereunder and under the other Loan Documents.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0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perform any and all of its duties and exercise its rights and powers under this Agreement or under any other Loan Document by or through any one or more additional individuals or institutions as separate trustee, co-trustee, collateral agent, sub-agent or co-agent (“</w:t>
      </w:r>
      <w:r>
        <w:rPr>
          <w:rFonts w:ascii="Times New Roman" w:cs="Times New Roman" w:eastAsia="Times New Roman" w:hAnsi="Times New Roman"/>
          <w:sz w:val="18"/>
          <w:szCs w:val="18"/>
          <w:u w:val="single" w:color="auto"/>
          <w:color w:val="auto"/>
        </w:rPr>
        <w:t>Supplemental Agents</w:t>
      </w:r>
      <w:r>
        <w:rPr>
          <w:rFonts w:ascii="Times New Roman" w:cs="Times New Roman" w:eastAsia="Times New Roman" w:hAnsi="Times New Roman"/>
          <w:sz w:val="18"/>
          <w:szCs w:val="18"/>
          <w:color w:val="auto"/>
        </w:rPr>
        <w:t>”) appointed by the Agent. The Agent and any such Supplemental Agents may perform any and all of its duties and exercise its rights and powers by or through their respective Affiliates. The exculpatory, indemnification and other provisions of this Agreement (including, without limitation, this Article 11, Section 10.4(e)-(f) and Section 12.4) shall apply to any of the Supplemental Agents of the Agent and shall apply to their respective activities in connection with its activities as the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5" w:name="page246"/>
    <w:bookmarkEnd w:id="245"/>
    <w:p>
      <w:pPr>
        <w:jc w:val="both"/>
        <w:spacing w:after="0" w:line="253" w:lineRule="auto"/>
        <w:rPr>
          <w:sz w:val="20"/>
          <w:szCs w:val="20"/>
          <w:color w:val="auto"/>
        </w:rPr>
      </w:pPr>
      <w:r>
        <w:rPr>
          <w:rFonts w:ascii="Times New Roman" w:cs="Times New Roman" w:eastAsia="Times New Roman" w:hAnsi="Times New Roman"/>
          <w:sz w:val="18"/>
          <w:szCs w:val="18"/>
          <w:color w:val="auto"/>
        </w:rPr>
        <w:t>Agent. All of the rights, benefits and privileges (including the exculpatory and indemnification provisions) of this Agreement (including, without limitation, this Article 11, Section 10.4(e)-(f) and Section 12.4) shall apply to any such Supplemental Agent and to the Affiliates of any such Supplemental Agent, and shall apply to their respective activities as sub-agent as if such sub-agent and Affiliates were named herein. Notwithstanding anything herein to the contrary, with respect to each Supplemental Agent appointed by the Agent, (i) such Supplemental 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such rights, benefits and privileges (including exculpatory rights and rights to indemnification) shall not be modified or amended without the consent of such Supplemental Agent, and (iii) such Supplemental Agent shall only have obligations to the Agent, and not to the Borrower, Guarantor, Lender or any other Person and no Borrower, Guarantor, Lender or any other Person shall have the rights, directly or indirectly, as a third party beneficiary or otherwise, against such Supplemental Agent. The Agent shall not be responsible for the negligence or misconduct of any Supplemental Agent except to the extent that a court of competent jurisdiction determines in a final and non-appealable judgment that the Agent acted with gross negligence or willful misconduct in the selection of such Supplemental Agent.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Credit Decisions</w:t>
      </w:r>
      <w:r>
        <w:rPr>
          <w:rFonts w:ascii="Times New Roman" w:cs="Times New Roman" w:eastAsia="Times New Roman" w:hAnsi="Times New Roman"/>
          <w:sz w:val="18"/>
          <w:szCs w:val="18"/>
          <w:color w:val="auto"/>
        </w:rPr>
        <w:t>. Each Lender acknowledges that it has, independently of the Agent and each other Lender and based on the financial statements of the Borrower and such other documents, information and investigations as it has deemed appropriate, made its own credit decision to extend credit hereunder from time to time. Each Lender also acknowledges that it will, independently of the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Authority of the Agent to Enforce This Agreement</w:t>
      </w:r>
      <w:r>
        <w:rPr>
          <w:rFonts w:ascii="Times New Roman" w:cs="Times New Roman" w:eastAsia="Times New Roman" w:hAnsi="Times New Roman"/>
          <w:sz w:val="18"/>
          <w:szCs w:val="18"/>
          <w:color w:val="auto"/>
        </w:rPr>
        <w:t>. Each Lender, subject to the terms and conditions of this Agreement, grants the Agent full power and authority as attorney-in-fact to institute and maintain actions, suits or proceedings for the collection and enforcement of any Indebtedness (including any Prepayment Premium) outstanding under this Agreement or any other Loan Document and to file such proofs of debt or other documents as may be necessary to have the claims of the Lenders allowed in any proceeding relative to any Credit Party, or their respective creditors or affecting their respective properties, and to take such other actions which the Agent considers to be necessary or desirable for the protection, collection and enforcement of the Notes, this Agreement or the other Loan Documents.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Indemnification of the Agent</w:t>
      </w:r>
      <w:r>
        <w:rPr>
          <w:rFonts w:ascii="Times New Roman" w:cs="Times New Roman" w:eastAsia="Times New Roman" w:hAnsi="Times New Roman"/>
          <w:sz w:val="18"/>
          <w:szCs w:val="18"/>
          <w:color w:val="auto"/>
        </w:rPr>
        <w:t>. The Lenders agree to indemnify the Agent, its Affiliates and their respective officers, partners, directors, trustees employees and agents (each, an “</w:t>
      </w:r>
      <w:r>
        <w:rPr>
          <w:rFonts w:ascii="Times New Roman" w:cs="Times New Roman" w:eastAsia="Times New Roman" w:hAnsi="Times New Roman"/>
          <w:sz w:val="18"/>
          <w:szCs w:val="18"/>
          <w:b w:val="1"/>
          <w:bCs w:val="1"/>
          <w:color w:val="auto"/>
        </w:rPr>
        <w:t>Indemnitee Agent Party</w:t>
      </w:r>
      <w:r>
        <w:rPr>
          <w:rFonts w:ascii="Times New Roman" w:cs="Times New Roman" w:eastAsia="Times New Roman" w:hAnsi="Times New Roman"/>
          <w:sz w:val="18"/>
          <w:szCs w:val="18"/>
          <w:color w:val="auto"/>
        </w:rPr>
        <w:t>”) (to the extent not reimbursed by the Borrower, but without limiting any obligation of the Borrower to make such reimbursement), ratably according to their respective Pro Rata Shares (provided, that, if such indemnity payment is sought after the date on which the Loans have been paid in full, such determination of such Pro Rata Shares shall be made as of the last date prior to which the Loans were paid in full), from and against any and all claims, damages, losses, liabilities, costs or expenses of any kind or nature whatsoever (including, without limitation, reasonable fees and expenses of in-house and outside counsel) which may be imposed on, incurred by, or asserted against any Indemnitee Agent Party in any way relating to or arising out of this Agreement, any of the other Loan Documents or the transactions contemplated hereby or any action taken or omitted by any Indemnitee Agent Party under this Agreement or any of the Loan Documents in all cases, whether or not caused by or arising, in whole or in part, out of</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6" w:name="page247"/>
    <w:bookmarkEnd w:id="246"/>
    <w:p>
      <w:pPr>
        <w:jc w:val="both"/>
        <w:spacing w:after="0" w:line="252" w:lineRule="auto"/>
        <w:rPr>
          <w:sz w:val="20"/>
          <w:szCs w:val="20"/>
          <w:color w:val="auto"/>
        </w:rPr>
      </w:pPr>
      <w:r>
        <w:rPr>
          <w:rFonts w:ascii="Times New Roman" w:cs="Times New Roman" w:eastAsia="Times New Roman" w:hAnsi="Times New Roman"/>
          <w:sz w:val="18"/>
          <w:szCs w:val="18"/>
          <w:color w:val="auto"/>
        </w:rPr>
        <w:t>the comparative, contributory, or sole negligence of such Indemnitee Agent Party; provided, however, that no Lender shall be liable for any portion of such claims, damages, losses, liabilities, costs or expenses resulting from such Indemnitee Agent Party’s gross negligence or willful misconduct as determined by a court of competent jurisdiction in a final, non-appealable order. Without limitation of the foregoing, each Lender agrees to reimburse the Indemnitee Agent Parties promptly upon demand for its ratable share of any reasonable out-of-pocket expenses (including, without limitation, reasonable fees and expenses of in-house and outside counsel) incurred by the Indemnitee Agent Parties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Indemnitee Agent Parties are not timely reimbursed for such expenses by the Borrower, but without limiting the obligation of the Borrower to make such reimbursement. Each Lender agrees to reimburse the Indemnitee Agent Parties promptly upon demand for its ratable share (provided, that, if such payment is sought after the date on which the Loans have been paid in full, such determination of such ratable share shall be made as of the last date prior to which the Loans were paid in full) of any amounts owing to the Indemnitee Agent Parties by the Lenders pursuant to this Section, provided that, if the Indemnitee Agent Parties are subsequently reimbursed by the Borrower for such amounts, they shall refund to the Lenders on a pro rata basis the amount of any excess reimbursement. If the indemnity furnished to the Indemnitee Agent Parties under this Section shall become impaired as determined in the Agent’s reasonable judgment or the Agent shall elect in its sole discretion to have such indemnity confirmed by the Lenders (as to specific matters or otherwise), the Agent shall give notice thereof to each Lender and, until such additional indemnity is provided or such existing indemnity is confirmed, the Agent may cease, or not commence, to take any action. Any amounts paid by the Lenders hereunder to the Indemnitee Agent Parties shall be deemed to constitute part of the Indebtedness hereunder.</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Knowledge of Default</w:t>
      </w:r>
      <w:r>
        <w:rPr>
          <w:rFonts w:ascii="Times New Roman" w:cs="Times New Roman" w:eastAsia="Times New Roman" w:hAnsi="Times New Roman"/>
          <w:sz w:val="18"/>
          <w:szCs w:val="18"/>
          <w:color w:val="auto"/>
        </w:rPr>
        <w:t>. It is expressly understood and agreed that the Agent shall be entitled to assume that no Default or Event of Default has occurred and is continuing, unless the officers of the Agent immediately responsible for matters concerning this Agreement shall have received a written notice from a Lender or the Borrower specifying such Default or Event of Default and conspicuously stating that such notice is a “notice of default”. Upon receiving such a notice, the Agent shall promptly notify each Lender of such Default or Event of Default and provide each Lender with a copy of such notice and shall endeavor to provide such notice to the Lenders within three (3) Business Days (but without any liability whatsoever in the event of its failure to do so). The Agent shall also furnish the Lenders, promptly upon receipt, with copies of all other notices or other information required to be provided by the Borrower hereunder.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The Agent’s Authorization; Action by Lenders</w:t>
      </w:r>
      <w:r>
        <w:rPr>
          <w:rFonts w:ascii="Times New Roman" w:cs="Times New Roman" w:eastAsia="Times New Roman" w:hAnsi="Times New Roman"/>
          <w:sz w:val="18"/>
          <w:szCs w:val="18"/>
          <w:color w:val="auto"/>
        </w:rPr>
        <w:t>. Except as otherwise expressly provided herein, whenever the Agent is authorized and empowered hereunder on behalf of the Lenders to give any approval or consent, or to make any request, or to take any other action on behalf of the Lenders (including without limitation the exercise of any right or remedy hereunder or under the other Loan Documents), the Agent shall be required to give such approval or consent, or to make such request or to take such other action only when so requested in writing by the Majority Lenders or the Lenders, as applicable hereunder,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Action that may be taken by the Majority Lenders, any other specified percentage of the Lenders or all of the Lenders, as the case may be (as provided for hereunder), may be taken (i) pursuant to a vote of the requisite percentages of the Lenders as required hereunder at a meeting (which may be held by telephone conference call), provided that the Agent exercises good faith, diligent efforts to give all of the Lenders reasonable advance notice of the meeting,</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7" w:name="page248"/>
    <w:bookmarkEnd w:id="247"/>
    <w:p>
      <w:pPr>
        <w:jc w:val="both"/>
        <w:spacing w:after="0" w:line="282" w:lineRule="auto"/>
        <w:rPr>
          <w:sz w:val="20"/>
          <w:szCs w:val="20"/>
          <w:color w:val="auto"/>
        </w:rPr>
      </w:pPr>
      <w:r>
        <w:rPr>
          <w:rFonts w:ascii="Times New Roman" w:cs="Times New Roman" w:eastAsia="Times New Roman" w:hAnsi="Times New Roman"/>
          <w:sz w:val="18"/>
          <w:szCs w:val="18"/>
          <w:color w:val="auto"/>
        </w:rPr>
        <w:t>or (ii) pursuant to the written consent of the requisite percentages of the Lenders as required hereunder, provided that all of the Lenders are given reasonable advance notice of the requests for such consent.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Enforcement Actions by the Agent</w:t>
      </w:r>
      <w:r>
        <w:rPr>
          <w:rFonts w:ascii="Times New Roman" w:cs="Times New Roman" w:eastAsia="Times New Roman" w:hAnsi="Times New Roman"/>
          <w:sz w:val="18"/>
          <w:szCs w:val="18"/>
          <w:color w:val="auto"/>
        </w:rPr>
        <w:t>. Except as otherwise expressly provided under this Agreement or in any of the other Loan Documents and subject to the terms hereof, the Agent will take such action, assert such rights and pursue such remedies under this Agreement and the other Loan Documents as the Majority Lenders or all of the Lenders, as the case may be (as provided for hereunder), shall direct;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Anything contained in any of the Loan Documents to the contrary notwithstanding, the Borrower, the Agent and each Lender hereby agree (i) no Lender shall have any right individually to realize upon any of the Collateral under any Loan Document or to enforce any Guaranty, it being understood and agreed that all powers, rights and remedies under the Loan Documents may be exercised solely by the Agent for the benefit of the Lenders in accordance with the terms thereof, (ii) in the event of a foreclosure by the Agent on any of the Collateral pursuant to a public or private sale, the Agent or any Lender may be the purchaser of any or all of such Collateral at any such sale and (iii) the Agent, as agent for and representative of the Lenders (but not any Lender or Lenders in its or their respective individual capacities unless the Majority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Agent under the provisions of the Uniform Commercial Code (including pursuant to Sections 9-610 or 9-620 of the Uniform Commercial Code), (C) at any sale or foreclosure conducted by the Agent (whether by judicial action or otherwise) in accordance with applicable law or (D) any sale conducted pursuant to the provisions of any Debtor Relief Law (including Section 363 of the Bankruptcy Code), to use and apply all or any of the Indebtedness (including any Prepayment Premium) as a credit on account of the purchase price for any Collateral payable by the Agent at such sale.</w:t>
      </w:r>
    </w:p>
    <w:p>
      <w:pPr>
        <w:spacing w:after="0" w:line="19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729"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authorized on behalf of all the Lenders, without the necessity of any notice to or further consent from the Lenders, from time to time to take any action with respect to any Collateral or the Collateral Documents which may be necessary to perfect and maintain a perfected security interest in and Liens upon the Collateral granted pursuant to the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8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irrevocably authorize the Agent, in its reasonable discretion, to the full extent set forth in Section 12.9(d) hereof, at the sole cost and expense of the Borrower (1) to release or terminate any Lien granted to or held by the Agent upon any Collateral (a) upon termination of the Commitments and payment in full of all Indebtedness (including any Prepayment Premium) payable under this Agreement and under any other Loan Document; (b) constituting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11.11(b)(3) below; (c) constituting property in which a Credit Party owned no interest at the time the Lien was granted or at any time thereafter; or</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authorized or ratified in writing by the Majority Lenders, or all the Lenders, as the case may be, as provided in Section 12.9; (2) to subordinate the Lien granted to or held by the Agent on any Collateral to any other holder of a Lien on such Collateral which is permitted by Section 7.2(b) hereto; and (3) if all of the Equity Interests held by the Credit Parties in any Person are sold or otherwise transferred to any transferee other than the Borrower, an Affiliate of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8" w:name="page249"/>
    <w:bookmarkEnd w:id="248"/>
    <w:p>
      <w:pPr>
        <w:jc w:val="both"/>
        <w:spacing w:after="0" w:line="256" w:lineRule="auto"/>
        <w:rPr>
          <w:sz w:val="20"/>
          <w:szCs w:val="20"/>
          <w:color w:val="auto"/>
        </w:rPr>
      </w:pPr>
      <w:r>
        <w:rPr>
          <w:rFonts w:ascii="Times New Roman" w:cs="Times New Roman" w:eastAsia="Times New Roman" w:hAnsi="Times New Roman"/>
          <w:sz w:val="18"/>
          <w:szCs w:val="18"/>
          <w:color w:val="auto"/>
        </w:rPr>
        <w:t>Borrower or a Subsidiary of the Borrower as part of or in connection with any disposition (whether by sale, by merger or by any other form of transaction) permitted in accordance with the terms of this Agreement, to release such Person from all of its obligations under the Loan Documents (including, without limitation, under any Guaranty). Upon request by the Agent at any time, the Lenders will confirm in writing the Agent’s authority to release particular types or items of Collateral or subordinate its interest in particular types or items of property or to release any Guarantor from its obligations under the Guaranty pursuant to this Section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.11(b), and the Agent shall be entitled to refrain from taking any such action until it receives such written confirmation from the Majority Lenders or Lenders (as applicable).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The Agent in its Individual Capacity</w:t>
      </w:r>
      <w:r>
        <w:rPr>
          <w:rFonts w:ascii="Times New Roman" w:cs="Times New Roman" w:eastAsia="Times New Roman" w:hAnsi="Times New Roman"/>
          <w:sz w:val="18"/>
          <w:szCs w:val="18"/>
          <w:color w:val="auto"/>
        </w:rPr>
        <w:t>. CHS and its Affiliates, successors and assigns shall each have the same rights and powers hereunder as any other Lender and may exercise or refrain from exercising the same as though such Lender were not the Agent. CHS and its Affiliates may (without having to account therefor to any Lender) accept deposits from, lend money to, and generally engage in any kind of banking, trust, financial advisory or other business with the Credit Parties as if such Lender were not acting as the Agent hereunder, and may accept fees and other consideration therefor without having to account for the same to the Lenders.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Specified Subordination Agreement and Subordination Agreements</w:t>
      </w:r>
      <w:r>
        <w:rPr>
          <w:rFonts w:ascii="Times New Roman" w:cs="Times New Roman" w:eastAsia="Times New Roman" w:hAnsi="Times New Roman"/>
          <w:sz w:val="18"/>
          <w:szCs w:val="18"/>
          <w:color w:val="auto"/>
        </w:rPr>
        <w:t>. Each Lender hereby irrevocably appoints, designates and authorizes Agent to enter into any subordination or intercreditor agreement pertaining to the Senior Debt or any Subordinated Debt, on its behalf and to take such action on its behalf under the provisions of any such agreement. Each Lender further agrees to be bound by the terms and conditions of each subordination or intercreditor agreement pertaining to the Senior Debt or any Subordinated Debt.</w:t>
      </w:r>
    </w:p>
    <w:p>
      <w:pPr>
        <w:spacing w:after="0" w:line="18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7"/>
          <w:szCs w:val="17"/>
          <w:u w:val="single" w:color="auto"/>
          <w:color w:val="auto"/>
        </w:rPr>
        <w:t>No Reliance on the Agent’s Customer Identification Program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68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18"/>
          <w:szCs w:val="18"/>
          <w:b w:val="1"/>
          <w:bCs w:val="1"/>
          <w:color w:val="auto"/>
        </w:rPr>
        <w:t>CIP Regulations</w:t>
      </w:r>
      <w:r>
        <w:rPr>
          <w:rFonts w:ascii="Times New Roman" w:cs="Times New Roman" w:eastAsia="Times New Roman" w:hAnsi="Times New Roman"/>
          <w:sz w:val="18"/>
          <w:szCs w:val="18"/>
          <w:color w:val="auto"/>
        </w:rPr>
        <w:t>”), or any other Anti-Terrorism Law, including any programs involving any of the following items relating to or in connection with the Borrower or any of its Subsidiaries, any of their respective Affiliates or agents, the Loan Documents or the transactions hereunder: (i) any identify verification procedures, (ii) any record keeping, (iii) any comparisons with government lists, (iv) any customer notices or (v) any other procedures required under the CIP Regulations or such other laws.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(x) within 10 days after the Restatement Date, and (y) at such other times as are required under the USA Patriot Act.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9" w:name="page250"/>
    <w:bookmarkEnd w:id="249"/>
    <w:p>
      <w:pPr>
        <w:jc w:val="right"/>
        <w:ind w:left="660" w:right="9160" w:hanging="652"/>
        <w:spacing w:after="0" w:line="503" w:lineRule="auto"/>
        <w:tabs>
          <w:tab w:leader="none" w:pos="417"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ALL JUDICIAL PROCEEDINGS BROUGHT AGAINST ANY THE BORROWER OR ANY GUARANTOR ARISING OUT OF OR RELATING HERETO OR ANY OTHER LOAN DOCUMENT, OR ANY OF THE INDEBTEDNESS (INCLUDING ANY PREPAYMENT PREMIUM), MAY BE BROUGHT IN ANY STATE OR FEDERAL COURT OF COMPETENT JURISDICTION IN THE STATE, COUNTY AND CITY OF NEW YORK. BY EXECUTING AND DELIVERING THIS AGREEMENT, THE BORROWER,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CREDIT PARTY AT ITS ADDRESS PROVIDED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18"/>
          <w:szCs w:val="18"/>
          <w:u w:val="single" w:color="auto"/>
          <w:color w:val="auto"/>
        </w:rPr>
        <w:t>12.5</w:t>
      </w:r>
      <w:r>
        <w:rPr>
          <w:rFonts w:ascii="Times New Roman" w:cs="Times New Roman" w:eastAsia="Times New Roman" w:hAnsi="Times New Roman"/>
          <w:sz w:val="18"/>
          <w:szCs w:val="18"/>
          <w:color w:val="auto"/>
        </w:rPr>
        <w:t xml:space="preserve"> IS SUFFICIENT TO CONFER PERSONAL JURISDICTION OVER THE APPLICABLE CREDIT PARTY IN ANY SUCH PROCEEDING IN ANY SUCH COURT, AND OTHERWISE CONSTITUTES EFFECTIVE AND BINDING SERVICE IN EVERY RESPECT; AND (iv) AGREES THAT THE AGENT AND THE LENDERS RETAIN THE RIGHT TO SERVE PROCESS IN ANY OTHER MANNER PERMITTED BY LAW OR TO BRING PROCEEDINGS AGAINST THE BORROWER OR ANY GUARANTOR IN THE COURTS OF ANY OTHER JURISDICTION.</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7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u w:val="single" w:color="auto"/>
          <w:color w:val="auto"/>
        </w:rPr>
        <w:t>Closing Costs and Other Costs;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68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hereby shall be consummated, the Borrower shall pay or reimburse (a) the Agent, the Lenders and their respective Affiliates for payment of, on demand, all reasonable and documented costs and expenses incurred by the Agent, Lenders and their respective Affiliates in connection with the consummation and closing of the loans contemplated hereby, the administration or enforcement of this Agreement or the other Loan Documents (including the obtaining of legal advice regarding the rights and responsibilities of the parties hereto), any refinancing or restructuring of the Loans provided under this Agreement or the other Loan Documents or the negotiation, preparation, execution and administration of the Loan Documents and any consents, amendments, waivers or other modifications thereto and any other documents or matters requested by Borrower, including, by way of description and not limitation, reasonable outside attorney fees (which shall be limited to one outside counsel for the Agent and one outside counsel for the Lenders (absent a conflict of interest (in which case, each group of similarly situated and conflicted Lenders may engage and be reimbursed for an additional firm of outside counsel)) and if necessary, one local counsel in each relevant jurisdiction and such specialist counsel as the Agent may reasonably determine to be necessary and one local counsel in each relevant jurisdiction and such specialist counsel as the Lenders may reasonably determine to be necessary (the "</w:t>
      </w:r>
      <w:r>
        <w:rPr>
          <w:rFonts w:ascii="Times New Roman" w:cs="Times New Roman" w:eastAsia="Times New Roman" w:hAnsi="Times New Roman"/>
          <w:sz w:val="18"/>
          <w:szCs w:val="18"/>
          <w:b w:val="1"/>
          <w:bCs w:val="1"/>
          <w:color w:val="auto"/>
        </w:rPr>
        <w:t>Legal Counsel Limitations</w:t>
      </w:r>
      <w:r>
        <w:rPr>
          <w:rFonts w:ascii="Times New Roman" w:cs="Times New Roman" w:eastAsia="Times New Roman" w:hAnsi="Times New Roman"/>
          <w:sz w:val="18"/>
          <w:szCs w:val="18"/>
          <w:color w:val="auto"/>
        </w:rPr>
        <w:t>")) and advances, appraisal, auditing, consulting and accounting fees, costs and expenses of creating and perfecting Liens in favor of the Agent, for the benefit of Agent and the Lenders (including, without limitation, filing and recording fees and lien search fees), costs and expenses (including the fees, expenses and disbursements of any appraisers, consultants, advisors and agents retained by Agent and its counsel and Lenders and their</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50" w:name="page251"/>
    <w:bookmarkEnd w:id="250"/>
    <w:p>
      <w:pPr>
        <w:jc w:val="both"/>
        <w:spacing w:after="0" w:line="253" w:lineRule="auto"/>
        <w:rPr>
          <w:sz w:val="20"/>
          <w:szCs w:val="20"/>
          <w:color w:val="auto"/>
        </w:rPr>
      </w:pPr>
      <w:r>
        <w:rPr>
          <w:rFonts w:ascii="Times New Roman" w:cs="Times New Roman" w:eastAsia="Times New Roman" w:hAnsi="Times New Roman"/>
          <w:sz w:val="18"/>
          <w:szCs w:val="18"/>
          <w:color w:val="auto"/>
        </w:rPr>
        <w:t>counsel) in connection with the custody or preservation of any of the Collateral and required travel costs, and (b) the Agent and its Affiliates and each of the Lenders,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(subject to the Legal Counsel Limitations), incurred by the Agent, the Lenders and their respective Affiliates in revising, preserving, protecting, exercising or enforcing any of the Agent’s and the Lenders’ rights against the Borrower or any other Credit Party, or otherwise incurred by the Agent and its Affiliates and the Lenders in connection with any Event of Default or the enforcement of their rights and remedies hereunder (whether incurred through negotiations, legal proceedings or otherwise), including by way of description and not limitation, such charges incurred in connection with the sale of, collection from or other realization upon any of the Collateral, in connection with any refinancing or restructuring of the credit arrangements provided hereunder in the nature of a “workout” or pursuant to any court or bankruptcy proceedings or arising out of any claim or action by any person against the Agent, its Affiliates, or any Lender which would not have been asserted were it not for the Agent’s or such Affiliate’s or Lender’s relationship with the Borrower hereunder or otherwise, shall also be paid by the Borrower.</w:t>
      </w:r>
    </w:p>
    <w:p>
      <w:pPr>
        <w:spacing w:after="0" w:line="186" w:lineRule="exact"/>
        <w:rPr>
          <w:sz w:val="20"/>
          <w:szCs w:val="20"/>
          <w:color w:val="auto"/>
        </w:rPr>
      </w:pPr>
    </w:p>
    <w:p>
      <w:pPr>
        <w:jc w:val="both"/>
        <w:ind w:firstLine="1304"/>
        <w:spacing w:after="0" w:line="255" w:lineRule="auto"/>
        <w:tabs>
          <w:tab w:leader="none" w:pos="188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PAYMENT OF EXPENSES PURSUANT TO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.4(a), WHETHER OR NOT THE TRANSACTIONS CONTEMPLATED HEREBY SHALL BE CONSUMMATED, THE BORROWER AGREES TO DEFEND (SUBJECT TO THE LEGAL COUNSEL LIMITATIONS), INDEMNIFY, PAY AND HOLD HARMLESS, AGENT AND EACH LENDER, THEIR RESPECTIVE AFFILIATES AND THEIR RESPECTIVE OFFICERS, PARTNERS, DIRECTORS, TRUSTEES, EMPLOYEES AND AGENTS OF AGENT AND EACH LENDER (EACH,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FROM AND AGAINST ANY AND ALL INDEMNIFIED LIABILITIES, </w:t>
      </w:r>
      <w:r>
        <w:rPr>
          <w:rFonts w:ascii="Times New Roman" w:cs="Times New Roman" w:eastAsia="Times New Roman" w:hAnsi="Times New Roman"/>
          <w:sz w:val="18"/>
          <w:szCs w:val="18"/>
          <w:b w:val="1"/>
          <w:bCs w:val="1"/>
          <w:color w:val="auto"/>
        </w:rPr>
        <w:t>IN ALL CASES,</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WHETHER OR NOT CAUSED BY OR ARISING, IN WHOLE OR IN PART, OUT OF THE COMPARATIVE, CONTRIBUTORY, OR SOLE NEGLIGENCE OF SUCH 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BORROWER SHALL NOT HAVE ANY OBLIGATION TO ANY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.4(b)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INDEMNITEES OR ANY OF THEM.</w:t>
      </w:r>
    </w:p>
    <w:p>
      <w:pPr>
        <w:spacing w:after="0" w:line="19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8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Borrower shall not assert, and the Borrower hereby waives, any claim against Lenders,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the Borrower hereby waives, releases and agrees not to sue upon any such claim or any such damages, whether or not accrued and whether or not known or suspected to exist in its favor.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4808220</wp:posOffset>
            </wp:positionH>
            <wp:positionV relativeFrom="paragraph">
              <wp:posOffset>-2911475</wp:posOffset>
            </wp:positionV>
            <wp:extent cx="8718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71855" cy="8890"/>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-1539875</wp:posOffset>
            </wp:positionV>
            <wp:extent cx="8439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43915" cy="8890"/>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1" w:name="page252"/>
    <w:bookmarkEnd w:id="251"/>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77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otherwise in this Agreement (and except as provided in clause (b) 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or at such other address as may be designated by such party in a notice to the other parties that complies as to delivery with the terms of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 or posted to an E-System set up by or at the direction of the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The Agent may, but, except as specifically provided herein,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 with the provisions of this Section set forth above. If such telephonic notice conflicts with any such confirmation, the terms of such confirmation shall control. Any notice given by the Agent or any Lender to the Borrower shall be deemed to be a notice to all of the Credit Parties.</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provided to the Agent and the Lenders party hereto under this Agreement or any other Loan Document may be delivered or furnished by electronic communication (including email and Internet or intranet websites) pursuant to procedures approved by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2 if such Lender has notified the Agent that it is incapable of receiving notices under such Section by electronic communication. The Agent or the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clause (i) of notification that such notice or other communication is available and identifying the website address therefore;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Borrower, from time to time, upon written request of the Agent will make, execute, acknowledge and deliver or cause to be made, executed, acknowledged and delivered, all such further and additional instruments, and take all such further action as may reasonably be required to carry out the intent and purpose of this Agreement or the Loan Documents, and to provide for Loans under and payment of the Notes, according to the intent and purpose herein and therein expressed.</w:t>
      </w:r>
    </w:p>
    <w:p>
      <w:pPr>
        <w:spacing w:after="0" w:line="18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u w:val="single" w:color="auto"/>
          <w:color w:val="auto"/>
        </w:rPr>
        <w:t>Successors and Assigns; Participations; Assignments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(a)</w:t>
        <w:tab/>
        <w:t>This Agreement shall be binding upon and shall inure to the benefit of the Borrower and the Lenders and their respective successors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assigns.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2" w:name="page253"/>
    <w:bookmarkEnd w:id="252"/>
    <w:p>
      <w:pPr>
        <w:ind w:firstLine="1304"/>
        <w:spacing w:after="0" w:line="282" w:lineRule="auto"/>
        <w:tabs>
          <w:tab w:leader="none" w:pos="179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shall not authorize any assignment by the Borrower of its rights or duties hereunder, and, except as otherwise provided herein, no such assignment shall be made (or be effective) without the prior written approval of the Lenders.</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2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Lenders may at any time assign or grant participations in such Lender’s rights and obligations hereunder and under the other Loan Documents except (i) by way of assignment to any Eligible Assignee in accordance with clause (d) of this Section, (ii) by way of a participation in accordance with the provisions of clause (e) of this Section 12.7 or (iii) by way of a pledge or assignment or grant of a security interest subject to the restrictions of clause (g) of this Section 12.7 (and any other attempted assignment or transfer by any Lender shall be deemed to be null and void); provided, that, notwithstanding anything to the contrary contained in this Agreement, (a) the Agent shall not be responsible or have any liability for, or have any duty to ascertain, inquire into, monitor or enforce, compliance with the provisions hereof relating to an Eligible Assignee and (b) the Borrower and the Lenders acknowledge and agree that the Agent shall have no responsibility or obligation to determine whether any Lender or potential Lender is an Eligible Assignee and that the Agent shall have no liability with respect to any assignment or participation made to any Person which is not an Eligible Assignee.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assignment by a Lender of all or any portion of its rights and obligations hereunder and under the other Loan Documents, shall be subject to the following terms and conditions:</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447"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assignment shall be made on a pro rata basis with respect to each Class of Term Loans, and shall be in a minimum amount of the lesser of Five Million Dollars ($5,000,000) (or such lesser amount as may be agreed to by the Agent or as shall constitute the aggregate amount of the Term Loan or Incremental Term Loans of a particular tranche of the assigning Lender) with respect to the assignment of Term Loans; and</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44"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any assignment shall execute and deliver to the Agent an Assignment Agreement substantially (as determined by the Agent) in the form attached hereto as Exhibit B (with appropriate insertions acceptable to the Agent), together with a processing and recordation fee in the amount, if any, required as set forth in the Assignment Agreement, and any other documents as the Agent shall reasonably request from such assignee.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the Assignment Agreement becomes effective in accordance with its terms and is recorded in the Register maintained by the Agent under clause (h) of this Section 12.7, and the Agent has confirmed that the assignment satisfies the requirements of this Section 12.7, the Borrower and the Agent shall be entitled to continue to deal solely and directly with the assigning Lender in connection with the interest so assigned. From and after the effective date of each Assignment Agreement that satisfies the requirements of this Section 12.7, the assignee thereunder shall be deemed to be a party to this Agreement, such assignee shall have the rights and obligations of a Lender under this Agreement and the other Loan Documents (including without limitation the right to receive fees payable hereunder in respect of the period following such assignment) and the assigning Lender shall relinquish its rights and be released from its obligations under this Agreement and the other Loan Documents.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request, the Borrower shall execute and deliver to the Agent, new Note(s) payable to the order of the assignee in an amount equal to the amount assigned to the assigning Lender pursuant to such Assignment Agreement, and with respect to the portion of the Indebtedness retained by the assigning Lender, to the extent applicable, new Note(s) payable to the order of the assigning Lender in an amount equal to the amount retained by such Lender hereunder. The Agent, the Lenders and the Borrower acknowledges and agrees that any such new Note(s) shall be given in renewal and replacement of the Notes issued to the assigning lender prior to such assignment and shall not effect or constitute a novation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color w:val="auto"/>
        </w:rPr>
        <w:t>or discharge of the Indebtedness evidenced by such prior Note, and each such new Note may contain a provision confirming such agreement.</w:t>
      </w:r>
    </w:p>
    <w:p>
      <w:pPr>
        <w:spacing w:after="0" w:line="225" w:lineRule="exact"/>
        <w:rPr>
          <w:sz w:val="20"/>
          <w:szCs w:val="20"/>
          <w:color w:val="auto"/>
        </w:rPr>
      </w:pPr>
    </w:p>
    <w:p>
      <w:pPr>
        <w:jc w:val="both"/>
        <w:ind w:firstLine="1304"/>
        <w:spacing w:after="0" w:line="261" w:lineRule="auto"/>
        <w:tabs>
          <w:tab w:leader="none" w:pos="168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Agent acknowledge that each of the Lenders may at any time and from time to time, subject to the terms and conditions hereof, grant participations in such Lender’s rights and obligations hereunder (on a pro rata basis only) and under the other Loan Documents to any Person (other than a natural person or to the Borrower or any of the Borrower’s Affiliates or Subsidiaries); provided that any participation permitted hereunder shall comply with all applicable laws and shall be subject to a participation agreement that incorporates the following restrictions:</w:t>
      </w:r>
    </w:p>
    <w:p>
      <w:pPr>
        <w:spacing w:after="0" w:line="179"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remain the holder of its Notes hereunder (if such Notes are issued), notwithstanding any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w:t>
      </w:r>
    </w:p>
    <w:p>
      <w:pPr>
        <w:spacing w:after="0" w:line="206"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reassign or transfer, or grant any sub-participations in its participation interest hereunder or any part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jc w:val="both"/>
        <w:ind w:firstLine="1952"/>
        <w:spacing w:after="0" w:line="252" w:lineRule="auto"/>
        <w:tabs>
          <w:tab w:leader="none" w:pos="2461"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retain the sole right and responsibility to enforce the obligations of the Credit Parties relating to the Notes and the other Loan Documents, including, without limitation, the right to proceed against any Guarantors, or cause the Agent to do so (subject to the terms and conditions hereof), and the right to approve any amendment, modification or waiver of any provision of this Agreement without the consent of the participant (unless such participant is an Affiliate of such Lender), except for those matters requiring the consent of each of the Lenders under Section 12.9(b) (provided that a participant may exercise approval rights over such matters only on an indirect basis, acting through such Lender and the Credit Parties, the Agent and the other Lenders may continue to deal directly with such Lender in connection with such Lender’s rights and duties hereunder). Notwithstanding the foregoing, however, in the case of any participation granted by any Lender hereunder, the participant shall not have any rights under this Agreement or any of the other Loan Documents against the Agent, any other Lender or any Credit Party; provided, however that the participant may have rights against such Lender in respect of such participation as may be set forth in the applicable participation agreement and all amounts payable by the Borrower and Guarantors hereunder shall be determined as if such Lender had not sold such participation. Each such participant shall be entitled to the benefits of Article 10 of this Agreement to the same extent as if it were a Lender and had acquired its interest by assignment pursuant to clause (d) of this Section, provided that no participant shall be entitled to receive any greater amount pursuant to such the provisions of Article 10 than the issuing Lender would have been entitled to receive in respect of the amount of the participation transferred by such issuing Lender to such participant had no such transfer occurred, except to the extent that such entitlement to receive any greater payment results from a Change in Law that occurs after the participant acquired the applicable participation, and each such participant shall also be entitled to the benefits of Section 8.6 hereof as though it were a Lender, provided that such participant agrees to be subject to Section 9.3 hereof as though it were a Lender; and</w:t>
      </w:r>
    </w:p>
    <w:p>
      <w:pPr>
        <w:spacing w:after="0" w:line="194"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provide the relevant tax form required under Section 12.12 to its participating Lender.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9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4" w:name="page255"/>
    <w:bookmarkEnd w:id="254"/>
    <w:p>
      <w:pPr>
        <w:jc w:val="both"/>
        <w:spacing w:after="0" w:line="261" w:lineRule="auto"/>
        <w:rPr>
          <w:sz w:val="20"/>
          <w:szCs w:val="20"/>
          <w:color w:val="auto"/>
        </w:rPr>
      </w:pPr>
      <w:r>
        <w:rPr>
          <w:rFonts w:ascii="Times New Roman" w:cs="Times New Roman" w:eastAsia="Times New Roman" w:hAnsi="Times New Roman"/>
          <w:sz w:val="18"/>
          <w:szCs w:val="18"/>
          <w:color w:val="auto"/>
        </w:rPr>
        <w:t>registered form under Section 5f.103-1(c) of the United States Treasury Regulations and Section 163(f), 871(h)(2) and 881(c)(2)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80" w:lineRule="exact"/>
        <w:rPr>
          <w:sz w:val="20"/>
          <w:szCs w:val="20"/>
          <w:color w:val="auto"/>
        </w:rPr>
      </w:pPr>
    </w:p>
    <w:p>
      <w:pPr>
        <w:jc w:val="both"/>
        <w:ind w:firstLine="1304"/>
        <w:spacing w:after="0" w:line="256" w:lineRule="auto"/>
        <w:tabs>
          <w:tab w:leader="none" w:pos="17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pledge or assign or grant a security interest in all or any portion of its rights under this Agreement (including its Notes, if any) or any other Loan Document to secure obligations or indebtedness of such Lender, including any pledge or assignment or grant to secure obligations to a Federal Reserve Bank or other third party lender, without notice to or consent of the Borrower or the Agent; provided that no such pledge or assignment shall release such Lender from any of its obligations hereunder or substitute any such pledge or assignee for such Lender as a party hereto (except in connection with the exercise of remedies by such pledgee or assignee or grantee with respect to the obligations or indebtedness of such Lender).</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8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designates the Agent, and Agent agrees to serve, as the Borrower’s non-fiduciary agent solely for purposes of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.7(h) to maintain at its principal office in the United States a copy of each Assignment Agreement delivered to it and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Lenders and the principal amount of each type of Loan owing to each such Lender from time to time. The entries in the Register shall be conclusive evidence, absent manifest error, and the Borrower, the Agent, and the Lenders shall treat each Person whose name is recorded in the Register as the owner of the Loans recorded therein for all purposes of this Agreement. The Register shall be available for inspection by the Borrower or any Lender (but only with respect to any entry relating to the principal amounts owing to such Lender) upon reasonable notice to the Agent and a copy of such information shall be provided to any such party on their prior written request. The Agent shall give prompt written notice to the Borrower of the making of any entry in the Register or any change in such entry. This Section 12.7(h) shall be construed so that the Loans are at all times maintained in “registered form” within the meaning of Section 5f.103-1(c) of the United States Treasury Regulations and Sections 163(f), 871(h)(2) and 881(c)(2) of the Internal Revenue Code.</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authorizes each Lender to disclose to any prospective assignee or participant which has satisfied the requirements hereunder, any and all financial information in such Lender’s possession concerning the Credit Parties which has been delivered to such Lender pursuant to this Agreement, provided that each such prospective assignee or participant shall execute a confidentiality agreement consistent with the terms of Section 12.10 hereof or shall otherwise agree to be bound by the terms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7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and each executed copy shall constitute an original instrument, but such counterparts shall together constitute but one and the same instrument.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5" w:name="page256"/>
    <w:bookmarkEnd w:id="255"/>
    <w:p>
      <w:pPr>
        <w:jc w:val="both"/>
        <w:spacing w:after="0" w:line="258" w:lineRule="auto"/>
        <w:rPr>
          <w:sz w:val="20"/>
          <w:szCs w:val="20"/>
          <w:color w:val="auto"/>
        </w:rPr>
      </w:pPr>
      <w:r>
        <w:rPr>
          <w:rFonts w:ascii="Times New Roman" w:cs="Times New Roman" w:eastAsia="Times New Roman" w:hAnsi="Times New Roman"/>
          <w:sz w:val="18"/>
          <w:szCs w:val="18"/>
          <w:color w:val="auto"/>
        </w:rPr>
        <w:t>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18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u w:val="single" w:color="auto"/>
          <w:color w:val="auto"/>
        </w:rPr>
        <w:t>Amendment and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72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waiver of any provision of this Agreement or any other Loan Document, nor consent to any departure by any Credit Party therefrom, shall in any event be effective unless the same shall be in writing and signed by the Agent and the Majority Lenders (or by the Agent at the written request of the Majority Lenders) (except with respect to the Fee Letter, which shall only require the consent of the parties thereto) or, if this Agreement expressly so requires with respect to the subject matter thereof, by all Lenders (and, with respect to any amendments to this Agreement or the other Loan Documents, by any Credit Party or the Guarantors that are signatories thereto), and then such waiver or consent shall be effective only in the specific instance and for the specific purpose for which given. All references in this Agreement to “Lenders” or “the Lenders” shall refer to all Lenders, unless expressly stated to refer to Majority Lenders (or the like).</w:t>
      </w:r>
    </w:p>
    <w:p>
      <w:pPr>
        <w:spacing w:after="0" w:line="18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increase the stated amount of any Lender’s commitment hereunder without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consent;</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43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the Lender or Lenders holding Indebtedness directly affected thereby, do any of the following:</w:t>
      </w:r>
    </w:p>
    <w:p>
      <w:pPr>
        <w:spacing w:after="0" w:line="161" w:lineRule="exact"/>
        <w:rPr>
          <w:rFonts w:ascii="Times New Roman" w:cs="Times New Roman" w:eastAsia="Times New Roman" w:hAnsi="Times New Roman"/>
          <w:sz w:val="18"/>
          <w:szCs w:val="18"/>
          <w:color w:val="auto"/>
        </w:rPr>
      </w:pPr>
    </w:p>
    <w:p>
      <w:pPr>
        <w:ind w:firstLine="2600"/>
        <w:spacing w:after="0" w:line="280" w:lineRule="auto"/>
        <w:tabs>
          <w:tab w:leader="none" w:pos="3076"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interest (other than any waiver of any increase in the interest rate applicable to any Loan pursuant to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2.6(d)) on, any outstanding Indebtedness or any Fees or other amounts payable hereunder (including any Prepayment Premium),</w:t>
      </w:r>
    </w:p>
    <w:p>
      <w:pPr>
        <w:spacing w:after="0" w:line="151" w:lineRule="exact"/>
        <w:rPr>
          <w:rFonts w:ascii="Times New Roman" w:cs="Times New Roman" w:eastAsia="Times New Roman" w:hAnsi="Times New Roman"/>
          <w:sz w:val="18"/>
          <w:szCs w:val="18"/>
          <w:color w:val="auto"/>
        </w:rPr>
      </w:pPr>
    </w:p>
    <w:p>
      <w:pPr>
        <w:ind w:firstLine="2600"/>
        <w:spacing w:after="0" w:line="282" w:lineRule="auto"/>
        <w:tabs>
          <w:tab w:leader="none" w:pos="3025"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for any payment of principal of, or interest on, any outstanding Indebtedness or any Fees or other amounts payable hereunder (including any Prepayment Premium),</w:t>
      </w:r>
    </w:p>
    <w:p>
      <w:pPr>
        <w:spacing w:after="0" w:line="161" w:lineRule="exact"/>
        <w:rPr>
          <w:rFonts w:ascii="Times New Roman" w:cs="Times New Roman" w:eastAsia="Times New Roman" w:hAnsi="Times New Roman"/>
          <w:sz w:val="18"/>
          <w:szCs w:val="18"/>
          <w:color w:val="auto"/>
        </w:rPr>
      </w:pPr>
    </w:p>
    <w:p>
      <w:pPr>
        <w:jc w:val="both"/>
        <w:ind w:firstLine="2600"/>
        <w:spacing w:after="0" w:line="261" w:lineRule="auto"/>
        <w:tabs>
          <w:tab w:leader="none" w:pos="3012"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of the provisions of this Section 12.9 or the definition of “Majority Lenders” or any other provision of any Loan Document specifying the number or percentage of Lenders required to waive, amend or modify any rights thereunder or make any determination or grant any consent thereunder; provided that changes to the definition of “Majority Lenders” may be made with the consent of only the Majority Lenders to include the Lenders holding any additional credit facilities that are added to this Agreement with the approval of the appropriate Lenders, and</w:t>
      </w:r>
    </w:p>
    <w:p>
      <w:pPr>
        <w:spacing w:after="0" w:line="179"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“Pro Rata Share”;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waiver of a mandatory prepayment, </w:t>
      </w:r>
      <w:r>
        <w:rPr>
          <w:rFonts w:ascii="Times New Roman" w:cs="Times New Roman" w:eastAsia="Times New Roman" w:hAnsi="Times New Roman"/>
          <w:sz w:val="18"/>
          <w:szCs w:val="18"/>
          <w:u w:val="single" w:color="auto"/>
          <w:color w:val="auto"/>
        </w:rPr>
        <w:t>Section 2.11(b)(v)</w:t>
      </w:r>
      <w:r>
        <w:rPr>
          <w:rFonts w:ascii="Times New Roman" w:cs="Times New Roman" w:eastAsia="Times New Roman" w:hAnsi="Times New Roman"/>
          <w:sz w:val="18"/>
          <w:szCs w:val="18"/>
          <w:color w:val="auto"/>
        </w:rPr>
        <w:t xml:space="preserve"> or any Default or Event of Default shall be subject only to the consent of the Majority Lenders;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6" w:name="page257"/>
    <w:bookmarkEnd w:id="256"/>
    <w:p>
      <w:pPr>
        <w:ind w:left="2400" w:hanging="448"/>
        <w:spacing w:after="0"/>
        <w:tabs>
          <w:tab w:leader="none" w:pos="2400"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all Lenders, do any of the following:</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049" w:val="left"/>
        </w:tabs>
        <w:numPr>
          <w:ilvl w:val="3"/>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hereunder or under the Collateral Documents, release all or substantially all of the Collateral (provided that neither the Agent nor any Lender shall be prohibited thereby from proposing or participating in a consensual or nonconsensual debtor-in-possession or similar financing), or release any material guaranty provided by any Person in favor of the Agent and the Lenders, provided however that the Agent shall be entitled, without notice to or any further action or consent of the Lenders, to release any Collateral which any Credit Party is permitted to sell, assign or otherwise transfer in compliance with this Agreement or the other Loan Documents (to a Person that is not the Borrower or a Guarantor) or release any guaranty to the extent expressly permitted by Section 11.11(b)(iii) of this Agreement,</w:t>
      </w:r>
    </w:p>
    <w:p>
      <w:pPr>
        <w:spacing w:after="0" w:line="187" w:lineRule="exact"/>
        <w:rPr>
          <w:rFonts w:ascii="Times New Roman" w:cs="Times New Roman" w:eastAsia="Times New Roman" w:hAnsi="Times New Roman"/>
          <w:sz w:val="18"/>
          <w:szCs w:val="18"/>
          <w:color w:val="auto"/>
        </w:rPr>
      </w:pPr>
    </w:p>
    <w:p>
      <w:pPr>
        <w:jc w:val="both"/>
        <w:ind w:firstLine="2600"/>
        <w:spacing w:after="0" w:line="266" w:lineRule="auto"/>
        <w:tabs>
          <w:tab w:leader="none" w:pos="3052" w:val="left"/>
        </w:tabs>
        <w:numPr>
          <w:ilvl w:val="3"/>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directly or indirectly, Section 9.2, Section 9.3 hereof or any other provision herein or in the other Loan Documents receiving the pro rata treatment of Lenders in a manner that would alter the priorities set forth therein or the pro rata sharing of payments required thereby, or</w:t>
      </w:r>
    </w:p>
    <w:p>
      <w:pPr>
        <w:spacing w:after="0" w:line="175" w:lineRule="exact"/>
        <w:rPr>
          <w:rFonts w:ascii="Times New Roman" w:cs="Times New Roman" w:eastAsia="Times New Roman" w:hAnsi="Times New Roman"/>
          <w:sz w:val="18"/>
          <w:szCs w:val="18"/>
          <w:color w:val="auto"/>
        </w:rPr>
      </w:pPr>
    </w:p>
    <w:p>
      <w:pPr>
        <w:jc w:val="both"/>
        <w:ind w:right="20" w:firstLine="2600"/>
        <w:spacing w:after="0" w:line="266" w:lineRule="auto"/>
        <w:tabs>
          <w:tab w:leader="none" w:pos="3012" w:val="left"/>
        </w:tabs>
        <w:numPr>
          <w:ilvl w:val="3"/>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in Section 11.11(b)(2), subordinate the Indebtedness hereunder or the Liens granted hereunder or under the other Loan Documents, to any other Debt (other than the Senior Debt) or obligation or Lien (other than the Liens in favor of the Senior Agent under the Senior Loan Documents), as the case may be;</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438"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or consent that will affect the rights or duties of the Agent under this Agreement or any other Loan Document, shall require the written concurrence of the Agent; and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347"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consent or other modification to this Agreement to permit the formation or other existence of the direct parent entity of the Borrower shall require the written consent of the Agent in its sole discretion.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83"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5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such Defaulting Lender’s stated commitment amounts, (ii) the waiver, forgiveness or reduction of the principal amount of any Indebtedness owing to such Defaulting Lender (unless all other Lenders affected thereby are treated similarly), (iii) the extension of the final maturity date(s) of such Defaulting Lenders’ portion of any of the Indebtedness (including any Prepayment Premium) or the extension of any commitment to extend credit of such Defaulting Lender, or (iv) any other modification which requires the consent of all Lenders or the Lender(s) affected thereby which affects such Defaulting Lender more adversely than the other affected Lenders (other than a modification which results in a reduction of repayment of any amounts owing to such Defaulting Lender on a non pro-rata basis).</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3"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upon the written request of the Borrower, execute and deliver to the Credit Parties such documents as may be necessary to evidence (1) the release of any Lien granted to or held by the Agent upon any Collateral: (a) upon termination of the Commitments and payment in full of all Indebtedness (including any Prepayment Premium) payable under this Agreement and under any other Loan Document; (b) which constitutes property (including, without limitation, Equity Interests in any Person) sold or to be sold or disposed of as part of or in connection with any disposition (whether by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7" w:name="page258"/>
    <w:bookmarkEnd w:id="25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sale, by merger or by any other form of transaction and including the property of any Subsidiary that is disposed of as permitted hereby) permitted in accordance with the terms of this Agreement to a Person that is not the Borrower or a Guarantor, subject to Section 12.9(d)(2) below; (c) which constitutes property in which a Credit Party owned no interest at the time the Lien was granted or at any time thereafter; or (d) if approved, authorized or ratified in writing by the Majority Lenders, or all the Lenders, as the case may be, as provided in this Section 12.9; or (2) the release of any Person from its obligations under the Loan Documents (including without limitation the Guaranty) if all of the Equity Interests of such Person that were held by a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Agent shall not be required to execute any such release or subordination agreement under clauses (1) or (2) above on terms which, in the Agent’s opinion, would expose the Agent to liability or create any obligation or entail any consequence other than the release of such Liens without recourse or warranty or such release shall not in any manner discharge, affect or impair the Indebtedness (including any Prepayment Premium) or any Liens upon any Collateral retained by any Credit Party, including (without limitation) the proceeds of the sale or other disposition, all of which shall constitute and remain part of the Collateral.</w:t>
      </w:r>
    </w:p>
    <w:p>
      <w:pPr>
        <w:spacing w:after="0" w:line="190" w:lineRule="exact"/>
        <w:rPr>
          <w:sz w:val="20"/>
          <w:szCs w:val="20"/>
          <w:color w:val="auto"/>
        </w:rPr>
      </w:pPr>
    </w:p>
    <w:p>
      <w:pPr>
        <w:ind w:firstLine="1304"/>
        <w:spacing w:after="0" w:line="282" w:lineRule="auto"/>
        <w:tabs>
          <w:tab w:leader="none" w:pos="181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Agent may, with the consent of the Borrower only, amend, modify or supplement this Agreement or any of the other Loan Documents to cure any ambiguity, omission, mistake, defect or inconsistency.</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6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amendment and restatement of this Agreement which is in all other respects approved by the Lenders in accordance with this Section 12.9 shall require the consent or approval of any Lender (i) which immediately after giving effect to such amendment and restatement, shall have no commitment or other obligation to maintain or extend credit under this Agreement (as so amended and restated) and (ii) which, substantially contemporaneously with the effectiveness of such amendment and restatement, shall have received payment in full of all Indebtedness (including any Prepayment Premium) owing to such Lender under the Loan Documents. From and after the effectiveness of any such amendment and restatement, any such Lender shall be deemed to no longer be a “Lender” hereunder or a party hereto, except that any such Lender shall retain the benefits of indemnification provisions hereof which, by the terms hereof would survive the termination of this Agreement.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Agent and Lender agrees that it will not disclose without the prior consent of the Borrower (other than to its Subsidiaries, another Lender, an Affiliate of a Lender or to its auditors, agents, advisors, directors, officers, employees, shareholders, counsel or representatives (or to other Persons authorized by a Lender or the Agent to organize, present or disseminate such information in connection with disclosures otherwise made in accordance with this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12.10)) any information with respect to the Credit Parties which is furnished pursuant to this Agreement or any of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Agent and Lenders may disclose any such information (a) as has become generally available to the public or has been lawfully obtained by Agent or Lender from any third party under no duty of confidentiality to any Credit Party, (b) as may be required or appropriate in any report, statement or testimony submitted to, or in respect to any inquiry, by, any municipal, state or federal regulatory body having or claiming to have jurisdiction over Agent or Lender, including the Board of Governors of the Federal Reserve System of the United States, the Office of the Comptroller of the Currency or the Federal Deposit Insurance Corporation or similar organizations (whether in the United States or elsewhere) or their successors, (c) as may be required or appropriate in respect to any summons or subpoena or in connection with any litigation, (d) in order to comply with any law, order, regulation, ruling or other requirement of law applicable to such Lender, (e) to any prospective assignee or participant in accordance with Section 12.7(f) hereof, (f) disclosure to any rating agency when required</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8" w:name="page259"/>
    <w:bookmarkEnd w:id="258"/>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rating agency shall undertake in writing to preserve the confidentiality of any confidential information relating to the Credit Parties received by it from any of the Agent or any Lender, and (g) disclosures of such information to any investors, members and partners of any Agent, Lender or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investor, member or partner is informed of the confidential nature of the information.</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Substitution or Removal of Lenders</w:t>
      </w:r>
      <w:r>
        <w:rPr>
          <w:rFonts w:ascii="Times New Roman" w:cs="Times New Roman" w:eastAsia="Times New Roman" w:hAnsi="Times New Roman"/>
          <w:sz w:val="18"/>
          <w:szCs w:val="18"/>
          <w:color w:val="auto"/>
        </w:rPr>
        <w:t xml:space="preserve">. Anything contained herein to the contrary notwithstanding, in the event that: (a) (i) any Lender shall give notice to the Borrower that such Lender is entitled to receive payments under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10.1 or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10.4, (ii) the circumstances which entitle such Lender to receive such payments shall remain in effect, and (iii) such Lender shall fail to withdraw such notice within five Business Days after the Borrower’s request for such withdrawal; or (b)(i) any Lender shall become a Defaulting Lender, and (ii) such Defaulting Lender shall fail to cure the default as a result of which it has become a Defaulting Lender within five Business Days after the Borrower’s request that it cure such default; or (c) in connection with any proposed amendment, modification, termination, waiver or consent with respect to any of the provisions hereof as contemplated by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12.9(b), the consent of the Agent and the Majority Lenders shall have been obtained but the consent of one or more of such other Lenders whose consent is required shall not have been obtained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then, with respect to each such Lender (an “</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the Borrower or Agent may, by giving written notice to the Borrower and any Affected Lender of its election to do so, elect to cause such Affected Lender (and such Affected Lender hereby irrevocably agrees) to assign its outstanding Loans in full to one or more Eligible Assignees (each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xml:space="preserve">”) in accordance with the provisions of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12.7 and Affected Lender shall pay any fees payable thereunder in connection with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(1) on the date of such assignment, the Replacement Lender shall pay to Affected Lender an amount equal to the sum of (A) an amount equal to the principal of, and all accrued interest on, all outstanding Loans of the Affected Lender and (B) an amount equal to all accrued, but theretofore unpaid fees owing to such Affected Lender pursuant to the Fee Letter; (2) on the date of such assignment, the Borrower shall pay any amounts payable to such Affected Lender pursuant to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10.1 or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10.4; and (3) in the event such Affected Lender is a Non-Consenting Lender, each Replacement Lender shall consent, at the time of such assignment, to each matter in respect of which such Affected Lender was a Non-Consenting Lender. Upon the prepayment of all amounts owing to any Affected Lender, such Affected Lender shall no longer constitute a “Lender” for purposes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rights of such Affected Lender to indemnification hereunder shall survive as to such Affected Lender.</w:t>
      </w:r>
    </w:p>
    <w:p>
      <w:pPr>
        <w:spacing w:after="0" w:line="20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67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12.12(a)(i)(A), (i)(B) and (i)(D)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limiting the generality of the foregoing: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9" w:name="page260"/>
    <w:bookmarkEnd w:id="259"/>
    <w:p>
      <w:pPr>
        <w:jc w:val="both"/>
        <w:ind w:left="840" w:hanging="656"/>
        <w:spacing w:after="0" w:line="261" w:lineRule="auto"/>
        <w:tabs>
          <w:tab w:leader="none" w:pos="8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Agent on or about the date on which such Lender becomes a Lender under this Agreement (and from time to time thereafter upon the reasonable request of the Borrower or the Agent), executed copies of IRS Form W-9 (or any successor form)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1480" w:hanging="648"/>
        <w:spacing w:after="0" w:line="256" w:lineRule="auto"/>
        <w:tabs>
          <w:tab w:leader="none" w:pos="148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W-8BEN-E (or any successor form), as applicable,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 (or any successor form);</w:t>
      </w:r>
    </w:p>
    <w:p>
      <w:pPr>
        <w:spacing w:after="0" w:line="225" w:lineRule="exact"/>
        <w:rPr>
          <w:rFonts w:ascii="Times New Roman" w:cs="Times New Roman" w:eastAsia="Times New Roman" w:hAnsi="Times New Roman"/>
          <w:sz w:val="18"/>
          <w:szCs w:val="18"/>
          <w:color w:val="auto"/>
        </w:rPr>
      </w:pPr>
    </w:p>
    <w:p>
      <w:pPr>
        <w:jc w:val="both"/>
        <w:ind w:left="1480" w:hanging="648"/>
        <w:spacing w:after="0" w:line="256" w:lineRule="auto"/>
        <w:tabs>
          <w:tab w:leader="none" w:pos="148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a Borrower within the meaning of Section 881(c)(3)(B) of the Internal Revenue Code, or a “controlled foreign corporation” related to the Borrower as described in Section 881(c)(3)(C) of the Internal Revenue Code (a “U.S. Tax Compliance Certificate”) and (y) executed copies of IRS Form W-8BEN or W-8BEN-E; or</w:t>
      </w:r>
    </w:p>
    <w:p>
      <w:pPr>
        <w:spacing w:after="0" w:line="187" w:lineRule="exact"/>
        <w:rPr>
          <w:rFonts w:ascii="Times New Roman" w:cs="Times New Roman" w:eastAsia="Times New Roman" w:hAnsi="Times New Roman"/>
          <w:sz w:val="18"/>
          <w:szCs w:val="18"/>
          <w:color w:val="auto"/>
        </w:rPr>
      </w:pPr>
    </w:p>
    <w:p>
      <w:pPr>
        <w:jc w:val="both"/>
        <w:ind w:left="1480" w:hanging="648"/>
        <w:spacing w:after="0" w:line="255" w:lineRule="auto"/>
        <w:tabs>
          <w:tab w:leader="none" w:pos="148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executed copies of IRS Form W-8IMY (or any successor form), accompanied by IRS Form W-8ECI, IRS Form W-8BEN, IRS Form W-8BEN-E, a U.S. Tax Compliance Certificate substantially in the form of Exhibit E-2 or Exhibit E-3, IRS Form W-9, and/or other certification documents from each beneficial owner and supplementary documentation as may be prescribed by applicable law,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8"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Agent (in such number of copies as shall be requested by the</w:t>
      </w:r>
    </w:p>
    <w:p>
      <w:pPr>
        <w:spacing w:after="0" w:line="27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260" w:name="page261"/>
    <w:bookmarkEnd w:id="260"/>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83" w:lineRule="exact"/>
        <w:rPr>
          <w:sz w:val="20"/>
          <w:szCs w:val="20"/>
          <w:color w:val="auto"/>
        </w:rPr>
      </w:pPr>
    </w:p>
    <w:p>
      <w:pPr>
        <w:jc w:val="both"/>
        <w:ind w:left="1960" w:hanging="656"/>
        <w:spacing w:after="0" w:line="253" w:lineRule="auto"/>
        <w:tabs>
          <w:tab w:leader="none" w:pos="19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or Agent under any Loan Document would be subject to U.S. federal withholding Tax imposed by FATCA if such Lender or Agent were to fail to comply with the applicable reporting requirements of FATCA (including those contained in Section 1471(b) or 1472(b) of the Internal Revenue Code, as applicable), such Lender or Agent shall deliver to the Borrower and the Agent at the time or times prescribed by law and at such time or times reasonably requested by the Borrower or the Agent such documentation prescribed by applicable law (including as prescribed by Section 1471(b)(3)(C)(i) of the Internal Revenue Code) and such additional documentation reasonably requested by the Borrower or the Agent as may be necessary for the Borrower and the Agent to comply with their obligations under FATCA and to determine that such Lender or Agent has complied with such Lender’s or Agent’s obligations under FATCA or to determine the amount to deduct and withhold from such payment. Solely for purposes of this clause (D), “FATCA” shall include any amendments made to FATCA after the date of this Agreement.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62"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For purposes of this Section 12.12, the term “applicable law” includes FATCA.</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12.13 AND EXECUTED BY EACH OF THE PARTIES HERETO), AND THIS WAIVER SHALL APPLY TO ANY SUBSEQUENT AMENDMENTS, RENEWALS,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1" w:name="page262"/>
    <w:bookmarkEnd w:id="261"/>
    <w:p>
      <w:pPr>
        <w:jc w:val="both"/>
        <w:spacing w:after="0" w:line="266" w:lineRule="auto"/>
        <w:rPr>
          <w:sz w:val="20"/>
          <w:szCs w:val="20"/>
          <w:color w:val="auto"/>
        </w:rPr>
      </w:pPr>
      <w:r>
        <w:rPr>
          <w:rFonts w:ascii="Times New Roman" w:cs="Times New Roman" w:eastAsia="Times New Roman" w:hAnsi="Times New Roman"/>
          <w:sz w:val="18"/>
          <w:szCs w:val="18"/>
          <w:color w:val="auto"/>
        </w:rPr>
        <w:t>SUPPLEMENTS OR MODIFICATIONS HERETO OR ANY OF THE OTHER LOAN DOCUMENTS OR TO ANY OTHER DOCUMENTS OR AGREEMENTS RELATING TO THE LOANS MADE HEREUNDER. IN THE EVENT OF LITIGATION, A COPY OF THIS AGREEMENT MAY BE FILED AS A WRITTEN CONSENT TO A TRIAL BY THE COURT.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USA Patriot Act Notice; Beneficial Ownership Certification</w:t>
      </w:r>
      <w:r>
        <w:rPr>
          <w:rFonts w:ascii="Times New Roman" w:cs="Times New Roman" w:eastAsia="Times New Roman" w:hAnsi="Times New Roman"/>
          <w:sz w:val="18"/>
          <w:szCs w:val="18"/>
          <w:color w:val="auto"/>
        </w:rPr>
        <w:t>. Pursuant to Section 326 of the USA Patriot Act, the Agent and the Lenders hereby notify the Credit Parties that if they or any of their Subsidiaries open an account, including any loan, deposit account, treasury management account, or other extension of credit with the Agent or any Lender, the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Lender to comply with the USA Patriot Act. The Borrower shall also deliver, from time to time at the reasonable request of the Agent or any Lender, a completed certification regarding beneficial ownership to the extent required by 31 C.F.R. §1010.230, together with any other information required under such regulation.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Complete Agreement; Conflicts</w:t>
      </w:r>
      <w:r>
        <w:rPr>
          <w:rFonts w:ascii="Times New Roman" w:cs="Times New Roman" w:eastAsia="Times New Roman" w:hAnsi="Times New Roman"/>
          <w:sz w:val="18"/>
          <w:szCs w:val="18"/>
          <w:color w:val="auto"/>
        </w:rPr>
        <w:t>. This Agreement, the Notes (if issued), any Requests for Loan and the Loan Documents contain the entire agreement of the parties hereto, superseding all prior agreements, discussions and understandings relating to the subject matter hereof, and none of the parties shall be bound by anything not expressed in writing. In the event of any conflict between the terms of this Agreement and the other Loan Documents, this Agreement shall govern.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Table of Contents and Headings; Section References</w:t>
      </w:r>
      <w:r>
        <w:rPr>
          <w:rFonts w:ascii="Times New Roman" w:cs="Times New Roman" w:eastAsia="Times New Roman" w:hAnsi="Times New Roman"/>
          <w:sz w:val="18"/>
          <w:szCs w:val="18"/>
          <w:color w:val="auto"/>
        </w:rPr>
        <w:t>. 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Construction of Certain Provisions</w:t>
      </w:r>
      <w:r>
        <w:rPr>
          <w:rFonts w:ascii="Times New Roman" w:cs="Times New Roman" w:eastAsia="Times New Roman" w:hAnsi="Times New Roman"/>
          <w:sz w:val="18"/>
          <w:szCs w:val="18"/>
          <w:color w:val="auto"/>
        </w:rPr>
        <w:t>. If any provision of this Agreement or any of the Loan Documents refers to any action to be taken by any Person, or which such Person is prohibited from taking, such provision shall be applicable whether such action is taken directly or indirectly by such Person, whether or not expressly specified in such provision.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12.19 </w:t>
      </w:r>
      <w:r>
        <w:rPr>
          <w:rFonts w:ascii="Times New Roman" w:cs="Times New Roman" w:eastAsia="Times New Roman" w:hAnsi="Times New Roman"/>
          <w:sz w:val="18"/>
          <w:szCs w:val="18"/>
          <w:u w:val="single" w:color="auto"/>
          <w:color w:val="auto"/>
        </w:rPr>
        <w:t>Independence of Covenants</w:t>
      </w:r>
      <w:r>
        <w:rPr>
          <w:rFonts w:ascii="Times New Roman" w:cs="Times New Roman" w:eastAsia="Times New Roman" w:hAnsi="Times New Roman"/>
          <w:sz w:val="18"/>
          <w:szCs w:val="18"/>
          <w:color w:val="auto"/>
        </w:rPr>
        <w:t>. Each covenant hereunder shall be given independent effect (subject to any exceptions stated in such covenant) so that if a particular action or condition is not permitted by any such covenant (taking into account any such stated exception), the fact that it would be permitted by an exception to, or would be otherwise within the limitations of, another covenant shall not avoid the occurrence of a Default or an Event of Default.</w:t>
      </w:r>
    </w:p>
    <w:p>
      <w:pPr>
        <w:spacing w:after="0" w:line="18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12.20</w:t>
      </w:r>
      <w:r>
        <w:rPr>
          <w:sz w:val="20"/>
          <w:szCs w:val="20"/>
          <w:color w:val="auto"/>
        </w:rPr>
        <w:tab/>
      </w:r>
      <w:r>
        <w:rPr>
          <w:rFonts w:ascii="Times New Roman" w:cs="Times New Roman" w:eastAsia="Times New Roman" w:hAnsi="Times New Roman"/>
          <w:sz w:val="17"/>
          <w:szCs w:val="17"/>
          <w:u w:val="single" w:color="auto"/>
          <w:color w:val="auto"/>
        </w:rPr>
        <w:t>Electronic Transmissions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71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the Credit Parties, the Lenders, and each of their Affiliates is authorized (but not required) to transmit, post or otherwise make or communicate, in its sole discretion,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2" w:name="page263"/>
    <w:bookmarkEnd w:id="262"/>
    <w:p>
      <w:pPr>
        <w:jc w:val="both"/>
        <w:spacing w:after="0" w:line="261" w:lineRule="auto"/>
        <w:rPr>
          <w:sz w:val="20"/>
          <w:szCs w:val="20"/>
          <w:color w:val="auto"/>
        </w:rPr>
      </w:pPr>
      <w:r>
        <w:rPr>
          <w:rFonts w:ascii="Times New Roman" w:cs="Times New Roman" w:eastAsia="Times New Roman" w:hAnsi="Times New Roman"/>
          <w:sz w:val="18"/>
          <w:szCs w:val="18"/>
          <w:color w:val="auto"/>
        </w:rPr>
        <w:t>Electronic Transmissions in connection with any Loan Document and the transactions contemplated therein. The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176" w:lineRule="exact"/>
        <w:rPr>
          <w:sz w:val="20"/>
          <w:szCs w:val="20"/>
          <w:color w:val="auto"/>
        </w:rPr>
      </w:pPr>
    </w:p>
    <w:p>
      <w:pPr>
        <w:jc w:val="both"/>
        <w:ind w:firstLine="1304"/>
        <w:spacing w:after="0" w:line="268" w:lineRule="auto"/>
        <w:tabs>
          <w:tab w:leader="none" w:pos="169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uses of an E-System shall be governed by and subject to, in addition to Section 12.5 and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 separate terms and conditions posted or referenced in such E-System and related contractual obligations executed by the Agent, the Credit Parties and the Lenders in connection with the use of such E-System.</w:t>
      </w:r>
    </w:p>
    <w:p>
      <w:pPr>
        <w:spacing w:after="0" w:line="17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E-Systems and Electronic Transmissions shall be provided “as is” and “as available”. None of the Agent or any of its Affiliates, nor the Borrower or any of its respective Affiliates warrants the accuracy, adequacy or completeness of any E-Systems or Electronic Transmission, and each disclaims all liability for errors or omissions therein. No warranty of any kind is made by the Agent or any of its Affiliates, or the Borrower or any of its respective Affiliates in connection with any E-Systems or Electronic Transmission, including any warranty of merchantability, fitness for a particular purpose, non-infringement of third-party rights or freedom from viruses or other code defects. The Agent, the Borrower and its Subsidiaries, and the Lenders agree that the Agent has no responsibility for maintaining or providing any equipment, software, services or any testing required in connection with any Electronic Transmission or otherwise required for any E-System. The Agent and the Lenders agree that the Borrower has no responsibility for maintaining or providing any equipment, software, services or any testing required in connection with any Electronic Transmission or otherwise required for any E-System.</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12.21 </w:t>
      </w:r>
      <w:r>
        <w:rPr>
          <w:rFonts w:ascii="Times New Roman" w:cs="Times New Roman" w:eastAsia="Times New Roman" w:hAnsi="Times New Roman"/>
          <w:sz w:val="18"/>
          <w:szCs w:val="18"/>
          <w:u w:val="single" w:color="auto"/>
          <w:color w:val="auto"/>
        </w:rPr>
        <w:t>Advertisements</w:t>
      </w:r>
      <w:r>
        <w:rPr>
          <w:rFonts w:ascii="Times New Roman" w:cs="Times New Roman" w:eastAsia="Times New Roman" w:hAnsi="Times New Roman"/>
          <w:sz w:val="18"/>
          <w:szCs w:val="18"/>
          <w:color w:val="auto"/>
        </w:rPr>
        <w:t>. The Agent and the Lenders, subject to the Borrower’s consent not to be unreasonably withheld, delayed or conditioned, may issue news releases and publish “tombstone” advertisements and other announcements relating to this transaction in newspapers, trade journals and other appropriate media (which may include use of logos of one or more of the Credit Parties) (collectively, “</w:t>
      </w:r>
      <w:r>
        <w:rPr>
          <w:rFonts w:ascii="Times New Roman" w:cs="Times New Roman" w:eastAsia="Times New Roman" w:hAnsi="Times New Roman"/>
          <w:sz w:val="18"/>
          <w:szCs w:val="18"/>
          <w:b w:val="1"/>
          <w:bCs w:val="1"/>
          <w:color w:val="auto"/>
        </w:rPr>
        <w:t>Trade Announcements</w:t>
      </w:r>
      <w:r>
        <w:rPr>
          <w:rFonts w:ascii="Times New Roman" w:cs="Times New Roman" w:eastAsia="Times New Roman" w:hAnsi="Times New Roman"/>
          <w:sz w:val="18"/>
          <w:szCs w:val="18"/>
          <w:color w:val="auto"/>
        </w:rPr>
        <w:t>”). No Credit Party shall issue any Trade Announcement or disclose the name of Agent or any Lender except (i) disclosures required by applicable law, regulation, legal process or the rules of the SEC or (ii) with the prior approval of Agent and such Lender not to be unreasonably withheld, delayed or conditioned.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12.22 </w:t>
      </w:r>
      <w:r>
        <w:rPr>
          <w:rFonts w:ascii="Times New Roman" w:cs="Times New Roman" w:eastAsia="Times New Roman" w:hAnsi="Times New Roman"/>
          <w:sz w:val="18"/>
          <w:szCs w:val="18"/>
          <w:u w:val="single" w:color="auto"/>
          <w:color w:val="auto"/>
        </w:rPr>
        <w:t>Reliance on and Survival of Provisions</w:t>
      </w:r>
      <w:r>
        <w:rPr>
          <w:rFonts w:ascii="Times New Roman" w:cs="Times New Roman" w:eastAsia="Times New Roman" w:hAnsi="Times New Roman"/>
          <w:sz w:val="18"/>
          <w:szCs w:val="18"/>
          <w:color w:val="auto"/>
        </w:rPr>
        <w:t xml:space="preserve">. All terms, covenants, agreements, representations and warranties of the Credit Parties to any of the Loan Documents made herein or in any of the Loan Documents or in any certificate, report, financial statement or other document furnished by or on behalf of any Credit Party in connection with this Agreement or any of the Loan Documents shall be deemed to have been relied upon by the Lenders, notwithstanding any investigation heretofore or hereafter made by any Lender or on such Lender’s behalf, and those covenants and agreements of the Borrower and the Lenders, as applicable, set forth in Sections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11.3, 11.7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12.4 hereof (together with any other indemnities of any Credit Party or Lender contained elsewhere in this Agreement or in any of the other Loan Documents) shall survive the repayment in full of the Indebtedness (including any Prepayment Premium) and the termination of this Agreement and the other Loan Documents, including any commitment to extend credit thereunder.</w:t>
      </w:r>
    </w:p>
    <w:p>
      <w:pPr>
        <w:spacing w:after="0" w:line="189"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7"/>
          <w:szCs w:val="17"/>
          <w:color w:val="auto"/>
        </w:rPr>
        <w:t xml:space="preserve">12.23 </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Notwithstanding any other provision herein, the aggregate interest rate charged or agreed to be paid with respect to any of the Indebtedness (including any Prepayment Premium),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3" w:name="page264"/>
    <w:bookmarkEnd w:id="263"/>
    <w:p>
      <w:pPr>
        <w:jc w:val="both"/>
        <w:spacing w:after="0" w:line="253" w:lineRule="auto"/>
        <w:rPr>
          <w:sz w:val="20"/>
          <w:szCs w:val="20"/>
          <w:color w:val="auto"/>
        </w:rPr>
      </w:pPr>
      <w:r>
        <w:rPr>
          <w:rFonts w:ascii="Times New Roman" w:cs="Times New Roman" w:eastAsia="Times New Roman" w:hAnsi="Times New Roman"/>
          <w:sz w:val="18"/>
          <w:szCs w:val="18"/>
          <w:color w:val="auto"/>
        </w:rPr>
        <w:t>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 In determining whether the interest contracted for, charged, or received by the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Indebtedness hereunder.</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12.24 </w:t>
      </w:r>
      <w:r>
        <w:rPr>
          <w:rFonts w:ascii="Times New Roman" w:cs="Times New Roman" w:eastAsia="Times New Roman" w:hAnsi="Times New Roman"/>
          <w:sz w:val="18"/>
          <w:szCs w:val="18"/>
          <w:u w:val="single" w:color="auto"/>
          <w:color w:val="auto"/>
        </w:rPr>
        <w:t>Acknowledgment and Consent to Bail-In of EEA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 down and conversion powers of an EEA Resolution Authority and agrees and consents to, and acknowledges and agrees to be bound by:</w:t>
      </w:r>
    </w:p>
    <w:p>
      <w:pPr>
        <w:spacing w:after="0" w:line="180" w:lineRule="exact"/>
        <w:rPr>
          <w:sz w:val="20"/>
          <w:szCs w:val="20"/>
          <w:color w:val="auto"/>
        </w:rPr>
      </w:pPr>
    </w:p>
    <w:p>
      <w:pPr>
        <w:ind w:left="1960" w:hanging="656"/>
        <w:spacing w:after="0" w:line="282" w:lineRule="auto"/>
        <w:tabs>
          <w:tab w:leader="none" w:pos="19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12.25 </w:t>
      </w:r>
      <w:r>
        <w:rPr>
          <w:rFonts w:ascii="Times New Roman" w:cs="Times New Roman" w:eastAsia="Times New Roman" w:hAnsi="Times New Roman"/>
          <w:sz w:val="18"/>
          <w:szCs w:val="18"/>
          <w:u w:val="single" w:color="auto"/>
          <w:color w:val="auto"/>
        </w:rPr>
        <w:t>Specified Subordination Agreement</w:t>
      </w:r>
      <w:r>
        <w:rPr>
          <w:rFonts w:ascii="Times New Roman" w:cs="Times New Roman" w:eastAsia="Times New Roman" w:hAnsi="Times New Roman"/>
          <w:sz w:val="18"/>
          <w:szCs w:val="18"/>
          <w:color w:val="auto"/>
        </w:rPr>
        <w:t>. Notwithstanding anything herein to the contrary, the Indebtedness evidenced by this Agreement and the other Loan Documents and the exercise of any right or remedy by the Agent or the Lenders hereunder or thereunder are subject to the provisions of the Specified Subordination Agreement (to the extent such Specified Subordination Agreement is then in effect). In the event of any direct conflict between the terms of the Specified Subordination Agreement and any other Loan Document, the terms of the Specified Subordination Agreement (to the extent such Specified Subordination Agreement is then in effect) shall govern. Notwithstanding anything that may be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4" w:name="page265"/>
    <w:bookmarkEnd w:id="264"/>
    <w:p>
      <w:pPr>
        <w:jc w:val="both"/>
        <w:spacing w:after="0" w:line="258" w:lineRule="auto"/>
        <w:rPr>
          <w:sz w:val="20"/>
          <w:szCs w:val="20"/>
          <w:color w:val="auto"/>
        </w:rPr>
      </w:pPr>
      <w:r>
        <w:rPr>
          <w:rFonts w:ascii="Times New Roman" w:cs="Times New Roman" w:eastAsia="Times New Roman" w:hAnsi="Times New Roman"/>
          <w:sz w:val="18"/>
          <w:szCs w:val="18"/>
          <w:color w:val="auto"/>
        </w:rPr>
        <w:t>contained herein to the contrary, all of the provisions of this Agreement and the other Loan Documents, including without limitation, the covenants of the Credit Parties contained herein and therein and all of the rights, remedies and powers provided for herein and therein, are subject to the provisions of the Specified Subordination Agreement to the extent such Specified Subordination Agreement is then in effect (it being understood that any breach by any Credit Party of its obligations hereunder or thereunder shall nonetheless constitute a default (and to the extent provided herein or therein, an Event of Default) hereunder or thereunder, as applicable, notwithstanding the foregoing).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12.26 </w:t>
      </w:r>
      <w:r>
        <w:rPr>
          <w:rFonts w:ascii="Times New Roman" w:cs="Times New Roman" w:eastAsia="Times New Roman" w:hAnsi="Times New Roman"/>
          <w:sz w:val="18"/>
          <w:szCs w:val="18"/>
          <w:u w:val="single" w:color="auto"/>
          <w:color w:val="auto"/>
        </w:rPr>
        <w:t>Restatement of Original Credit Agreement</w:t>
      </w:r>
      <w:r>
        <w:rPr>
          <w:rFonts w:ascii="Times New Roman" w:cs="Times New Roman" w:eastAsia="Times New Roman" w:hAnsi="Times New Roman"/>
          <w:sz w:val="18"/>
          <w:szCs w:val="18"/>
          <w:color w:val="auto"/>
        </w:rPr>
        <w:t>. The parties hereto agree that, on the Restatement Date, the following transactions shall be deemed to occur automatically, without further action by any party hereto:</w:t>
      </w:r>
    </w:p>
    <w:p>
      <w:pPr>
        <w:spacing w:after="0" w:line="162" w:lineRule="exact"/>
        <w:rPr>
          <w:sz w:val="20"/>
          <w:szCs w:val="20"/>
          <w:color w:val="auto"/>
        </w:rPr>
      </w:pPr>
    </w:p>
    <w:p>
      <w:pPr>
        <w:ind w:left="1680" w:hanging="376"/>
        <w:spacing w:after="0"/>
        <w:tabs>
          <w:tab w:leader="none" w:pos="16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Credit Agreement shall be deemed to be amended and restated in its entirety in the form of this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reaffirms and confirms its obligations under each Loan Document (as defined in the Original Credit Agreement) to which it is a party (including all Collateral Documents (as defined in the Original Credit Agreement) and the security interests previously granted thereunder), as amended, supplemented, or otherwise modified or replaced by the Agreement and by any other Loan Document delivered on the Restatement Date continue in full force and effect and extend to all Indebtedness of each Credit Party under the Loan Documents as modified on the Restatement Date;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Loans (including the Exchanged Term Loans) shall continue to be secured by all Liens provided in connection with the Original Credit Agreement as and to the extent provided in, and subject to the terms of, this Agreement (and from and after the Restatement Date, shall be secured by all Liens provided in connection with this Agreement as and to the extent provided for in, and subject to the terms of,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1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the Loan Documents (as defined in the Original Credit Agreement) to the “Credit Agreement” shall be deemed to refer without further amendment to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do not constitute a novation or termination of the Existing Term Loans and that, to the extent not exchanged for Equity Interests of the Borrower on the Restatement Date, such Existing Term Loans shall in all respects continue and remain outstanding as Exchanged Term Loans under this Agreement with only the terms being modified from and after the Restatement Date of this Agreement as provided in this Agreement and the other Loan Documents;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acknowledge that this Agreement does not constitute a waiver by any Lender or any Agent of any Default or Event of Default under the Original Credit Agreement and any such Default or Event of Default that exists on the Restatement Date shall continue to exist under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Pages Omitted]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I – LOANS AND COMMITMENTS</w:t>
      </w:r>
    </w:p>
    <w:p>
      <w:pPr>
        <w:spacing w:after="0" w:line="229" w:lineRule="exact"/>
        <w:rPr>
          <w:sz w:val="20"/>
          <w:szCs w:val="20"/>
          <w:color w:val="auto"/>
        </w:rPr>
      </w:pPr>
    </w:p>
    <w:p>
      <w:pPr>
        <w:ind w:left="740" w:hanging="408"/>
        <w:spacing w:after="0"/>
        <w:tabs>
          <w:tab w:leader="none" w:pos="7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Existing Term Loans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right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2920" w:type="dxa"/>
            <w:vAlign w:val="bottom"/>
            <w:tcBorders>
              <w:top w:val="single" w:sz="8" w:color="auto"/>
            </w:tcBorders>
          </w:tcPr>
          <w:p>
            <w:pPr>
              <w:spacing w:after="0"/>
              <w:rPr>
                <w:sz w:val="21"/>
                <w:szCs w:val="21"/>
                <w:color w:val="auto"/>
              </w:rPr>
            </w:pPr>
          </w:p>
        </w:tc>
        <w:tc>
          <w:tcPr>
            <w:tcW w:w="4480" w:type="dxa"/>
            <w:vAlign w:val="bottom"/>
            <w:tcBorders>
              <w:top w:val="single" w:sz="8" w:color="auto"/>
              <w:right w:val="single" w:sz="8" w:color="auto"/>
            </w:tcBorders>
            <w:gridSpan w:val="2"/>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Existing Term Loan</w:t>
            </w:r>
          </w:p>
        </w:tc>
      </w:tr>
      <w:tr>
        <w:trPr>
          <w:trHeight w:val="291"/>
        </w:trPr>
        <w:tc>
          <w:tcPr>
            <w:tcW w:w="1640" w:type="dxa"/>
            <w:vAlign w:val="bottom"/>
            <w:tcBorders>
              <w:left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r>
      <w:tr>
        <w:trPr>
          <w:trHeight w:val="263"/>
        </w:trPr>
        <w:tc>
          <w:tcPr>
            <w:tcW w:w="38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CHS US Investments LLC</w:t>
            </w:r>
          </w:p>
        </w:tc>
        <w:tc>
          <w:tcPr>
            <w:tcW w:w="4460" w:type="dxa"/>
            <w:vAlign w:val="bottom"/>
            <w:gridSpan w:val="2"/>
          </w:tcPr>
          <w:p>
            <w:pPr>
              <w:jc w:val="center"/>
              <w:ind w:left="2850"/>
              <w:spacing w:after="0"/>
              <w:rPr>
                <w:sz w:val="20"/>
                <w:szCs w:val="20"/>
                <w:color w:val="auto"/>
              </w:rPr>
            </w:pPr>
            <w:r>
              <w:rPr>
                <w:rFonts w:ascii="Times New Roman" w:cs="Times New Roman" w:eastAsia="Times New Roman" w:hAnsi="Times New Roman"/>
                <w:sz w:val="18"/>
                <w:szCs w:val="18"/>
                <w:color w:val="auto"/>
                <w:w w:val="99"/>
              </w:rPr>
              <w:t>$[___________]</w:t>
            </w:r>
          </w:p>
        </w:tc>
        <w:tc>
          <w:tcPr>
            <w:tcW w:w="2940" w:type="dxa"/>
            <w:vAlign w:val="bottom"/>
            <w:tcBorders>
              <w:right w:val="single" w:sz="8" w:color="auto"/>
            </w:tcBorders>
          </w:tcPr>
          <w:p>
            <w:pPr>
              <w:spacing w:after="0"/>
              <w:rPr>
                <w:sz w:val="22"/>
                <w:szCs w:val="22"/>
                <w:color w:val="auto"/>
              </w:rPr>
            </w:pPr>
          </w:p>
        </w:tc>
      </w:tr>
      <w:tr>
        <w:trPr>
          <w:trHeight w:val="54"/>
        </w:trPr>
        <w:tc>
          <w:tcPr>
            <w:tcW w:w="164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r>
      <w:tr>
        <w:trPr>
          <w:trHeight w:val="263"/>
        </w:trPr>
        <w:tc>
          <w:tcPr>
            <w:tcW w:w="38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60" w:type="dxa"/>
            <w:vAlign w:val="bottom"/>
            <w:gridSpan w:val="2"/>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$[___________]</w:t>
            </w:r>
          </w:p>
        </w:tc>
        <w:tc>
          <w:tcPr>
            <w:tcW w:w="2940" w:type="dxa"/>
            <w:vAlign w:val="bottom"/>
            <w:tcBorders>
              <w:right w:val="single" w:sz="8" w:color="auto"/>
            </w:tcBorders>
          </w:tcPr>
          <w:p>
            <w:pPr>
              <w:spacing w:after="0"/>
              <w:rPr>
                <w:sz w:val="22"/>
                <w:szCs w:val="22"/>
                <w:color w:val="auto"/>
              </w:rPr>
            </w:pPr>
          </w:p>
        </w:tc>
      </w:tr>
      <w:tr>
        <w:trPr>
          <w:trHeight w:val="54"/>
        </w:trPr>
        <w:tc>
          <w:tcPr>
            <w:tcW w:w="164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 Date Term Loan Commitments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right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7400" w:type="dxa"/>
            <w:vAlign w:val="bottom"/>
            <w:tcBorders>
              <w:top w:val="single" w:sz="8" w:color="auto"/>
              <w:right w:val="single" w:sz="8" w:color="auto"/>
            </w:tcBorders>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Restatement Date Term Loan Commitment</w:t>
            </w:r>
          </w:p>
        </w:tc>
      </w:tr>
      <w:tr>
        <w:trPr>
          <w:trHeight w:val="291"/>
        </w:trPr>
        <w:tc>
          <w:tcPr>
            <w:tcW w:w="1640" w:type="dxa"/>
            <w:vAlign w:val="bottom"/>
            <w:tcBorders>
              <w:left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340" w:type="dxa"/>
            <w:vAlign w:val="bottom"/>
            <w:tcBorders>
              <w:top w:val="single" w:sz="8" w:color="auto"/>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63"/>
        </w:trPr>
        <w:tc>
          <w:tcPr>
            <w:tcW w:w="38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CHS US Investments LLC</w:t>
            </w:r>
          </w:p>
        </w:tc>
        <w:tc>
          <w:tcPr>
            <w:tcW w:w="53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$10,000,000.00</w:t>
            </w:r>
          </w:p>
        </w:tc>
        <w:tc>
          <w:tcPr>
            <w:tcW w:w="2040" w:type="dxa"/>
            <w:vAlign w:val="bottom"/>
            <w:tcBorders>
              <w:right w:val="single" w:sz="8" w:color="auto"/>
            </w:tcBorders>
          </w:tcPr>
          <w:p>
            <w:pPr>
              <w:spacing w:after="0"/>
              <w:rPr>
                <w:sz w:val="22"/>
                <w:szCs w:val="22"/>
                <w:color w:val="auto"/>
              </w:rPr>
            </w:pPr>
          </w:p>
        </w:tc>
      </w:tr>
      <w:tr>
        <w:trPr>
          <w:trHeight w:val="54"/>
        </w:trPr>
        <w:tc>
          <w:tcPr>
            <w:tcW w:w="164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r>
      <w:tr>
        <w:trPr>
          <w:trHeight w:val="263"/>
        </w:trPr>
        <w:tc>
          <w:tcPr>
            <w:tcW w:w="38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Gateway Runway, LLC</w:t>
            </w:r>
          </w:p>
        </w:tc>
        <w:tc>
          <w:tcPr>
            <w:tcW w:w="53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rPr>
              <w:t>$5,000,000.00</w:t>
            </w:r>
          </w:p>
        </w:tc>
        <w:tc>
          <w:tcPr>
            <w:tcW w:w="2040" w:type="dxa"/>
            <w:vAlign w:val="bottom"/>
            <w:tcBorders>
              <w:right w:val="single" w:sz="8" w:color="auto"/>
            </w:tcBorders>
          </w:tcPr>
          <w:p>
            <w:pPr>
              <w:spacing w:after="0"/>
              <w:rPr>
                <w:sz w:val="22"/>
                <w:szCs w:val="22"/>
                <w:color w:val="auto"/>
              </w:rPr>
            </w:pPr>
          </w:p>
        </w:tc>
      </w:tr>
      <w:tr>
        <w:trPr>
          <w:trHeight w:val="54"/>
        </w:trPr>
        <w:tc>
          <w:tcPr>
            <w:tcW w:w="164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r>
      <w:tr>
        <w:trPr>
          <w:trHeight w:val="263"/>
        </w:trPr>
        <w:tc>
          <w:tcPr>
            <w:tcW w:w="38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S3 RR Aggregator, LLC</w:t>
            </w:r>
          </w:p>
        </w:tc>
        <w:tc>
          <w:tcPr>
            <w:tcW w:w="53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rPr>
              <w:t>$5,000,000.00</w:t>
            </w:r>
          </w:p>
        </w:tc>
        <w:tc>
          <w:tcPr>
            <w:tcW w:w="2040" w:type="dxa"/>
            <w:vAlign w:val="bottom"/>
            <w:tcBorders>
              <w:right w:val="single" w:sz="8" w:color="auto"/>
            </w:tcBorders>
          </w:tcPr>
          <w:p>
            <w:pPr>
              <w:spacing w:after="0"/>
              <w:rPr>
                <w:sz w:val="22"/>
                <w:szCs w:val="22"/>
                <w:color w:val="auto"/>
              </w:rPr>
            </w:pPr>
          </w:p>
        </w:tc>
      </w:tr>
      <w:tr>
        <w:trPr>
          <w:trHeight w:val="54"/>
        </w:trPr>
        <w:tc>
          <w:tcPr>
            <w:tcW w:w="164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r>
      <w:tr>
        <w:trPr>
          <w:trHeight w:val="263"/>
        </w:trPr>
        <w:tc>
          <w:tcPr>
            <w:tcW w:w="38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3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$20,000,000.00</w:t>
            </w:r>
          </w:p>
        </w:tc>
        <w:tc>
          <w:tcPr>
            <w:tcW w:w="2040" w:type="dxa"/>
            <w:vAlign w:val="bottom"/>
            <w:tcBorders>
              <w:right w:val="single" w:sz="8" w:color="auto"/>
            </w:tcBorders>
          </w:tcPr>
          <w:p>
            <w:pPr>
              <w:spacing w:after="0"/>
              <w:rPr>
                <w:sz w:val="22"/>
                <w:szCs w:val="22"/>
                <w:color w:val="auto"/>
              </w:rPr>
            </w:pPr>
          </w:p>
        </w:tc>
      </w:tr>
      <w:tr>
        <w:trPr>
          <w:trHeight w:val="54"/>
        </w:trPr>
        <w:tc>
          <w:tcPr>
            <w:tcW w:w="164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Loans held by the Lenders (after giving effect to the Restatement Date Transactions)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40" w:type="dxa"/>
            <w:vAlign w:val="bottom"/>
            <w:tcBorders>
              <w:top w:val="single" w:sz="8" w:color="auto"/>
              <w:left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20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16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Term Loans</w:t>
            </w:r>
          </w:p>
        </w:tc>
      </w:tr>
      <w:tr>
        <w:trPr>
          <w:trHeight w:val="290"/>
        </w:trPr>
        <w:tc>
          <w:tcPr>
            <w:tcW w:w="1640" w:type="dxa"/>
            <w:vAlign w:val="bottom"/>
            <w:tcBorders>
              <w:left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r>
      <w:tr>
        <w:trPr>
          <w:trHeight w:val="263"/>
        </w:trPr>
        <w:tc>
          <w:tcPr>
            <w:tcW w:w="364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CHS US Investments LLC</w:t>
            </w:r>
          </w:p>
        </w:tc>
        <w:tc>
          <w:tcPr>
            <w:tcW w:w="200" w:type="dxa"/>
            <w:vAlign w:val="bottom"/>
            <w:tcBorders>
              <w:right w:val="single" w:sz="8" w:color="auto"/>
            </w:tcBorders>
          </w:tcPr>
          <w:p>
            <w:pPr>
              <w:spacing w:after="0"/>
              <w:rPr>
                <w:sz w:val="22"/>
                <w:szCs w:val="22"/>
                <w:color w:val="auto"/>
              </w:rPr>
            </w:pPr>
          </w:p>
        </w:tc>
        <w:tc>
          <w:tcPr>
            <w:tcW w:w="4160" w:type="dxa"/>
            <w:vAlign w:val="bottom"/>
            <w:gridSpan w:val="7"/>
          </w:tcPr>
          <w:p>
            <w:pPr>
              <w:jc w:val="center"/>
              <w:ind w:left="3130"/>
              <w:spacing w:after="0"/>
              <w:rPr>
                <w:sz w:val="20"/>
                <w:szCs w:val="20"/>
                <w:color w:val="auto"/>
              </w:rPr>
            </w:pPr>
            <w:r>
              <w:rPr>
                <w:rFonts w:ascii="Times New Roman" w:cs="Times New Roman" w:eastAsia="Times New Roman" w:hAnsi="Times New Roman"/>
                <w:sz w:val="18"/>
                <w:szCs w:val="18"/>
                <w:color w:val="auto"/>
                <w:w w:val="99"/>
              </w:rPr>
              <w:t>$80,000,000</w:t>
            </w:r>
          </w:p>
        </w:tc>
        <w:tc>
          <w:tcPr>
            <w:tcW w:w="3240" w:type="dxa"/>
            <w:vAlign w:val="bottom"/>
            <w:tcBorders>
              <w:right w:val="single" w:sz="8" w:color="auto"/>
            </w:tcBorders>
          </w:tcPr>
          <w:p>
            <w:pPr>
              <w:spacing w:after="0"/>
              <w:rPr>
                <w:sz w:val="22"/>
                <w:szCs w:val="22"/>
                <w:color w:val="auto"/>
              </w:rPr>
            </w:pPr>
          </w:p>
        </w:tc>
      </w:tr>
      <w:tr>
        <w:trPr>
          <w:trHeight w:val="54"/>
        </w:trPr>
        <w:tc>
          <w:tcPr>
            <w:tcW w:w="164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r>
        <w:trPr>
          <w:trHeight w:val="263"/>
        </w:trPr>
        <w:tc>
          <w:tcPr>
            <w:tcW w:w="364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Gateway Runway, LLC</w:t>
            </w:r>
          </w:p>
        </w:tc>
        <w:tc>
          <w:tcPr>
            <w:tcW w:w="200" w:type="dxa"/>
            <w:vAlign w:val="bottom"/>
            <w:tcBorders>
              <w:right w:val="single" w:sz="8" w:color="auto"/>
            </w:tcBorders>
          </w:tcPr>
          <w:p>
            <w:pPr>
              <w:spacing w:after="0"/>
              <w:rPr>
                <w:sz w:val="22"/>
                <w:szCs w:val="22"/>
                <w:color w:val="auto"/>
              </w:rPr>
            </w:pPr>
          </w:p>
        </w:tc>
        <w:tc>
          <w:tcPr>
            <w:tcW w:w="4160" w:type="dxa"/>
            <w:vAlign w:val="bottom"/>
            <w:gridSpan w:val="7"/>
          </w:tcPr>
          <w:p>
            <w:pPr>
              <w:jc w:val="center"/>
              <w:ind w:left="3130"/>
              <w:spacing w:after="0"/>
              <w:rPr>
                <w:sz w:val="20"/>
                <w:szCs w:val="20"/>
                <w:color w:val="auto"/>
              </w:rPr>
            </w:pPr>
            <w:r>
              <w:rPr>
                <w:rFonts w:ascii="Times New Roman" w:cs="Times New Roman" w:eastAsia="Times New Roman" w:hAnsi="Times New Roman"/>
                <w:sz w:val="18"/>
                <w:szCs w:val="18"/>
                <w:color w:val="auto"/>
                <w:w w:val="99"/>
              </w:rPr>
              <w:t>$20,000,000</w:t>
            </w:r>
          </w:p>
        </w:tc>
        <w:tc>
          <w:tcPr>
            <w:tcW w:w="3240" w:type="dxa"/>
            <w:vAlign w:val="bottom"/>
            <w:tcBorders>
              <w:right w:val="single" w:sz="8" w:color="auto"/>
            </w:tcBorders>
          </w:tcPr>
          <w:p>
            <w:pPr>
              <w:spacing w:after="0"/>
              <w:rPr>
                <w:sz w:val="22"/>
                <w:szCs w:val="22"/>
                <w:color w:val="auto"/>
              </w:rPr>
            </w:pPr>
          </w:p>
        </w:tc>
      </w:tr>
      <w:tr>
        <w:trPr>
          <w:trHeight w:val="54"/>
        </w:trPr>
        <w:tc>
          <w:tcPr>
            <w:tcW w:w="164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r>
        <w:trPr>
          <w:trHeight w:val="263"/>
        </w:trPr>
        <w:tc>
          <w:tcPr>
            <w:tcW w:w="364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S3 RR Aggregator, LLC</w:t>
            </w:r>
          </w:p>
        </w:tc>
        <w:tc>
          <w:tcPr>
            <w:tcW w:w="200" w:type="dxa"/>
            <w:vAlign w:val="bottom"/>
            <w:tcBorders>
              <w:right w:val="single" w:sz="8" w:color="auto"/>
            </w:tcBorders>
          </w:tcPr>
          <w:p>
            <w:pPr>
              <w:spacing w:after="0"/>
              <w:rPr>
                <w:sz w:val="22"/>
                <w:szCs w:val="22"/>
                <w:color w:val="auto"/>
              </w:rPr>
            </w:pPr>
          </w:p>
        </w:tc>
        <w:tc>
          <w:tcPr>
            <w:tcW w:w="4160" w:type="dxa"/>
            <w:vAlign w:val="bottom"/>
            <w:gridSpan w:val="7"/>
          </w:tcPr>
          <w:p>
            <w:pPr>
              <w:jc w:val="center"/>
              <w:ind w:left="3130"/>
              <w:spacing w:after="0"/>
              <w:rPr>
                <w:sz w:val="20"/>
                <w:szCs w:val="20"/>
                <w:color w:val="auto"/>
              </w:rPr>
            </w:pPr>
            <w:r>
              <w:rPr>
                <w:rFonts w:ascii="Times New Roman" w:cs="Times New Roman" w:eastAsia="Times New Roman" w:hAnsi="Times New Roman"/>
                <w:sz w:val="18"/>
                <w:szCs w:val="18"/>
                <w:color w:val="auto"/>
                <w:w w:val="99"/>
              </w:rPr>
              <w:t>$20,000,000</w:t>
            </w:r>
          </w:p>
        </w:tc>
        <w:tc>
          <w:tcPr>
            <w:tcW w:w="3240" w:type="dxa"/>
            <w:vAlign w:val="bottom"/>
            <w:tcBorders>
              <w:right w:val="single" w:sz="8" w:color="auto"/>
            </w:tcBorders>
          </w:tcPr>
          <w:p>
            <w:pPr>
              <w:spacing w:after="0"/>
              <w:rPr>
                <w:sz w:val="22"/>
                <w:szCs w:val="22"/>
                <w:color w:val="auto"/>
              </w:rPr>
            </w:pPr>
          </w:p>
        </w:tc>
      </w:tr>
      <w:tr>
        <w:trPr>
          <w:trHeight w:val="54"/>
        </w:trPr>
        <w:tc>
          <w:tcPr>
            <w:tcW w:w="164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r>
        <w:trPr>
          <w:trHeight w:val="263"/>
        </w:trPr>
        <w:tc>
          <w:tcPr>
            <w:tcW w:w="364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right w:val="single" w:sz="8" w:color="auto"/>
            </w:tcBorders>
          </w:tcPr>
          <w:p>
            <w:pPr>
              <w:spacing w:after="0"/>
              <w:rPr>
                <w:sz w:val="22"/>
                <w:szCs w:val="22"/>
                <w:color w:val="auto"/>
              </w:rPr>
            </w:pPr>
          </w:p>
        </w:tc>
        <w:tc>
          <w:tcPr>
            <w:tcW w:w="7400" w:type="dxa"/>
            <w:vAlign w:val="bottom"/>
            <w:tcBorders>
              <w:right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$120,000,000.00</w:t>
            </w:r>
          </w:p>
        </w:tc>
      </w:tr>
      <w:tr>
        <w:trPr>
          <w:trHeight w:val="54"/>
        </w:trPr>
        <w:tc>
          <w:tcPr>
            <w:tcW w:w="164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r>
        <w:trPr>
          <w:trHeight w:val="547"/>
        </w:trPr>
        <w:tc>
          <w:tcPr>
            <w:tcW w:w="1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277"/>
        </w:trPr>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Exhibit G</w:t>
            </w:r>
          </w:p>
        </w:tc>
        <w:tc>
          <w:tcPr>
            <w:tcW w:w="5260" w:type="dxa"/>
            <w:vAlign w:val="bottom"/>
            <w:gridSpan w:val="5"/>
          </w:tcPr>
          <w:p>
            <w:pPr>
              <w:spacing w:after="0"/>
              <w:rPr>
                <w:sz w:val="24"/>
                <w:szCs w:val="24"/>
                <w:color w:val="auto"/>
              </w:rPr>
            </w:pPr>
          </w:p>
        </w:tc>
      </w:tr>
      <w:tr>
        <w:trPr>
          <w:trHeight w:val="412"/>
        </w:trPr>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7"/>
          </w:tcPr>
          <w:p>
            <w:pPr>
              <w:jc w:val="center"/>
              <w:ind w:right="3960"/>
              <w:spacing w:after="0"/>
              <w:rPr>
                <w:sz w:val="20"/>
                <w:szCs w:val="20"/>
                <w:color w:val="auto"/>
              </w:rPr>
            </w:pPr>
            <w:r>
              <w:rPr>
                <w:rFonts w:ascii="Times New Roman" w:cs="Times New Roman" w:eastAsia="Times New Roman" w:hAnsi="Times New Roman"/>
                <w:sz w:val="18"/>
                <w:szCs w:val="18"/>
                <w:color w:val="auto"/>
                <w:w w:val="99"/>
              </w:rPr>
              <w:t>Form of Rights Offering Backstop Agreement</w:t>
            </w:r>
          </w:p>
        </w:tc>
      </w:tr>
      <w:tr>
        <w:trPr>
          <w:trHeight w:val="20"/>
        </w:trPr>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32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r>
      <w:tr>
        <w:trPr>
          <w:trHeight w:val="412"/>
        </w:trPr>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9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RIGHTS OFFERING BACKSTOP AGREEMENT</w:t>
            </w:r>
          </w:p>
        </w:tc>
        <w:tc>
          <w:tcPr>
            <w:tcW w:w="3640" w:type="dxa"/>
            <w:vAlign w:val="bottom"/>
            <w:gridSpan w:val="2"/>
          </w:tcPr>
          <w:p>
            <w:pPr>
              <w:spacing w:after="0"/>
              <w:rPr>
                <w:sz w:val="24"/>
                <w:szCs w:val="24"/>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RIGHTS OFFERING BACKSTOP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August 20, 2025, is made and entered into by and among Rent the Runway,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CHS US Investments LLC, a Cayman limited liability company (“</w:t>
      </w:r>
      <w:r>
        <w:rPr>
          <w:rFonts w:ascii="Times New Roman" w:cs="Times New Roman" w:eastAsia="Times New Roman" w:hAnsi="Times New Roman"/>
          <w:sz w:val="18"/>
          <w:szCs w:val="18"/>
          <w:u w:val="single" w:color="auto"/>
          <w:color w:val="auto"/>
        </w:rPr>
        <w:t>CHS</w:t>
      </w:r>
      <w:r>
        <w:rPr>
          <w:rFonts w:ascii="Times New Roman" w:cs="Times New Roman" w:eastAsia="Times New Roman" w:hAnsi="Times New Roman"/>
          <w:sz w:val="18"/>
          <w:szCs w:val="18"/>
          <w:color w:val="auto"/>
        </w:rPr>
        <w:t>”), Gateway Runway, LLC, a Delaware limited liability company (“</w:t>
      </w:r>
      <w:r>
        <w:rPr>
          <w:rFonts w:ascii="Times New Roman" w:cs="Times New Roman" w:eastAsia="Times New Roman" w:hAnsi="Times New Roman"/>
          <w:sz w:val="18"/>
          <w:szCs w:val="18"/>
          <w:u w:val="single" w:color="auto"/>
          <w:color w:val="auto"/>
        </w:rPr>
        <w:t>Nexus</w:t>
      </w:r>
      <w:r>
        <w:rPr>
          <w:rFonts w:ascii="Times New Roman" w:cs="Times New Roman" w:eastAsia="Times New Roman" w:hAnsi="Times New Roman"/>
          <w:sz w:val="18"/>
          <w:szCs w:val="18"/>
          <w:color w:val="auto"/>
        </w:rPr>
        <w:t>”), and S3 RR Aggregator, LLC, a Delaware limited liability company (“</w:t>
      </w:r>
      <w:r>
        <w:rPr>
          <w:rFonts w:ascii="Times New Roman" w:cs="Times New Roman" w:eastAsia="Times New Roman" w:hAnsi="Times New Roman"/>
          <w:sz w:val="18"/>
          <w:szCs w:val="18"/>
          <w:u w:val="single" w:color="auto"/>
          <w:color w:val="auto"/>
        </w:rPr>
        <w:t>Story3</w:t>
      </w:r>
      <w:r>
        <w:rPr>
          <w:rFonts w:ascii="Times New Roman" w:cs="Times New Roman" w:eastAsia="Times New Roman" w:hAnsi="Times New Roman"/>
          <w:sz w:val="18"/>
          <w:szCs w:val="18"/>
          <w:color w:val="auto"/>
        </w:rPr>
        <w:t>” and, together with CHS and Nexus, the “</w:t>
      </w:r>
      <w:r>
        <w:rPr>
          <w:rFonts w:ascii="Times New Roman" w:cs="Times New Roman" w:eastAsia="Times New Roman" w:hAnsi="Times New Roman"/>
          <w:sz w:val="18"/>
          <w:szCs w:val="18"/>
          <w:u w:val="single" w:color="auto"/>
          <w:color w:val="auto"/>
        </w:rPr>
        <w:t>Backstop Purchasers</w:t>
      </w:r>
      <w:r>
        <w:rPr>
          <w:rFonts w:ascii="Times New Roman" w:cs="Times New Roman" w:eastAsia="Times New Roman" w:hAnsi="Times New Roman"/>
          <w:sz w:val="18"/>
          <w:szCs w:val="18"/>
          <w:color w:val="auto"/>
        </w:rPr>
        <w:t>”). The Company and the Backstop Purchasers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substantially concurrently with the execution and delivery of this Agreement, the Company and CHS have entered into the Exchange Agreement (as it may be amended from time to time in accordance with its terms,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pursuant to which, among other things, on the terms and subject to the conditions contained therein, CHS will contribute, transfer, assign and convey to the Company all of its rights, title and interest in, to and under the Equity Exchange Obligations in exchange for the Exchange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immediately following the consummation of the transactions contemplated by the Exchange Agreement, CHS will sell a portion of Exchange Stock to Nexus and Story3 on the terms and subject to the conditions of the Debt and Equity Purchase Agreement, dated as of the date hereof, by and among CHS, Nexus and Story3;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capitalized terms used and not otherwise defined herein have the meanings ascribed to them in the Exchange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has proposed to distribute, at no charge, to holders of record of its Class A Common Stock, par value $0.001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Class B Common Stock, par value $0.001 per share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of the close of business on the record date established in the Rights Offering Registration Statement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transferable rights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to subscribe for and purchase additional shares of Class A Common Stock at a subscription price equal to $4.08, which represents a 20% discount to the Average VWAP of the Class A Common Stock over the thirty (30)-day trading period ending as of the close of business on the trading day immediately preceding the date hereof (the “</w:t>
      </w:r>
      <w:r>
        <w:rPr>
          <w:rFonts w:ascii="Times New Roman" w:cs="Times New Roman" w:eastAsia="Times New Roman" w:hAnsi="Times New Roman"/>
          <w:sz w:val="18"/>
          <w:szCs w:val="18"/>
          <w:u w:val="single" w:color="auto"/>
          <w:color w:val="auto"/>
        </w:rPr>
        <w:t>Subscription Price</w:t>
      </w:r>
      <w:r>
        <w:rPr>
          <w:rFonts w:ascii="Times New Roman" w:cs="Times New Roman" w:eastAsia="Times New Roman" w:hAnsi="Times New Roman"/>
          <w:sz w:val="18"/>
          <w:szCs w:val="18"/>
          <w:color w:val="auto"/>
        </w:rPr>
        <w:t>” and such offering, the “</w:t>
      </w:r>
      <w:r>
        <w:rPr>
          <w:rFonts w:ascii="Times New Roman" w:cs="Times New Roman" w:eastAsia="Times New Roman" w:hAnsi="Times New Roman"/>
          <w:sz w:val="18"/>
          <w:szCs w:val="18"/>
          <w:u w:val="single" w:color="auto"/>
          <w:color w:val="auto"/>
        </w:rPr>
        <w:t>Rights Offering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Rights Offering, each Company Stockholder of record as of the close of business on the Record Date (collectively, the “</w:t>
      </w:r>
      <w:r>
        <w:rPr>
          <w:rFonts w:ascii="Times New Roman" w:cs="Times New Roman" w:eastAsia="Times New Roman" w:hAnsi="Times New Roman"/>
          <w:sz w:val="18"/>
          <w:szCs w:val="18"/>
          <w:u w:val="single" w:color="auto"/>
          <w:color w:val="auto"/>
        </w:rPr>
        <w:t>Eligible Common Stockholders</w:t>
      </w:r>
      <w:r>
        <w:rPr>
          <w:rFonts w:ascii="Times New Roman" w:cs="Times New Roman" w:eastAsia="Times New Roman" w:hAnsi="Times New Roman"/>
          <w:sz w:val="18"/>
          <w:szCs w:val="18"/>
          <w:color w:val="auto"/>
        </w:rPr>
        <w:t>”) will receive one (1) Right for each share of Common Stock held by such Company Stockholder as of the close of business on the Record Date, and each Right will entitle the holder to purchase one (1) share of Class A Common Stock at the Subscription Price (the “</w:t>
      </w:r>
      <w:r>
        <w:rPr>
          <w:rFonts w:ascii="Times New Roman" w:cs="Times New Roman" w:eastAsia="Times New Roman" w:hAnsi="Times New Roman"/>
          <w:sz w:val="18"/>
          <w:szCs w:val="18"/>
          <w:u w:val="single" w:color="auto"/>
          <w:color w:val="auto"/>
        </w:rPr>
        <w:t>Basic Subscription Right</w:t>
      </w:r>
      <w:r>
        <w:rPr>
          <w:rFonts w:ascii="Times New Roman" w:cs="Times New Roman" w:eastAsia="Times New Roman" w:hAnsi="Times New Roman"/>
          <w:sz w:val="18"/>
          <w:szCs w:val="18"/>
          <w:color w:val="auto"/>
        </w:rPr>
        <w:t>”), subject to adjustment in accordance with the Rights Offering Registration Statement and any amendments thereto;</w:t>
      </w:r>
    </w:p>
    <w:p>
      <w:pPr>
        <w:sectPr>
          <w:pgSz w:w="11900" w:h="16838" w:orient="portrait"/>
          <w:cols w:equalWidth="0" w:num="1">
            <w:col w:w="11240"/>
          </w:cols>
          <w:pgMar w:left="320" w:top="536" w:right="339" w:bottom="0" w:gutter="0" w:footer="0" w:header="0"/>
        </w:sectPr>
      </w:pPr>
    </w:p>
    <w:bookmarkStart w:id="266" w:name="page267"/>
    <w:bookmarkEnd w:id="266"/>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subject to and in accordance with the Rights Offering Registration Statement and any amendments thereto, each Company Stockholder who exercises his, her or its Basic Subscription Rights may subscribe for additional shares of Class A Common Stock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color w:val="auto"/>
        </w:rPr>
        <w:t>they are available, at the Subscription Price (the “</w:t>
      </w:r>
      <w:r>
        <w:rPr>
          <w:rFonts w:ascii="Times New Roman" w:cs="Times New Roman" w:eastAsia="Times New Roman" w:hAnsi="Times New Roman"/>
          <w:sz w:val="18"/>
          <w:szCs w:val="18"/>
          <w:u w:val="single" w:color="auto"/>
          <w:color w:val="auto"/>
        </w:rPr>
        <w:t>Over-Subscription Right</w:t>
      </w:r>
      <w:r>
        <w:rPr>
          <w:rFonts w:ascii="Times New Roman" w:cs="Times New Roman" w:eastAsia="Times New Roman" w:hAnsi="Times New Roman"/>
          <w:sz w:val="18"/>
          <w:szCs w:val="18"/>
          <w:color w:val="auto"/>
        </w:rPr>
        <w:t>” and, together with the Basic Subscription Right, the “</w:t>
      </w:r>
      <w:r>
        <w:rPr>
          <w:rFonts w:ascii="Times New Roman" w:cs="Times New Roman" w:eastAsia="Times New Roman" w:hAnsi="Times New Roman"/>
          <w:sz w:val="18"/>
          <w:szCs w:val="18"/>
          <w:u w:val="single" w:color="auto"/>
          <w:color w:val="auto"/>
        </w:rPr>
        <w:t>Subscription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receive aggregate consideration of $12,500,000 in connection with the Rights Offering;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in order to provide assurance that the Company receives aggregate consideration of $12,500,000 in connection with the Rights Offering, the Company has offered to the Backstop Purchasers the opportunity, and each Backstop Purchaser has agreed and committed, to purchase from the Company upon expiration of the Rights Offering, at the Subscription Price, shares of Class A Common Stock not otherwise sold in the Rights Offering, subject to the terms and conditions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intending to be legally bound hereby, agree as follows:</w:t>
      </w:r>
    </w:p>
    <w:p>
      <w:pPr>
        <w:spacing w:after="0" w:line="162"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Backstop Commitment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05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consummation of the Rights Offering, the terms and conditions of which shall be subject to the prior written approval of the Backstop Purchasers (not to be unreasonably withheld, conditioned or delayed) and shall be customary for offerings of this type, and the terms and conditions set forth herein, in order to provide assurance that the Rights Offering will be fully subscribed, each Backstop Purchaser hereby commits to purchase from the Company, and the Company hereby agrees to sell to such Backstop Purchaser, at the Subscription Price, any and all Unsubscribed Shares, in accordance with such Backstop Purchaser’s Backstop Percentage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Backstop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Backstop Commitment of such Backstop Purchaser shall not exceed the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It is understood that the Unsubscribed Shares shall be allocated for the purposes of the Backstop Commitment among the Backstop Purchasers proportionally in accordance with their respective Backstop Percentage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Unsubscribed Shares</w:t>
      </w:r>
      <w:r>
        <w:rPr>
          <w:rFonts w:ascii="Times New Roman" w:cs="Times New Roman" w:eastAsia="Times New Roman" w:hAnsi="Times New Roman"/>
          <w:sz w:val="18"/>
          <w:szCs w:val="18"/>
          <w:color w:val="auto"/>
        </w:rPr>
        <w:t>” means a number of shares of Class A Common Stock equal to the excess, if any, of (i) the aggregate number of shares of Class A Common Stock that may be purchased pursuant to all Rights issued by the Company in connection with the Rights Offering, less (ii) the aggregate number of shares of Class A Common Stock that are purchased by the Eligible Common Stockholders in the Rights Offering pursuant to the exercise of the Subscription Rights.</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9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the closing of the Rights Offering, the Company shall issue to each Backstop Purchaser a notice (the “</w:t>
      </w:r>
      <w:r>
        <w:rPr>
          <w:rFonts w:ascii="Times New Roman" w:cs="Times New Roman" w:eastAsia="Times New Roman" w:hAnsi="Times New Roman"/>
          <w:sz w:val="18"/>
          <w:szCs w:val="18"/>
          <w:u w:val="single" w:color="auto"/>
          <w:color w:val="auto"/>
        </w:rPr>
        <w:t>Subscription Notice</w:t>
      </w:r>
      <w:r>
        <w:rPr>
          <w:rFonts w:ascii="Times New Roman" w:cs="Times New Roman" w:eastAsia="Times New Roman" w:hAnsi="Times New Roman"/>
          <w:sz w:val="18"/>
          <w:szCs w:val="18"/>
          <w:color w:val="auto"/>
        </w:rPr>
        <w:t>”) setting forth the number of shares of Class A Common Stock subscribed for in the Rights Offering pursuant to the exercise of the Subscription Rights by the Eligible Common Stockholders and the aggregate gross proceeds of the Rights Offering and, accordingly, the number of Unsubscribed Shares to be acquired by such Backstop Purchaser pursuant to the Backstop Commitment at the Rights Subscription Price. Shares of Class A Common Stock acquired by the Backstop Purchasers pursuant to the Backstop Commitment are collectively referred to as the “</w:t>
      </w:r>
      <w:r>
        <w:rPr>
          <w:rFonts w:ascii="Times New Roman" w:cs="Times New Roman" w:eastAsia="Times New Roman" w:hAnsi="Times New Roman"/>
          <w:sz w:val="18"/>
          <w:szCs w:val="18"/>
          <w:u w:val="single" w:color="auto"/>
          <w:color w:val="auto"/>
        </w:rPr>
        <w:t>Backstop Acquired Shares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8" w:name="page269"/>
    <w:bookmarkEnd w:id="268"/>
    <w:p>
      <w:pPr>
        <w:jc w:val="both"/>
        <w:ind w:firstLine="656"/>
        <w:spacing w:after="0" w:line="259" w:lineRule="auto"/>
        <w:tabs>
          <w:tab w:leader="none" w:pos="104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Agreement shall have been terminated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 the closing of the Backstop Commitment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by means of a virtual closing through electronic exchange of signatures on the later of (i) immediately following the Effective Time, and (ii) the second (2nd) Business Day following the satisfaction or waiver (to the extent permitted herein and by applicable Law) of the conditions set forth in Section</w:t>
      </w:r>
      <w:r>
        <w:rPr>
          <w:rFonts w:ascii="Times New Roman" w:cs="Times New Roman" w:eastAsia="Times New Roman" w:hAnsi="Times New Roman"/>
          <w:sz w:val="18"/>
          <w:szCs w:val="18"/>
          <w:b w:val="1"/>
          <w:bCs w:val="1"/>
          <w:i w:val="1"/>
          <w:iCs w:val="1"/>
          <w:color w:val="auto"/>
        </w:rPr>
        <w:t>‎</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(other than those conditions that by their nature are to be satisfied at the Closing, but subject to the satisfaction or waiver of those conditions at such time) or on such other date, time or at such place as agreed to in writing by the Company and the Backstop Purchasers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03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Company shall automatically (without a need for any further action on the part of, or notice to, the Company or any other Person) issue to the Backstop Purchasers the Backstop Acquired Shares via the facilities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in book entry form, free and clear of all Liens (other than any restrictions on transfer arising under applicable securities Laws), against payment by or on behalf of the Backstop Purchasers of the aggregate Rights Subscription Price for all such shares by wire transfer in immediately available funds to the account designated by the Company in writing at least two (2) Business Days prior to the Closing. In furtherance of the foregoing, the Company shall cooperate with each Backstop Purchaser and take such actions as may be necessary to (i) instruct the Company’s transfer agent to issue the Backstop Acquired Shares to each Backstop Purchaser effective as of the Closing, and (ii) deliver to each Backstop Purchaser evidence thereof in a form customarily delivered by the Company’s transfer agent.</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 by the Backstop Purchasers</w:t>
      </w:r>
      <w:r>
        <w:rPr>
          <w:rFonts w:ascii="Times New Roman" w:cs="Times New Roman" w:eastAsia="Times New Roman" w:hAnsi="Times New Roman"/>
          <w:sz w:val="18"/>
          <w:szCs w:val="18"/>
          <w:color w:val="auto"/>
        </w:rPr>
        <w:t>. Each Backstop Purchaser represents and warrants, severally and not jointly, to the Company as follows:</w:t>
      </w:r>
    </w:p>
    <w:p>
      <w:pPr>
        <w:spacing w:after="0" w:line="162" w:lineRule="exact"/>
        <w:rPr>
          <w:sz w:val="20"/>
          <w:szCs w:val="20"/>
          <w:color w:val="auto"/>
        </w:rPr>
      </w:pPr>
    </w:p>
    <w:p>
      <w:pPr>
        <w:jc w:val="both"/>
        <w:ind w:firstLine="656"/>
        <w:spacing w:after="0" w:line="254" w:lineRule="auto"/>
        <w:tabs>
          <w:tab w:leader="none" w:pos="112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Such Backstop Purchaser is a corporation, partnership or limited liability company duly organized, validly existing and in good standing under the Laws of its state or country of organization and has all requisite corporate, partnership or limited liability company power and authority necessary to own, lease and operate its properties and to carry on its business as presently conducted, except as has not had, and would not reasonably be expected to have, individually or in the aggregate, a material adverse effect on the ability of such Backstop Purchaser to consummate the transactions contemplated by this Agreement. Such Backstop Purchaser is duly licensed or qualified to do business as a foreign corporation, partnership or limited liability company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material adverse effect on the ability of such Backstop Purchaser to consummate the transactions contemplated by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3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Such Backstop Purchaser has all requisite corporate, partnership or limited liability company (as the case may be) power and authority to execute and deliver this Agreement and to consummate the transactions contemplated hereby. The execution, delivery and performance by such Backstop Purchaser of this Agreement and the consummation by such Backstop Purchaser of the transactions contemplated hereby have been duly authorized by all necessary corporate, partnership or limited liability company (as the case may be) action on the part of such Backstop Purchaser and no other corporate, partnership or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69" w:name="page270"/>
    <w:bookmarkEnd w:id="269"/>
    <w:p>
      <w:pPr>
        <w:jc w:val="both"/>
        <w:spacing w:after="0" w:line="261" w:lineRule="auto"/>
        <w:rPr>
          <w:sz w:val="20"/>
          <w:szCs w:val="20"/>
          <w:color w:val="auto"/>
        </w:rPr>
      </w:pPr>
      <w:r>
        <w:rPr>
          <w:rFonts w:ascii="Times New Roman" w:cs="Times New Roman" w:eastAsia="Times New Roman" w:hAnsi="Times New Roman"/>
          <w:sz w:val="18"/>
          <w:szCs w:val="18"/>
          <w:color w:val="auto"/>
        </w:rPr>
        <w:t>limited liability company (as the case may be) proceedings on the part of such Backstop Purchaser are necessary to approve this Agreement and to consummate the transactions contemplated hereby. Such Backstop Purchaser has duly executed and delivered this Agreement, and, assuming the due authorization, execution and delivery of this Agreement on behalf of the other Parties, this Agreement constitutes its legal, valid and binding obligation, enforceable against it in accordance with its terms, subject to the Bankruptcy and Equity Exception.</w:t>
      </w:r>
    </w:p>
    <w:p>
      <w:pPr>
        <w:spacing w:after="0" w:line="180" w:lineRule="exact"/>
        <w:rPr>
          <w:sz w:val="20"/>
          <w:szCs w:val="20"/>
          <w:color w:val="auto"/>
        </w:rPr>
      </w:pPr>
    </w:p>
    <w:p>
      <w:pPr>
        <w:ind w:left="1040" w:hanging="384"/>
        <w:spacing w:after="0"/>
        <w:tabs>
          <w:tab w:leader="none" w:pos="10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Such Backstop Purchaser is an “accredited investor” as defined in Rule 501(a) under the Securities Act.</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13"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such Backstop Purchaser of this Agreement does not, and the consummation of the transactions contemplated hereby and compliance with the provisions hereof will not (A)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such Backstop Purchaser or any of its Subsidiaries or to which any of them are a party or by or to which any of their respective properties, rights or assets are bound or subject or result in the creation of any Lien upon any of the properties, rights or assets of such Backstop Purchaser or any of its Subsidiaries, other than Permitted Liens, (B) conflict with or result in any violation of any provision of such Backstop Purchaser’s organizational documents, or (C) conflict with or violate any Laws applicable to such Backstop Purchaser or any of its Subsidiaries or any of their respective properties, rights or assets, other than,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any such violation, conflict, default, termination, cancellation, acceleration, right, loss or Lien that has not had and would not reasonably be expected to have, individually or in the aggregate, a material adverse effect on the ability of such Backstop Purchaser to consummate the transactions contemplated by this Agreement.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36"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or registration, declaration or filing with any Governmental Authority is required to be obtained or made by such Backstop Purchaser in connection with the execution, delivery and performance of this Agreement or the consummation of the transactions contemplated hereby, other than (A) the filing with the SEC of such reports under Sections 13 and 16 of the Exchange Act as may be required in connection with this Agreement and the transactions contemplated hereby, (B) any Consents, registrations, declarations or filings required to be obtained or made as a result of the identity, nature, business or operations of Company or any of its Subsidiaries or Affiliates, and (C) such other items that, individually or in the aggregate, have not had and would not reasonably be expected to have, individually or in the aggregate, a material adverse effect on the ability of such Backstop Purchaser to consummate the transactions contemplated by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3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such Backstop Purchaser, threatened in writing against such Backstop Purchaser or any of its Subsidiaries or any of the directors or officers of such Backstop Purchaser or any of its Subsidiaries in their capacity as such, which, in any such case, has had or would reasonably be expected to have, individually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color w:val="auto"/>
        </w:rPr>
        <w:t>or in the aggregate, a material adverse effect on the ability of such Backstop Purchaser to consummate the transactions contemplated by this Agreement.</w:t>
      </w:r>
    </w:p>
    <w:p>
      <w:pPr>
        <w:spacing w:after="0" w:line="225" w:lineRule="exact"/>
        <w:rPr>
          <w:sz w:val="20"/>
          <w:szCs w:val="20"/>
          <w:color w:val="auto"/>
        </w:rPr>
      </w:pPr>
    </w:p>
    <w:p>
      <w:pPr>
        <w:jc w:val="both"/>
        <w:ind w:firstLine="656"/>
        <w:spacing w:after="0" w:line="253" w:lineRule="auto"/>
        <w:tabs>
          <w:tab w:leader="none" w:pos="104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xml:space="preserve">. Such Backstop Purchaser acknowledges that (i) it has had the opportunity to review the Transaction Documents (including all exhibits and schedules thereto) and the SEC Documents and has been afforded (A) the opportunity to ask such questions as it has deemed necessary of, and to receive answers from, Representatives of the Company concerning the terms and conditions of the Backstop Commitment and the merits and risks of acquiring the Backstop Acquired Shares; (B) access to information about the Company and its financial condition, results of operations, business, properties, management and prospects sufficient to enable it to evaluate its investment; and (C) the opportunity to obtain such additional information that the Company possesses or can acquire without unreasonable effort or expense that is necessary to make an informed investment decision with respect to the investment, and (ii) it has, independently and without reliance upon any statement, representation or warranty made by any Person (including any of the Company’s financial advisors or other Representatives), other than such statements, representations and warranties of the Company expressly contained in this Agreement, and based on such information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made its own analysis and decision to enter into this Agreement and the transactions contemplated hereby and that it has not relied on the analysis and decision or due diligence investigation of any other Person (including any of the Company’s financial advisors or other Representatives).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Sophistication</w:t>
      </w:r>
      <w:r>
        <w:rPr>
          <w:rFonts w:ascii="Times New Roman" w:cs="Times New Roman" w:eastAsia="Times New Roman" w:hAnsi="Times New Roman"/>
          <w:sz w:val="18"/>
          <w:szCs w:val="18"/>
          <w:color w:val="auto"/>
        </w:rPr>
        <w:t>. Such Backstop Purchaser, either alone or together with its Representatives, has such knowledge, sophistication and experience in business and financial matters so as to be capable of evaluating the merits and risks of the transactions contemplated by this Agreement, and has so evaluated the merits and risks of such transactions, including the Backstop Commitment. Such Backstop Purchaser is able to bear the economic risk of the acquisition of the Backstop Acquired Shares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06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Such Backstop Purchaser is acquiring Backstop Acquired Shares for its own account, with the intention of holding such shares for investment and with no present intention of participating, directly or indirectly, in a distribution of the shares.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or Stabilization of Price</w:t>
      </w:r>
      <w:r>
        <w:rPr>
          <w:rFonts w:ascii="Times New Roman" w:cs="Times New Roman" w:eastAsia="Times New Roman" w:hAnsi="Times New Roman"/>
          <w:sz w:val="18"/>
          <w:szCs w:val="18"/>
          <w:color w:val="auto"/>
        </w:rPr>
        <w:t>. In connection with the Rights Offering, such Backstop Purchaser has not taken and will not take, directly or indirectly, any action designed to or that would constitute or that might reasonably be expected to cause or result in, under the Exchange Act or otherwise, stabilization or manipulation of the price of any security of the Company in order to facilitate the sale or resale of any securities of the Company, and it is not aware of any such action taken or to be taken by any Person.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12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Registration</w:t>
      </w:r>
      <w:r>
        <w:rPr>
          <w:rFonts w:ascii="Times New Roman" w:cs="Times New Roman" w:eastAsia="Times New Roman" w:hAnsi="Times New Roman"/>
          <w:sz w:val="18"/>
          <w:szCs w:val="18"/>
          <w:color w:val="auto"/>
        </w:rPr>
        <w:t>. Such Backstop Purchaser understands (i) that the offer and sale of the Backstop Acquired Shares to be purchased by it pursuant to the terms of this Agreement have not been registered under the Securities Act or any state securities Laws, (ii) the Company shall not be required to effect any registration or qualification of the Backstop Acquired Shares under the Securities Act or any state securities Laws, except pursuant to the Investor Rights Agreement to be entered by and between the Company and the Backstop Purchasers, (iii) that the Backstop Acquired Shares will be issued in reliance upon exemptions contained in the Securities Act or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1" w:name="page272"/>
    <w:bookmarkEnd w:id="271"/>
    <w:p>
      <w:pPr>
        <w:jc w:val="both"/>
        <w:spacing w:after="0" w:line="289" w:lineRule="auto"/>
        <w:rPr>
          <w:sz w:val="20"/>
          <w:szCs w:val="20"/>
          <w:color w:val="auto"/>
        </w:rPr>
      </w:pPr>
      <w:r>
        <w:rPr>
          <w:rFonts w:ascii="Times New Roman" w:cs="Times New Roman" w:eastAsia="Times New Roman" w:hAnsi="Times New Roman"/>
          <w:sz w:val="17"/>
          <w:szCs w:val="17"/>
          <w:color w:val="auto"/>
        </w:rPr>
        <w:t>interpretations thereof and in the applicable state securities Laws, and (iv) that the Backstop Acquired Shares may not be offered for sale, sold or otherwise transferred except pursuant to a registration statement under the Securities Act or in a transaction exempt from or not subject to registration under the Securities Act. Further, the following legends (or similar language) shall be placed on such certificate(s), if any, representing the Backstop Acquired Shares: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(THE “SECURITIES ACT”), OR REGISTERED AND/OR QUALIFIED UNDER ANY STATE SECURITIES LAWS. THE SECURITIES REPRESENTED BY THIS CERTIFICATE MAY NOT BE TRANSFERRED EXCEPT (A) PURSUANT TO AN EFFECTIVE REGISTRATION STATEMENT UNDER THE SECURITIES ACT, AND REGISTRATION AND/OR QUALIFICATION UNDER APPLICABLE STATE SECURITIES LAWS, (B) IN A TRANSACTION WHICH IS EXEMPT FROM REGISTRATION UNDER THE SECURITIES ACT, AND REGISTRATION AND/OR QUALIFICATION UNDER APPLICABLE STATE SECURITIES LAWS PROVIDED THAT AT THE ISSUER’S REQUEST, THE TRANSFEROR THEREOF SHALL HAVE DELIVERED TO THE ISSUER AN OPINION OF COUNSEL (WHICH OPINION SHALL BE IN FORM, SUBSTANCE AND SCOPE REASONABLY SATISFACTORY TO THE ISSUER) TO THE EFFECT THAT SUCH SECURITIES MAY BE SOLD OR TRANSFERRED PURSUANT TO AN EXEMPTION FROM SUCH REGISTRATION, OR (C) SUCH SECURITIES MAY BE SOLD PURSUANT TO RULE 144 PROMULGATED UNDER THE SECURITIES ACT.</w:t>
      </w:r>
    </w:p>
    <w:p>
      <w:pPr>
        <w:spacing w:after="0" w:line="190" w:lineRule="exact"/>
        <w:rPr>
          <w:sz w:val="20"/>
          <w:szCs w:val="20"/>
          <w:color w:val="auto"/>
        </w:rPr>
      </w:pPr>
    </w:p>
    <w:p>
      <w:pPr>
        <w:jc w:val="both"/>
        <w:ind w:firstLine="656"/>
        <w:spacing w:after="0" w:line="254" w:lineRule="auto"/>
        <w:tabs>
          <w:tab w:leader="none" w:pos="106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The legend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2(j) above shall be removed and the Company shall issue a certificate (or book entry notation, as applicable) without such legend or any other legend to the holder of the applicable Backstop Acquired Shares upon which it is stamped or issue to such holder by electronic delivery at the applicable balance account at the DTC, if (i) such shares are registered for resale under the Securities Act and sold pursuant to the effective registration statement registering the shares for resale, (ii) such shares are sold or transferred pursuant to and in compliance with Rule 144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or another similar exemption from registration, or (iii) an opinion of counsel is provided to the Company, in form, substance and scope customary for opinions of counsel in comparable transactions, to the effect that such shares are eligible for sale under Rule 144, without the requirement for the Company to be in compliance with the current public information required under Rule 144 as to such securities and without volume or manner-of-sale restrictions. Certificates (or book entry notations) for Backstop Acquired Shares subject to legend removal hereunder will be transmitted by the Company to such Backstop Purchaser or may be transmitted by the Company’s transfer agent to such Backstop Purchaser by crediting the DTC account of such Backstop Purchaser’s broker or other DTC participant as directed by such Backstop Purchaser.</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083"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Sufficiency of Funds</w:t>
      </w:r>
      <w:r>
        <w:rPr>
          <w:rFonts w:ascii="Times New Roman" w:cs="Times New Roman" w:eastAsia="Times New Roman" w:hAnsi="Times New Roman"/>
          <w:sz w:val="18"/>
          <w:szCs w:val="18"/>
          <w:color w:val="auto"/>
        </w:rPr>
        <w:t>. Such Backstop Purchaser has and will have available funds sufficient to pay the aggregate Subscription Price for all Class A Common Stock to be purchased by such Backstop Purchaser hereunder.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2" w:name="page273"/>
    <w:bookmarkEnd w:id="272"/>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The Company represents and warrants to each Backstop Purchaser as follows:</w:t>
      </w:r>
    </w:p>
    <w:p>
      <w:pPr>
        <w:spacing w:after="0" w:line="225" w:lineRule="exact"/>
        <w:rPr>
          <w:sz w:val="20"/>
          <w:szCs w:val="20"/>
          <w:color w:val="auto"/>
        </w:rPr>
      </w:pPr>
    </w:p>
    <w:p>
      <w:pPr>
        <w:jc w:val="both"/>
        <w:ind w:firstLine="656"/>
        <w:spacing w:after="0" w:line="255" w:lineRule="auto"/>
        <w:tabs>
          <w:tab w:leader="none" w:pos="106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Existence and Good Standing</w:t>
      </w:r>
      <w:r>
        <w:rPr>
          <w:rFonts w:ascii="Times New Roman" w:cs="Times New Roman" w:eastAsia="Times New Roman" w:hAnsi="Times New Roman"/>
          <w:sz w:val="18"/>
          <w:szCs w:val="18"/>
          <w:color w:val="auto"/>
        </w:rPr>
        <w:t>. The Company is a corporation duly incorporated, validly existing and in good standing under the Laws of the State of Delaware and has all requisite corporate power and authority necessary to own, lease and operate its properties and to carry on its business as presently conducted, except (other than with respect to the Company’s due incorporation, valid existence and good standing) as has not had, and would not reasonably be expected to have, individually or in the aggregate, a Company Material Adverse Effect. The Company is duly licensed or qualified to do business as a foreign corporation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07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Company has all requisite corporate power and authority to execute and deliver this Agreement and to consummate the transactions contemplated hereby. The execution, delivery and performance by the Company of this Agreement and the consummation by the Company of the transactions contemplated hereby have been duly authorized by all necessary corporate action on the part of the Company and, to the extent required by the rules of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subject to Stockholder Approval (as defined below), no other corporate proceedings on the part of the Company are necessary to approve this Agreement and to consummate the transactions contemplated hereby. The Company has duly executed and delivered this Agreement, and, assuming the due authorization, execution and delivery of this Agreement on behalf of the other Parties, this Agreement constitutes its legal, valid and binding obligation, enforceable against it in accordance with its terms, subject to the Bankruptcy and Equity Exception and, to the extent required by the rules of Nasdaq, the Stockholder Approval.</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Shares</w:t>
      </w:r>
      <w:r>
        <w:rPr>
          <w:rFonts w:ascii="Times New Roman" w:cs="Times New Roman" w:eastAsia="Times New Roman" w:hAnsi="Times New Roman"/>
          <w:sz w:val="18"/>
          <w:szCs w:val="18"/>
          <w:color w:val="auto"/>
        </w:rPr>
        <w:t>. All of the shares of Backstop Acquired Shares to be issued pursuant to this Agreement will be, as of the date of their issuance, duly authorized by all necessary corporate action on the part of the Company and, when issued and delivered by the Company against payment therefor as provided in this Agreement, (i) will be validly issued, fully paid and nonassessable, (ii) will be free and clear of all Liens (other than any restrictions on transfer arising under applicable securities Laws), and (iii) will not be subject to any statutory or contractual preemptive rights or other similar rights of stockholders.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13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Investment Company</w:t>
      </w:r>
      <w:r>
        <w:rPr>
          <w:rFonts w:ascii="Times New Roman" w:cs="Times New Roman" w:eastAsia="Times New Roman" w:hAnsi="Times New Roman"/>
          <w:sz w:val="18"/>
          <w:szCs w:val="18"/>
          <w:color w:val="auto"/>
        </w:rPr>
        <w:t>. The Company is not required to register as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does not, and the consummation of the transactions contemplated hereby and compliance with the provisions hereof will not, (A) conflict with, or result in any breach or violation of or default or change of control (with or without notice or lapse of time, or both) under, or give rise to a right of, or result in, termination, modification, cancellation, first offer, first refusal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3" w:name="page274"/>
    <w:bookmarkEnd w:id="273"/>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or acceleration of any obligation under any Contract binding upon the Company or any of its Subsidiaries or to which any of them are a party or by or to which any of their respective properties, rights or assets are bound or subject or result in the creation of any Lien upon any of the properties, rights or assets of the Company or any of its Subsidiaries, other than Permitted Liens, (B) conflict with or result in any violation of any provision of the Company Governing Documents or organizational documents of the Company’s Subsidiaries, or (C) conflict with or violate any Laws applicable to the Company or any of its Subsidiaries or any of their respective properties, rights or assets, other than,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any such violation, conflict, default, termination, cancellation, acceleration, right, loss or Lien that has not been or would not reasonably be expected to be, individually or in the aggregate, material to the Company and its Subsidiaries, taken as a whole.</w:t>
      </w:r>
    </w:p>
    <w:p>
      <w:pPr>
        <w:spacing w:after="0" w:line="189" w:lineRule="exact"/>
        <w:rPr>
          <w:sz w:val="20"/>
          <w:szCs w:val="20"/>
          <w:color w:val="auto"/>
        </w:rPr>
      </w:pPr>
    </w:p>
    <w:p>
      <w:pPr>
        <w:jc w:val="both"/>
        <w:ind w:firstLine="1304"/>
        <w:spacing w:after="0" w:line="256" w:lineRule="auto"/>
        <w:tabs>
          <w:tab w:leader="none" w:pos="179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or in compliance with (A) the DGCL, (B) the Securities Act, (C) the Exchange Act, (D) other applicable state or federal securities Laws, and (E) any applicable requirements of Nasdaq, no Consent of, or registration, declaration or filing with any Governmental Authority is necessary or required, under applicable Law, to be obtained or made by or with respect to the Company or any of its Subsidiaries in connection with the execution, delivery and performance of this Agreement or the consummation of the transactions contemplated by this Agreement, except for such Consents or filings that, if not obtained or made, would not reasonably be expected to be material to the Company and its Subsidiaries, taken as a whole.</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102"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in writing against the Company or any of its Subsidiaries, any of the directors or officers of the Company or any of its Subsidiaries in their capacity as such or affecting any of the business, operations, properties or assets of the Company or any of its Subsidiaries which, in any such case, has had or would reasonably be expected to have, individually or in the aggregate, a Company Material Adverse Effect. Neither the Company nor any of its Subsidiaries is in default with respect to any Judgment that is applicable to the Company or any of its Subsidiaries which, in any such case, has had or would reasonably be expected to have, individually or in the aggregate, a Company Material Adverse Effect.</w:t>
      </w:r>
    </w:p>
    <w:p>
      <w:pPr>
        <w:spacing w:after="0" w:line="18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105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Backstop Purchaser’s obligation to purchase shares of Class A Common Stock pursuant to its Backstop Commitment is subject to the following conditions: (i) the Company shall be in compliance with its obligations under this Agreement in all material respects; (ii) the representations and warranties of the Company set forth in this Agreement shall be true and correct as of the date of this Agreement and the Closing and the failure of any such representations and warranties to be so true and correct has not resulted in, and would not reasonably be expected to result in, individually or in the aggregate, a Company Material Adverse Effect; and (iii) to the extent required by the rules of Nasdaq, the Company shall have obtained the Stockholder Approval.</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hereunder are subject to the following conditions: (i) the Backstop Purchasers shall be in compliance with their respective obligations under this Agreement in all material respects; (ii) the representations and warranties of the Backstop Purchasers hereunder shall be true and correct as of the date of this Agreement and the Closing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4" w:name="page275"/>
    <w:bookmarkEnd w:id="274"/>
    <w:p>
      <w:pPr>
        <w:jc w:val="both"/>
        <w:spacing w:after="0" w:line="266" w:lineRule="auto"/>
        <w:rPr>
          <w:sz w:val="20"/>
          <w:szCs w:val="20"/>
          <w:color w:val="auto"/>
        </w:rPr>
      </w:pPr>
      <w:r>
        <w:rPr>
          <w:rFonts w:ascii="Times New Roman" w:cs="Times New Roman" w:eastAsia="Times New Roman" w:hAnsi="Times New Roman"/>
          <w:sz w:val="18"/>
          <w:szCs w:val="18"/>
          <w:color w:val="auto"/>
        </w:rPr>
        <w:t>and the failure of any such representations and warranties to be so true and correct has not resulted in, and would not reasonably be expected to result in, individually or in the aggregate, a material adverse effect on the ability of the Backstop Purchasers to consummate the transactions contemplated by this Agreement; and (iii) to the extent required by the rules of Nasdaq, the Company shall have obtained the Stockholder Approval.</w:t>
      </w:r>
    </w:p>
    <w:p>
      <w:pPr>
        <w:spacing w:after="0" w:line="176" w:lineRule="exact"/>
        <w:rPr>
          <w:sz w:val="20"/>
          <w:szCs w:val="20"/>
          <w:color w:val="auto"/>
        </w:rPr>
      </w:pPr>
    </w:p>
    <w:p>
      <w:pPr>
        <w:jc w:val="both"/>
        <w:ind w:firstLine="656"/>
        <w:spacing w:after="0" w:line="261" w:lineRule="auto"/>
        <w:tabs>
          <w:tab w:leader="none" w:pos="102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is further subject to the satisfaction or waiver of the following conditions: (i) consummation of the Rights Offering and delivery of the Subscription Notice to the Backstop Purchasers; (ii) to the extent required by the rules of Nasdaq, stockholder approval of this Agreement and the issuance of the Backstop Acquired Shares in compliance with Nasdaq Rule 5635 (the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 (iii) the consummation of the Exchange Transactions.</w:t>
      </w:r>
    </w:p>
    <w:p>
      <w:pPr>
        <w:spacing w:after="0" w:line="180"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82" w:lineRule="auto"/>
        <w:tabs>
          <w:tab w:leader="none" w:pos="1041"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Backstop Purchasers; Other</w:t>
      </w:r>
      <w:r>
        <w:rPr>
          <w:rFonts w:ascii="Times New Roman" w:cs="Times New Roman" w:eastAsia="Times New Roman" w:hAnsi="Times New Roman"/>
          <w:sz w:val="18"/>
          <w:szCs w:val="18"/>
          <w:color w:val="auto"/>
        </w:rPr>
        <w:t>. This Agreement shall terminate (i) automatically without any action by or on behalf of any Party or any other Person if the Exchange Agreement is validly terminated in accordance with its terms, or (ii) upon the Parties’ mutual written consent.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The Company and the Backstop Purchasers hereby agree that any termination of this Agreement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(other than termination by one Party in the event of a willful and material breach of a Party of, or fraud with respect to, any of such Party’s representations, warranties, covenants or agreements set forth in this Agreement occurring prior to such termination), shall be without liability to the Company or any Backstop Purchaser.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Rule 144 Availability; Public Information</w:t>
      </w:r>
      <w:r>
        <w:rPr>
          <w:rFonts w:ascii="Times New Roman" w:cs="Times New Roman" w:eastAsia="Times New Roman" w:hAnsi="Times New Roman"/>
          <w:sz w:val="18"/>
          <w:szCs w:val="18"/>
          <w:color w:val="auto"/>
        </w:rPr>
        <w:t>. At all times during the period commencing on the Closing Date and ending at such time that all of the Backstop Acquired Shares can be sold without the requirement to be in compliance with Rule 144(c)(1) under the Securities Act and otherwise without restriction or limitation pursuant to Rule 144 under the Securities Act, the Company shall use its reasonable best efforts to ensure the availability of Rule 144 under the Securities Act to each Backstop Purchaser with regard to the Backstop Acquired Shares, including compliance with Rule 144(c)(1) under the Securities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deemed given when delivered, if delivered personally, emailed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email states that it is a notice sent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 or sent by overnight courier (providing proof of delivery) to the Parties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-175895</wp:posOffset>
            </wp:positionV>
            <wp:extent cx="4368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156"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if to the Company, 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5" w:name="page276"/>
    <w:bookmarkEnd w:id="275"/>
    <w:p>
      <w:pPr>
        <w:ind w:left="196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60" w:right="1740" w:firstLine="320"/>
        <w:spacing w:after="0" w:line="500" w:lineRule="auto"/>
        <w:tabs>
          <w:tab w:leader="none" w:pos="124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Backstop Purchaser, to the address set forth next to such Backstop Purchaser’s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Section 9. </w:t>
      </w:r>
      <w:r>
        <w:rPr>
          <w:rFonts w:ascii="Times New Roman" w:cs="Times New Roman" w:eastAsia="Times New Roman" w:hAnsi="Times New Roman"/>
          <w:sz w:val="18"/>
          <w:szCs w:val="18"/>
          <w:u w:val="single" w:color="auto"/>
          <w:color w:val="auto"/>
        </w:rPr>
        <w:t>Specific Performance; Exclusive Jurisdiction; Waiver of Jury Trial</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firstLine="656"/>
        <w:spacing w:after="0" w:line="254" w:lineRule="auto"/>
        <w:tabs>
          <w:tab w:leader="none" w:pos="104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 claim or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03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hereby in any court other than the Court of Chancery of the State of Delaware and any federal court located in the State of Delaware, or, if neither of such courts has subject matter jurisdiction, any state court of the State of Delaware having subject matter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color w:val="auto"/>
        </w:rPr>
        <w:t>jurisdiction, and (iv) consents to service of process being made through the notice procedures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-5080</wp:posOffset>
            </wp:positionV>
            <wp:extent cx="4286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9" w:lineRule="exact"/>
        <w:rPr>
          <w:sz w:val="20"/>
          <w:szCs w:val="20"/>
          <w:color w:val="auto"/>
        </w:rPr>
      </w:pPr>
    </w:p>
    <w:p>
      <w:pPr>
        <w:jc w:val="both"/>
        <w:ind w:firstLine="656"/>
        <w:spacing w:after="0" w:line="266" w:lineRule="auto"/>
        <w:tabs>
          <w:tab w:leader="none" w:pos="108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HEREBY KNOWINGLY, INTENTIONALLY AND VOLUNTARILY IRREVOCABLY WAIVES ANY AND ALL RIGHTS TO TRIAL BY JURY IN ANY LEGAL PROCEEDING ARISING OUT OF OR RELATED TO THIS AGREEMENT OR THE TRANSACTIONS.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Amendment; Waiver; Counterparts</w:t>
      </w:r>
      <w:r>
        <w:rPr>
          <w:rFonts w:ascii="Times New Roman" w:cs="Times New Roman" w:eastAsia="Times New Roman" w:hAnsi="Times New Roman"/>
          <w:sz w:val="18"/>
          <w:szCs w:val="18"/>
          <w:color w:val="auto"/>
        </w:rPr>
        <w:t>. This Agreement may not be modified, amended or supplemented, except by written instrument executed by the Parties. Any of the terms or provisions hereof may be waived in writing at any time by the Party that is entitled to the benefits of such waived terms or provisions. No failure to exercise, and no delay in exercising, any right, power or privilege under this Agreement will operate as a waiver, nor will any single or partial exercise of any right, power or privilege hereunder preclude the exercise of any other right, power or privilege. No waiver of any breach of any provision will be deemed to be a waiver of any preceding or succeeding breach of the same or any other provision, nor will any waiver be implied from any course of dealing between the Parties. No extension of time for performance of any obligations or other acts hereunder or under any other agreement will be deemed to be an extension of the time for performance of any other obligations or any other acts.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This Agreement, collectively with the other Transaction Documents, constitutes the entire agreement, and supersedes all prior agreements and understandings, both written and oral, between the Parties with respect to the subject matter hereof and is not intended to confer upon any Person other than the Parties any rights or remedies.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to the extent set forth in Section 12.4 of the Existing Credit Agreement, each Party shall pay its own fees and expenses in connection with the transactions contemplated hereby.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shall be considered one and the same agreement and shall become effective when one or more counterparts have been signed by each of the Parties and delivered to each other Party. Delivery of an executed counterpart of a signature page to this Agreement by “.pdf” format, scanned pages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color w:val="auto"/>
        </w:rPr>
        <w:t>or electronic signature shall be effective as delivery of a manually executed counterpart to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operation of law or otherwise by any of the Parties without the prior written consent of each other Party, except that each Backstop Purchaser may, upon prior written notice to the Company, assign, in its sole discretion, any or all of its rights, interests and obligations under this Agreement to any Affiliate of such Backstop Purchaser, so long as such Backstop Purchaser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covenants and other agreements in this Agreement or in any instrument delivered pursuant to this Agreement, shall survive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16 shall not limit any covenant or agreement of the Parties which by its terms contemplates performance at or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-175895</wp:posOffset>
            </wp:positionV>
            <wp:extent cx="4851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color w:val="auto"/>
        </w:rPr>
        <w:t>IN WITNESS WHEREOF, the Parties have duly executed and delivered this Agreement, all as of the date first set forth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0" w:lineRule="exact"/>
        <w:rPr>
          <w:sz w:val="20"/>
          <w:szCs w:val="20"/>
          <w:color w:val="auto"/>
        </w:rPr>
      </w:pPr>
    </w:p>
    <w:p>
      <w:pPr>
        <w:spacing w:after="0" w:line="27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BACKSTOP PURCHASERS</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CHS US INVESTMENTS LLC</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CHS GP LP, as manager</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CHS UGP LLC, as general partner</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Brady Schuck</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GATEWAY RUNWAY, LLC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Damian Giangiacomo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S3 RR AGGREGATOR, LLC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Peter Comisar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Representative</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i w:val="1"/>
          <w:iCs w:val="1"/>
          <w:color w:val="auto"/>
        </w:rPr>
        <w:t>[Signature Page to Rights Offering Backstop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365125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540" w:right="1440" w:bottom="1440" w:gutter="0" w:footer="0" w:header="0"/>
        </w:sectPr>
      </w:pPr>
    </w:p>
    <w:bookmarkStart w:id="279" w:name="page280"/>
    <w:bookmarkEnd w:id="279"/>
    <w:tbl>
      <w:tblPr>
        <w:tblLayout w:type="fixed"/>
        <w:tblInd w:w="1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Exhibit A</w:t>
            </w:r>
          </w:p>
        </w:tc>
        <w:tc>
          <w:tcPr>
            <w:tcW w:w="5260" w:type="dxa"/>
            <w:vAlign w:val="bottom"/>
          </w:tcPr>
          <w:p>
            <w:pPr>
              <w:spacing w:after="0"/>
              <w:rPr>
                <w:sz w:val="17"/>
                <w:szCs w:val="17"/>
                <w:color w:val="auto"/>
              </w:rPr>
            </w:pPr>
          </w:p>
        </w:tc>
      </w:tr>
      <w:tr>
        <w:trPr>
          <w:trHeight w:val="453"/>
        </w:trPr>
        <w:tc>
          <w:tcPr>
            <w:tcW w:w="4180" w:type="dxa"/>
            <w:vAlign w:val="bottom"/>
          </w:tcPr>
          <w:p>
            <w:pPr>
              <w:spacing w:after="0"/>
              <w:rPr>
                <w:sz w:val="24"/>
                <w:szCs w:val="24"/>
                <w:color w:val="auto"/>
              </w:rPr>
            </w:pPr>
          </w:p>
        </w:tc>
        <w:tc>
          <w:tcPr>
            <w:tcW w:w="70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Notice Address of Backstop Purchasers</w:t>
            </w:r>
          </w:p>
        </w:tc>
      </w:tr>
      <w:tr>
        <w:trPr>
          <w:trHeight w:val="216"/>
        </w:trPr>
        <w:tc>
          <w:tcPr>
            <w:tcW w:w="4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323"/>
        </w:trPr>
        <w:tc>
          <w:tcPr>
            <w:tcW w:w="4180" w:type="dxa"/>
            <w:vAlign w:val="bottom"/>
            <w:tcBorders>
              <w:left w:val="single" w:sz="8" w:color="auto"/>
              <w:bottom w:val="single" w:sz="8" w:color="D9D9D9"/>
              <w:right w:val="single" w:sz="8" w:color="auto"/>
            </w:tcBorders>
            <w:shd w:val="clear" w:color="auto" w:fill="D9D9D9"/>
          </w:tcPr>
          <w:p>
            <w:pPr>
              <w:ind w:left="1340"/>
              <w:spacing w:after="0"/>
              <w:rPr>
                <w:sz w:val="20"/>
                <w:szCs w:val="20"/>
                <w:color w:val="auto"/>
              </w:rPr>
            </w:pPr>
            <w:r>
              <w:rPr>
                <w:rFonts w:ascii="Times New Roman" w:cs="Times New Roman" w:eastAsia="Times New Roman" w:hAnsi="Times New Roman"/>
                <w:sz w:val="18"/>
                <w:szCs w:val="18"/>
                <w:b w:val="1"/>
                <w:bCs w:val="1"/>
                <w:color w:val="auto"/>
              </w:rPr>
              <w:t>Backstop Purchaser</w:t>
            </w:r>
          </w:p>
        </w:tc>
        <w:tc>
          <w:tcPr>
            <w:tcW w:w="1060" w:type="dxa"/>
            <w:vAlign w:val="bottom"/>
            <w:tcBorders>
              <w:bottom w:val="single" w:sz="8" w:color="D9D9D9"/>
            </w:tcBorders>
            <w:shd w:val="clear" w:color="auto" w:fill="D9D9D9"/>
          </w:tcPr>
          <w:p>
            <w:pPr>
              <w:spacing w:after="0"/>
              <w:rPr>
                <w:sz w:val="24"/>
                <w:szCs w:val="24"/>
                <w:color w:val="auto"/>
              </w:rPr>
            </w:pPr>
          </w:p>
        </w:tc>
        <w:tc>
          <w:tcPr>
            <w:tcW w:w="740" w:type="dxa"/>
            <w:vAlign w:val="bottom"/>
            <w:tcBorders>
              <w:bottom w:val="single" w:sz="8" w:color="D9D9D9"/>
            </w:tcBorders>
            <w:shd w:val="clear" w:color="auto" w:fill="D9D9D9"/>
          </w:tcPr>
          <w:p>
            <w:pPr>
              <w:spacing w:after="0"/>
              <w:rPr>
                <w:sz w:val="24"/>
                <w:szCs w:val="24"/>
                <w:color w:val="auto"/>
              </w:rPr>
            </w:pPr>
          </w:p>
        </w:tc>
        <w:tc>
          <w:tcPr>
            <w:tcW w:w="5260" w:type="dxa"/>
            <w:vAlign w:val="bottom"/>
            <w:tcBorders>
              <w:bottom w:val="single" w:sz="8" w:color="D9D9D9"/>
              <w:right w:val="single" w:sz="8" w:color="auto"/>
            </w:tcBorders>
            <w:shd w:val="clear" w:color="auto" w:fill="D9D9D9"/>
          </w:tcPr>
          <w:p>
            <w:pPr>
              <w:ind w:left="1140"/>
              <w:spacing w:after="0"/>
              <w:rPr>
                <w:sz w:val="20"/>
                <w:szCs w:val="20"/>
                <w:color w:val="auto"/>
              </w:rPr>
            </w:pPr>
            <w:r>
              <w:rPr>
                <w:rFonts w:ascii="Times New Roman" w:cs="Times New Roman" w:eastAsia="Times New Roman" w:hAnsi="Times New Roman"/>
                <w:sz w:val="18"/>
                <w:szCs w:val="18"/>
                <w:b w:val="1"/>
                <w:bCs w:val="1"/>
                <w:color w:val="auto"/>
              </w:rPr>
              <w:t>Notice Address</w:t>
            </w:r>
          </w:p>
        </w:tc>
      </w:tr>
      <w:tr>
        <w:trPr>
          <w:trHeight w:val="245"/>
        </w:trPr>
        <w:tc>
          <w:tcPr>
            <w:tcW w:w="4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CHS US Investments LLC</w:t>
            </w:r>
          </w:p>
        </w:tc>
        <w:tc>
          <w:tcPr>
            <w:tcW w:w="706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CHS US Investments LLC</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432"/>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r>
      <w:tr>
        <w:trPr>
          <w:trHeight w:val="414"/>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Proskauer Rose LLP</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54"/>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45"/>
        </w:trPr>
        <w:tc>
          <w:tcPr>
            <w:tcW w:w="4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Gateway Runway, LLC</w:t>
            </w: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 Nexus Capital Management LP</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432"/>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r>
      <w:tr>
        <w:trPr>
          <w:trHeight w:val="414"/>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54"/>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45"/>
        </w:trPr>
        <w:tc>
          <w:tcPr>
            <w:tcW w:w="4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 RR Aggregator, LLC</w:t>
            </w: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 Story3 Capital Partners LLC</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432"/>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r>
      <w:tr>
        <w:trPr>
          <w:trHeight w:val="414"/>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54"/>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304"/>
        </w:trPr>
        <w:tc>
          <w:tcPr>
            <w:tcW w:w="4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27" w:right="339" w:bottom="1440" w:gutter="0" w:footer="0" w:header="0"/>
        </w:sectPr>
      </w:pPr>
    </w:p>
    <w:bookmarkStart w:id="280" w:name="page281"/>
    <w:bookmarkEnd w:id="280"/>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Backstop Purchaser Backstop Commitment Allocation Schedule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3840" w:type="dxa"/>
            <w:vAlign w:val="bottom"/>
            <w:tcBorders>
              <w:top w:val="single" w:sz="8" w:color="auto"/>
              <w:left w:val="single" w:sz="8" w:color="auto"/>
              <w:bottom w:val="single" w:sz="8" w:color="D9D9D9"/>
              <w:right w:val="single" w:sz="8" w:color="auto"/>
            </w:tcBorders>
            <w:shd w:val="clear" w:color="auto" w:fill="D9D9D9"/>
          </w:tcPr>
          <w:p>
            <w:pPr>
              <w:ind w:left="1160"/>
              <w:spacing w:after="0"/>
              <w:rPr>
                <w:sz w:val="20"/>
                <w:szCs w:val="20"/>
                <w:color w:val="auto"/>
              </w:rPr>
            </w:pPr>
            <w:r>
              <w:rPr>
                <w:rFonts w:ascii="Times New Roman" w:cs="Times New Roman" w:eastAsia="Times New Roman" w:hAnsi="Times New Roman"/>
                <w:sz w:val="18"/>
                <w:szCs w:val="18"/>
                <w:b w:val="1"/>
                <w:bCs w:val="1"/>
                <w:color w:val="auto"/>
              </w:rPr>
              <w:t>Backstop Purchaser</w:t>
            </w:r>
          </w:p>
        </w:tc>
        <w:tc>
          <w:tcPr>
            <w:tcW w:w="37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Backstop Percentage</w:t>
            </w:r>
          </w:p>
        </w:tc>
        <w:tc>
          <w:tcPr>
            <w:tcW w:w="37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Backstop Commitment Amount</w:t>
            </w:r>
          </w:p>
        </w:tc>
      </w:tr>
      <w:tr>
        <w:trPr>
          <w:trHeight w:val="26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CHS US Investments LLC</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$8,750,000</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64"/>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Gateway Runway, LLC</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$1,875,000</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63"/>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 RR Aggregator, LLC</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$1,875,000</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INVESTOR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August 20,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made and entered into by and among Rent the Runway,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parties listed as Investors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The Company and each Investor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substantially concurrently with the execution and delivery of this Agreement, the Company and CHS US Investments LLC, a Cayman limited liability company (together with its Affiliates, “</w:t>
      </w:r>
      <w:r>
        <w:rPr>
          <w:rFonts w:ascii="Times New Roman" w:cs="Times New Roman" w:eastAsia="Times New Roman" w:hAnsi="Times New Roman"/>
          <w:sz w:val="18"/>
          <w:szCs w:val="18"/>
          <w:u w:val="single" w:color="auto"/>
          <w:color w:val="auto"/>
        </w:rPr>
        <w:t>CHS</w:t>
      </w:r>
      <w:r>
        <w:rPr>
          <w:rFonts w:ascii="Times New Roman" w:cs="Times New Roman" w:eastAsia="Times New Roman" w:hAnsi="Times New Roman"/>
          <w:sz w:val="18"/>
          <w:szCs w:val="18"/>
          <w:color w:val="auto"/>
        </w:rPr>
        <w:t>”), have entered into the Exchange Agreement (as it may be amended from time to time in accordance with its terms,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pursuant to which, among other things, on the terms and subject to the conditions therein, CHS will contribute, transfer, assign and convey to the Company all of its rights, title and interest in, to and under the Equity Exchange Obligations in exchange for the Exchange Stock;</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immediately following the consummation of the transactions contemplated by the Exchange Agreement, CHS will sell a portion of the Exchange Stock to Gateway Runway, LLC, a Delaware limited liability company (together with its Affiliates, “</w:t>
      </w:r>
      <w:r>
        <w:rPr>
          <w:rFonts w:ascii="Times New Roman" w:cs="Times New Roman" w:eastAsia="Times New Roman" w:hAnsi="Times New Roman"/>
          <w:sz w:val="18"/>
          <w:szCs w:val="18"/>
          <w:u w:val="single" w:color="auto"/>
          <w:color w:val="auto"/>
        </w:rPr>
        <w:t>Nexus</w:t>
      </w:r>
      <w:r>
        <w:rPr>
          <w:rFonts w:ascii="Times New Roman" w:cs="Times New Roman" w:eastAsia="Times New Roman" w:hAnsi="Times New Roman"/>
          <w:sz w:val="18"/>
          <w:szCs w:val="18"/>
          <w:color w:val="auto"/>
        </w:rPr>
        <w:t>”), and S3 RR Aggregator, LLC a Delaware limited liability company (together with its Affiliates, “</w:t>
      </w:r>
      <w:r>
        <w:rPr>
          <w:rFonts w:ascii="Times New Roman" w:cs="Times New Roman" w:eastAsia="Times New Roman" w:hAnsi="Times New Roman"/>
          <w:sz w:val="18"/>
          <w:szCs w:val="18"/>
          <w:u w:val="single" w:color="auto"/>
          <w:color w:val="auto"/>
        </w:rPr>
        <w:t>Story3</w:t>
      </w:r>
      <w:r>
        <w:rPr>
          <w:rFonts w:ascii="Times New Roman" w:cs="Times New Roman" w:eastAsia="Times New Roman" w:hAnsi="Times New Roman"/>
          <w:sz w:val="18"/>
          <w:szCs w:val="18"/>
          <w:color w:val="auto"/>
        </w:rPr>
        <w:t>”), on the terms and subject to the conditions of the Debt and Equity Purchase Agreement, dated as of the Effective Date, by and among CHS, Nexus and Story3;</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WHEREAS, immediately following the consummation of the transactions contemplated by the Exchange Agreement, the Stockholders Agreement, dated October 29, 2021, by and among the Company, Jennifer Y. Hyman (“</w:t>
      </w:r>
      <w:r>
        <w:rPr>
          <w:rFonts w:ascii="Times New Roman" w:cs="Times New Roman" w:eastAsia="Times New Roman" w:hAnsi="Times New Roman"/>
          <w:sz w:val="18"/>
          <w:szCs w:val="18"/>
          <w:u w:val="single" w:color="auto"/>
          <w:color w:val="auto"/>
        </w:rPr>
        <w:t>JYH</w:t>
      </w:r>
      <w:r>
        <w:rPr>
          <w:rFonts w:ascii="Times New Roman" w:cs="Times New Roman" w:eastAsia="Times New Roman" w:hAnsi="Times New Roman"/>
          <w:sz w:val="18"/>
          <w:szCs w:val="18"/>
          <w:color w:val="auto"/>
        </w:rPr>
        <w:t>”), entities affiliated with Bain Capital Ventures, entities affiliated with Highland Capital Partners and certain related parties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will terminate in accordance with its terms;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substantially concurrently with the execution and delivery of this Agreement, all existing Directors (as defined herein), other than JYH, have delivered to the Company their respective resignations from the Board and all applicable committees thereof, with such resignations to be effective automatically and without further action by or on behalf of such Director or any other Person upon the consummation of the Exchange Transactions;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capitalized terms used and not otherwise defined herein have the meanings ascribed to them in the Exchange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in connection with the consummation of the Exchange Transactions, the Parties desire to set forth their agreement with respect to governance of the Company, registration rights and certain other matters set forth herein, in each case, effective as of the Exchange Closing in accordance with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82" w:name="page283"/>
    <w:bookmarkEnd w:id="28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intending to be legally bound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u w:val="single" w:color="auto"/>
          <w:color w:val="auto"/>
        </w:rPr>
        <w:t>Definitions; Interpretation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(as the same may be amended or amended and restated from time to time in accordance with their terms).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Twelfth Amended and Restated Certificate of Incorporation of the Company (as the same may be amended or amended and restated from time to time in accordance with its terms, including pursuant to the Amended and Restated Charter).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respect to any Person, any share, share capital, capital stock, equity interests, ownership interests, partnership, membership, joint venture or similar interest in such Person (including any stock appreciation, phantom stock, profit participation, restricted stock awards or similar rights), whether voting or nonvoting, and any option, warrant, right or security (including debt securities) convertible, exchangeable or exercisable therefor.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Closing</w:t>
      </w:r>
      <w:r>
        <w:rPr>
          <w:rFonts w:ascii="Times New Roman" w:cs="Times New Roman" w:eastAsia="Times New Roman" w:hAnsi="Times New Roman"/>
          <w:sz w:val="18"/>
          <w:szCs w:val="18"/>
          <w:color w:val="auto"/>
        </w:rPr>
        <w:t>” means the closing of the transactions contemplated by the Exchange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Form S-8</w:t>
      </w:r>
      <w:r>
        <w:rPr>
          <w:rFonts w:ascii="Times New Roman" w:cs="Times New Roman" w:eastAsia="Times New Roman" w:hAnsi="Times New Roman"/>
          <w:sz w:val="18"/>
          <w:szCs w:val="18"/>
          <w:color w:val="auto"/>
        </w:rPr>
        <w:t>” mean respective forms under the Securities Act and any successor registration forms to the form in question.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means, collectively, JYH, Benjamin Stauffer, JYH 2021 Children’s Trust dtd 10/12/21 Justin Finnegan TTEE, BS 2021 Family Trust dtd 10/12/21 Justin Finnegan TTEE, JYH 2012 Article 2nd Trust dtd 1/23/20 Linda Hyman &amp; Justine Finnegan TTEES and Linda S Hyman &amp; Dov I Hyman JTWROS.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means any Party owning Registrable Securities or any assignee thereof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Majority</w:t>
      </w:r>
      <w:r>
        <w:rPr>
          <w:rFonts w:ascii="Times New Roman" w:cs="Times New Roman" w:eastAsia="Times New Roman" w:hAnsi="Times New Roman"/>
          <w:sz w:val="18"/>
          <w:szCs w:val="18"/>
          <w:color w:val="auto"/>
        </w:rPr>
        <w:t>” means Investors that continue to meet the Minimum Ownership Threshold as of the time of calculation holding a majority of all issued and outstanding shares of Class A Common Stock held by all Investors that continue to meet the Minimum Ownership Threshold as of such time.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3" w:name="page284"/>
    <w:bookmarkEnd w:id="283"/>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Investor</w:t>
      </w:r>
      <w:r>
        <w:rPr>
          <w:rFonts w:ascii="Times New Roman" w:cs="Times New Roman" w:eastAsia="Times New Roman" w:hAnsi="Times New Roman"/>
          <w:sz w:val="18"/>
          <w:szCs w:val="18"/>
          <w:color w:val="auto"/>
        </w:rPr>
        <w:t>” means, as of any date, each Investor that, together with its Affiliates, beneficially owns, directly or indirectly, in the aggregate at least five percent (5%) of all issued and outstanding shares of Class A Common Stock as of such date, subject to appropriate adjustment in the event of any stock dividend, stock split, combination or other similar recapitalization event.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Participating Holders</w:t>
      </w:r>
      <w:r>
        <w:rPr>
          <w:rFonts w:ascii="Times New Roman" w:cs="Times New Roman" w:eastAsia="Times New Roman" w:hAnsi="Times New Roman"/>
          <w:sz w:val="18"/>
          <w:szCs w:val="18"/>
          <w:color w:val="auto"/>
        </w:rPr>
        <w:t>” means, with respect to any registration of Registrable Securities, the Registrable Investors at the relevant time holding at least a majority of the Registrable Securities to be included in the registration statement in question.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Ownership Threshold</w:t>
      </w:r>
      <w:r>
        <w:rPr>
          <w:rFonts w:ascii="Times New Roman" w:cs="Times New Roman" w:eastAsia="Times New Roman" w:hAnsi="Times New Roman"/>
          <w:sz w:val="18"/>
          <w:szCs w:val="18"/>
          <w:color w:val="auto"/>
        </w:rPr>
        <w:t>” means, with respect to each Investor, that such Investor continues to own at least twenty-five percent (25%) of the shares of Class A Common Stock held by such Investor as of the Exchange Closing, and after giving effect to the Transactions, including the Conversions and any shares acquired pursuant to the Rights Offering Backstop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means, with respect to a specified result, all commercially reasonable actions required to cause such result that are within the power of a specified Person, including (i) if requested by the Board, calling special meetings of stockholders, (ii) voting or providing a written consent or proxy with respect to the Equity Securities owned by the Person obligated to undertake the necessary action, (iii) voting in favor of the adoption of stockholders’ resolutions and amendments to the organizational documents of the Company, (iv) executing agreements and instruments, and (v) making, or causing to be made, with Governmental Authorities, all filings, registrations or similar actions that are required to achieve such result.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Non-Marketed Take-Down Share</w:t>
      </w:r>
      <w:r>
        <w:rPr>
          <w:rFonts w:ascii="Times New Roman" w:cs="Times New Roman" w:eastAsia="Times New Roman" w:hAnsi="Times New Roman"/>
          <w:sz w:val="18"/>
          <w:szCs w:val="18"/>
          <w:color w:val="auto"/>
        </w:rPr>
        <w:t xml:space="preserve">” means, with respect to each Initiating Shelf Holder and each other Notice Recipient delivering a notice with respect to and participating in a Non-Marketed Underwritten Shelf Take-Down subject to </w:t>
      </w:r>
      <w:r>
        <w:rPr>
          <w:rFonts w:ascii="Times New Roman" w:cs="Times New Roman" w:eastAsia="Times New Roman" w:hAnsi="Times New Roman"/>
          <w:sz w:val="18"/>
          <w:szCs w:val="18"/>
          <w:u w:val="single" w:color="auto"/>
          <w:color w:val="auto"/>
        </w:rPr>
        <w:t>Section 4.02(d)</w:t>
      </w:r>
      <w:r>
        <w:rPr>
          <w:rFonts w:ascii="Times New Roman" w:cs="Times New Roman" w:eastAsia="Times New Roman" w:hAnsi="Times New Roman"/>
          <w:sz w:val="18"/>
          <w:szCs w:val="18"/>
          <w:color w:val="auto"/>
        </w:rPr>
        <w:t xml:space="preserve">, a number equal to the product of (i) the total number of Registrable Securities to be included in such Non-Marketed Underwritten Shelf Take-Down pursuant to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and (ii) a fraction, the numerator of which is the total number of Registrable Securities beneficially owned by the Initiating Shelf Holder or such participating Notice Recipient, as applicable, and the denominator of which is the total number of Registrable Securities beneficially owned by the Initiating Shelf Holder and all participating Notice Recipients delivering a notice and participating in such Non-Marketed Underwritten Shelf Take-Down.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a prospectus that includes any information previously omitted from a prospectus filed as part of an effective registration statement in reliance upon Rule 430A promulgated by the SEC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or similar document in compliance with the Securities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color w:val="auto"/>
        </w:rPr>
        <w:t>Act, and the automatic effectiveness or the declaration or ordering of effectiveness of such registration statement or document.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(i) any shares of Class A Common Stock owned by a Registrable Investor, (ii) any shares of Class A Common Stock issued or issuable upon exercise, conversion or exchange of any other securities of the Company, held by a Registrable Investor from time to time, and (iii) any shares of Class A Common Stock directly or indirectly issued or issuable in respect of the shares referenced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by way of stock dividend or stock split or in connection with a combination of shares, recapitalization, reclassification or similar event, in each case, held by any Registrable Investor. The Registrable Securities of any Holder shall cease to be Registrable Securities when (a) a registration statement with respect to the sale of such Registrable Securities shall have become effective under the Securities Act and such securities shall have been disposed of in accordance with such registration statement, (b) such Registrable Securities shall have been distributed to the public pursuant to Rule 144, or (c) upon any transfer in any manner to a Person which is not entitled to the rights under this Agreement. For purposes of this Agreement, the number of Registrable Securities outstanding at any time shall be determined by adding the number of shares of Class A Common Stock or other securities which are then outstanding, and the maximum number of shares of Class A Common Stock or other securities issuable (directly or indirectly) pursuant to then convertible securities which upon issuance would be Registrable Securities.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Investors</w:t>
      </w:r>
      <w:r>
        <w:rPr>
          <w:rFonts w:ascii="Times New Roman" w:cs="Times New Roman" w:eastAsia="Times New Roman" w:hAnsi="Times New Roman"/>
          <w:sz w:val="18"/>
          <w:szCs w:val="18"/>
          <w:color w:val="auto"/>
        </w:rPr>
        <w:t>” means each of the Founder, CHS, Nexus and Story3.</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means all expenses incident to performance of or compliance with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by the Company, including all registration and filing fees, all listing fees, all fees and expenses of complying with securities or blue sky laws, all printing and automated document preparation expenses, all messenger and delivery expenses, the fees and disbursements of counsel for the Company and of its independent public accountants, including the expenses of any special audits required by or incident to such performance and compliance, and the reasonable fees and disbursements of one counsel for the Holders on whose behalf Registrable Securities are being registered, but excluding underwriting discounts and commissions and applicable transfer taxes, if any, which shall be borne by the sellers of the Registrable Securities in all cases.</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 and any successor rule or regulation thereto, and in the case of any referenced section of such rule, any successor section thereto, collectively and as from time to time amended and in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under the Securities Act, as such rule may be amended or interpreted from time to time, or any similar rule or regulation hereafter adopted by the SEC having substantially the same purpose and effect as such rule.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guidance of the SEC staff, or any comments, requirements or requests of the SEC staff, and (ii)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Holder</w:t>
      </w:r>
      <w:r>
        <w:rPr>
          <w:rFonts w:ascii="Times New Roman" w:cs="Times New Roman" w:eastAsia="Times New Roman" w:hAnsi="Times New Roman"/>
          <w:sz w:val="18"/>
          <w:szCs w:val="18"/>
          <w:color w:val="auto"/>
        </w:rPr>
        <w:t>” means any Holder whose Registrable Securities are included in a Shelf Registration Statement.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5" w:name="page286"/>
    <w:bookmarkEnd w:id="28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means a registration statement providing for an offering to be made on a continuous basis pursuant to Rule 415 promulgated under the Securities Act in accordance with the plan and method of distribution set forth in the prospectus included in such registration statement.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Filing Date</w:t>
      </w:r>
      <w:r>
        <w:rPr>
          <w:rFonts w:ascii="Times New Roman" w:cs="Times New Roman" w:eastAsia="Times New Roman" w:hAnsi="Times New Roman"/>
          <w:sz w:val="18"/>
          <w:szCs w:val="18"/>
          <w:color w:val="auto"/>
        </w:rPr>
        <w:t>” shall mean the date that is twenty (20) days after the Exchange Closing.</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Unless the context of this Agreement otherwise requires, when a reference is made in this Agreement to an Article, Section, Exhibit or Annex, such reference shall be to an Article, Section, Exhibit or Annex to this Agreement unless otherwise indicated. The preamble and the recitals set forth at the beginning of this Agreement are incorporated by reference into and made a part of this Agreement.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 “extent” and the phrase “to the extent” shall mean the degree to which a subject or thing extends, and such word or phrase shall not simply mean “if.” The word “will” shall be construed to have the same meaning and effect as the word “shall.” The words “or,” “any,” “neither,” “nor” or “either” shall not be exclusive. References to “this Agreement” shall include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 definitions contained in this Agreement are applicable to the singular as well as the plural forms of such terms and to the masculine as well as to the feminine and neuter genders of such term. References to any statute in this Agreement shall be deemed to refer to such statute as amended from time to time and to any rules or regulations promulgated thereunder. References to any Contract in this Agreement are to such Contract as amended, modified or supplemented (including by waiver or consent) from time to time in accordance with the terms hereof and thereof. The phrase “date hereof” or “date of this Agreement” shall be deemed to refer to the Effective Date. References from, to or through any date mean, unless otherwise specified, from and including, to and including or through and including, respectively, and not beyond such date. Unless the context otherwise requires, references to any Person include references to such Person’s successors and permitted assigns, and, in the case of any Governmental Authority, to any Person succeeding to its functions and capacities. The term “writing” means the representation or reproduction of words, symbols or other information in a visible form by any method or combination of methods, whether in electronic form or otherwise, and including writings delivered by electronic delivery, and “written” will be construed in the same manner. Each Party has participated in the drafting of this Agreement, which each Party acknowledges is the result of extensive negotiations among the Parties and their advisors, and the Parties agree that there shall not apply to this Agreement or any provision hereof any rule or presumption of interpreting this Agreement or any provision hereof against the draftsperson of this Agreement or any provision hereof. The terms “beneficially owns” and “beneficial ownership” shall be as determined in accordance with Rule 13d-3 of the Securities Exchange Act of 1934, as amended.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Registration on Form S-3</w:t>
      </w:r>
      <w:r>
        <w:rPr>
          <w:rFonts w:ascii="Times New Roman" w:cs="Times New Roman" w:eastAsia="Times New Roman" w:hAnsi="Times New Roman"/>
          <w:sz w:val="18"/>
          <w:szCs w:val="18"/>
          <w:color w:val="auto"/>
        </w:rPr>
        <w:t>. As soon as practicable after the Exchange Closing, but not later than the Target Filing Date, the Company shall prepare and file with the SEC a Shelf Registration Statement covering the resale of all of the Registrable Securities for an offering to be made on a continuous basis pursuant to Rule 415. Such Shelf Registration Statement filed hereunder shall be on Form S-3 (or, if Form S-3 is not available, Form S-1, or such other form available to register for resale the Registrable Securities as a secondary offering) (the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xml:space="preserve">”) and shall contain (unless otherwise directed by the Registrable Investors holding at least two-thirds of all issued and outstanding shares of Class A Common Stock held by all Registrable Investors) substantially the “Plan of Distribution”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a “Selling Stockholder” section in a form to be mutually agreed upon by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Registrable Investor shall be required to be named as an “underwriter” without such Registrable Investor’s express prior written consent, and a non-consenting Registrable Investor will be removed from the Shelf Registration Statement as a Selling Stockholder if the SEC will not take the Shelf Registration Statement effective without such Registrable Investor being named as an “underwriter” and such removal will not be a breach by the Company. Subject to the terms of this Agreement, the Company shall use its reasonable best efforts to cause the Shelf Registration Statement filed pursuant hereto to be declared effective under the Securities Act as promptly as possible after the filing thereof, but in any event no later than the sixtieth (60th) calendar day following the Exchange Closing, and shall use its reasonable best efforts to keep such Shelf Registration Statement continuously effective under the Securities Act until the date that all Registrable Securities covered by such Shelf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Registrable Investors and instructing any securities legends to be removed. The Company shall telephonically request effectiveness of a Shelf Registration Statement as of 5:00 p.m., Eastern time, on a Business Day. The Company shall immediately notify the Registrable Investors via e-mail of the effectiveness of the Shelf Registration Statement on the same Business Day that the Company telephonically confirms effectiveness with the SEC, which shall be the date requested for effectiveness of the Shelf Registration Statement. The Company shall, by 9:30 a.m., Eastern time, on the second (2nd) Business Day after the effective date of the Shelf Registration Statement, file a final Prospectus with the SEC as required by Rule 424. If, after the filing of a Shelf Registration Statement, a holder of Registrable Securities requests registration under the Securities Act of additional Registrable Securities pursuant to such Shelf Registration, the Company shall amend such Shelf Registration Statement to cover such additional Registrable Securities. If the SEC informs the Company that all of the Registrable Securities cannot, as a result of the application of Rule 415, be registered for resale as a secondary offering on a single registration statement, the Company agrees to promptly inform each of the Registrable Investors thereof and use its reasonable best efforts to file amendments to the Shelf Registration Statement as required by the SEC, covering the maximum number of Registrable Securities permitted to be registered by the SEC, on Form S-3 (or, if Form S-3 is not available, Form S-1, or such other form</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7" w:name="page288"/>
    <w:bookmarkEnd w:id="28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available to register for resale the Registrable Securities as a secondary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its reasonable best efforts to advocate with the SEC for the registration of all of the Registrable Securities in accordance with the SEC Guidance, including Compliance and Disclosure Interpretation 612.09.</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Underwritten Demand Rights</w:t>
      </w:r>
      <w:r>
        <w:rPr>
          <w:rFonts w:ascii="Times New Roman" w:cs="Times New Roman" w:eastAsia="Times New Roman" w:hAnsi="Times New Roman"/>
          <w:sz w:val="18"/>
          <w:szCs w:val="18"/>
          <w:color w:val="auto"/>
        </w:rPr>
        <w:t>. At any time after the Exchange Closing, but in no event more than twice in any three hundred sixty-five (365)-day period, any Registrable Investor (other than the Founder) may, by written notice to the Company, request that the Company effect the registration on Form S-3 or Form S-1 of a number of Registrable Securities having an aggregate value (based on the market price of fair market value on the date of such request) of at least $5,000,000 to be distributed in an underwritten offering. Promptly after receipt of such notice, the Company will give written notice of such requested registration to all other Registrable Investors holding Registrable Securities. The Company will then, promptly and in any event within forty-five (45) days after a request for registration is delivered to the Company, use its reasonable best efforts to effect the registration under the Securities Act of the Registrable Securities which the Company has been requested to register by such Holders, and all other Registrable Securities which the Company has been requested to register by other Registrable Investors holding such Registrable Securities by notice delivered to the Company within ten (10) days after the giving of such notice by the Company.</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hereby agrees to pay all Registration Expenses in connection with all registrations effected pursuant to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and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pay for any expenses of such registration proceeding if the registration request is withdrawn at any time at the request of the Majority Participating Holders, and all participating Holders shall bear such expenses, unless the Majority Participating Holders agree to treat such withdrawn registration as a registration which was effected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xml:space="preserve"> or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as the case may be, which agreement shall bind all Holders of Registrable Securities. Notwithstanding the foregoing, if the Holders have learned of a material adverse change in the condition, business, or prospects of the Company from that known to the Holders at the time the demand for registration was made or if there shall have occurred a material adverse change in market conditions from those existing as such time in the good faith judgment of the Majority Participating Holders makes it undesirable to proceed with the proposed offering, then the Holders shall not be required to pay any of such expenses. The withdrawn registration shall not count as a registration effected pursuant to Section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or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-991235</wp:posOffset>
            </wp:positionV>
            <wp:extent cx="6324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3246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-31115</wp:posOffset>
            </wp:positionV>
            <wp:extent cx="5708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Piggyback Registration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If at any time following the Exchange Closing the Company proposes to register any of its Equity Securities under the Securities Act, for its own account or for the account of any holder of its securities other than Registrable Securities, on a form which would permit registration of Registrable Securities for sale to the public under the Securities Act, or proposes to register any securities in a so-called “unallocated” or “universal” shelf registration statement and such registration would permit registration of Registrable Securities thereunder, the Company will each such time give prompt written notice to all Holders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8" w:name="page289"/>
    <w:bookmarkEnd w:id="28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of Registrable Securities of its intention to do so. Such notice shall describe such securities and specify the form, manner and other relevant aspects of such proposed registration. Any such Holder may, by written response delivered to the Company within ten (10) days after the giving of any such notice by the Company, request that all or a specified part of the Registrable Securities held by such Holder be included in such registration. The Company thereupon will use its reasonable best efforts as a part of its filing of such form to cause to be included in such registration under the Securities Act all Registrable Securities which the Company has been so requested to register by the Holders of Registrable Securities, to the extent required to permit the disposition (in accordance with the methods to be used by the Company or other holders of securities in such registration) of the Registrable Securities to be so registered. The Company shall be under no obligation to complete any offering of its securities it proposes to make and shall incur no liability to any Holder for its failure to do so. No registration of Registrable Securities effected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relieve the Company of any of its obligations to effect registrations of Registrable Securities pursuant to Section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or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-31115</wp:posOffset>
            </wp:positionV>
            <wp:extent cx="5708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8"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Excluded Transactions</w:t>
      </w:r>
      <w:r>
        <w:rPr>
          <w:rFonts w:ascii="Times New Roman" w:cs="Times New Roman" w:eastAsia="Times New Roman" w:hAnsi="Times New Roman"/>
          <w:sz w:val="18"/>
          <w:szCs w:val="18"/>
          <w:color w:val="auto"/>
        </w:rPr>
        <w:t xml:space="preserve">. The Company shall not be obligated to effect any registration of Registrable Securities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incidental to the registration of any of its securities in connection with any mergers, acquisitions or exchange offers or in connection with any dividend reinvestment plans or stock option or other employee benefit plans.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hereby agrees to pay all Registration Expenses in connection with each registration of Registrable Securities requested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Procedures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Obligations</w:t>
      </w:r>
      <w:r>
        <w:rPr>
          <w:rFonts w:ascii="Times New Roman" w:cs="Times New Roman" w:eastAsia="Times New Roman" w:hAnsi="Times New Roman"/>
          <w:sz w:val="18"/>
          <w:szCs w:val="18"/>
          <w:color w:val="auto"/>
        </w:rPr>
        <w:t xml:space="preserve">. If and whenever the Company is required to use its reasonable best efforts to effect the registration of any Registrable Securities under the Securities Act as provided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Company shall as expeditiously as reasonably possible:</w:t>
      </w:r>
    </w:p>
    <w:p>
      <w:pPr>
        <w:spacing w:after="0" w:line="176" w:lineRule="exact"/>
        <w:rPr>
          <w:sz w:val="20"/>
          <w:szCs w:val="20"/>
          <w:color w:val="auto"/>
        </w:rPr>
      </w:pPr>
    </w:p>
    <w:p>
      <w:pPr>
        <w:jc w:val="both"/>
        <w:ind w:firstLine="1304"/>
        <w:spacing w:after="0" w:line="258" w:lineRule="auto"/>
        <w:tabs>
          <w:tab w:leader="none" w:pos="15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Registration Statement</w:t>
      </w:r>
      <w:r>
        <w:rPr>
          <w:rFonts w:ascii="Times New Roman" w:cs="Times New Roman" w:eastAsia="Times New Roman" w:hAnsi="Times New Roman"/>
          <w:sz w:val="18"/>
          <w:szCs w:val="18"/>
          <w:color w:val="auto"/>
        </w:rPr>
        <w:t>. 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Registrable Securities and other securities, if any, covered by such registration statement until such time as all such Registrable Securities have been disposed of by the seller or sellers thereof in accordance with the intended methods of disposition set forth in such registration statement.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Use its reasonable best efforts to cooperate as may be reasonably requested by the seller of such Registrable Securities in the disposition of the Class A Common Stock covered by such registration statement, including in the case of an underwritten offering causing key executives of the Company to participate under the direction of the managing underwriter in a “road show” scheduled by such managing underwriter in such locations and 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color w:val="auto"/>
        </w:rPr>
        <w:t>such duration as in the reasonable judgment of such managing underwriter are appropriate for such underwritten offering.</w:t>
      </w:r>
    </w:p>
    <w:p>
      <w:pPr>
        <w:spacing w:after="0" w:line="225" w:lineRule="exact"/>
        <w:rPr>
          <w:sz w:val="20"/>
          <w:szCs w:val="20"/>
          <w:color w:val="auto"/>
        </w:rPr>
      </w:pPr>
    </w:p>
    <w:p>
      <w:pPr>
        <w:jc w:val="both"/>
        <w:ind w:firstLine="1304"/>
        <w:spacing w:after="0" w:line="256" w:lineRule="auto"/>
        <w:tabs>
          <w:tab w:leader="none" w:pos="155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Furnishing of Copies of Registration Statements and Other Documents</w:t>
      </w:r>
      <w:r>
        <w:rPr>
          <w:rFonts w:ascii="Times New Roman" w:cs="Times New Roman" w:eastAsia="Times New Roman" w:hAnsi="Times New Roman"/>
          <w:sz w:val="18"/>
          <w:szCs w:val="18"/>
          <w:color w:val="auto"/>
        </w:rPr>
        <w:t>. Furnish to each seller of such Registrable Securities such number of conformed copies of such registration statement and of each such amendment and supplement thereto (in each case including all exhibits), such number of copies of the prospectus included in such registration statement (including each preliminary prospectus and any summary prospectus), each in conformity with the requirements of the Securities Act, such documents incorporated by reference in such registration statement or prospectus and such other documents as such seller may reasonably request in order to facilitate the disposition of the Registrable Securities of such seller covered by such registration statement.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Securities Laws</w:t>
      </w:r>
      <w:r>
        <w:rPr>
          <w:rFonts w:ascii="Times New Roman" w:cs="Times New Roman" w:eastAsia="Times New Roman" w:hAnsi="Times New Roman"/>
          <w:sz w:val="18"/>
          <w:szCs w:val="18"/>
          <w:color w:val="auto"/>
        </w:rPr>
        <w:t xml:space="preserve">. Use its reasonable best efforts to register or qualify such Registrable Securities under such securities or “blue sky” laws of such jurisdictions as the sellers shall reasonably request, and do any and all other acts and things which may be necessary or advisable to enable each seller to consummate the disposition in such jurisdictions of the Registrable Securities of such seller covered by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subject the Company to taxation in any jurisdiction in which it is not so qualified or would not otherwise be so subject.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Comfort Letter</w:t>
      </w:r>
      <w:r>
        <w:rPr>
          <w:rFonts w:ascii="Times New Roman" w:cs="Times New Roman" w:eastAsia="Times New Roman" w:hAnsi="Times New Roman"/>
          <w:sz w:val="18"/>
          <w:szCs w:val="18"/>
          <w:color w:val="auto"/>
        </w:rPr>
        <w:t>. Use its reasonable best efforts to obtain all legal opinions, auditors consents and comfort letters and experts cooperation as may be required, including furnishing to each underwriter of Registrable Securities on the date that the registration statement with respect to such Registrable Securities becomes effective, (i) an opinion, dated as of such date, of counsel for the Company, and (ii) a “cold comfort” letter, dated as of such date, signed by the independent public accountants of the Company, in each case, in form and substance as is customarily given to underwriters in an underwritten public offering.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Prospectus Defects</w:t>
      </w:r>
      <w:r>
        <w:rPr>
          <w:rFonts w:ascii="Times New Roman" w:cs="Times New Roman" w:eastAsia="Times New Roman" w:hAnsi="Times New Roman"/>
          <w:sz w:val="18"/>
          <w:szCs w:val="18"/>
          <w:color w:val="auto"/>
        </w:rPr>
        <w:t>. Immediately 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light of the circumstances then existing, and at the request of any such seller prepare and furnish to such seller a reasonable number of copies of a supplement to or an amendment of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light of the circumstances then existing.</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Orders</w:t>
      </w:r>
      <w:r>
        <w:rPr>
          <w:rFonts w:ascii="Times New Roman" w:cs="Times New Roman" w:eastAsia="Times New Roman" w:hAnsi="Times New Roman"/>
          <w:sz w:val="18"/>
          <w:szCs w:val="18"/>
          <w:color w:val="auto"/>
        </w:rPr>
        <w:t>. In the event of the issuance of any stop order suspending the effectiveness of such registration statement, or any order suspending or preventing the use of any related prospectus or suspending the qualification of any Registrable Securities included in such</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color w:val="auto"/>
        </w:rPr>
        <w:t>registration statement for sale in any jurisdiction, use its reasonable best efforts promptly to obtain the withdrawal of such order.</w:t>
      </w:r>
    </w:p>
    <w:p>
      <w:pPr>
        <w:spacing w:after="0" w:line="225" w:lineRule="exact"/>
        <w:rPr>
          <w:sz w:val="20"/>
          <w:szCs w:val="20"/>
          <w:color w:val="auto"/>
        </w:rPr>
      </w:pPr>
    </w:p>
    <w:p>
      <w:pPr>
        <w:jc w:val="both"/>
        <w:ind w:firstLine="1304"/>
        <w:spacing w:after="0" w:line="261" w:lineRule="auto"/>
        <w:tabs>
          <w:tab w:leader="none" w:pos="156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Compliance with Federal Securities Laws; Section 11(a) Earning Statement</w:t>
      </w:r>
      <w:r>
        <w:rPr>
          <w:rFonts w:ascii="Times New Roman" w:cs="Times New Roman" w:eastAsia="Times New Roman" w:hAnsi="Times New Roman"/>
          <w:sz w:val="18"/>
          <w:szCs w:val="18"/>
          <w:color w:val="auto"/>
        </w:rPr>
        <w:t>. Otherwise use its reasonable best efforts to comply with the Securities Act, the Exchange Act and all other applicable rules and regulations of the SEC, and make available to its securities holders, as soon as reasonably practicable, an earnings statement covering the period of at least 12 months after the effective date of such registration statement, which earnings statement shall satisfy Section 11(a) of the Securities Act and any applicable regulations thereunder, including Rule 158.</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In the event of any underwritten offering, enter into and perform its obligations under an underwriting agreement, in usual and customary form, with the managing underwriter of such offering.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Use its reasonable best efforts to cause such Registrable Securities to be listed on each securities exchange on which any equity security of the Company is then listed or, if the Company does not have a class of Equity Securities listed on a national securities exchange, apply for qualification and use its reasonable best efforts to qualify such Registrable Securities for listing on the New York Stock Exchange, the Nasdaq Global Market or the Nasdaq Global Select Market or comparable trading system.</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connection with such registration statement, in each case, subject to the requirement that recipients execute appropriate confidentiality agreements.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Provide a transfer agent and registrar for all such Registrable Securities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1"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Company shall be obligated to reissue promptly unlegended certificates or other evidence of ownership at the request of any Holder thereof if such Holder shall have obtained an opinion of counsel, which counsel may be counsel to the Company, reasonably acceptable to the Company (it being understood that (i) internal counsel of CHS shall be deemed acceptable for transfers by CHS, (ii) internal counsel of Nexus shall be deemed acceptable for transfers by Nexus, and (iii) internal counsel of Story3 shall be deemed acceptable for transfers by Story3) to the effect that the securities proposed to be disposed of may be lawfully disposed of without registration, qualification and legend.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 Following the Exchange Closing, any selling Holder of Registrable Securities included in a Shelf Registration Statement (an “</w:t>
      </w:r>
      <w:r>
        <w:rPr>
          <w:rFonts w:ascii="Times New Roman" w:cs="Times New Roman" w:eastAsia="Times New Roman" w:hAnsi="Times New Roman"/>
          <w:sz w:val="18"/>
          <w:szCs w:val="18"/>
          <w:u w:val="single" w:color="auto"/>
          <w:color w:val="auto"/>
        </w:rPr>
        <w:t>Initiating Shelf Holder</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1" w:name="page292"/>
    <w:bookmarkEnd w:id="291"/>
    <w:p>
      <w:pPr>
        <w:ind w:right="20"/>
        <w:spacing w:after="0" w:line="282" w:lineRule="auto"/>
        <w:rPr>
          <w:sz w:val="20"/>
          <w:szCs w:val="20"/>
          <w:color w:val="auto"/>
        </w:rPr>
      </w:pPr>
      <w:r>
        <w:rPr>
          <w:rFonts w:ascii="Times New Roman" w:cs="Times New Roman" w:eastAsia="Times New Roman" w:hAnsi="Times New Roman"/>
          <w:sz w:val="18"/>
          <w:szCs w:val="18"/>
          <w:color w:val="auto"/>
        </w:rPr>
        <w:t>may initiate an offering or sale of all or part of such Registrable Securities (a “</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xml:space="preserve">”), in which case the provisions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apply.</w:t>
      </w:r>
    </w:p>
    <w:p>
      <w:pPr>
        <w:spacing w:after="0" w:line="162" w:lineRule="exact"/>
        <w:rPr>
          <w:sz w:val="20"/>
          <w:szCs w:val="20"/>
          <w:color w:val="auto"/>
        </w:rPr>
      </w:pPr>
    </w:p>
    <w:p>
      <w:pPr>
        <w:jc w:val="both"/>
        <w:ind w:firstLine="1304"/>
        <w:spacing w:after="0" w:line="253" w:lineRule="auto"/>
        <w:tabs>
          <w:tab w:leader="none" w:pos="155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Marketed Underwritten Shelf Take-Downs</w:t>
      </w:r>
      <w:r>
        <w:rPr>
          <w:rFonts w:ascii="Times New Roman" w:cs="Times New Roman" w:eastAsia="Times New Roman" w:hAnsi="Times New Roman"/>
          <w:sz w:val="18"/>
          <w:szCs w:val="18"/>
          <w:color w:val="auto"/>
        </w:rPr>
        <w:t>. If an Initiating Shelf Holder so elects in a written request delivered to the Company (an “</w:t>
      </w:r>
      <w:r>
        <w:rPr>
          <w:rFonts w:ascii="Times New Roman" w:cs="Times New Roman" w:eastAsia="Times New Roman" w:hAnsi="Times New Roman"/>
          <w:sz w:val="18"/>
          <w:szCs w:val="18"/>
          <w:u w:val="single" w:color="auto"/>
          <w:color w:val="auto"/>
        </w:rPr>
        <w:t>Underwritten Shelf Take-Down Notice</w:t>
      </w:r>
      <w:r>
        <w:rPr>
          <w:rFonts w:ascii="Times New Roman" w:cs="Times New Roman" w:eastAsia="Times New Roman" w:hAnsi="Times New Roman"/>
          <w:sz w:val="18"/>
          <w:szCs w:val="18"/>
          <w:color w:val="auto"/>
        </w:rPr>
        <w:t>”), a Shelf Take-Down may be in the form of an underwritten offering (an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and the Company shall file and effect an amendment or supplement to its Shelf Registration Statement (including the filing of a supplemental prospectus) for such purpose as promptly as reasonably practicable. Such Initiating Shelf Holder shall indicate in such Underwritten Shelf Take-Down Notice whether it intends for such Underwritten Shelf Take-Down to involve a customary “road show” (including an “electronic road show”) or other substantial marketing effort by the underwriters over a period of at least 48 hours (a “</w:t>
      </w:r>
      <w:r>
        <w:rPr>
          <w:rFonts w:ascii="Times New Roman" w:cs="Times New Roman" w:eastAsia="Times New Roman" w:hAnsi="Times New Roman"/>
          <w:sz w:val="18"/>
          <w:szCs w:val="18"/>
          <w:u w:val="single" w:color="auto"/>
          <w:color w:val="auto"/>
        </w:rPr>
        <w:t>Marketed Underwritten Shelf Take-Down</w:t>
      </w:r>
      <w:r>
        <w:rPr>
          <w:rFonts w:ascii="Times New Roman" w:cs="Times New Roman" w:eastAsia="Times New Roman" w:hAnsi="Times New Roman"/>
          <w:sz w:val="18"/>
          <w:szCs w:val="18"/>
          <w:color w:val="auto"/>
        </w:rPr>
        <w:t>”). Upon receipt of an Underwritten Shelf Take-Down Notice indicating that such Underwritten Shelf Take-Down will be a Marketed Underwritten Shelf Take-Down, the Company shall as promptly as reasonably practicable (but in any event no later than two (2) Business Days after receipt of the notice for such Marketed Underwritten Shelf Take-Down) give written notice of such Marketed Underwritten Shelf Take-Down to all other Holders of Registrable Securities and shall permit the participation of all such Shelf Holders that request inclusion in such Marketed Underwritten Shelf Take-Down who respond in writing within three (3) Business Days after the receipt of such notice of their election to participate.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Non-Marketed Underwritten Shelf Take-Downs</w:t>
      </w:r>
      <w:r>
        <w:rPr>
          <w:rFonts w:ascii="Times New Roman" w:cs="Times New Roman" w:eastAsia="Times New Roman" w:hAnsi="Times New Roman"/>
          <w:sz w:val="18"/>
          <w:szCs w:val="18"/>
          <w:color w:val="auto"/>
        </w:rPr>
        <w:t>. If the Initiating Shelf Holder desires to effect an Underwritten Shelf Take-Down that does not constitute a Marketed Underwritten Shelf Take-Down (a “</w:t>
      </w:r>
      <w:r>
        <w:rPr>
          <w:rFonts w:ascii="Times New Roman" w:cs="Times New Roman" w:eastAsia="Times New Roman" w:hAnsi="Times New Roman"/>
          <w:sz w:val="18"/>
          <w:szCs w:val="18"/>
          <w:u w:val="single" w:color="auto"/>
          <w:color w:val="auto"/>
        </w:rPr>
        <w:t>Non-Marketed Underwritten Shelf Take-Down</w:t>
      </w:r>
      <w:r>
        <w:rPr>
          <w:rFonts w:ascii="Times New Roman" w:cs="Times New Roman" w:eastAsia="Times New Roman" w:hAnsi="Times New Roman"/>
          <w:sz w:val="18"/>
          <w:szCs w:val="18"/>
          <w:color w:val="auto"/>
        </w:rPr>
        <w:t xml:space="preserve">”), the Initiating Shelf Holder shall so indicate in a written request delivered to the Company no later than two (2) Business Days prior to the expected date of such Non-Marketed Underwritten Shelf Take-Down, which request shall include (i) the total number of Registrable Securities expected to be offered and sold in such Non-Marketed Underwritten Shelf Take-Down, (ii) the expected plan of distribution of such Non-Marketed Underwritten Shelf Take-Down, (iii) the action or actions required (including the timing thereof) in connection with such Non-Marketed Underwritten Shelf Take-Down (including the delivery of one or more stock certificates representing shares of Registrable Securities to be sold in such Non-Marketed Underwritten Shelf Take-Down), and (iv) at the option and in the sole discretion of such Initiating Shelf Holder, an election that such Non-Marketed Underwritten Shelf Take-Down shall be subject to </w:t>
      </w:r>
      <w:r>
        <w:rPr>
          <w:rFonts w:ascii="Times New Roman" w:cs="Times New Roman" w:eastAsia="Times New Roman" w:hAnsi="Times New Roman"/>
          <w:sz w:val="18"/>
          <w:szCs w:val="18"/>
          <w:u w:val="single" w:color="auto"/>
          <w:color w:val="auto"/>
        </w:rPr>
        <w:t>Section 4.02(d)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Non-Marketed Underwritten Shelf Take-Down Piggyback Election</w:t>
      </w:r>
      <w:r>
        <w:rPr>
          <w:rFonts w:ascii="Times New Roman" w:cs="Times New Roman" w:eastAsia="Times New Roman" w:hAnsi="Times New Roman"/>
          <w:sz w:val="18"/>
          <w:szCs w:val="18"/>
          <w:color w:val="auto"/>
        </w:rPr>
        <w:t>”), and the Company shall file and effect an amendment or supplement to its Shelf Registration Statement (including the filing of a supplemental prospectus) for such purpose as promptly as reasonably practicable (and in any event within three (3) Business Days).</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Take-Down Piggyback Election</w:t>
      </w:r>
      <w:r>
        <w:rPr>
          <w:rFonts w:ascii="Times New Roman" w:cs="Times New Roman" w:eastAsia="Times New Roman" w:hAnsi="Times New Roman"/>
          <w:sz w:val="18"/>
          <w:szCs w:val="18"/>
          <w:color w:val="auto"/>
        </w:rPr>
        <w:t xml:space="preserve">. Upon receipt from any Holder of a written request pursuant to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that contains an affirmative Non-Marketed Underwritten Shelf Take-Down Piggyback Election, the Company shall provide written notice (a “</w:t>
      </w:r>
      <w:r>
        <w:rPr>
          <w:rFonts w:ascii="Times New Roman" w:cs="Times New Roman" w:eastAsia="Times New Roman" w:hAnsi="Times New Roman"/>
          <w:sz w:val="18"/>
          <w:szCs w:val="18"/>
          <w:u w:val="single" w:color="auto"/>
          <w:color w:val="auto"/>
        </w:rPr>
        <w:t>Non-Marketed Underwritten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Shelf Take-Down Notice</w:t>
      </w:r>
      <w:r>
        <w:rPr>
          <w:rFonts w:ascii="Times New Roman" w:cs="Times New Roman" w:eastAsia="Times New Roman" w:hAnsi="Times New Roman"/>
          <w:sz w:val="18"/>
          <w:szCs w:val="18"/>
          <w:color w:val="auto"/>
        </w:rPr>
        <w:t>”) of such Non-Marketed Underwritten Shelf Take-Down promptly to all Holders (other than the requesting Holder), which Non-Marketed Underwritten Shelf Take-Down Notice shall set forth (i) the total number of Registrable Securities expected to be offered and sold in such Non-Marketed Underwritten Shelf Take-Down, (ii) the expected plan of distribution of such Non-Marketed Underwritten Shelf Take-Down, (iii) that each</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2" w:name="page293"/>
    <w:bookmarkEnd w:id="292"/>
    <w:p>
      <w:pPr>
        <w:jc w:val="both"/>
        <w:spacing w:after="0" w:line="252" w:lineRule="auto"/>
        <w:rPr>
          <w:sz w:val="20"/>
          <w:szCs w:val="20"/>
          <w:color w:val="auto"/>
        </w:rPr>
      </w:pPr>
      <w:r>
        <w:rPr>
          <w:rFonts w:ascii="Times New Roman" w:cs="Times New Roman" w:eastAsia="Times New Roman" w:hAnsi="Times New Roman"/>
          <w:sz w:val="18"/>
          <w:szCs w:val="18"/>
          <w:color w:val="auto"/>
        </w:rPr>
        <w:t>recipient of such Non-Marketed Underwritten Shelf Take-Down Notice (each, a “</w:t>
      </w:r>
      <w:r>
        <w:rPr>
          <w:rFonts w:ascii="Times New Roman" w:cs="Times New Roman" w:eastAsia="Times New Roman" w:hAnsi="Times New Roman"/>
          <w:sz w:val="18"/>
          <w:szCs w:val="18"/>
          <w:u w:val="single" w:color="auto"/>
          <w:color w:val="auto"/>
        </w:rPr>
        <w:t>Notice Recipient</w:t>
      </w:r>
      <w:r>
        <w:rPr>
          <w:rFonts w:ascii="Times New Roman" w:cs="Times New Roman" w:eastAsia="Times New Roman" w:hAnsi="Times New Roman"/>
          <w:sz w:val="18"/>
          <w:szCs w:val="18"/>
          <w:color w:val="auto"/>
        </w:rPr>
        <w:t xml:space="preserve">”) shall have the right, upon the terms and subject to the conditions set forth in this </w:t>
      </w:r>
      <w:r>
        <w:rPr>
          <w:rFonts w:ascii="Times New Roman" w:cs="Times New Roman" w:eastAsia="Times New Roman" w:hAnsi="Times New Roman"/>
          <w:sz w:val="18"/>
          <w:szCs w:val="18"/>
          <w:u w:val="single" w:color="auto"/>
          <w:color w:val="auto"/>
        </w:rPr>
        <w:t>Section 4.02(d)</w:t>
      </w:r>
      <w:r>
        <w:rPr>
          <w:rFonts w:ascii="Times New Roman" w:cs="Times New Roman" w:eastAsia="Times New Roman" w:hAnsi="Times New Roman"/>
          <w:sz w:val="18"/>
          <w:szCs w:val="18"/>
          <w:color w:val="auto"/>
        </w:rPr>
        <w:t xml:space="preserve">, to elect to sell up to its Non-Marketed Take-Down Share, and (iv) the action or actions required (including the timing thereof, which for the avoidance of doubt shall not require any delay in the expected date of such Non-Marketed Underwritten Shelf Take-Down or extension of the Company’s obligation to file and effect an amendment or supplement to its Shelf Registration Statement as soon as practicable (and in any event within three (3) Business Days) of the Initiating Shelf Holder’s Non-Marketed Underwritten Shelf Take-Down request pursuant to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in connection with such Non-Marketed Underwritten Shelf Take-Down with respect to each Notice Recipient that elects to exercise such right (including the delivery of one or more stock certificates representing shares of Registrable Securities held by such Notice Recipient to be sold in such Non-Marketed Underwritten Shelf Take-Down). Upon receipt of such Non-Marketed Underwritten Shelf Take-Down Notice, each such Notice Recipient may elect to sell up to its Non-Marketed Take-Down Share with respect to each such Non-Marketed Underwritten Shelf Take-Down by taking such action or actions referred to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in a timely manner. If the Initiating Shelf Holder does not elect to sell all of its respective Non-Marketed Take-Down Share, the unelected portion of such Non-Marketed Take-Down Share shall be allocated to the Notice Recipients, pro rata based on their respective Non-Marketed Take-Down Shares. Notwithstanding the delivery of any Non-Marketed Underwritten Shelf Take-Down Notice, all determinations as to whether to complete any Non-Marketed Underwritten Shelf Take-Down and as to the timing, manner, price and other terms of any Non-Marketed Underwritten Shelf Take-Down contemplated by </w:t>
      </w:r>
      <w:r>
        <w:rPr>
          <w:rFonts w:ascii="Times New Roman" w:cs="Times New Roman" w:eastAsia="Times New Roman" w:hAnsi="Times New Roman"/>
          <w:sz w:val="18"/>
          <w:szCs w:val="18"/>
          <w:u w:val="single" w:color="auto"/>
          <w:color w:val="auto"/>
        </w:rPr>
        <w:t>Section 4.02(d)</w:t>
      </w:r>
      <w:r>
        <w:rPr>
          <w:rFonts w:ascii="Times New Roman" w:cs="Times New Roman" w:eastAsia="Times New Roman" w:hAnsi="Times New Roman"/>
          <w:sz w:val="18"/>
          <w:szCs w:val="18"/>
          <w:color w:val="auto"/>
        </w:rPr>
        <w:t xml:space="preserve"> shall be at the discretion of the Initiating Shelf Holder.</w:t>
      </w:r>
    </w:p>
    <w:p>
      <w:pPr>
        <w:spacing w:after="0" w:line="19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Participation by Selling Holders</w:t>
      </w:r>
      <w:r>
        <w:rPr>
          <w:rFonts w:ascii="Times New Roman" w:cs="Times New Roman" w:eastAsia="Times New Roman" w:hAnsi="Times New Roman"/>
          <w:sz w:val="18"/>
          <w:szCs w:val="18"/>
          <w:color w:val="auto"/>
        </w:rPr>
        <w:t>. The Company may require each seller of Registrable Securities as to which any registration is being effected to furnish the Company such information regarding such seller and the distribution of such securities as the Company may from time to time reasonably request in writing and which shall be required by the Securities Act (or similar state Laws) or by the SEC in connection therewith.</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Discontinue Selling</w:t>
      </w:r>
      <w:r>
        <w:rPr>
          <w:rFonts w:ascii="Times New Roman" w:cs="Times New Roman" w:eastAsia="Times New Roman" w:hAnsi="Times New Roman"/>
          <w:sz w:val="18"/>
          <w:szCs w:val="18"/>
          <w:color w:val="auto"/>
        </w:rPr>
        <w:t>. Each seller of Registrable Securities agrees that, upon written notice of (i) the happening of any event as a result of which the prospectus included in any registration statement contains an untrue statement of a material fact or omits any material fact necessary to make the statements therein not misleading, or (ii) the issuance of a stop order suspending the effectiveness of any registration statement, such seller will use commercially reasonable efforts to forthwith discontinue disposition of Registrable Securities pursuant to such registration statement until such seller is advised in writing by the Company that the use of the prospectus may be resumed and if applicable is furnished with a supplemented or amended prospectus as contemplated by Section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.01(f). If the Company shall give any notice to suspend the disposition of Registrable Securities pursuant to a prospectus, the Company shall extend the period of time during which the Company is required to maintain the registration statement effective pursuant to this Agreement by the number of days during the period from and including the date of the giving of such notice to and including the date such seller either is advised by the Company that the use of the prospectus may be resumed or if applicable receives the copies of the supplemented or amended prospectus contemplated by Section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-575945</wp:posOffset>
            </wp:positionV>
            <wp:extent cx="68516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1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-27305</wp:posOffset>
            </wp:positionV>
            <wp:extent cx="6851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165" cy="889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Additional Procedures in Connection with Underwritten Offerings; Cutbacks</w:t>
      </w:r>
    </w:p>
    <w:p>
      <w:pPr>
        <w:spacing w:after="0" w:line="22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Registrations Upon Request Pursuant to Article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the case of a registration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whenever the Majority Participating Holders shall request that such registration shall be effected pursuant to an underwritten offering, such registration shall be so effected, and only securities which are to be distributed by the underwriters, which underwriters shall be designated by the Majority Participating Holders and shall be reasonably acceptable to the Company, may be included in such registration. If requested by such underwriters, the Company and each participating seller will enter into an underwriting agreement with such underwriters for such offering containing such representations and warranties by the Company and such participating sellers and such other terms and provisions as are customarily contained in underwriting agreements with respect to secondary distributions, including customary indemnity and contribution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liability of each Holder in respect of any indemnification, contribution or other obligation of such Holder arising under such underwriting agreement (i) shall be limited to losses arising out of or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by or on behalf of such Holder expressly for inclusion therein, and (ii) 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Piggyback Registrations Pursuant to 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connection with the exercise of any registration rights granted to Holders of Registrable Securities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if the registration is to be effected by means of an underwritten offering of Class A Common Stock on a firm commitment basis, the Company may condition participation in such registration by such Holders upon inclusion of the Registrable Securities being so registered in such underwriting. The Holders of Registrable Securities participating in any registration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be parties to the underwriting agreement entered into by the Company and any other selling stockholders in connection therewith containing such representations and warranties by the Company and such participating sellers and such other terms and provisions as are customarily contained in underwriting agreements with respect to secondary distributions, including customary indemnity and contribution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liability of each Holder in respect of any indemnification, contribution or other obligation of such Holder arising under such underwriting agreement (i) shall be limited to losses arising out of or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by or on behalf of such Holder expressly for inclusion therein, and (ii) 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4" w:name="page295"/>
    <w:bookmarkEnd w:id="294"/>
    <w:p>
      <w:pPr>
        <w:ind w:left="130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Cutbacks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7" w:lineRule="auto"/>
        <w:tabs>
          <w:tab w:leader="none" w:pos="155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Cutbacks. If the SEC sets forth a limitation on the number of Registrable Securities permitted to be registered on a Shelf Registration Statement as a secondary offering (and notwithstanding that the Company used reasonable best efforts to advocate with the SEC for the registration of all or a greater portion of Registrable Securities), unless otherwise directed in writing by a Registrable Investor as to its Registrable Securities, the number of Registrable Securities to be registered on such Shelf Registration Statement will be reduced as follows: (i) first, the Company shall reduce or eliminate any securities to be included other than Registrable Securities, and (ii) second, the Company shall reduce Registrable Securities applied to the Registrable Investors on a pro rata basis based on the total number of Registrable Securities held by such Registrable Investors.</w:t>
      </w:r>
    </w:p>
    <w:p>
      <w:pPr>
        <w:spacing w:after="0" w:line="182"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Cutbacks. If the managing underwriter advises the Company that the number of shares to be included in a registration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should be limited due to market conditions, (i) all shares of securities held by stockholders of the Company other than Holders of Registrable Securities shall first be excluded, (ii) next, if additional shares must be excluded from such registration, all Holders of Registrable Securities shall share pro rata in the number of shares of Registrable Securities to be excluded from such registration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such sharing to be based on the respective numbers of Registrable Securities owned by such Holders, and (iii) thereafter, if additional shares must be excluded from such registration, shares to be sold for the account of the Company shall be excluded;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exclusion provided for herein shall reduce the amount of Registrable Securities to be included in such registration to an amount that is less than twenty-five percent (25%) of the total amount of shares to be included in such registration based on aggregate market value.</w:t>
      </w:r>
    </w:p>
    <w:p>
      <w:pPr>
        <w:spacing w:after="0" w:line="18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4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cutback under this Section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 the Company shall give each affected Registrable Investor at least three (3) Business Days prior written notice along with the calculations as to such Registrable Investor’s allotment. In the event the Company amends the Shelf Registration Statement in accordance with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 the Company will use its reasonable best efforts to file with the SEC, as promptly as allowed by the SEC Guidance provided to the Company or to registrants of securities in general, one or more registration statements on Form S-3 or such other form available to register for resale those Registrable Securities that were not registered for resale on the Shelf Registration Statement,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-2777490</wp:posOffset>
            </wp:positionV>
            <wp:extent cx="8928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92810" cy="8255"/>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-1817370</wp:posOffset>
            </wp:positionV>
            <wp:extent cx="9309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30910" cy="825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-582930</wp:posOffset>
            </wp:positionV>
            <wp:extent cx="57086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-308610</wp:posOffset>
            </wp:positionV>
            <wp:extent cx="5797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 and Contribution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Indemnities of the Company</w:t>
      </w:r>
      <w:r>
        <w:rPr>
          <w:rFonts w:ascii="Times New Roman" w:cs="Times New Roman" w:eastAsia="Times New Roman" w:hAnsi="Times New Roman"/>
          <w:sz w:val="18"/>
          <w:szCs w:val="18"/>
          <w:color w:val="auto"/>
        </w:rPr>
        <w:t xml:space="preserve">. In the event of any registration of any Registrable Securities under the Securities Act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and in connection with any registration statement or any other disclosure document produced by or on behalf of the Company or any of its Subsidiaries in connection with any such registration, the Company will, and hereby does, indemnify and hold harmless each Holder of Registrable Securities, their respective direct and indirect partners, members, stockholders, directors, advisory board members, officers, investment advisors, representatives on the Board, and each other Person, if any, who controls or is alleged to control any such Holder of Registrable Securities, within the meaning of</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5" w:name="page296"/>
    <w:bookmarkEnd w:id="295"/>
    <w:p>
      <w:pPr>
        <w:jc w:val="both"/>
        <w:spacing w:after="0" w:line="252" w:lineRule="auto"/>
        <w:rPr>
          <w:sz w:val="20"/>
          <w:szCs w:val="20"/>
          <w:color w:val="auto"/>
        </w:rPr>
      </w:pPr>
      <w:r>
        <w:rPr>
          <w:rFonts w:ascii="Times New Roman" w:cs="Times New Roman" w:eastAsia="Times New Roman" w:hAnsi="Times New Roman"/>
          <w:sz w:val="18"/>
          <w:szCs w:val="18"/>
          <w:color w:val="auto"/>
        </w:rPr>
        <w:t>Section 15 of the Securities Act or Section 20 of the Exchange Act (each such Person being referred to herein as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xml:space="preserve">”), against any losses, claims, damages or liabilities (or Actions in respect thereof), joint or several, to which such Covered Person may be or become subject under the Securities Act, the Exchange Act, any other securities or other Law of any jurisdiction, common law or otherwise, insofar as such losses, claims, damages or liabilities (or Actions in respect thereof) arise out of or are based upon any (i) untrue statement or alleged untrue statement of any material fact contained or incorporated by reference in any such registration statement under the Securities Act, any preliminary prospectus or final prospectus included therein, or any related summary prospectus, free writing prospectus or any amendment or supplement thereto, or any document incorporated by reference therein, (ii) omission or alleged omission to state therein a material fact required to be stated therein or necessary to make the statements therein not misleading, or (iii) violation or alleged violation of any federal, state, foreign or common law rule or regulation applicable to the Company or any of its Subsidiaries and relating to action or inaction in connection with any such registration, disclosure document or other document or report, and will reimburse such Covered Person for any legal or any other expenses reasonably incurred by it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liable to any selling Holder in any such case for any such loss, claim, damage, liability or Action to the extent that it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relating to such selling Holder by or on behalf of such selling Holder expressly for inclusion therein (which information shall be limited to the name of such selling Holder, the address of such selling Holder, the number of shares of Class A Common Stock held by such selling Holder, the number of shares of Class A Common Stock being offered by such selling Holder in the offering and the nature of the beneficial ownership of the Class A Common Stock owned by such selling Holder). The indemnities of the Company contained in this Section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shall remain in full force and effect regardless of any investigation made by or on behalf of such Covered Person and shall survive any transfer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-166370</wp:posOffset>
            </wp:positionV>
            <wp:extent cx="5708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Indemnities to the Company</w:t>
      </w:r>
      <w:r>
        <w:rPr>
          <w:rFonts w:ascii="Times New Roman" w:cs="Times New Roman" w:eastAsia="Times New Roman" w:hAnsi="Times New Roman"/>
          <w:sz w:val="18"/>
          <w:szCs w:val="18"/>
          <w:color w:val="auto"/>
        </w:rPr>
        <w:t xml:space="preserve">. In the event of any registration of Registrable Securities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each selling Holder will, and hereby does, severally and not jointly, indemnify and hold harmless the Company, each Director, each officer of the Company who shall sign such registration statement and each other Person (other than such seller), if any, who controls the Company within the meaning of Section 15 of the Securities Act or Section 20 of the Exchange Act, with respect to any statement in or omission from such registration statement, any preliminary prospectus, final prospectus or summary prospectus included therein, or any amendment or supplement thereto, any free writing prospectus, or any document incorporated by reference therein, or any other such disclosure document (including reports and other documents filed under the Exchange Act and any document incorporated by reference therein) or other document or report, if such statement or omission was made in reliance upon and in conformity with written information relating to such selling Holder furnished to the Company by or on behalf of such selling Holder expressly for inclusion therein (which information shall be limited to the name of such selling Holder, the address of such selling Holder, the number of shares of Class A Common Stock held by such selling Holder, the number of shares of Class A</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6" w:name="page297"/>
    <w:bookmarkEnd w:id="296"/>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being offered by such selling Holder in the offering and the nature of the beneficial ownership of the Class A Common Stock owned by such selling Holder). Such indemnity contained in this Section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.02 shall remain in full force and effect regardless of any investigation made by or on behalf of the Company or any such Director, officer or controlling Person and shall survive any transfer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-175895</wp:posOffset>
            </wp:positionV>
            <wp:extent cx="5797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5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xml:space="preserve">. Promptly after receipt by an indemnified party of notice of the commencement of any Action involving a claim of the type referred to in the foregoing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such indemnified party will, if a claim in respect thereof is to be made against any indemnifying party, give written notice to each such indemnifying party of the commencement of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of any indemnified party to give notice to such indemnifying party as provided herein shall not relieve such indemnifying party of its obligations under the foregoing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except and solely to the extent that such indemnifying party is actually prejudiced by such failure to give notice. In case any such Action is brought against an indemnified party, each indemnifying party will be entitled to participate in and to assume the defense thereof, jointly with any other indemnifying party similarly notified, to the extent that it may wish, with counsel reasonably satisfactory to such indemnified party (who shall not, except with the consent of the indemnified party, be counsel to such an indemnifying party), and after notice from an indemnifying party to such indemnified party of its election so to assume the defense thereof, such indemnifying party will not be liable to such indemnified party for any legal or other expenses subsequently incurred by the latter in connection with the defense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indemnified party in good faith determines that there may be a conflict between the positions of such indemnifying party and the indemnified party in conducting the defense of such Action or that there may be defenses available to such indemnified party different from or in addition to those available to such indemnifying party, then (i) counsel for the indemnified party shall conduct the defense of the indemnified party to the extent in good faith determined by such counsel to be necessary to protect the interests of the indemnified party and such indemnifying party shall employ separate counsel for its own defense, (ii) the indemnified party shall be entitled to have counsel chosen by such indemnified party participate in, but not conduct, the defense and (iii) the indemnifying party shall bear the legal expenses reasonably incurred in connection with the conduct of, and the participation in, the defense as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within a reasonable time after receipt of the notice, such indemnifying party shall not have elected to assume the defense of the Action, such indemnifying party shall be responsible for any legal or other expenses reasonably incurred by such indemnified party in connection with the defense of the Action.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 and no indemnified party shall consent to entry of any judgment or enter into any settlement without the prior written consent of the indemnifying party, which consent shall not be unreasonably withheld, conditioned or delayed.</w:t>
      </w:r>
    </w:p>
    <w:p>
      <w:pPr>
        <w:spacing w:after="0" w:line="20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Sections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or 6</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xml:space="preserve"> is unavailable to a Party that would have been an indemnified party under any such Section in respect of any losses, claims, damages or liabilities (or Actions in respect thereof) referred to therein, then each Party that would have been an indemnifying party thereunder shall, in lieu of indemnifying such indemnified party, contribute to the amount paid or payable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-447675</wp:posOffset>
            </wp:positionV>
            <wp:extent cx="6153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15315" cy="889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7" w:name="page298"/>
    <w:bookmarkEnd w:id="297"/>
    <w:p>
      <w:pPr>
        <w:jc w:val="both"/>
        <w:spacing w:after="0" w:line="253" w:lineRule="auto"/>
        <w:rPr>
          <w:sz w:val="20"/>
          <w:szCs w:val="20"/>
          <w:color w:val="auto"/>
        </w:rPr>
      </w:pPr>
      <w:r>
        <w:rPr>
          <w:rFonts w:ascii="Times New Roman" w:cs="Times New Roman" w:eastAsia="Times New Roman" w:hAnsi="Times New Roman"/>
          <w:sz w:val="18"/>
          <w:szCs w:val="18"/>
          <w:color w:val="auto"/>
        </w:rPr>
        <w:t>indemnified party as a result of such losses, claims, damages or liabilities (or Actions in respect thereof) in such proportion as is appropriate to reflect the relative fault of such indemnifying party on the one hand and such indemnified party on the other in connection with the statements or omissions which resulted in such losses, claims, damages or liabilities (or Actions in respect thereof). The relative fault shall be determined by a court of competent jurisdiction by reference to, among other things, whether the untrue or alleged untrue statement of a material fact or the omission or alleged omission to state a material fact relates to information supplied by such indemnifying party or such indemnified party and the parties’ relative intent, knowledge, access to information and opportunity to correct or prevent such statement or omission. The Parties agree that it would not be just and equitable if contribution pursuant to this Section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.04 were determined by pro rata allocation or by any other method of allocation which does not take account of the equitable considerations referred to in the preceding sentence. The amount paid or payable by a contributing Party as a result of the losses, claims, damages or liabilities (or Actions in respect thereof) referred to above in this Section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.04 shall include any legal or other expenses reasonably incurred by such indemnified party in connection with investigating or defending any such Action. No Person guilty of fraudulent misrepresentation (within the meaning of Section 11(f) of the Securities Act) shall be entitled to contribution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-577215</wp:posOffset>
            </wp:positionV>
            <wp:extent cx="5797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-302895</wp:posOffset>
            </wp:positionV>
            <wp:extent cx="5880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17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Limitation on Liability of Holders of Registrable Securities</w:t>
      </w:r>
      <w:r>
        <w:rPr>
          <w:rFonts w:ascii="Times New Roman" w:cs="Times New Roman" w:eastAsia="Times New Roman" w:hAnsi="Times New Roman"/>
          <w:sz w:val="18"/>
          <w:szCs w:val="18"/>
          <w:color w:val="auto"/>
        </w:rPr>
        <w:t xml:space="preserve">. The liability of each Holder in respect of any indemnification or contribution obligation of such Holder arising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not in any event exceed an aggregate amount equal to the net proceeds to such Holder (after deduction of all underwriters’ discounts and commissions and any other damages payable by such Holder in connection with such registration) from the disposition of the Registrable Securities disposed of by such Holder pursuant to such registration less any other damages paid by such Holder with respect to claims relating to such registration.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Reports Under Securities Exchange Act of 1934.</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With a view to making available to the Holders the benefits of Rule 144 and any other rule or regulation of the SEC that may at any time permit a Holder to sell securities of the Company to the public without registration, and with a view to making it possible for Holders to register the Registrable Securities pursuant to a registration on Form S-3, the Company agrees, following the Exchange Closing, to:</w:t>
      </w:r>
    </w:p>
    <w:p>
      <w:pPr>
        <w:spacing w:after="0" w:line="176" w:lineRule="exact"/>
        <w:rPr>
          <w:sz w:val="20"/>
          <w:szCs w:val="20"/>
          <w:color w:val="auto"/>
        </w:rPr>
      </w:pPr>
    </w:p>
    <w:p>
      <w:pPr>
        <w:ind w:firstLine="1304"/>
        <w:spacing w:after="0" w:line="282" w:lineRule="auto"/>
        <w:tabs>
          <w:tab w:leader="none" w:pos="1562"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make and keep adequate current public information available, as those terms are understood and defined in Rule 144, at all times;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file with the SEC in a timely manner all reports and other documents required of the Company under the Securities Act and the Exchange Act;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forthwith upon request (i) a written statement by the Company as to its compliance or non-compliance with the reporting requirements of Rule 144, the Securities Act and the Exchange Act, or as to its qualification as a registrant whose securities may be resold pursuant to Form S-3 (at any time after it so qualifies), (ii) a copy of the most recent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8" w:name="page299"/>
    <w:bookmarkEnd w:id="298"/>
    <w:p>
      <w:pPr>
        <w:jc w:val="both"/>
        <w:spacing w:after="0" w:line="266" w:lineRule="auto"/>
        <w:rPr>
          <w:sz w:val="20"/>
          <w:szCs w:val="20"/>
          <w:color w:val="auto"/>
        </w:rPr>
      </w:pPr>
      <w:r>
        <w:rPr>
          <w:rFonts w:ascii="Times New Roman" w:cs="Times New Roman" w:eastAsia="Times New Roman" w:hAnsi="Times New Roman"/>
          <w:sz w:val="18"/>
          <w:szCs w:val="18"/>
          <w:color w:val="auto"/>
        </w:rPr>
        <w:t>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Assignment of Registration Rights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The consent of the Company shall not be required for an assignment by any Holder to (a) any Person to which shares of Class A Common Stock are transferred by such Holder, or (b) any Affiliate of such Holder, in each case, of the rights to cause the Company to register Registrable Securities pursuant to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transferee to whom rights under this Agreement are transferred shall (i) as a condition to such transfer, deliver to the Company a written instrument by which such transferee agrees to be bound by the obligations imposed upon Holders under this Agreement to the same extent as if such transferee were a Holder under this Agreement, and (ii) be deemed to be a Holder hereunder.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Limitation on Subsequent Registration Rights; Termination of Registration Rights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9.01. Following the Exchange Closing, the Company shall not, without the prior written consent of the Registrable Investors holding a majority of the voting power of the then outstanding Class A Common Stock held by all Registrable Investors, enter into any agreement with any holder or prospective holder of any securities of the Company that would allow such holder or prospective holder (a) to make a demand registration at any time when holders of Registrable Securities are not able to fully exercise their rights hereunder (due to a permitted deferral by the Company or otherwise), or (b) reduce the number of Registrable Securities that may be included in any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limitation shall not apply to any additional Registrable Investor who becomes a Party to this Agreement in accordance with Section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-31750</wp:posOffset>
            </wp:positionV>
            <wp:extent cx="6280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9.02. The rights granted to each Holder of Registrable Securities pursuant to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with respect to any request or requests for registration made by such Holder will terminate upon the earliest of (a) such time that (i) such Holder owns less than one percent (1%) of the Class A Common Stock, and (ii) all such Registrable Securities held by such Holder may be sold without registration under the Securities Act pursuant to Rule 144(b)(1)(i) under the Securities Act (and without the requirement for the Company to be in compliance with the current public information required under Rule 144(c)(1)), and (b) following the occurrence of an event of liquidation, dissolution or winding up of the affairs of the Company, whether voluntary or involuntary.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Future Changes in Registration Requirements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the event that the registration requirements under the Securities Act are amended or eliminated to accommodate a “Company registration” or similar approach, this Agreement shall be deemed amended to the extent necessary to reflect such changes and the intent of the Parties with respect to the benefits and obligations of the Parties, and in such connection, the Company shall use its reasonable best efforts to provide Holders of Registrable Securities equivalent benefits to those provided under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Information Rights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8"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anything in the Existing Credit Agreement, at and following the Exchange Closing, the Company shall deliver to each Major Investor (unless any Major Investor has instructed the Company in writing not to deliver any such information to such Major Investor, in which case the Company shall not deliver such information to the Major Investor making such request):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183"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hundred twenty (120) days after the end of each fiscal year of the Company, a copy of the audited consolidated financial statements of the Company and its Subsidiaries and the related audited consolidated statements of income, stockholders equity, and cash flows of the Company and its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2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quarter of each fiscal year of the Company (including the last quarter of each fiscal year of the Company which, for such quarter, shall be a Company prepared draft subject to standard audit adjustments), unaudited consolidated balance sheets of the Company and its Subsidiaries as at the end of such quarter and the related unaudited statements of income and cash flows of the Company and its Subsidiaries for the portion of the fiscal year through the end of such quarter, setting forth in each case in comparative form the figures for the corresponding periods in the previous fiscal year, and certified by an officer of the Company as being fairly stated in all material respects; and</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9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end of each month (including the last month of each quarter and each fiscal year of the Company, which, for such months, shall be a Company prepared draft subject to standard audit adjustments), unaudited consolidated balance sheets of the Company and its Subsidiaries as at the end of such month and the related unaudited statements of income and cash flows of the Company and its Subsidiaries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0" w:name="page301"/>
    <w:bookmarkEnd w:id="300"/>
    <w:p>
      <w:pPr>
        <w:ind w:left="660"/>
        <w:spacing w:after="0" w:line="282" w:lineRule="auto"/>
        <w:rPr>
          <w:sz w:val="20"/>
          <w:szCs w:val="20"/>
          <w:color w:val="auto"/>
        </w:rPr>
      </w:pPr>
      <w:r>
        <w:rPr>
          <w:rFonts w:ascii="Times New Roman" w:cs="Times New Roman" w:eastAsia="Times New Roman" w:hAnsi="Times New Roman"/>
          <w:sz w:val="18"/>
          <w:szCs w:val="18"/>
          <w:color w:val="auto"/>
        </w:rPr>
        <w:t>for the portion of the fiscal year through the end of such month, setting forth in each case in comparative form the figures for the corresponding periods in the previous fiscal year, and certified by an officer of the Company as being fairly stated in all material respects.</w:t>
      </w:r>
    </w:p>
    <w:p>
      <w:pPr>
        <w:spacing w:after="0" w:line="162" w:lineRule="exact"/>
        <w:rPr>
          <w:sz w:val="20"/>
          <w:szCs w:val="20"/>
          <w:color w:val="auto"/>
        </w:rPr>
      </w:pPr>
    </w:p>
    <w:p>
      <w:pPr>
        <w:jc w:val="both"/>
        <w:ind w:firstLine="1304"/>
        <w:spacing w:after="0" w:line="256" w:lineRule="auto"/>
        <w:tabs>
          <w:tab w:leader="none" w:pos="158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financial statements shall be complete and correct in all material respects and be prepared in reasonable detail and in accordance with GAAP consistently applied, throughout the periods reflected therein and with prior periods (except as approved by an officer of the Company and disclosed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all the financial statements delivered pursuant to </w:t>
      </w:r>
      <w:r>
        <w:rPr>
          <w:rFonts w:ascii="Times New Roman" w:cs="Times New Roman" w:eastAsia="Times New Roman" w:hAnsi="Times New Roman"/>
          <w:sz w:val="18"/>
          <w:szCs w:val="18"/>
          <w:u w:val="single" w:color="auto"/>
          <w:color w:val="auto"/>
        </w:rPr>
        <w:t>Section 11.01(a)(ii)</w:t>
      </w:r>
      <w:r>
        <w:rPr>
          <w:rFonts w:ascii="Times New Roman" w:cs="Times New Roman" w:eastAsia="Times New Roman" w:hAnsi="Times New Roman"/>
          <w:sz w:val="18"/>
          <w:szCs w:val="18"/>
          <w:color w:val="auto"/>
        </w:rPr>
        <w:t xml:space="preserve"> hereof will not be required to include footnotes and will be subject to change as a result of audit and year-end adjustments, and (ii) all the financial statements delivered pursuant to </w:t>
      </w:r>
      <w:r>
        <w:rPr>
          <w:rFonts w:ascii="Times New Roman" w:cs="Times New Roman" w:eastAsia="Times New Roman" w:hAnsi="Times New Roman"/>
          <w:sz w:val="18"/>
          <w:szCs w:val="18"/>
          <w:u w:val="single" w:color="auto"/>
          <w:color w:val="auto"/>
        </w:rPr>
        <w:t>Section 11.01(a)(iii)</w:t>
      </w:r>
      <w:r>
        <w:rPr>
          <w:rFonts w:ascii="Times New Roman" w:cs="Times New Roman" w:eastAsia="Times New Roman" w:hAnsi="Times New Roman"/>
          <w:sz w:val="18"/>
          <w:szCs w:val="18"/>
          <w:color w:val="auto"/>
        </w:rPr>
        <w:t xml:space="preserve"> hereof will not be required to include exhibits and will be subject to change as a result of audit, quarterly or year-end adjustments.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Section 11.01(a)(i)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11.01(a)(ii)</w:t>
      </w:r>
      <w:r>
        <w:rPr>
          <w:rFonts w:ascii="Times New Roman" w:cs="Times New Roman" w:eastAsia="Times New Roman" w:hAnsi="Times New Roman"/>
          <w:sz w:val="18"/>
          <w:szCs w:val="18"/>
          <w:color w:val="auto"/>
        </w:rPr>
        <w:t xml:space="preserve"> may be satisfied with respect to financial information of the Company and its Subsidiaries by furnishing Form 10-K or 10-Q of the Company,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information is in lieu of information required to be provided under </w:t>
      </w:r>
      <w:r>
        <w:rPr>
          <w:rFonts w:ascii="Times New Roman" w:cs="Times New Roman" w:eastAsia="Times New Roman" w:hAnsi="Times New Roman"/>
          <w:sz w:val="18"/>
          <w:szCs w:val="18"/>
          <w:u w:val="single" w:color="auto"/>
          <w:color w:val="auto"/>
        </w:rPr>
        <w:t>Section 11.01(a)(iii)</w:t>
      </w:r>
      <w:r>
        <w:rPr>
          <w:rFonts w:ascii="Times New Roman" w:cs="Times New Roman" w:eastAsia="Times New Roman" w:hAnsi="Times New Roman"/>
          <w:sz w:val="18"/>
          <w:szCs w:val="18"/>
          <w:color w:val="auto"/>
        </w:rPr>
        <w:t>, such materials are accompanied by a report and opinion of the Company’s auditor or any other independent accounting firm.</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11.02. Without limiting anything in the Existing Credit Agreement, at and following the Exchange Closing, the Company shall permit each Major Investor, through their authorized attorneys, accountants and representatives (i) at all reasonable times during normal business hours, upon the request of the such Major Investor, to examine the books, accounts, records, ledgers and assets and properties of the Company and its Subsidiaries, (ii) during normal business hours and at their own risk, to enter onto the real property owned or leased by the Company and its Subsidiaries to conduct inspections, investigations or other reviews of such real property, and (iii) at reasonable times during normal business hours and at reasonable intervals, to visit all of the Company’s and its Subsidiaries’ offices, discuss each of the Company’s and its Subsidiaries’ respective financial matters with their respective officers, as applicable, and, by this provision, the Company authorizes, and will cause each of its respective Subsidiaries to authorize, its independent certified or chartered public accountants to discuss the finances and affairs of the Company and/or any of its Subsidiaries and examine any of the Company’s or any of its Subsidiary’s books, reports or records held by such accountants.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Composition and Size of the Board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following the Exchange Closing, each of the Company and the Investors, severally and not jointly, shall take all Necessary Action to cause the full Board to be comprised of seven (7) Directors, inclusive of the Directors nominated by the Investors pursuant to the Director nomination rights set forth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1" w:name="page302"/>
    <w:bookmarkEnd w:id="301"/>
    <w:p>
      <w:pPr>
        <w:jc w:val="both"/>
        <w:ind w:firstLine="1304"/>
        <w:spacing w:after="0" w:line="266" w:lineRule="auto"/>
        <w:tabs>
          <w:tab w:leader="none" w:pos="155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following the Exchange Closing, at least four Directors shall meet the independence requirements under the applicable rules of Nasdaq. For the avoidance of doubt, JYH’s right to serve as a Director pursuant to </w:t>
      </w:r>
      <w:r>
        <w:rPr>
          <w:rFonts w:ascii="Times New Roman" w:cs="Times New Roman" w:eastAsia="Times New Roman" w:hAnsi="Times New Roman"/>
          <w:sz w:val="18"/>
          <w:szCs w:val="18"/>
          <w:u w:val="single" w:color="auto"/>
          <w:color w:val="auto"/>
        </w:rPr>
        <w:t>Section 12.02(c)</w:t>
      </w:r>
      <w:r>
        <w:rPr>
          <w:rFonts w:ascii="Times New Roman" w:cs="Times New Roman" w:eastAsia="Times New Roman" w:hAnsi="Times New Roman"/>
          <w:sz w:val="18"/>
          <w:szCs w:val="18"/>
          <w:color w:val="auto"/>
        </w:rPr>
        <w:t xml:space="preserve"> shall not be affected by one or more other Directors ceasing to meet such independence requirements.</w:t>
      </w:r>
    </w:p>
    <w:p>
      <w:pPr>
        <w:spacing w:after="0" w:line="171"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43"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following the Exchange Closing, but subject to Sections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12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.01(b)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of the Investors, severally and not jointly, and the Company agree to take all Necessary Action so that: (i) the full Board is comprised of the seven (7) Directors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(ii) the Chairman of the Board as of the Exchange Closing shall be a Director approved by the Investor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-314325</wp:posOffset>
            </wp:positionV>
            <wp:extent cx="79946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99465" cy="8890"/>
                    </a:xfrm>
                    <a:prstGeom prst="rect">
                      <a:avLst/>
                    </a:prstGeom>
                    <a:noFill/>
                  </pic:spPr>
                </pic:pic>
              </a:graphicData>
            </a:graphic>
          </wp:anchor>
        </w:drawing>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Election to the Board; Committees</w:t>
      </w:r>
      <w:r>
        <w:rPr>
          <w:rFonts w:ascii="Times New Roman" w:cs="Times New Roman" w:eastAsia="Times New Roman" w:hAnsi="Times New Roman"/>
          <w:sz w:val="18"/>
          <w:szCs w:val="18"/>
          <w:color w:val="auto"/>
        </w:rPr>
        <w:t>. At and following the Exchange Closing:</w:t>
      </w:r>
    </w:p>
    <w:p>
      <w:pPr>
        <w:spacing w:after="0" w:line="225" w:lineRule="exact"/>
        <w:rPr>
          <w:sz w:val="20"/>
          <w:szCs w:val="20"/>
          <w:color w:val="auto"/>
        </w:rPr>
      </w:pPr>
    </w:p>
    <w:p>
      <w:pPr>
        <w:jc w:val="both"/>
        <w:ind w:firstLine="1304"/>
        <w:spacing w:after="0" w:line="266" w:lineRule="auto"/>
        <w:tabs>
          <w:tab w:leader="none" w:pos="156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Nexus continues to own shares of Class A Common Stock equal to or greater than Nexus’ Minimum Ownership Threshold, Nexus shall be entitled to designate for appointment to the Board one (1) Director from time to time (such Director designated by Nexus, the “</w:t>
      </w:r>
      <w:r>
        <w:rPr>
          <w:rFonts w:ascii="Times New Roman" w:cs="Times New Roman" w:eastAsia="Times New Roman" w:hAnsi="Times New Roman"/>
          <w:sz w:val="18"/>
          <w:szCs w:val="18"/>
          <w:u w:val="single" w:color="auto"/>
          <w:color w:val="auto"/>
        </w:rPr>
        <w:t>Nexus Director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Story3 continues to own shares of Class A Common Stock equal to or greater than Story3’s Minimum Ownership Threshold, Story3 shall be entitled to designate for appointment to the Board one (1) Director from time to time (such Director designated by Story3, the “</w:t>
      </w:r>
      <w:r>
        <w:rPr>
          <w:rFonts w:ascii="Times New Roman" w:cs="Times New Roman" w:eastAsia="Times New Roman" w:hAnsi="Times New Roman"/>
          <w:sz w:val="18"/>
          <w:szCs w:val="18"/>
          <w:u w:val="single" w:color="auto"/>
          <w:color w:val="auto"/>
        </w:rPr>
        <w:t>Story3 Director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for so long as JYH serves as the Chief Executive Officer of the Company (or for such longer period as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12.03(d)</w:t>
      </w:r>
      <w:r>
        <w:rPr>
          <w:rFonts w:ascii="Times New Roman" w:cs="Times New Roman" w:eastAsia="Times New Roman" w:hAnsi="Times New Roman"/>
          <w:sz w:val="18"/>
          <w:szCs w:val="18"/>
          <w:color w:val="auto"/>
        </w:rPr>
        <w:t>), JYH shall be designated for appointment to the Board and shall continue to serve as a Class III Director, and (ii) for so long as the Founder continues to own shares of Class A Common Stock equal to or greater than the Founder’s Minimum Ownership Threshold, the Founder shall be entitled to designate for appointment to the Board one (1) Director from time to time reasonably acceptable to the Investor Majority (such Director designated by the Founder, the “</w:t>
      </w:r>
      <w:r>
        <w:rPr>
          <w:rFonts w:ascii="Times New Roman" w:cs="Times New Roman" w:eastAsia="Times New Roman" w:hAnsi="Times New Roman"/>
          <w:sz w:val="18"/>
          <w:szCs w:val="18"/>
          <w:u w:val="single" w:color="auto"/>
          <w:color w:val="auto"/>
        </w:rPr>
        <w:t>Founder Director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be entitled to designate for appointment to the Board three (3) Directors from time to time to fill the remaining vacancies on the Board (such Directors, the “</w:t>
      </w:r>
      <w:r>
        <w:rPr>
          <w:rFonts w:ascii="Times New Roman" w:cs="Times New Roman" w:eastAsia="Times New Roman" w:hAnsi="Times New Roman"/>
          <w:sz w:val="18"/>
          <w:szCs w:val="18"/>
          <w:u w:val="single" w:color="auto"/>
          <w:color w:val="auto"/>
        </w:rPr>
        <w:t>Investor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 Directors shall be subject to the approval by the Investor Majority prior to such appointment, and the Investor Majority shall reasonably consider in good faith the views of JYH in connection therewith;</w:t>
      </w:r>
    </w:p>
    <w:p>
      <w:pPr>
        <w:spacing w:after="0" w:line="17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.02(a) through </w:t>
      </w:r>
      <w:r>
        <w:rPr>
          <w:rFonts w:ascii="Times New Roman" w:cs="Times New Roman" w:eastAsia="Times New Roman" w:hAnsi="Times New Roman"/>
          <w:sz w:val="18"/>
          <w:szCs w:val="18"/>
          <w:u w:val="single" w:color="auto"/>
          <w:color w:val="auto"/>
        </w:rPr>
        <w:t>12.02(d)</w:t>
      </w:r>
      <w:r>
        <w:rPr>
          <w:rFonts w:ascii="Times New Roman" w:cs="Times New Roman" w:eastAsia="Times New Roman" w:hAnsi="Times New Roman"/>
          <w:sz w:val="18"/>
          <w:szCs w:val="18"/>
          <w:color w:val="auto"/>
        </w:rPr>
        <w:t xml:space="preserve">, during the term of this Agreement, each of the Investors hereby agrees, severally and not jointly, to appear in person or by proxy and vote, or cause to be voted, all outstanding shares of Class A Common Stock beneficially owned by each of the Investors and any of their controlled Affiliates at any annual or special meeting, or pursuant to any written consent, of Company Stockholders at, or pursuant to, which Directors of the Company are to be elected or removed, and to take all Necessary Action to cause the election or vote against the removal of each of (i) the Nexus Director, (ii) the Story3 Director, (iii) the Founder Director, (iv) so long as JYH serves as the Chief Executive Officer of the Company (or with respect to removals, such longer period as specified in </w:t>
      </w:r>
      <w:r>
        <w:rPr>
          <w:rFonts w:ascii="Times New Roman" w:cs="Times New Roman" w:eastAsia="Times New Roman" w:hAnsi="Times New Roman"/>
          <w:sz w:val="18"/>
          <w:szCs w:val="18"/>
          <w:u w:val="single" w:color="auto"/>
          <w:color w:val="auto"/>
        </w:rPr>
        <w:t>Section 12.03(d))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-718185</wp:posOffset>
            </wp:positionV>
            <wp:extent cx="7994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t>JYH as a Director, and (v) the Investor Directors, as provided herein and to implement and enforce the provisions set forth in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5749290</wp:posOffset>
            </wp:positionH>
            <wp:positionV relativeFrom="paragraph">
              <wp:posOffset>-5080</wp:posOffset>
            </wp:positionV>
            <wp:extent cx="6280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53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(including any requirements under the Exchange Act or the applicable rules of Nasdaq), each of the Nexus Director, the Story3 Director and the Founder Director shall be appointed to each committee of the Board (including the Audit Committee, the Compensation Committee and the Nominating and ESG Committee), with either the Nexus Director or the Story3 Director, or such other Person approved by the Investor Majority, serving as the Chair of each such committee.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Vacancies and Replacements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Nexus, Story3 or the Founder, as applicable, no longer has the right to designate a Director for nomination by the Board pursuant to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.02(a),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.02(b) or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.02(c) (each such occurrence, a “</w:t>
      </w:r>
      <w:r>
        <w:rPr>
          <w:rFonts w:ascii="Times New Roman" w:cs="Times New Roman" w:eastAsia="Times New Roman" w:hAnsi="Times New Roman"/>
          <w:sz w:val="18"/>
          <w:szCs w:val="18"/>
          <w:u w:val="single" w:color="auto"/>
          <w:color w:val="auto"/>
        </w:rPr>
        <w:t>Loss of Designation Rights</w:t>
      </w:r>
      <w:r>
        <w:rPr>
          <w:rFonts w:ascii="Times New Roman" w:cs="Times New Roman" w:eastAsia="Times New Roman" w:hAnsi="Times New Roman"/>
          <w:sz w:val="18"/>
          <w:szCs w:val="18"/>
          <w:color w:val="auto"/>
        </w:rPr>
        <w:t xml:space="preserve">”) or in the event JYH no longer serves as the Chief Executive Officer of the Company, then, unless a majority of Directors (with the affected party’s Board designee(s) abstaining), and in the case of JYH no longer serving as the Chief Executive Officer of the Company, the Board, by unanimous approval, votes in favor of or agrees in writing that such Director or Directors shall not resign as a result of a Loss of Designation Rights or as otherwise provided in </w:t>
      </w:r>
      <w:r>
        <w:rPr>
          <w:rFonts w:ascii="Times New Roman" w:cs="Times New Roman" w:eastAsia="Times New Roman" w:hAnsi="Times New Roman"/>
          <w:sz w:val="18"/>
          <w:szCs w:val="18"/>
          <w:u w:val="single" w:color="auto"/>
          <w:color w:val="auto"/>
        </w:rPr>
        <w:t>Section 12.03(d)</w:t>
      </w:r>
      <w:r>
        <w:rPr>
          <w:rFonts w:ascii="Times New Roman" w:cs="Times New Roman" w:eastAsia="Times New Roman" w:hAnsi="Times New Roman"/>
          <w:sz w:val="18"/>
          <w:szCs w:val="18"/>
          <w:color w:val="auto"/>
        </w:rPr>
        <w:t>, each of Nexus, Story3 or the Founder, as applicable, agrees with the Company (and only with the Company) that it shall take all Necessary Action to cause each of</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2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Nexus Director that Nexus ceases to have the right to designate for nomination as a Nexus Director, (ii) the Story3 Director that Story3 ceases to have the right to designate for nomination as a Story3 Director, (iii) the Founder Director that the Founder ceases to have the right to designate for nomination as the Founder Director, or (iv) JYH in the event she no longer serves as the Chief Executive Officer of the Company,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12.03(d)</w:t>
      </w:r>
      <w:r>
        <w:rPr>
          <w:rFonts w:ascii="Times New Roman" w:cs="Times New Roman" w:eastAsia="Times New Roman" w:hAnsi="Times New Roman"/>
          <w:sz w:val="18"/>
          <w:szCs w:val="18"/>
          <w:color w:val="auto"/>
        </w:rPr>
        <w:t>, respectively, to tender his, her or their resignation(s) from the Board and all applicable committees thereof within three (3) Business Days from the date that Nexus, Story3, the Founder or JYH, as applicable, incurs a Loss of Designation Rights.</w:t>
      </w:r>
    </w:p>
    <w:p>
      <w:pPr>
        <w:spacing w:after="0" w:line="18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a Loss of Designation Rights, (i) each of Nexus, Story3 and the Founder shall have the sole right to request that their respective designated Directors, as applicable, tender their resignations from the Board and all applicable committees thereof, and (ii) the Investor Majority shall have the sole right to request that the Investor Directors tender their resignations from the Board and all applicable committees thereof, in each case, with or without cause at any time, by sending a written notice to such Director and the Company’s Secretary stating the name of the Director or Directors whose resignation from the Board and all applicable committees thereof is requested.</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61"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 Loss of Designation Rights subject to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.03(a) and </w:t>
      </w:r>
      <w:r>
        <w:rPr>
          <w:rFonts w:ascii="Times New Roman" w:cs="Times New Roman" w:eastAsia="Times New Roman" w:hAnsi="Times New Roman"/>
          <w:sz w:val="18"/>
          <w:szCs w:val="18"/>
          <w:u w:val="single" w:color="auto"/>
          <w:color w:val="auto"/>
        </w:rPr>
        <w:t>Section 12.02(d)</w:t>
      </w:r>
      <w:r>
        <w:rPr>
          <w:rFonts w:ascii="Times New Roman" w:cs="Times New Roman" w:eastAsia="Times New Roman" w:hAnsi="Times New Roman"/>
          <w:sz w:val="18"/>
          <w:szCs w:val="18"/>
          <w:color w:val="auto"/>
        </w:rPr>
        <w:t>, each of Nexus, Story3, the Founder and the Board (subject to approval of the Investor Majority in accordance with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.02(d)), as applicable, shall have the exclusive right to designate in accordance with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.02(a),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.02(b),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.02(c) or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.02(d), as applicable, a replacement Director for appointment by the Board to fill vacancies created as a result of death, disability, retirement, resignation or removal (with or without cause) or refusal to stand for re-election of their respective Directors, and the Board shall fill any such vacancy of their respective Directors with such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-2914650</wp:posOffset>
            </wp:positionV>
            <wp:extent cx="25146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14600" cy="889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-582930</wp:posOffset>
            </wp:positionV>
            <wp:extent cx="7632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-445770</wp:posOffset>
            </wp:positionV>
            <wp:extent cx="7613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1365" cy="8255"/>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-308610</wp:posOffset>
            </wp:positionV>
            <wp:extent cx="35388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538855" cy="8255"/>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03" w:name="page304"/>
    <w:bookmarkEnd w:id="303"/>
    <w:p>
      <w:pPr>
        <w:jc w:val="both"/>
        <w:ind w:firstLine="1304"/>
        <w:spacing w:after="0" w:line="261" w:lineRule="auto"/>
        <w:tabs>
          <w:tab w:leader="none" w:pos="155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JYH ceases to serve as the Chief Executive Officer of the Company for any reason, JYH shall tender her resignation from the Board and all applicable committees thereof within three (3) Business Days from the date that JYH ceases to serve as the Chief Executive Officer of the Company, unless the Board, by unanimous approval, votes in favor of or agrees in writing that JYH’s term shall not expire as a result of JYH ceasing to serve as Chief Executive Officer of the Company.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following the Exchange Closing, the Company agrees with each of the Investors, severally and not jointly, that the Board will take all Necessary Action (subject to the Board’s fiduciary duties) to (i) cause the full Board to be comprised of seven (7) Directors inclusive of the Directors nominated by Investors pursuant to the Director nomination rights set forth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(ii) cause the individuals designated in accordance with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.01 to be included in the slate of nominees with respect to the applicable class of Directors (as determined by the Investor Majority) to be elected to the Board at the next annual or special meeting of stockholders of the Company at which Directors of such class are to be elected, in accordance with the Bylaws, Charter and the DGCL and at each annual meeting of stockholders of the Company thereafter at which such Director’s term expires, (iii) cause the Nexus Director, the Story3 Director and the Founder Director to be appointed to each committee of the Board (including the Audit Committee, the Compensation Committee and the Nominating and ESG Committee), with either the Nexus Director or the Story3 Director, or such other Person approved by the Investor Majority, serving as the Chair of each such committee, and (iv) cause the individuals designated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12.03(c)</w:t>
      </w:r>
      <w:r>
        <w:rPr>
          <w:rFonts w:ascii="Times New Roman" w:cs="Times New Roman" w:eastAsia="Times New Roman" w:hAnsi="Times New Roman"/>
          <w:sz w:val="18"/>
          <w:szCs w:val="18"/>
          <w:color w:val="auto"/>
        </w:rPr>
        <w:t xml:space="preserve"> to fill the applicable vacancies on the Board, in accordance with the Charter, Bylaws, applicable securities Laws, the DGCL and The Nasdaq Stock Exchange rules.</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58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agrees that such Investor shall comply with the requirements of the Charter and Bylaws when designating and nominating individuals as Directors in accordance with this Agreement, in each case, to the extent such requirements are applicable to Directors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-1419860</wp:posOffset>
            </wp:positionV>
            <wp:extent cx="6280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Indemnification of the Directors; Directors and Officers Insurance Policy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7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following the Exchange Closing, to the extent provided by Delaware Law, the Charter shall at all times require (i) the indemnification and reimbursement of costs and expenses (including advancing reasonable costs prior to the final disposition of any actual or threatened Claim) of all of the Directors against liability for actions and omissions to act in their capacity as Directors of the Company to the maximum extent that such individuals may lawfully be so indemnified by the Company, and (ii) the exculpation of the Directors from liability to the Company and its stockholders for monetary damages for breach of their fiduciary duties as Directors.</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5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following the Exchange Closing, the Company will maintain in full force and effect a directors and officer liability insurance policy issued by an insurer or insurers of recognized responsibility, insuring its Directors and officers against such losses and risks, and in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4" w:name="page305"/>
    <w:bookmarkEnd w:id="304"/>
    <w:p>
      <w:pPr>
        <w:spacing w:after="0" w:line="286" w:lineRule="auto"/>
        <w:rPr>
          <w:sz w:val="20"/>
          <w:szCs w:val="20"/>
          <w:color w:val="auto"/>
        </w:rPr>
      </w:pPr>
      <w:r>
        <w:rPr>
          <w:rFonts w:ascii="Times New Roman" w:cs="Times New Roman" w:eastAsia="Times New Roman" w:hAnsi="Times New Roman"/>
          <w:sz w:val="18"/>
          <w:szCs w:val="18"/>
          <w:color w:val="auto"/>
        </w:rPr>
        <w:t>such amounts, as determined by the Board. The Company may not cancel any policy required under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.05(b) without the consent of a majority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4816475</wp:posOffset>
            </wp:positionH>
            <wp:positionV relativeFrom="paragraph">
              <wp:posOffset>-186690</wp:posOffset>
            </wp:positionV>
            <wp:extent cx="76136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line="139" w:lineRule="exact"/>
        <w:rPr>
          <w:sz w:val="20"/>
          <w:szCs w:val="20"/>
          <w:color w:val="auto"/>
        </w:rPr>
      </w:pPr>
    </w:p>
    <w:p>
      <w:pPr>
        <w:jc w:val="both"/>
        <w:ind w:firstLine="1304"/>
        <w:spacing w:after="0" w:line="266" w:lineRule="auto"/>
        <w:tabs>
          <w:tab w:leader="none" w:pos="156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concurrently with the Exchange Closing, the Company and each of the Directors shall enter into an indemnification agreement, substantially in the form which has been filed by the Company with the SEC, to the extent a Director is not already party to such an indemnification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Board Observers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4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following the Exchange Closing, until the date on which the Founder ceases to hold shares of Class A Common Stock equal to or greater than the Founder’s Minimum Ownership Threshold, the Founder shall be entitled to designate one (1) Board observer from time to time reasonably acceptable to the Investor Majority (the “</w:t>
      </w:r>
      <w:r>
        <w:rPr>
          <w:rFonts w:ascii="Times New Roman" w:cs="Times New Roman" w:eastAsia="Times New Roman" w:hAnsi="Times New Roman"/>
          <w:sz w:val="18"/>
          <w:szCs w:val="18"/>
          <w:u w:val="single" w:color="auto"/>
          <w:color w:val="auto"/>
        </w:rPr>
        <w:t>Founder Observer</w:t>
      </w:r>
      <w:r>
        <w:rPr>
          <w:rFonts w:ascii="Times New Roman" w:cs="Times New Roman" w:eastAsia="Times New Roman" w:hAnsi="Times New Roman"/>
          <w:sz w:val="18"/>
          <w:szCs w:val="18"/>
          <w:color w:val="auto"/>
        </w:rPr>
        <w:t xml:space="preserve">”) to attend (in-person, by telephone or by other communication equipment pursuant to Section 3.05 of the Bylaws) any regular or special meeting of the Board (or any relevant committees thereof), except that the Founder Observer shall not be entitled to vote on matters presented to or discussed by the Board (or relevant committee thereof) at any such meetings. The Founder Observer shall be timely notified of the time and place of any meetings of the Board (or any relevant committee thereof) and will be given written notice (such notice to be delivered to the Founder Observer contemporaneously with delivery of such notice to the Directors) of all proposed actions to be taken by the Board (or any relevant committee thereof) at such meeting as if the Founder Observer were a Director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Founder Observer shall enter into an agreement with the Company setting forth the rights and obligations of the Founder Observer, which shall be on customary terms and conditions (and shall include the right of the Founder Observer to receive non-privileged information regarding the Company that would otherwise be available to the Directors, subject to confidentiality and non-use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contained in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.06(a), the Founder Observer may be excluded from meetings (or a portion thereof) and materials provided to the Founder Observer in connection with such meetings may be redacted to the extent that the Board (or any relevant committee thereof) reasonably determines that such exclusion or redaction is necessary to (i) preserve attorney-client privilege, or (ii) avoid a conflict of interest between the interests of the Founder or any of their respective Affiliates, on the one hand, and those of the Company or any of its Subsidiaries, on the other hand;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or voted upon at such meeting (or the proposed actions to be taken by written consent without a meeting). In the event the Founder Observer is excluded from any meeting or portion thereof or is delivered any redacted information or materials related thereto, the Secretary of the Company shall promptly provide to the Founder Observer a general description, which shall be true and correct in all material respects, of the matters discussed during such meeting or portion thereof at which the Founder Observer was excluded and any such redacted information or materials;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description may exclude any information to the extent that the Board reasonably determines that such exclusion is necessary to (A) preserve attorney-client privilege or (B) avoid a conflict of interest between the interests of the Founder or any of their respective Affiliates, on the one hand, and those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-1666240</wp:posOffset>
            </wp:positionV>
            <wp:extent cx="7632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05" w:name="page306"/>
    <w:bookmarkEnd w:id="30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Company or any of its Subsidiaries, on the other hand. Subject to the second proviso in the second sentence of this </w:t>
      </w:r>
      <w:r>
        <w:rPr>
          <w:rFonts w:ascii="Times New Roman" w:cs="Times New Roman" w:eastAsia="Times New Roman" w:hAnsi="Times New Roman"/>
          <w:sz w:val="18"/>
          <w:szCs w:val="18"/>
          <w:u w:val="single" w:color="auto"/>
          <w:color w:val="auto"/>
        </w:rPr>
        <w:t>Section 12.06(a)</w:t>
      </w:r>
      <w:r>
        <w:rPr>
          <w:rFonts w:ascii="Times New Roman" w:cs="Times New Roman" w:eastAsia="Times New Roman" w:hAnsi="Times New Roman"/>
          <w:sz w:val="18"/>
          <w:szCs w:val="18"/>
          <w:color w:val="auto"/>
        </w:rPr>
        <w:t>, the Founder Observer shall have the right to receive all information provided to the Board (or any relevant committee thereof) in anticipation of or at such meeting (regular or special and whether telephonic, videoconference or otherwise), in addition to copies of the records of the proceedings or minutes of such meeting, when provided to the Board members, and the Founder Observer shall keep such materials and information confidential. Notwithstanding anything to the contrary contained in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.06(a), the Founder Observer shall not, unless reasonably acceptable to the Investor Majority, be an officer, director, manager, employee, member, partner, Representative or Affiliate of, or do business with, competitors or potential competitors of the Company or any of its Subsidiaries, or entities engaged in business similar to or the same as the Company (as currently conducted or as currently proposed to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-305435</wp:posOffset>
            </wp:positionV>
            <wp:extent cx="62801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9" w:lineRule="exact"/>
        <w:rPr>
          <w:sz w:val="20"/>
          <w:szCs w:val="20"/>
          <w:color w:val="auto"/>
        </w:rPr>
      </w:pPr>
    </w:p>
    <w:p>
      <w:pPr>
        <w:jc w:val="both"/>
        <w:ind w:firstLine="1304"/>
        <w:spacing w:after="0" w:line="252" w:lineRule="auto"/>
        <w:tabs>
          <w:tab w:leader="none" w:pos="155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following the Exchange Closing, (i) each of Nexus, for so long as Nexus continues to own shares of Class A Common Stock equal to or greater than Nexus’ Minimum Ownership Threshold, and Story3, for so long as Story3 continues to own shares of Class A Common Stock equal to or greater than Story3’s Minimum Ownership Threshold, shall be entitled to designate one (1) Board observer from time to time (each, an “</w:t>
      </w:r>
      <w:r>
        <w:rPr>
          <w:rFonts w:ascii="Times New Roman" w:cs="Times New Roman" w:eastAsia="Times New Roman" w:hAnsi="Times New Roman"/>
          <w:sz w:val="18"/>
          <w:szCs w:val="18"/>
          <w:u w:val="single" w:color="auto"/>
          <w:color w:val="auto"/>
        </w:rPr>
        <w:t>Investor Observer</w:t>
      </w:r>
      <w:r>
        <w:rPr>
          <w:rFonts w:ascii="Times New Roman" w:cs="Times New Roman" w:eastAsia="Times New Roman" w:hAnsi="Times New Roman"/>
          <w:sz w:val="18"/>
          <w:szCs w:val="18"/>
          <w:color w:val="auto"/>
        </w:rPr>
        <w:t>”), and (ii) CHS shall be entitled to designate two (2) Board observers from time to time (each, a “</w:t>
      </w:r>
      <w:r>
        <w:rPr>
          <w:rFonts w:ascii="Times New Roman" w:cs="Times New Roman" w:eastAsia="Times New Roman" w:hAnsi="Times New Roman"/>
          <w:sz w:val="18"/>
          <w:szCs w:val="18"/>
          <w:u w:val="single" w:color="auto"/>
          <w:color w:val="auto"/>
        </w:rPr>
        <w:t>CHS Observer</w:t>
      </w:r>
      <w:r>
        <w:rPr>
          <w:rFonts w:ascii="Times New Roman" w:cs="Times New Roman" w:eastAsia="Times New Roman" w:hAnsi="Times New Roman"/>
          <w:sz w:val="18"/>
          <w:szCs w:val="18"/>
          <w:color w:val="auto"/>
        </w:rPr>
        <w:t>” and together with the Investor Observers, the “</w:t>
      </w:r>
      <w:r>
        <w:rPr>
          <w:rFonts w:ascii="Times New Roman" w:cs="Times New Roman" w:eastAsia="Times New Roman" w:hAnsi="Times New Roman"/>
          <w:sz w:val="18"/>
          <w:szCs w:val="18"/>
          <w:u w:val="single" w:color="auto"/>
          <w:color w:val="auto"/>
        </w:rPr>
        <w:t>Investor Majority Observers</w:t>
      </w:r>
      <w:r>
        <w:rPr>
          <w:rFonts w:ascii="Times New Roman" w:cs="Times New Roman" w:eastAsia="Times New Roman" w:hAnsi="Times New Roman"/>
          <w:sz w:val="18"/>
          <w:szCs w:val="18"/>
          <w:color w:val="auto"/>
        </w:rPr>
        <w:t xml:space="preserve">”) to attend (in-person, by telephone or by other communication equipment pursuant to Section 3.05 of the Bylaws) any regular or special meeting of the Board (or any relevant committees thereof), except that none of the Investor Majority Observers shall be entitled to vote on matters presented to or discussed by the Board (or relevant committee thereof) at any such meetings. The Investor Majority Observers shall be timely notified of the time and place of any meetings of the Board (or any relevant committee thereof) and will be given written notice (such notice to be delivered to the Investor Majority Observers contemporaneously with delivery of such notice to the Directors) of all proposed actions to be taken by the Board (or any relevant committee thereof) at such meeting as if the Investor Majority Observers were Directors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Investor Majority Observers shall enter into an agreement with the Company setting forth the rights and obligations of such Investor Majority Observers, which shall be on customary terms and conditions (and shall include the right of each of the Investor Majority Observers to receive non-privileged information regarding the Company that would otherwise be available to the Directors, subject to confidentiality and non-use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contained in this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.06(b), the Investor Majority Observers may be excluded from meetings (or a portion thereof) and materials provided to the Investor Majority Observers in connection with such meetings may be redacted to the extent that the Board (or any relevant committee thereof) reasonably determines that such exclusion or redaction is necessary to (A) preserve attorney-client privilege, or (B) avoid a conflict of interest between the interests of CHS, Nexus or Story3, as applicable, or any of their respective Affiliates, on the one hand, and those of the Company or any of its Subsidiaries, on the other hand;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or voted upon at such meeting (or the proposed actions to be taken by written consent without a meeting).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-991235</wp:posOffset>
            </wp:positionV>
            <wp:extent cx="76136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6" w:name="page307"/>
    <w:bookmarkEnd w:id="30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 Investor Majority Observer is excluded from any meeting or portion thereof or is delivered any redacted information or materials related thereto, the Secretary of the Company shall promptly provide to such Investor Majority Observer a general description, which shall be true and correct in all material respects, of the matters discussed during such meeting or portion thereof at which such Investor Majority Observer was excluded and any such redacted information or materials;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description may exclude any information to the extent that the Board reasonably determines that such exclusion is necessary to (1) preserve attorney-client privilege or (2) avoid a conflict of interest between the interests of CHS, Nexus or Story3, as applicable, or any of their respective Affiliates, on the one hand, and those of the Company or any of its Subsidiaries, on the other hand. Subject to the second proviso in the second sentence of this </w:t>
      </w:r>
      <w:r>
        <w:rPr>
          <w:rFonts w:ascii="Times New Roman" w:cs="Times New Roman" w:eastAsia="Times New Roman" w:hAnsi="Times New Roman"/>
          <w:sz w:val="18"/>
          <w:szCs w:val="18"/>
          <w:u w:val="single" w:color="auto"/>
          <w:color w:val="auto"/>
        </w:rPr>
        <w:t>Section 12.06(b)</w:t>
      </w:r>
      <w:r>
        <w:rPr>
          <w:rFonts w:ascii="Times New Roman" w:cs="Times New Roman" w:eastAsia="Times New Roman" w:hAnsi="Times New Roman"/>
          <w:sz w:val="18"/>
          <w:szCs w:val="18"/>
          <w:color w:val="auto"/>
        </w:rPr>
        <w:t>, the Investor Majority Observers shall have the right to receive all information provided to the Board (or any relevant committee thereof) in anticipation of or at such meeting (regular or special and whether telephonic, videoconference or otherwise), in addition to copies of the records of the proceedings or minutes of such meeting, when provided to the Board members, and the Investor Majority Observers shall keep such materials and information confidential. Each of CHS, Nexus and Story3 shall have the right to replace its Investor Majority Observer at any time.</w:t>
      </w:r>
    </w:p>
    <w:p>
      <w:pPr>
        <w:spacing w:after="0" w:line="192" w:lineRule="exact"/>
        <w:rPr>
          <w:sz w:val="20"/>
          <w:szCs w:val="20"/>
          <w:color w:val="auto"/>
        </w:rPr>
      </w:pPr>
    </w:p>
    <w:p>
      <w:pPr>
        <w:jc w:val="both"/>
        <w:ind w:firstLine="1304"/>
        <w:spacing w:after="0" w:line="261" w:lineRule="auto"/>
        <w:tabs>
          <w:tab w:leader="none" w:pos="154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Majority Observer rights set forth in </w:t>
      </w:r>
      <w:r>
        <w:rPr>
          <w:rFonts w:ascii="Times New Roman" w:cs="Times New Roman" w:eastAsia="Times New Roman" w:hAnsi="Times New Roman"/>
          <w:sz w:val="18"/>
          <w:szCs w:val="18"/>
          <w:u w:val="single" w:color="auto"/>
          <w:color w:val="auto"/>
        </w:rPr>
        <w:t>Section 12.06(b)</w:t>
      </w:r>
      <w:r>
        <w:rPr>
          <w:rFonts w:ascii="Times New Roman" w:cs="Times New Roman" w:eastAsia="Times New Roman" w:hAnsi="Times New Roman"/>
          <w:sz w:val="18"/>
          <w:szCs w:val="18"/>
          <w:color w:val="auto"/>
        </w:rPr>
        <w:t xml:space="preserve"> are in addition to, and do not limit, any rights provided in the New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avoidance of doubt, (i) each of Story3 and Nexus shall have the right to designate one (1) Board observer in total pursuant to this Agreement and the New Credit Agreement and (ii) CHS shall have the right to designate two (2) Board observers in total pursuant to this Agreement and the New Credit Agreement.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At and following the Exchange Closing, the Company will reimburse all non-employee Directors, the Founder Observer and the Investor Majority Observers for all reasonable and documented out-of-pocket costs and expenses incurred in connection with the performance of his or her duties as a Director, the Founder Observer or the Investor Majority Observer, as applicable, or participation in any meeting of the Board (or any relevant committee thereof), upon production of appropriate receipts (including, for the avoidance of doubt, reimbursement for travel expenses and business development activities that are requested by the Company).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u w:val="single" w:color="auto"/>
          <w:color w:val="auto"/>
        </w:rPr>
        <w:t>Certain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7"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eighteen (18) months after the Exchange Closing, unless approved in advance by a majority of the disinterested and independent directors on the Board (which for purposes of this </w:t>
      </w:r>
      <w:r>
        <w:rPr>
          <w:rFonts w:ascii="Times New Roman" w:cs="Times New Roman" w:eastAsia="Times New Roman" w:hAnsi="Times New Roman"/>
          <w:sz w:val="18"/>
          <w:szCs w:val="18"/>
          <w:u w:val="single" w:color="auto"/>
          <w:color w:val="auto"/>
        </w:rPr>
        <w:t>Section 12.08(a)</w:t>
      </w:r>
      <w:r>
        <w:rPr>
          <w:rFonts w:ascii="Times New Roman" w:cs="Times New Roman" w:eastAsia="Times New Roman" w:hAnsi="Times New Roman"/>
          <w:sz w:val="18"/>
          <w:szCs w:val="18"/>
          <w:color w:val="auto"/>
        </w:rPr>
        <w:t xml:space="preserve"> shall include JYH to the extent JYH is a member of the Board), CHS, Nexus and Story3, individually or as a group, shall not, directly or indirectly (including through one or more Affiliates), cause or permit the Company to engage in or consummate a merger or consolidation pursuant to Section 253 or Section 267 of the Delaware General Corporation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following the Exchange Closing, each Investor agrees that he, she or it shall not vote in favor of or agree in writing to any amendment or other modification to the Amended and Restated Charter that is inconsistent with the purposes and intent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6.3(b)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6.5(b)</w:t>
      </w:r>
      <w:r>
        <w:rPr>
          <w:rFonts w:ascii="Times New Roman" w:cs="Times New Roman" w:eastAsia="Times New Roman" w:hAnsi="Times New Roman"/>
          <w:sz w:val="18"/>
          <w:szCs w:val="18"/>
          <w:color w:val="auto"/>
        </w:rPr>
        <w:t xml:space="preserve"> thereof.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deemed given when delivered, if delivered personally, emailed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email states that it is a notice sent pursuant to this Section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.01) or sent by overnight courier (providing proof of delivery) to the Parties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6127750</wp:posOffset>
            </wp:positionH>
            <wp:positionV relativeFrom="paragraph">
              <wp:posOffset>-311150</wp:posOffset>
            </wp:positionV>
            <wp:extent cx="6280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0"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(ii) if to any Investor, to the address set forth next to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extent possible.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shall be considered one and the same agreement and shall become effective when one or more counterparts have been signed by each of the Parties and delivered to the other Parties. Delivery of an executed counterpart of a signature page to this Agreement by “.pdf” format, scanned pages or electronic signature shall be effective as delivery of a manually executed counterpart to this Agreement.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8" w:name="page309"/>
    <w:bookmarkEnd w:id="30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This Agreement, collectively with the other Transaction Documents (including the schedules and exhibits hereto and thereto), constitutes the entire agreement, and supersede all prior agreements, understandings and representations, both written and oral, between the Parties with respect to the Transactions. This Agreement (including the documents and instruments referred to herein) is not intended to, and does not, confer upon any Person other than the Parties any rights or remedies hereunder, including the right to rely upon the representations and warranties set forth in this Agreement, except as otherwise specifically provided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which is intended to benefit each Covered Person.</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operation of law or otherwise by any of the Parties without the prior written consent of the other Parties. Notwithstanding the foregoing or anything else in this Agreement, each of CHS, Nexus or Story3 may, upon prior written notice to the Company, assign, in its sole discretion, any or all of its rights, interests and obligations under this Agreement to any Affiliate of CHS, Nexus or Story3, respectively, so long as CHS, Nexus or Story3, as applicable,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Specific Performance; Exclusive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an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7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9" w:name="page310"/>
    <w:bookmarkEnd w:id="309"/>
    <w:p>
      <w:pPr>
        <w:jc w:val="both"/>
        <w:spacing w:after="0" w:line="255" w:lineRule="auto"/>
        <w:rPr>
          <w:sz w:val="20"/>
          <w:szCs w:val="20"/>
          <w:color w:val="auto"/>
        </w:rPr>
      </w:pPr>
      <w:r>
        <w:rPr>
          <w:rFonts w:ascii="Times New Roman" w:cs="Times New Roman" w:eastAsia="Times New Roman" w:hAnsi="Times New Roman"/>
          <w:sz w:val="18"/>
          <w:szCs w:val="18"/>
          <w:color w:val="auto"/>
        </w:rPr>
        <w:t>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Section 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-31115</wp:posOffset>
            </wp:positionV>
            <wp:extent cx="6280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9" w:lineRule="exact"/>
        <w:rPr>
          <w:sz w:val="20"/>
          <w:szCs w:val="20"/>
          <w:color w:val="auto"/>
        </w:rPr>
      </w:pPr>
    </w:p>
    <w:p>
      <w:pPr>
        <w:ind w:right="20" w:firstLine="1304"/>
        <w:spacing w:after="0" w:line="312" w:lineRule="auto"/>
        <w:tabs>
          <w:tab w:leader="none" w:pos="1554"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HEREBY KNOWINGLY, INTENTIONALLY AND VOLUNTARILY IRREVOCABLY WAIVES ANY AND ALL RIGHTS TO TRIAL BY JURY IN ANY ACTION ARISING OUT OF OR RELATED TO THIS AGREEMENT OR THE TRANSACTIONS.</w:t>
      </w:r>
    </w:p>
    <w:p>
      <w:pPr>
        <w:spacing w:after="0" w:line="14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Amendments, Waivers and Consents</w:t>
      </w:r>
      <w:r>
        <w:rPr>
          <w:rFonts w:ascii="Times New Roman" w:cs="Times New Roman" w:eastAsia="Times New Roman" w:hAnsi="Times New Roman"/>
          <w:sz w:val="18"/>
          <w:szCs w:val="18"/>
          <w:color w:val="auto"/>
        </w:rPr>
        <w:t xml:space="preserve">. This Agreement may not be modified, amended or supplemented, except by written instrument executed by each Party (excluding, for the avoidance of doubt, any Party whose rights and obligations hereunder have validly terminated in accordance with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Any of the terms or provisions hereof may be waived in writing at any time by the Party that is entitled to the benefits of such waived terms or provisions. In addition, any amendment or waiver of </w:t>
      </w:r>
      <w:r>
        <w:rPr>
          <w:rFonts w:ascii="Times New Roman" w:cs="Times New Roman" w:eastAsia="Times New Roman" w:hAnsi="Times New Roman"/>
          <w:sz w:val="18"/>
          <w:szCs w:val="18"/>
          <w:u w:val="single" w:color="auto"/>
          <w:color w:val="auto"/>
        </w:rPr>
        <w:t>Section 12.08(a)</w:t>
      </w:r>
      <w:r>
        <w:rPr>
          <w:rFonts w:ascii="Times New Roman" w:cs="Times New Roman" w:eastAsia="Times New Roman" w:hAnsi="Times New Roman"/>
          <w:sz w:val="18"/>
          <w:szCs w:val="18"/>
          <w:color w:val="auto"/>
        </w:rPr>
        <w:t xml:space="preserve"> shall require the approval specified therein. No failure to exercise, and no delay in exercising, any right, power or privilege under this Agreement will operate as a waiver, nor will any single or partial exercise of any right, power or privilege hereunder preclude the exercise of any other right, power or privilege. No waiver of any breach of any provision will be deemed to be a waiver of any preceding or succeeding breach of the same or any other provision, nor will any waiver be implied from any course of dealing between the Parties. No extension of time for performance of any obligations or other acts hereunder or under any other agreement will be deemed to be an extension of the time for performance of any other obligations or any other acts.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held or acquired by an Investor or its respective Affiliates (which for purposes of this Section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.09 shall include, with regard to any Investor that is a natural person, such Person’s (a) family members, or (b) family-related investment vehicles or trusts for the benefit of such Person or such Person’s family members or estate) shall be aggregated together for the purpose of determining the availability of any rights under this Agreement, and such Affiliates may apportion such rights as among themselves in any manner they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280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Right to Conduct Activities</w:t>
      </w:r>
      <w:r>
        <w:rPr>
          <w:rFonts w:ascii="Times New Roman" w:cs="Times New Roman" w:eastAsia="Times New Roman" w:hAnsi="Times New Roman"/>
          <w:sz w:val="18"/>
          <w:szCs w:val="18"/>
          <w:color w:val="auto"/>
        </w:rPr>
        <w:t>. The Company hereby agrees and acknowledges that the Investors are in the investment business and as such invest in (directly or indirectly, including providing financing to) or do business with competitors or potential competitors of the Company, or entities engaged in business similar to or the same as the Company (as currently conducted or as currently proposed to be conducted). The Company hereby agrees that (a) the execution of this Agreement shall not restrict or preclude such activities, and (b) to the maximum extent permitted under applicable Law, each Investor shall not be liable to the Company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0" w:name="page311"/>
    <w:bookmarkEnd w:id="31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any claim arising out of, or based upon, (i) making available any loans or financing by such Investor to any entity competitive with the Company, (ii) the investment by such Investor in any entity competitive with the Company, or (iii) actions taken by any partner, officer or other Representative of such Investor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Investors from liability associated with the unauthorized disclosure of the Company’s confidential information, or (y) any Director or officer of the Company from any liability associated with his or her fiduciary duties to the Company.</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Existing Stockholders Agreement</w:t>
      </w:r>
      <w:r>
        <w:rPr>
          <w:rFonts w:ascii="Times New Roman" w:cs="Times New Roman" w:eastAsia="Times New Roman" w:hAnsi="Times New Roman"/>
          <w:sz w:val="18"/>
          <w:szCs w:val="18"/>
          <w:color w:val="auto"/>
        </w:rPr>
        <w:t>. The Company acknowledges and agrees that immediately following the consummation of the transactions contemplated by the Exchange Agreement, the Stockholders Agreement will terminate in accordance with its terms.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Except to the extent set forth in Section 12.4 of the Existing Credit Agreement, all costs and expenses incurred in connection with this Agreement and the consummation of the transactions contemplated hereby shall be paid by the Party incurring such expenses.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13.13.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automatically without any action by or on behalf of any Party or any other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upon the earliest to occur of any of the following events:</w:t>
      </w:r>
    </w:p>
    <w:p>
      <w:pPr>
        <w:spacing w:after="0" w:line="203" w:lineRule="exact"/>
        <w:rPr>
          <w:sz w:val="20"/>
          <w:szCs w:val="20"/>
          <w:color w:val="auto"/>
        </w:rPr>
      </w:pPr>
    </w:p>
    <w:p>
      <w:pPr>
        <w:ind w:left="1540" w:hanging="236"/>
        <w:spacing w:after="0"/>
        <w:tabs>
          <w:tab w:leader="none" w:pos="1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 Nexus, (ii) Story3; and (iii) the Founder ceasing to have any Director designation rights under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w:t>
      </w:r>
    </w:p>
    <w:p>
      <w:pPr>
        <w:spacing w:after="0" w:line="22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consent of the Parties;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termination of the Exchange Agreement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-556260</wp:posOffset>
            </wp:positionV>
            <wp:extent cx="6280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avoidance of doubt, the rights and obligations of (A) Nexus under this Agreement shall terminate upon Nexus ceasing to have any Director designation rights under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.02(a), (B) Story3 under this Agreement shall terminate upon Story3 ceasing to have any Director designation rights under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.02(b), (C) the Founder under this Agreement shall terminate upon the Founder ceasing to have any Director designation rights under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.02(c), and (D) CHS under this Agreement shall terminate upon CHS ceasing to hold at least five percent (5%) of all issued and outstanding shares of Class A Common Stock. Notwithstanding the foregoing, nothing in this Agreement shall modify, limit or otherwise affect, in any way, any and all rights to indemnification, exculpation and contribution owed to any of the Parties, to the extent arising out of or relating to events occurring prior to the date of termination of this Agreement or the date the rights and obligations of such Party under this Agreement terminates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13.13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-852170</wp:posOffset>
            </wp:positionV>
            <wp:extent cx="7632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-715010</wp:posOffset>
            </wp:positionV>
            <wp:extent cx="769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9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632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1" w:name="page312"/>
    <w:bookmarkEnd w:id="311"/>
    <w:p>
      <w:pPr>
        <w:ind w:left="180"/>
        <w:spacing w:after="0"/>
        <w:rPr>
          <w:sz w:val="20"/>
          <w:szCs w:val="20"/>
          <w:color w:val="auto"/>
        </w:rPr>
      </w:pPr>
      <w:r>
        <w:rPr>
          <w:rFonts w:ascii="Times New Roman" w:cs="Times New Roman" w:eastAsia="Times New Roman" w:hAnsi="Times New Roman"/>
          <w:sz w:val="17"/>
          <w:szCs w:val="17"/>
          <w:color w:val="auto"/>
        </w:rPr>
        <w:t>IN WITNESS WHEREOF, the Parties have duly executed and delivered this Agreement, all as of the Effective Date.</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0" w:lineRule="exact"/>
        <w:rPr>
          <w:sz w:val="20"/>
          <w:szCs w:val="20"/>
          <w:color w:val="auto"/>
        </w:rPr>
      </w:pPr>
    </w:p>
    <w:p>
      <w:pPr>
        <w:spacing w:after="0" w:line="2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CHS US INVESTMENTS LLC</w:t>
      </w:r>
    </w:p>
    <w:p>
      <w:pPr>
        <w:spacing w:after="0" w:line="2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CHS GP LP, as manager</w:t>
      </w:r>
    </w:p>
    <w:p>
      <w:pPr>
        <w:spacing w:after="0" w:line="2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CHS UGP LLC, as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Brady Schuck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7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GATEWAY RUNWAY,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Damian Giangiacomo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7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S3 RR AGGREGATOR,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Comisar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Peter Comisar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Representative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Investor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2" w:name="page313"/>
    <w:bookmarkEnd w:id="312"/>
    <w:p>
      <w:pPr>
        <w:ind w:left="5080"/>
        <w:spacing w:after="0"/>
        <w:rPr>
          <w:sz w:val="20"/>
          <w:szCs w:val="20"/>
          <w:color w:val="auto"/>
        </w:rPr>
      </w:pPr>
      <w:r>
        <w:rPr>
          <w:rFonts w:ascii="Times New Roman" w:cs="Times New Roman" w:eastAsia="Times New Roman" w:hAnsi="Times New Roman"/>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00" w:lineRule="exact"/>
        <w:rPr>
          <w:sz w:val="20"/>
          <w:szCs w:val="20"/>
          <w:color w:val="auto"/>
        </w:rPr>
      </w:pPr>
    </w:p>
    <w:p>
      <w:pPr>
        <w:spacing w:after="0" w:line="29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Benjamin Stauffer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BENJAMIN STAUFFER</w:t>
      </w:r>
    </w:p>
    <w:p>
      <w:pPr>
        <w:spacing w:after="0" w:line="200" w:lineRule="exact"/>
        <w:rPr>
          <w:sz w:val="20"/>
          <w:szCs w:val="20"/>
          <w:color w:val="auto"/>
        </w:rPr>
      </w:pPr>
    </w:p>
    <w:p>
      <w:pPr>
        <w:spacing w:after="0" w:line="29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JYH 2021 CHILDREN’S TRUST DTD 10/12/21 JUSTIN</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FINNEGAN TTEE</w:t>
      </w:r>
    </w:p>
    <w:p>
      <w:pPr>
        <w:spacing w:after="0" w:line="200" w:lineRule="exact"/>
        <w:rPr>
          <w:sz w:val="20"/>
          <w:szCs w:val="20"/>
          <w:color w:val="auto"/>
        </w:rPr>
      </w:pPr>
    </w:p>
    <w:p>
      <w:pPr>
        <w:spacing w:after="0" w:line="27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BS 2021 FAMILY TRUST DTD 10/12/21 JUSTIN FINNEGAN</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TTEE</w:t>
      </w:r>
    </w:p>
    <w:p>
      <w:pPr>
        <w:spacing w:after="0" w:line="200" w:lineRule="exact"/>
        <w:rPr>
          <w:sz w:val="20"/>
          <w:szCs w:val="20"/>
          <w:color w:val="auto"/>
        </w:rPr>
      </w:pPr>
    </w:p>
    <w:p>
      <w:pPr>
        <w:spacing w:after="0" w:line="27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Linda S.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JYH 2012 ARTICLE 2ND TRUST DTD 1/23/20 LINDA HYMAN</w:t>
      </w:r>
    </w:p>
    <w:p>
      <w:pPr>
        <w:spacing w:after="0" w:line="3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&amp; JUSTINE FINNEGAN TTEES</w:t>
      </w:r>
    </w:p>
    <w:p>
      <w:pPr>
        <w:spacing w:after="0" w:line="200" w:lineRule="exact"/>
        <w:rPr>
          <w:sz w:val="20"/>
          <w:szCs w:val="20"/>
          <w:color w:val="auto"/>
        </w:rPr>
      </w:pPr>
    </w:p>
    <w:p>
      <w:pPr>
        <w:spacing w:after="0" w:line="27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Linda S.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LINDA S HYMAN &amp; DOV I HYMAN JTWROS</w:t>
      </w:r>
    </w:p>
    <w:p>
      <w:pPr>
        <w:spacing w:after="0" w:line="24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Investor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40"/>
          </w:cols>
          <w:pgMar w:left="1440" w:top="540" w:right="519" w:bottom="1440" w:gutter="0" w:footer="0" w:header="0"/>
        </w:sectPr>
      </w:pPr>
    </w:p>
    <w:bookmarkStart w:id="313" w:name="page314"/>
    <w:bookmarkEnd w:id="313"/>
    <w:tbl>
      <w:tblPr>
        <w:tblLayout w:type="fixed"/>
        <w:tblInd w:w="1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06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A</w:t>
            </w:r>
          </w:p>
        </w:tc>
      </w:tr>
      <w:tr>
        <w:trPr>
          <w:trHeight w:val="392"/>
        </w:trPr>
        <w:tc>
          <w:tcPr>
            <w:tcW w:w="4180" w:type="dxa"/>
            <w:vAlign w:val="bottom"/>
          </w:tcPr>
          <w:p>
            <w:pPr>
              <w:spacing w:after="0"/>
              <w:rPr>
                <w:sz w:val="24"/>
                <w:szCs w:val="24"/>
                <w:color w:val="auto"/>
              </w:rPr>
            </w:pPr>
          </w:p>
        </w:tc>
        <w:tc>
          <w:tcPr>
            <w:tcW w:w="706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36"/>
        </w:trPr>
        <w:tc>
          <w:tcPr>
            <w:tcW w:w="4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r>
      <w:tr>
        <w:trPr>
          <w:trHeight w:val="323"/>
        </w:trPr>
        <w:tc>
          <w:tcPr>
            <w:tcW w:w="4180" w:type="dxa"/>
            <w:vAlign w:val="bottom"/>
            <w:tcBorders>
              <w:left w:val="single" w:sz="8" w:color="auto"/>
              <w:bottom w:val="single" w:sz="8" w:color="D9D9D9"/>
              <w:right w:val="single" w:sz="8" w:color="auto"/>
            </w:tcBorders>
            <w:shd w:val="clear" w:color="auto" w:fill="D9D9D9"/>
          </w:tcPr>
          <w:p>
            <w:pPr>
              <w:ind w:left="1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80" w:type="dxa"/>
            <w:vAlign w:val="bottom"/>
            <w:tcBorders>
              <w:bottom w:val="single" w:sz="8" w:color="D9D9D9"/>
            </w:tcBorders>
            <w:shd w:val="clear" w:color="auto" w:fill="D9D9D9"/>
          </w:tcPr>
          <w:p>
            <w:pPr>
              <w:spacing w:after="0"/>
              <w:rPr>
                <w:sz w:val="24"/>
                <w:szCs w:val="24"/>
                <w:color w:val="auto"/>
              </w:rPr>
            </w:pPr>
          </w:p>
        </w:tc>
        <w:tc>
          <w:tcPr>
            <w:tcW w:w="720" w:type="dxa"/>
            <w:vAlign w:val="bottom"/>
            <w:tcBorders>
              <w:bottom w:val="single" w:sz="8" w:color="D9D9D9"/>
            </w:tcBorders>
            <w:shd w:val="clear" w:color="auto" w:fill="D9D9D9"/>
          </w:tcPr>
          <w:p>
            <w:pPr>
              <w:spacing w:after="0"/>
              <w:rPr>
                <w:sz w:val="24"/>
                <w:szCs w:val="24"/>
                <w:color w:val="auto"/>
              </w:rPr>
            </w:pPr>
          </w:p>
        </w:tc>
        <w:tc>
          <w:tcPr>
            <w:tcW w:w="5260" w:type="dxa"/>
            <w:vAlign w:val="bottom"/>
            <w:tcBorders>
              <w:bottom w:val="single" w:sz="8" w:color="D9D9D9"/>
              <w:right w:val="single" w:sz="8" w:color="auto"/>
            </w:tcBorders>
            <w:shd w:val="clear" w:color="auto" w:fill="D9D9D9"/>
          </w:tcPr>
          <w:p>
            <w:pPr>
              <w:ind w:left="1140"/>
              <w:spacing w:after="0"/>
              <w:rPr>
                <w:sz w:val="20"/>
                <w:szCs w:val="20"/>
                <w:color w:val="auto"/>
              </w:rPr>
            </w:pPr>
            <w:r>
              <w:rPr>
                <w:rFonts w:ascii="Times New Roman" w:cs="Times New Roman" w:eastAsia="Times New Roman" w:hAnsi="Times New Roman"/>
                <w:sz w:val="18"/>
                <w:szCs w:val="18"/>
                <w:b w:val="1"/>
                <w:bCs w:val="1"/>
                <w:color w:val="auto"/>
              </w:rPr>
              <w:t>Notice Address</w:t>
            </w:r>
          </w:p>
        </w:tc>
      </w:tr>
      <w:tr>
        <w:trPr>
          <w:trHeight w:val="245"/>
        </w:trPr>
        <w:tc>
          <w:tcPr>
            <w:tcW w:w="4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HS US Investments LLC</w:t>
            </w:r>
          </w:p>
        </w:tc>
        <w:tc>
          <w:tcPr>
            <w:tcW w:w="706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CHS US Investments LLC</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432"/>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r>
      <w:tr>
        <w:trPr>
          <w:trHeight w:val="414"/>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Proskauer Rose LLP</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54"/>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45"/>
        </w:trPr>
        <w:tc>
          <w:tcPr>
            <w:tcW w:w="4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Gateway Runway, LLC</w:t>
            </w: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 Nexus Capital Management LP</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432"/>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r>
      <w:tr>
        <w:trPr>
          <w:trHeight w:val="414"/>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54"/>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45"/>
        </w:trPr>
        <w:tc>
          <w:tcPr>
            <w:tcW w:w="4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 RR Aggregator, LLC</w:t>
            </w: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 Story3 Capital Partners LLC</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432"/>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r>
      <w:tr>
        <w:trPr>
          <w:trHeight w:val="414"/>
        </w:trPr>
        <w:tc>
          <w:tcPr>
            <w:tcW w:w="4180" w:type="dxa"/>
            <w:vAlign w:val="bottom"/>
            <w:tcBorders>
              <w:left w:val="single" w:sz="8" w:color="auto"/>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54"/>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Stauffer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JYH 2021 Children’s Trust dtd 10/12/21 Justin Finnegan TTEE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BS 2021 Family Trust dtd 10/12/21 Justin Finnegan TTEE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JYH 2012 Article 2nd Trust dtd 1/23/20 Linda Hyman &amp; Justine Finnegan TTEES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S Hyman &amp; Dov I Hyman JTWROS.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-161925</wp:posOffset>
            </wp:positionV>
            <wp:extent cx="7132320" cy="21431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21431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948690</wp:posOffset>
            </wp:positionV>
            <wp:extent cx="71323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040" w:space="120"/>
            <w:col w:w="5899"/>
          </w:cols>
          <w:pgMar w:left="400" w:top="607" w:right="1440"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88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1680" w:type="dxa"/>
            <w:vAlign w:val="bottom"/>
          </w:tcPr>
          <w:p>
            <w:pPr>
              <w:spacing w:after="0"/>
              <w:rPr>
                <w:sz w:val="20"/>
                <w:szCs w:val="20"/>
                <w:color w:val="auto"/>
              </w:rPr>
            </w:pPr>
          </w:p>
        </w:tc>
      </w:tr>
      <w:tr>
        <w:trPr>
          <w:trHeight w:val="392"/>
        </w:trPr>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80" w:type="dxa"/>
            <w:vAlign w:val="bottom"/>
            <w:gridSpan w:val="3"/>
          </w:tcPr>
          <w:p>
            <w:pPr>
              <w:ind w:left="15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680" w:type="dxa"/>
            <w:vAlign w:val="bottom"/>
          </w:tcPr>
          <w:p>
            <w:pPr>
              <w:spacing w:after="0"/>
              <w:rPr>
                <w:sz w:val="24"/>
                <w:szCs w:val="24"/>
                <w:color w:val="auto"/>
              </w:rPr>
            </w:pPr>
          </w:p>
        </w:tc>
      </w:tr>
      <w:tr>
        <w:trPr>
          <w:trHeight w:val="236"/>
        </w:trPr>
        <w:tc>
          <w:tcPr>
            <w:tcW w:w="17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1680" w:type="dxa"/>
            <w:vAlign w:val="bottom"/>
          </w:tcPr>
          <w:p>
            <w:pPr>
              <w:spacing w:after="0"/>
              <w:rPr>
                <w:sz w:val="20"/>
                <w:szCs w:val="20"/>
                <w:color w:val="auto"/>
              </w:rPr>
            </w:pPr>
          </w:p>
        </w:tc>
      </w:tr>
      <w:tr>
        <w:trPr>
          <w:trHeight w:val="323"/>
        </w:trPr>
        <w:tc>
          <w:tcPr>
            <w:tcW w:w="1720" w:type="dxa"/>
            <w:vAlign w:val="bottom"/>
            <w:tcBorders>
              <w:right w:val="single" w:sz="8" w:color="auto"/>
            </w:tcBorders>
          </w:tcPr>
          <w:p>
            <w:pPr>
              <w:spacing w:after="0"/>
              <w:rPr>
                <w:sz w:val="24"/>
                <w:szCs w:val="24"/>
                <w:color w:val="auto"/>
              </w:rPr>
            </w:pPr>
          </w:p>
        </w:tc>
        <w:tc>
          <w:tcPr>
            <w:tcW w:w="19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580" w:type="dxa"/>
            <w:vAlign w:val="bottom"/>
            <w:tcBorders>
              <w:bottom w:val="single" w:sz="8" w:color="D9D9D9"/>
            </w:tcBorders>
            <w:shd w:val="clear" w:color="auto" w:fill="D9D9D9"/>
          </w:tcPr>
          <w:p>
            <w:pPr>
              <w:spacing w:after="0"/>
              <w:rPr>
                <w:sz w:val="24"/>
                <w:szCs w:val="24"/>
                <w:color w:val="auto"/>
              </w:rPr>
            </w:pPr>
          </w:p>
        </w:tc>
        <w:tc>
          <w:tcPr>
            <w:tcW w:w="720" w:type="dxa"/>
            <w:vAlign w:val="bottom"/>
            <w:tcBorders>
              <w:bottom w:val="single" w:sz="8" w:color="D9D9D9"/>
            </w:tcBorders>
            <w:shd w:val="clear" w:color="auto" w:fill="D9D9D9"/>
          </w:tcPr>
          <w:p>
            <w:pPr>
              <w:spacing w:after="0"/>
              <w:rPr>
                <w:sz w:val="24"/>
                <w:szCs w:val="24"/>
                <w:color w:val="auto"/>
              </w:rPr>
            </w:pPr>
          </w:p>
        </w:tc>
        <w:tc>
          <w:tcPr>
            <w:tcW w:w="3580" w:type="dxa"/>
            <w:vAlign w:val="bottom"/>
            <w:tcBorders>
              <w:bottom w:val="single" w:sz="8" w:color="D9D9D9"/>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680" w:type="dxa"/>
            <w:vAlign w:val="bottom"/>
          </w:tcPr>
          <w:p>
            <w:pPr>
              <w:spacing w:after="0"/>
              <w:rPr>
                <w:sz w:val="24"/>
                <w:szCs w:val="24"/>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588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Jennifer Hyman</w:t>
            </w:r>
          </w:p>
        </w:tc>
        <w:tc>
          <w:tcPr>
            <w:tcW w:w="1680" w:type="dxa"/>
            <w:vAlign w:val="bottom"/>
          </w:tcPr>
          <w:p>
            <w:pPr>
              <w:spacing w:after="0"/>
              <w:rPr>
                <w:sz w:val="22"/>
                <w:szCs w:val="22"/>
                <w:color w:val="auto"/>
              </w:rPr>
            </w:pPr>
          </w:p>
        </w:tc>
      </w:tr>
      <w:tr>
        <w:trPr>
          <w:trHeight w:val="270"/>
        </w:trPr>
        <w:tc>
          <w:tcPr>
            <w:tcW w:w="1720" w:type="dxa"/>
            <w:vAlign w:val="bottom"/>
            <w:tcBorders>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580" w:type="dxa"/>
            <w:vAlign w:val="bottom"/>
            <w:tcBorders>
              <w:bottom w:val="single" w:sz="8" w:color="auto"/>
              <w:right w:val="single" w:sz="8" w:color="auto"/>
            </w:tcBorders>
          </w:tcPr>
          <w:p>
            <w:pPr>
              <w:spacing w:after="0"/>
              <w:rPr>
                <w:sz w:val="23"/>
                <w:szCs w:val="23"/>
                <w:color w:val="auto"/>
              </w:rPr>
            </w:pPr>
          </w:p>
        </w:tc>
        <w:tc>
          <w:tcPr>
            <w:tcW w:w="1680" w:type="dxa"/>
            <w:vAlign w:val="bottom"/>
          </w:tcPr>
          <w:p>
            <w:pPr>
              <w:spacing w:after="0"/>
              <w:rPr>
                <w:sz w:val="23"/>
                <w:szCs w:val="23"/>
                <w:color w:val="auto"/>
              </w:rPr>
            </w:pPr>
          </w:p>
        </w:tc>
      </w:tr>
      <w:tr>
        <w:trPr>
          <w:trHeight w:val="245"/>
        </w:trPr>
        <w:tc>
          <w:tcPr>
            <w:tcW w:w="172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58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Founder Director selected by the Founder prior to the Exchange Closing and</w:t>
            </w:r>
          </w:p>
        </w:tc>
        <w:tc>
          <w:tcPr>
            <w:tcW w:w="1680" w:type="dxa"/>
            <w:vAlign w:val="bottom"/>
          </w:tcPr>
          <w:p>
            <w:pPr>
              <w:spacing w:after="0"/>
              <w:rPr>
                <w:sz w:val="21"/>
                <w:szCs w:val="21"/>
                <w:color w:val="auto"/>
              </w:rPr>
            </w:pPr>
          </w:p>
        </w:tc>
      </w:tr>
      <w:tr>
        <w:trPr>
          <w:trHeight w:val="234"/>
        </w:trPr>
        <w:tc>
          <w:tcPr>
            <w:tcW w:w="17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approved by the Investor Majority</w:t>
            </w:r>
          </w:p>
        </w:tc>
        <w:tc>
          <w:tcPr>
            <w:tcW w:w="1680" w:type="dxa"/>
            <w:vAlign w:val="bottom"/>
          </w:tcPr>
          <w:p>
            <w:pPr>
              <w:spacing w:after="0"/>
              <w:rPr>
                <w:sz w:val="20"/>
                <w:szCs w:val="20"/>
                <w:color w:val="auto"/>
              </w:rPr>
            </w:pPr>
          </w:p>
        </w:tc>
      </w:tr>
      <w:tr>
        <w:trPr>
          <w:trHeight w:val="270"/>
        </w:trPr>
        <w:tc>
          <w:tcPr>
            <w:tcW w:w="1720" w:type="dxa"/>
            <w:vAlign w:val="bottom"/>
            <w:tcBorders>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580" w:type="dxa"/>
            <w:vAlign w:val="bottom"/>
            <w:tcBorders>
              <w:bottom w:val="single" w:sz="8" w:color="auto"/>
              <w:right w:val="single" w:sz="8" w:color="auto"/>
            </w:tcBorders>
          </w:tcPr>
          <w:p>
            <w:pPr>
              <w:spacing w:after="0"/>
              <w:rPr>
                <w:sz w:val="23"/>
                <w:szCs w:val="23"/>
                <w:color w:val="auto"/>
              </w:rPr>
            </w:pPr>
          </w:p>
        </w:tc>
        <w:tc>
          <w:tcPr>
            <w:tcW w:w="1680" w:type="dxa"/>
            <w:vAlign w:val="bottom"/>
          </w:tcPr>
          <w:p>
            <w:pPr>
              <w:spacing w:after="0"/>
              <w:rPr>
                <w:sz w:val="23"/>
                <w:szCs w:val="2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58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Damian Giangiacomo (Nexus Director)</w:t>
            </w:r>
          </w:p>
        </w:tc>
        <w:tc>
          <w:tcPr>
            <w:tcW w:w="1680" w:type="dxa"/>
            <w:vAlign w:val="bottom"/>
          </w:tcPr>
          <w:p>
            <w:pPr>
              <w:spacing w:after="0"/>
              <w:rPr>
                <w:sz w:val="22"/>
                <w:szCs w:val="22"/>
                <w:color w:val="auto"/>
              </w:rPr>
            </w:pPr>
          </w:p>
        </w:tc>
      </w:tr>
      <w:tr>
        <w:trPr>
          <w:trHeight w:val="270"/>
        </w:trPr>
        <w:tc>
          <w:tcPr>
            <w:tcW w:w="1720" w:type="dxa"/>
            <w:vAlign w:val="bottom"/>
            <w:tcBorders>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580" w:type="dxa"/>
            <w:vAlign w:val="bottom"/>
            <w:tcBorders>
              <w:bottom w:val="single" w:sz="8" w:color="auto"/>
              <w:right w:val="single" w:sz="8" w:color="auto"/>
            </w:tcBorders>
          </w:tcPr>
          <w:p>
            <w:pPr>
              <w:spacing w:after="0"/>
              <w:rPr>
                <w:sz w:val="23"/>
                <w:szCs w:val="23"/>
                <w:color w:val="auto"/>
              </w:rPr>
            </w:pPr>
          </w:p>
        </w:tc>
        <w:tc>
          <w:tcPr>
            <w:tcW w:w="1680" w:type="dxa"/>
            <w:vAlign w:val="bottom"/>
          </w:tcPr>
          <w:p>
            <w:pPr>
              <w:spacing w:after="0"/>
              <w:rPr>
                <w:sz w:val="23"/>
                <w:szCs w:val="2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58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Peter Comisar (Story3 Director)</w:t>
            </w:r>
          </w:p>
        </w:tc>
        <w:tc>
          <w:tcPr>
            <w:tcW w:w="1680" w:type="dxa"/>
            <w:vAlign w:val="bottom"/>
          </w:tcPr>
          <w:p>
            <w:pPr>
              <w:spacing w:after="0"/>
              <w:rPr>
                <w:sz w:val="22"/>
                <w:szCs w:val="22"/>
                <w:color w:val="auto"/>
              </w:rPr>
            </w:pPr>
          </w:p>
        </w:tc>
      </w:tr>
      <w:tr>
        <w:trPr>
          <w:trHeight w:val="270"/>
        </w:trPr>
        <w:tc>
          <w:tcPr>
            <w:tcW w:w="1720" w:type="dxa"/>
            <w:vAlign w:val="bottom"/>
            <w:tcBorders>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580" w:type="dxa"/>
            <w:vAlign w:val="bottom"/>
            <w:tcBorders>
              <w:bottom w:val="single" w:sz="8" w:color="auto"/>
              <w:right w:val="single" w:sz="8" w:color="auto"/>
            </w:tcBorders>
          </w:tcPr>
          <w:p>
            <w:pPr>
              <w:spacing w:after="0"/>
              <w:rPr>
                <w:sz w:val="23"/>
                <w:szCs w:val="23"/>
                <w:color w:val="auto"/>
              </w:rPr>
            </w:pPr>
          </w:p>
        </w:tc>
        <w:tc>
          <w:tcPr>
            <w:tcW w:w="1680" w:type="dxa"/>
            <w:vAlign w:val="bottom"/>
          </w:tcPr>
          <w:p>
            <w:pPr>
              <w:spacing w:after="0"/>
              <w:rPr>
                <w:sz w:val="23"/>
                <w:szCs w:val="23"/>
                <w:color w:val="auto"/>
              </w:rPr>
            </w:pPr>
          </w:p>
        </w:tc>
      </w:tr>
      <w:tr>
        <w:trPr>
          <w:trHeight w:val="245"/>
        </w:trPr>
        <w:tc>
          <w:tcPr>
            <w:tcW w:w="172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58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Independent Director to be selected by the Investor Majority prior to the</w:t>
            </w:r>
          </w:p>
        </w:tc>
        <w:tc>
          <w:tcPr>
            <w:tcW w:w="1680" w:type="dxa"/>
            <w:vAlign w:val="bottom"/>
          </w:tcPr>
          <w:p>
            <w:pPr>
              <w:spacing w:after="0"/>
              <w:rPr>
                <w:sz w:val="21"/>
                <w:szCs w:val="21"/>
                <w:color w:val="auto"/>
              </w:rPr>
            </w:pPr>
          </w:p>
        </w:tc>
      </w:tr>
      <w:tr>
        <w:trPr>
          <w:trHeight w:val="234"/>
        </w:trPr>
        <w:tc>
          <w:tcPr>
            <w:tcW w:w="17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Exchange Closing</w:t>
            </w:r>
          </w:p>
        </w:tc>
        <w:tc>
          <w:tcPr>
            <w:tcW w:w="1680" w:type="dxa"/>
            <w:vAlign w:val="bottom"/>
          </w:tcPr>
          <w:p>
            <w:pPr>
              <w:spacing w:after="0"/>
              <w:rPr>
                <w:sz w:val="20"/>
                <w:szCs w:val="20"/>
                <w:color w:val="auto"/>
              </w:rPr>
            </w:pPr>
          </w:p>
        </w:tc>
      </w:tr>
      <w:tr>
        <w:trPr>
          <w:trHeight w:val="270"/>
        </w:trPr>
        <w:tc>
          <w:tcPr>
            <w:tcW w:w="1720" w:type="dxa"/>
            <w:vAlign w:val="bottom"/>
            <w:tcBorders>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580" w:type="dxa"/>
            <w:vAlign w:val="bottom"/>
            <w:tcBorders>
              <w:bottom w:val="single" w:sz="8" w:color="auto"/>
              <w:right w:val="single" w:sz="8" w:color="auto"/>
            </w:tcBorders>
          </w:tcPr>
          <w:p>
            <w:pPr>
              <w:spacing w:after="0"/>
              <w:rPr>
                <w:sz w:val="23"/>
                <w:szCs w:val="23"/>
                <w:color w:val="auto"/>
              </w:rPr>
            </w:pPr>
          </w:p>
        </w:tc>
        <w:tc>
          <w:tcPr>
            <w:tcW w:w="1680" w:type="dxa"/>
            <w:vAlign w:val="bottom"/>
          </w:tcPr>
          <w:p>
            <w:pPr>
              <w:spacing w:after="0"/>
              <w:rPr>
                <w:sz w:val="23"/>
                <w:szCs w:val="23"/>
                <w:color w:val="auto"/>
              </w:rPr>
            </w:pPr>
          </w:p>
        </w:tc>
      </w:tr>
      <w:tr>
        <w:trPr>
          <w:trHeight w:val="245"/>
        </w:trPr>
        <w:tc>
          <w:tcPr>
            <w:tcW w:w="172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58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Independent Director to be selected by the Investor Majority prior to the</w:t>
            </w:r>
          </w:p>
        </w:tc>
        <w:tc>
          <w:tcPr>
            <w:tcW w:w="1680" w:type="dxa"/>
            <w:vAlign w:val="bottom"/>
          </w:tcPr>
          <w:p>
            <w:pPr>
              <w:spacing w:after="0"/>
              <w:rPr>
                <w:sz w:val="21"/>
                <w:szCs w:val="21"/>
                <w:color w:val="auto"/>
              </w:rPr>
            </w:pPr>
          </w:p>
        </w:tc>
      </w:tr>
      <w:tr>
        <w:trPr>
          <w:trHeight w:val="234"/>
        </w:trPr>
        <w:tc>
          <w:tcPr>
            <w:tcW w:w="17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Exchange Closing</w:t>
            </w:r>
          </w:p>
        </w:tc>
        <w:tc>
          <w:tcPr>
            <w:tcW w:w="1680" w:type="dxa"/>
            <w:vAlign w:val="bottom"/>
          </w:tcPr>
          <w:p>
            <w:pPr>
              <w:spacing w:after="0"/>
              <w:rPr>
                <w:sz w:val="20"/>
                <w:szCs w:val="20"/>
                <w:color w:val="auto"/>
              </w:rPr>
            </w:pPr>
          </w:p>
        </w:tc>
      </w:tr>
      <w:tr>
        <w:trPr>
          <w:trHeight w:val="270"/>
        </w:trPr>
        <w:tc>
          <w:tcPr>
            <w:tcW w:w="1720" w:type="dxa"/>
            <w:vAlign w:val="bottom"/>
            <w:tcBorders>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580" w:type="dxa"/>
            <w:vAlign w:val="bottom"/>
            <w:tcBorders>
              <w:bottom w:val="single" w:sz="8" w:color="auto"/>
              <w:right w:val="single" w:sz="8" w:color="auto"/>
            </w:tcBorders>
          </w:tcPr>
          <w:p>
            <w:pPr>
              <w:spacing w:after="0"/>
              <w:rPr>
                <w:sz w:val="23"/>
                <w:szCs w:val="23"/>
                <w:color w:val="auto"/>
              </w:rPr>
            </w:pPr>
          </w:p>
        </w:tc>
        <w:tc>
          <w:tcPr>
            <w:tcW w:w="1680" w:type="dxa"/>
            <w:vAlign w:val="bottom"/>
          </w:tcPr>
          <w:p>
            <w:pPr>
              <w:spacing w:after="0"/>
              <w:rPr>
                <w:sz w:val="23"/>
                <w:szCs w:val="23"/>
                <w:color w:val="auto"/>
              </w:rPr>
            </w:pPr>
          </w:p>
        </w:tc>
      </w:tr>
      <w:tr>
        <w:trPr>
          <w:trHeight w:val="245"/>
        </w:trPr>
        <w:tc>
          <w:tcPr>
            <w:tcW w:w="172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58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Independent Director to be selected by the Investor Majority prior to the</w:t>
            </w:r>
          </w:p>
        </w:tc>
        <w:tc>
          <w:tcPr>
            <w:tcW w:w="1680" w:type="dxa"/>
            <w:vAlign w:val="bottom"/>
          </w:tcPr>
          <w:p>
            <w:pPr>
              <w:spacing w:after="0"/>
              <w:rPr>
                <w:sz w:val="21"/>
                <w:szCs w:val="21"/>
                <w:color w:val="auto"/>
              </w:rPr>
            </w:pPr>
          </w:p>
        </w:tc>
      </w:tr>
      <w:tr>
        <w:trPr>
          <w:trHeight w:val="234"/>
        </w:trPr>
        <w:tc>
          <w:tcPr>
            <w:tcW w:w="17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Exchange Closing</w:t>
            </w:r>
          </w:p>
        </w:tc>
        <w:tc>
          <w:tcPr>
            <w:tcW w:w="1680" w:type="dxa"/>
            <w:vAlign w:val="bottom"/>
          </w:tcPr>
          <w:p>
            <w:pPr>
              <w:spacing w:after="0"/>
              <w:rPr>
                <w:sz w:val="20"/>
                <w:szCs w:val="20"/>
                <w:color w:val="auto"/>
              </w:rPr>
            </w:pPr>
          </w:p>
        </w:tc>
      </w:tr>
      <w:tr>
        <w:trPr>
          <w:trHeight w:val="54"/>
        </w:trPr>
        <w:tc>
          <w:tcPr>
            <w:tcW w:w="1720" w:type="dxa"/>
            <w:vAlign w:val="bottom"/>
            <w:tcBorders>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c>
          <w:tcPr>
            <w:tcW w:w="1680" w:type="dxa"/>
            <w:vAlign w:val="bottom"/>
          </w:tcPr>
          <w:p>
            <w:pPr>
              <w:spacing w:after="0"/>
              <w:rPr>
                <w:sz w:val="4"/>
                <w:szCs w:val="4"/>
                <w:color w:val="auto"/>
              </w:rPr>
            </w:pPr>
          </w:p>
        </w:tc>
      </w:tr>
      <w:tr>
        <w:trPr>
          <w:trHeight w:val="547"/>
        </w:trPr>
        <w:tc>
          <w:tcPr>
            <w:tcW w:w="17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dealer as principal and resale by the broker 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 dealers engaged by the Selling Stockholders may arrange for other brokers dealers to participate in sales. Broker 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17" w:name="page318"/>
    <w:bookmarkEnd w:id="317"/>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RIGHTS OFFERING BACKSTOP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RIGHTS OFFERING BACKSTOP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August 20, 2025, is made and entered into by and among Rent the Runway,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CHS US Investments LLC, a Cayman limited liability company (“</w:t>
      </w:r>
      <w:r>
        <w:rPr>
          <w:rFonts w:ascii="Times New Roman" w:cs="Times New Roman" w:eastAsia="Times New Roman" w:hAnsi="Times New Roman"/>
          <w:sz w:val="18"/>
          <w:szCs w:val="18"/>
          <w:u w:val="single" w:color="auto"/>
          <w:color w:val="auto"/>
        </w:rPr>
        <w:t>CHS</w:t>
      </w:r>
      <w:r>
        <w:rPr>
          <w:rFonts w:ascii="Times New Roman" w:cs="Times New Roman" w:eastAsia="Times New Roman" w:hAnsi="Times New Roman"/>
          <w:sz w:val="18"/>
          <w:szCs w:val="18"/>
          <w:color w:val="auto"/>
        </w:rPr>
        <w:t>”), Gateway Runway, LLC, a Delaware limited liability company (“</w:t>
      </w:r>
      <w:r>
        <w:rPr>
          <w:rFonts w:ascii="Times New Roman" w:cs="Times New Roman" w:eastAsia="Times New Roman" w:hAnsi="Times New Roman"/>
          <w:sz w:val="18"/>
          <w:szCs w:val="18"/>
          <w:u w:val="single" w:color="auto"/>
          <w:color w:val="auto"/>
        </w:rPr>
        <w:t>Nexus</w:t>
      </w:r>
      <w:r>
        <w:rPr>
          <w:rFonts w:ascii="Times New Roman" w:cs="Times New Roman" w:eastAsia="Times New Roman" w:hAnsi="Times New Roman"/>
          <w:sz w:val="18"/>
          <w:szCs w:val="18"/>
          <w:color w:val="auto"/>
        </w:rPr>
        <w:t>”), and S3 RR Aggregator, LLC, a Delaware limited liability company (“</w:t>
      </w:r>
      <w:r>
        <w:rPr>
          <w:rFonts w:ascii="Times New Roman" w:cs="Times New Roman" w:eastAsia="Times New Roman" w:hAnsi="Times New Roman"/>
          <w:sz w:val="18"/>
          <w:szCs w:val="18"/>
          <w:u w:val="single" w:color="auto"/>
          <w:color w:val="auto"/>
        </w:rPr>
        <w:t>Story3</w:t>
      </w:r>
      <w:r>
        <w:rPr>
          <w:rFonts w:ascii="Times New Roman" w:cs="Times New Roman" w:eastAsia="Times New Roman" w:hAnsi="Times New Roman"/>
          <w:sz w:val="18"/>
          <w:szCs w:val="18"/>
          <w:color w:val="auto"/>
        </w:rPr>
        <w:t>” and, together with CHS and Nexus, the “</w:t>
      </w:r>
      <w:r>
        <w:rPr>
          <w:rFonts w:ascii="Times New Roman" w:cs="Times New Roman" w:eastAsia="Times New Roman" w:hAnsi="Times New Roman"/>
          <w:sz w:val="18"/>
          <w:szCs w:val="18"/>
          <w:u w:val="single" w:color="auto"/>
          <w:color w:val="auto"/>
        </w:rPr>
        <w:t>Backstop Purchasers</w:t>
      </w:r>
      <w:r>
        <w:rPr>
          <w:rFonts w:ascii="Times New Roman" w:cs="Times New Roman" w:eastAsia="Times New Roman" w:hAnsi="Times New Roman"/>
          <w:sz w:val="18"/>
          <w:szCs w:val="18"/>
          <w:color w:val="auto"/>
        </w:rPr>
        <w:t>”). The Company and the Backstop Purchasers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substantially concurrently with the execution and delivery of this Agreement, the Company and CHS have entered into the Exchange Agreement (as it may be amended from time to time in accordance with its terms,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pursuant to which, among other things, on the terms and subject to the conditions contained therein, CHS will contribute, transfer, assign and convey to the Company all of its rights, title and interest in, to and under the Equity Exchange Obligations in exchange for the Exchange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immediately following the consummation of the transactions contemplated by the Exchange Agreement, CHS will sell a portion of Exchange Stock to Nexus and Story3 on the terms and subject to the conditions of the Debt and Equity Purchase Agreement, dated as of the date hereof, by and among CHS, Nexus and Story3;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capitalized terms used and not otherwise defined herein have the meanings ascribed to them in the Exchange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has proposed to distribute, at no charge, to holders of record of its Class A Common Stock, par value $0.001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Class B Common Stock, par value $0.001 per share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of the close of business on the record date established in the Rights Offering Registration Statement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transferable rights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to subscribe for and purchase additional shares of Class A Common Stock at a subscription price equal to $4.08, which represents a 20% discount to the Average VWAP of the Class A Common Stock over the thirty (30)-day trading period ending as of the close of business on the trading day immediately preceding the date hereof (the “</w:t>
      </w:r>
      <w:r>
        <w:rPr>
          <w:rFonts w:ascii="Times New Roman" w:cs="Times New Roman" w:eastAsia="Times New Roman" w:hAnsi="Times New Roman"/>
          <w:sz w:val="18"/>
          <w:szCs w:val="18"/>
          <w:u w:val="single" w:color="auto"/>
          <w:color w:val="auto"/>
        </w:rPr>
        <w:t>Subscription Price</w:t>
      </w:r>
      <w:r>
        <w:rPr>
          <w:rFonts w:ascii="Times New Roman" w:cs="Times New Roman" w:eastAsia="Times New Roman" w:hAnsi="Times New Roman"/>
          <w:sz w:val="18"/>
          <w:szCs w:val="18"/>
          <w:color w:val="auto"/>
        </w:rPr>
        <w:t>” and such offering, the “</w:t>
      </w:r>
      <w:r>
        <w:rPr>
          <w:rFonts w:ascii="Times New Roman" w:cs="Times New Roman" w:eastAsia="Times New Roman" w:hAnsi="Times New Roman"/>
          <w:sz w:val="18"/>
          <w:szCs w:val="18"/>
          <w:u w:val="single" w:color="auto"/>
          <w:color w:val="auto"/>
        </w:rPr>
        <w:t>Rights Offering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Rights Offering, each Company Stockholder of record as of the close of business on the Record Date (collectively, the “</w:t>
      </w:r>
      <w:r>
        <w:rPr>
          <w:rFonts w:ascii="Times New Roman" w:cs="Times New Roman" w:eastAsia="Times New Roman" w:hAnsi="Times New Roman"/>
          <w:sz w:val="18"/>
          <w:szCs w:val="18"/>
          <w:u w:val="single" w:color="auto"/>
          <w:color w:val="auto"/>
        </w:rPr>
        <w:t>Eligible Common Stockholders</w:t>
      </w:r>
      <w:r>
        <w:rPr>
          <w:rFonts w:ascii="Times New Roman" w:cs="Times New Roman" w:eastAsia="Times New Roman" w:hAnsi="Times New Roman"/>
          <w:sz w:val="18"/>
          <w:szCs w:val="18"/>
          <w:color w:val="auto"/>
        </w:rPr>
        <w:t>”) will receive one (1) Right for each share of Common Stock held by such Company Stockholder as of the close of business on the Record Date, and each Right will entitle the holder to purchase one (1) share of Class A Common Stock at the Subscription Price (the “</w:t>
      </w:r>
      <w:r>
        <w:rPr>
          <w:rFonts w:ascii="Times New Roman" w:cs="Times New Roman" w:eastAsia="Times New Roman" w:hAnsi="Times New Roman"/>
          <w:sz w:val="18"/>
          <w:szCs w:val="18"/>
          <w:u w:val="single" w:color="auto"/>
          <w:color w:val="auto"/>
        </w:rPr>
        <w:t>Basic Subscription Right</w:t>
      </w:r>
      <w:r>
        <w:rPr>
          <w:rFonts w:ascii="Times New Roman" w:cs="Times New Roman" w:eastAsia="Times New Roman" w:hAnsi="Times New Roman"/>
          <w:sz w:val="18"/>
          <w:szCs w:val="18"/>
          <w:color w:val="auto"/>
        </w:rPr>
        <w:t>”), subject to adjustment in accordance with the Rights Offering Registration Statement and any amendments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subject to and in accordance with the Rights Offering Registration Statement and any amendments thereto, each Company Stockholder who exercises his, her or its Basic Subscription Rights may subscribe for additional shares of Class A Common Stock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color w:val="auto"/>
        </w:rPr>
        <w:t>they are available, at the Subscription Price (the “</w:t>
      </w:r>
      <w:r>
        <w:rPr>
          <w:rFonts w:ascii="Times New Roman" w:cs="Times New Roman" w:eastAsia="Times New Roman" w:hAnsi="Times New Roman"/>
          <w:sz w:val="18"/>
          <w:szCs w:val="18"/>
          <w:u w:val="single" w:color="auto"/>
          <w:color w:val="auto"/>
        </w:rPr>
        <w:t>Over-Subscription Right</w:t>
      </w:r>
      <w:r>
        <w:rPr>
          <w:rFonts w:ascii="Times New Roman" w:cs="Times New Roman" w:eastAsia="Times New Roman" w:hAnsi="Times New Roman"/>
          <w:sz w:val="18"/>
          <w:szCs w:val="18"/>
          <w:color w:val="auto"/>
        </w:rPr>
        <w:t>” and, together with the Basic Subscription Right, the “</w:t>
      </w:r>
      <w:r>
        <w:rPr>
          <w:rFonts w:ascii="Times New Roman" w:cs="Times New Roman" w:eastAsia="Times New Roman" w:hAnsi="Times New Roman"/>
          <w:sz w:val="18"/>
          <w:szCs w:val="18"/>
          <w:u w:val="single" w:color="auto"/>
          <w:color w:val="auto"/>
        </w:rPr>
        <w:t>Subscription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receive aggregate consideration of $12,500,000 in connection with the Rights Offering;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in order to provide assurance that the Company receives aggregate consideration of $12,500,000 in connection with the Rights Offering, the Company has offered to the Backstop Purchasers the opportunity, and each Backstop Purchaser has agreed and committed, to purchase from the Company upon expiration of the Rights Offering, at the Subscription Price, shares of Class A Common Stock not otherwise sold in the Rights Offering, subject to the terms and conditions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intending to be legally bound hereby, agree as follows:</w:t>
      </w:r>
    </w:p>
    <w:p>
      <w:pPr>
        <w:spacing w:after="0" w:line="162"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Backstop Commitment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05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consummation of the Rights Offering, the terms and conditions of which shall be subject to the prior written approval of the Backstop Purchasers (not to be unreasonably withheld, conditioned or delayed) and shall be customary for offerings of this type, and the terms and conditions set forth herein, in order to provide assurance that the Rights Offering will be fully subscribed, each Backstop Purchaser hereby commits to purchase from the Company, and the Company hereby agrees to sell to such Backstop Purchaser, at the Subscription Price, any and all Unsubscribed Shares, in accordance with such Backstop Purchaser’s Backstop Percentage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Backstop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Backstop Commitment of such Backstop Purchaser shall not exceed the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It is understood that the Unsubscribed Shares shall be allocated for the purposes of the Backstop Commitment among the Backstop Purchasers proportionally in accordance with their respective Backstop Percentage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Unsubscribed Shares</w:t>
      </w:r>
      <w:r>
        <w:rPr>
          <w:rFonts w:ascii="Times New Roman" w:cs="Times New Roman" w:eastAsia="Times New Roman" w:hAnsi="Times New Roman"/>
          <w:sz w:val="18"/>
          <w:szCs w:val="18"/>
          <w:color w:val="auto"/>
        </w:rPr>
        <w:t>” means a number of shares of Class A Common Stock equal to the excess, if any, of (i) the aggregate number of shares of Class A Common Stock that may be purchased pursuant to all Rights issued by the Company in connection with the Rights Offering, less (ii) the aggregate number of shares of Class A Common Stock that are purchased by the Eligible Common Stockholders in the Rights Offering pursuant to the exercise of the Subscription Rights.</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9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the closing of the Rights Offering, the Company shall issue to each Backstop Purchaser a notice (the “</w:t>
      </w:r>
      <w:r>
        <w:rPr>
          <w:rFonts w:ascii="Times New Roman" w:cs="Times New Roman" w:eastAsia="Times New Roman" w:hAnsi="Times New Roman"/>
          <w:sz w:val="18"/>
          <w:szCs w:val="18"/>
          <w:u w:val="single" w:color="auto"/>
          <w:color w:val="auto"/>
        </w:rPr>
        <w:t>Subscription Notice</w:t>
      </w:r>
      <w:r>
        <w:rPr>
          <w:rFonts w:ascii="Times New Roman" w:cs="Times New Roman" w:eastAsia="Times New Roman" w:hAnsi="Times New Roman"/>
          <w:sz w:val="18"/>
          <w:szCs w:val="18"/>
          <w:color w:val="auto"/>
        </w:rPr>
        <w:t>”) setting forth the number of shares of Class A Common Stock subscribed for in the Rights Offering pursuant to the exercise of the Subscription Rights by the Eligible Common Stockholders and the aggregate gross proceeds of the Rights Offering and, accordingly, the number of Unsubscribed Shares to be acquired by such Backstop Purchaser pursuant to the Backstop Commitment at the Rights Subscription Price. Shares of Class A Common Stock acquired by the Backstop Purchasers pursuant to the Backstop Commitment are collectively referred to as the “</w:t>
      </w:r>
      <w:r>
        <w:rPr>
          <w:rFonts w:ascii="Times New Roman" w:cs="Times New Roman" w:eastAsia="Times New Roman" w:hAnsi="Times New Roman"/>
          <w:sz w:val="18"/>
          <w:szCs w:val="18"/>
          <w:u w:val="single" w:color="auto"/>
          <w:color w:val="auto"/>
        </w:rPr>
        <w:t>Backstop Acquired Shares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0" w:name="page321"/>
    <w:bookmarkEnd w:id="320"/>
    <w:p>
      <w:pPr>
        <w:jc w:val="both"/>
        <w:ind w:firstLine="656"/>
        <w:spacing w:after="0" w:line="259" w:lineRule="auto"/>
        <w:tabs>
          <w:tab w:leader="none" w:pos="104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Agreement shall have been terminated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 the closing of the Backstop Commitment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by means of a virtual closing through electronic exchange of signatures on the later of (i) immediately following the Effective Time, and (ii) the second (2nd) Business Day following the satisfaction or waiver (to the extent permitted herein and by applicable Law) of the conditions set forth in Section</w:t>
      </w:r>
      <w:r>
        <w:rPr>
          <w:rFonts w:ascii="Times New Roman" w:cs="Times New Roman" w:eastAsia="Times New Roman" w:hAnsi="Times New Roman"/>
          <w:sz w:val="18"/>
          <w:szCs w:val="18"/>
          <w:b w:val="1"/>
          <w:bCs w:val="1"/>
          <w:i w:val="1"/>
          <w:iCs w:val="1"/>
          <w:color w:val="auto"/>
        </w:rPr>
        <w:t>‎</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(other than those conditions that by their nature are to be satisfied at the Closing, but subject to the satisfaction or waiver of those conditions at such time) or on such other date, time or at such place as agreed to in writing by the Company and the Backstop Purchasers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03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Company shall automatically (without a need for any further action on the part of, or notice to, the Company or any other Person) issue to the Backstop Purchasers the Backstop Acquired Shares via the facilities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in book entry form, free and clear of all Liens (other than any restrictions on transfer arising under applicable securities Laws), against payment by or on behalf of the Backstop Purchasers of the aggregate Rights Subscription Price for all such shares by wire transfer in immediately available funds to the account designated by the Company in writing at least two (2) Business Days prior to the Closing. In furtherance of the foregoing, the Company shall cooperate with each Backstop Purchaser and take such actions as may be necessary to (i) instruct the Company’s transfer agent to issue the Backstop Acquired Shares to each Backstop Purchaser effective as of the Closing, and (ii) deliver to each Backstop Purchaser evidence thereof in a form customarily delivered by the Company’s transfer agent.</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 by the Backstop Purchasers</w:t>
      </w:r>
      <w:r>
        <w:rPr>
          <w:rFonts w:ascii="Times New Roman" w:cs="Times New Roman" w:eastAsia="Times New Roman" w:hAnsi="Times New Roman"/>
          <w:sz w:val="18"/>
          <w:szCs w:val="18"/>
          <w:color w:val="auto"/>
        </w:rPr>
        <w:t>. Each Backstop Purchaser represents and warrants, severally and not jointly, to the Company as follows:</w:t>
      </w:r>
    </w:p>
    <w:p>
      <w:pPr>
        <w:spacing w:after="0" w:line="162" w:lineRule="exact"/>
        <w:rPr>
          <w:sz w:val="20"/>
          <w:szCs w:val="20"/>
          <w:color w:val="auto"/>
        </w:rPr>
      </w:pPr>
    </w:p>
    <w:p>
      <w:pPr>
        <w:jc w:val="both"/>
        <w:ind w:firstLine="656"/>
        <w:spacing w:after="0" w:line="254" w:lineRule="auto"/>
        <w:tabs>
          <w:tab w:leader="none" w:pos="1122"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Such Backstop Purchaser is a corporation, partnership or limited liability company duly organized, validly existing and in good standing under the Laws of its state or country of organization and has all requisite corporate, partnership or limited liability company power and authority necessary to own, lease and operate its properties and to carry on its business as presently conducted, except as has not had, and would not reasonably be expected to have, individually or in the aggregate, a material adverse effect on the ability of such Backstop Purchaser to consummate the transactions contemplated by this Agreement. Such Backstop Purchaser is duly licensed or qualified to do business as a foreign corporation, partnership or limited liability company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material adverse effect on the ability of such Backstop Purchaser to consummate the transactions contemplated by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32"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Such Backstop Purchaser has all requisite corporate, partnership or limited liability company (as the case may be) power and authority to execute and deliver this Agreement and to consummate the transactions contemplated hereby. The execution, delivery and performance by such Backstop Purchaser of this Agreement and the consummation by such Backstop Purchaser of the transactions contemplated hereby have been duly authorized by all necessary corporate, partnership or limited liability company (as the case may be) action on the part of such Backstop Purchaser and no other corporate, partnership or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21" w:name="page322"/>
    <w:bookmarkEnd w:id="321"/>
    <w:p>
      <w:pPr>
        <w:jc w:val="both"/>
        <w:spacing w:after="0" w:line="261" w:lineRule="auto"/>
        <w:rPr>
          <w:sz w:val="20"/>
          <w:szCs w:val="20"/>
          <w:color w:val="auto"/>
        </w:rPr>
      </w:pPr>
      <w:r>
        <w:rPr>
          <w:rFonts w:ascii="Times New Roman" w:cs="Times New Roman" w:eastAsia="Times New Roman" w:hAnsi="Times New Roman"/>
          <w:sz w:val="18"/>
          <w:szCs w:val="18"/>
          <w:color w:val="auto"/>
        </w:rPr>
        <w:t>limited liability company (as the case may be) proceedings on the part of such Backstop Purchaser are necessary to approve this Agreement and to consummate the transactions contemplated hereby. Such Backstop Purchaser has duly executed and delivered this Agreement, and, assuming the due authorization, execution and delivery of this Agreement on behalf of the other Parties, this Agreement constitutes its legal, valid and binding obligation, enforceable against it in accordance with its terms, subject to the Bankruptcy and Equity Exception.</w:t>
      </w:r>
    </w:p>
    <w:p>
      <w:pPr>
        <w:spacing w:after="0" w:line="180" w:lineRule="exact"/>
        <w:rPr>
          <w:sz w:val="20"/>
          <w:szCs w:val="20"/>
          <w:color w:val="auto"/>
        </w:rPr>
      </w:pPr>
    </w:p>
    <w:p>
      <w:pPr>
        <w:ind w:left="1040" w:hanging="384"/>
        <w:spacing w:after="0"/>
        <w:tabs>
          <w:tab w:leader="none" w:pos="10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Such Backstop Purchaser is an “accredited investor” as defined in Rule 501(a) under the Securities Act.</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13"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such Backstop Purchaser of this Agreement does not, and the consummation of the transactions contemplated hereby and compliance with the provisions hereof will not (A)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such Backstop Purchaser or any of its Subsidiaries or to which any of them are a party or by or to which any of their respective properties, rights or assets are bound or subject or result in the creation of any Lien upon any of the properties, rights or assets of such Backstop Purchaser or any of its Subsidiaries, other than Permitted Liens, (B) conflict with or result in any violation of any provision of such Backstop Purchaser’s organizational documents, or (C) conflict with or violate any Laws applicable to such Backstop Purchaser or any of its Subsidiaries or any of their respective properties, rights or assets, other than,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any such violation, conflict, default, termination, cancellation, acceleration, right, loss or Lien that has not had and would not reasonably be expected to have, individually or in the aggregate, a material adverse effect on the ability of such Backstop Purchaser to consummate the transactions contemplated by this Agreement.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3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or registration, declaration or filing with any Governmental Authority is required to be obtained or made by such Backstop Purchaser in connection with the execution, delivery and performance of this Agreement or the consummation of the transactions contemplated hereby, other than (A) the filing with the SEC of such reports under Sections 13 and 16 of the Exchange Act as may be required in connection with this Agreement and the transactions contemplated hereby, (B) any Consents, registrations, declarations or filings required to be obtained or made as a result of the identity, nature, business or operations of Company or any of its Subsidiaries or Affiliates, and (C) such other items that, individually or in the aggregate, have not had and would not reasonably be expected to have, individually or in the aggregate, a material adverse effect on the ability of such Backstop Purchaser to consummate the transactions contemplated by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3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such Backstop Purchaser, threatened in writing against such Backstop Purchaser or any of its Subsidiaries or any of the directors or officers of such Backstop Purchaser or any of its Subsidiaries in their capacity as such, which, in any such case, has had or would reasonably be expected to have, individually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color w:val="auto"/>
        </w:rPr>
        <w:t>or in the aggregate, a material adverse effect on the ability of such Backstop Purchaser to consummate the transactions contemplated by this Agreement.</w:t>
      </w:r>
    </w:p>
    <w:p>
      <w:pPr>
        <w:spacing w:after="0" w:line="225" w:lineRule="exact"/>
        <w:rPr>
          <w:sz w:val="20"/>
          <w:szCs w:val="20"/>
          <w:color w:val="auto"/>
        </w:rPr>
      </w:pPr>
    </w:p>
    <w:p>
      <w:pPr>
        <w:jc w:val="both"/>
        <w:ind w:firstLine="656"/>
        <w:spacing w:after="0" w:line="253" w:lineRule="auto"/>
        <w:tabs>
          <w:tab w:leader="none" w:pos="104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xml:space="preserve">. Such Backstop Purchaser acknowledges that (i) it has had the opportunity to review the Transaction Documents (including all exhibits and schedules thereto) and the SEC Documents and has been afforded (A) the opportunity to ask such questions as it has deemed necessary of, and to receive answers from, Representatives of the Company concerning the terms and conditions of the Backstop Commitment and the merits and risks of acquiring the Backstop Acquired Shares; (B) access to information about the Company and its financial condition, results of operations, business, properties, management and prospects sufficient to enable it to evaluate its investment; and (C) the opportunity to obtain such additional information that the Company possesses or can acquire without unreasonable effort or expense that is necessary to make an informed investment decision with respect to the investment, and (ii) it has, independently and without reliance upon any statement, representation or warranty made by any Person (including any of the Company’s financial advisors or other Representatives), other than such statements, representations and warranties of the Company expressly contained in this Agreement, and based on such information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made its own analysis and decision to enter into this Agreement and the transactions contemplated hereby and that it has not relied on the analysis and decision or due diligence investigation of any other Person (including any of the Company’s financial advisors or other Representatives).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Sophistication</w:t>
      </w:r>
      <w:r>
        <w:rPr>
          <w:rFonts w:ascii="Times New Roman" w:cs="Times New Roman" w:eastAsia="Times New Roman" w:hAnsi="Times New Roman"/>
          <w:sz w:val="18"/>
          <w:szCs w:val="18"/>
          <w:color w:val="auto"/>
        </w:rPr>
        <w:t>. Such Backstop Purchaser, either alone or together with its Representatives, has such knowledge, sophistication and experience in business and financial matters so as to be capable of evaluating the merits and risks of the transactions contemplated by this Agreement, and has so evaluated the merits and risks of such transactions, including the Backstop Commitment. Such Backstop Purchaser is able to bear the economic risk of the acquisition of the Backstop Acquired Shares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06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Such Backstop Purchaser is acquiring Backstop Acquired Shares for its own account, with the intention of holding such shares for investment and with no present intention of participating, directly or indirectly, in a distribution of the shares.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or Stabilization of Price</w:t>
      </w:r>
      <w:r>
        <w:rPr>
          <w:rFonts w:ascii="Times New Roman" w:cs="Times New Roman" w:eastAsia="Times New Roman" w:hAnsi="Times New Roman"/>
          <w:sz w:val="18"/>
          <w:szCs w:val="18"/>
          <w:color w:val="auto"/>
        </w:rPr>
        <w:t>. In connection with the Rights Offering, such Backstop Purchaser has not taken and will not take, directly or indirectly, any action designed to or that would constitute or that might reasonably be expected to cause or result in, under the Exchange Act or otherwise, stabilization or manipulation of the price of any security of the Company in order to facilitate the sale or resale of any securities of the Company, and it is not aware of any such action taken or to be taken by any Person.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12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Registration</w:t>
      </w:r>
      <w:r>
        <w:rPr>
          <w:rFonts w:ascii="Times New Roman" w:cs="Times New Roman" w:eastAsia="Times New Roman" w:hAnsi="Times New Roman"/>
          <w:sz w:val="18"/>
          <w:szCs w:val="18"/>
          <w:color w:val="auto"/>
        </w:rPr>
        <w:t>. Such Backstop Purchaser understands (i) that the offer and sale of the Backstop Acquired Shares to be purchased by it pursuant to the terms of this Agreement have not been registered under the Securities Act or any state securities Laws, (ii) the Company shall not be required to effect any registration or qualification of the Backstop Acquired Shares under the Securities Act or any state securities Laws, except pursuant to the Investor Rights Agreement to be entered by and between the Company and the Backstop Purchasers, (iii) that the Backstop Acquired Shares will be issued in reliance upon exemptions contained in the Securities Act or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3" w:name="page324"/>
    <w:bookmarkEnd w:id="323"/>
    <w:p>
      <w:pPr>
        <w:jc w:val="both"/>
        <w:spacing w:after="0" w:line="289" w:lineRule="auto"/>
        <w:rPr>
          <w:sz w:val="20"/>
          <w:szCs w:val="20"/>
          <w:color w:val="auto"/>
        </w:rPr>
      </w:pPr>
      <w:r>
        <w:rPr>
          <w:rFonts w:ascii="Times New Roman" w:cs="Times New Roman" w:eastAsia="Times New Roman" w:hAnsi="Times New Roman"/>
          <w:sz w:val="17"/>
          <w:szCs w:val="17"/>
          <w:color w:val="auto"/>
        </w:rPr>
        <w:t>interpretations thereof and in the applicable state securities Laws, and (iv) that the Backstop Acquired Shares may not be offered for sale, sold or otherwise transferred except pursuant to a registration statement under the Securities Act or in a transaction exempt from or not subject to registration under the Securities Act. Further, the following legends (or similar language) shall be placed on such certificate(s), if any, representing the Backstop Acquired Shares: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(THE “SECURITIES ACT”), OR REGISTERED AND/OR QUALIFIED UNDER ANY STATE SECURITIES LAWS. THE SECURITIES REPRESENTED BY THIS CERTIFICATE MAY NOT BE TRANSFERRED EXCEPT (A) PURSUANT TO AN EFFECTIVE REGISTRATION STATEMENT UNDER THE SECURITIES ACT, AND REGISTRATION AND/OR QUALIFICATION UNDER APPLICABLE STATE SECURITIES LAWS, (B) IN A TRANSACTION WHICH IS EXEMPT FROM REGISTRATION UNDER THE SECURITIES ACT, AND REGISTRATION AND/OR QUALIFICATION UNDER APPLICABLE STATE SECURITIES LAWS PROVIDED THAT AT THE ISSUER’S REQUEST, THE TRANSFEROR THEREOF SHALL HAVE DELIVERED TO THE ISSUER AN OPINION OF COUNSEL (WHICH OPINION SHALL BE IN FORM, SUBSTANCE AND SCOPE REASONABLY SATISFACTORY TO THE ISSUER) TO THE EFFECT THAT SUCH SECURITIES MAY BE SOLD OR TRANSFERRED PURSUANT TO AN EXEMPTION FROM SUCH REGISTRATION, OR (C) SUCH SECURITIES MAY BE SOLD PURSUANT TO RULE 144 PROMULGATED UNDER THE SECURITIES ACT.</w:t>
      </w:r>
    </w:p>
    <w:p>
      <w:pPr>
        <w:spacing w:after="0" w:line="190" w:lineRule="exact"/>
        <w:rPr>
          <w:sz w:val="20"/>
          <w:szCs w:val="20"/>
          <w:color w:val="auto"/>
        </w:rPr>
      </w:pPr>
    </w:p>
    <w:p>
      <w:pPr>
        <w:jc w:val="both"/>
        <w:ind w:firstLine="656"/>
        <w:spacing w:after="0" w:line="254" w:lineRule="auto"/>
        <w:tabs>
          <w:tab w:leader="none" w:pos="106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The legend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2(j) above shall be removed and the Company shall issue a certificate (or book entry notation, as applicable) without such legend or any other legend to the holder of the applicable Backstop Acquired Shares upon which it is stamped or issue to such holder by electronic delivery at the applicable balance account at the DTC, if (i) such shares are registered for resale under the Securities Act and sold pursuant to the effective registration statement registering the shares for resale, (ii) such shares are sold or transferred pursuant to and in compliance with Rule 144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or another similar exemption from registration, or (iii) an opinion of counsel is provided to the Company, in form, substance and scope customary for opinions of counsel in comparable transactions, to the effect that such shares are eligible for sale under Rule 144, without the requirement for the Company to be in compliance with the current public information required under Rule 144 as to such securities and without volume or manner-of-sale restrictions. Certificates (or book entry notations) for Backstop Acquired Shares subject to legend removal hereunder will be transmitted by the Company to such Backstop Purchaser or may be transmitted by the Company’s transfer agent to such Backstop Purchaser by crediting the DTC account of such Backstop Purchaser’s broker or other DTC participant as directed by such Backstop Purchaser.</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083"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Sufficiency of Funds</w:t>
      </w:r>
      <w:r>
        <w:rPr>
          <w:rFonts w:ascii="Times New Roman" w:cs="Times New Roman" w:eastAsia="Times New Roman" w:hAnsi="Times New Roman"/>
          <w:sz w:val="18"/>
          <w:szCs w:val="18"/>
          <w:color w:val="auto"/>
        </w:rPr>
        <w:t>. Such Backstop Purchaser has and will have available funds sufficient to pay the aggregate Subscription Price for all Class A Common Stock to be purchased by such Backstop Purchaser hereunder.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4" w:name="page325"/>
    <w:bookmarkEnd w:id="324"/>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The Company represents and warrants to each Backstop Purchaser as follows:</w:t>
      </w:r>
    </w:p>
    <w:p>
      <w:pPr>
        <w:spacing w:after="0" w:line="225" w:lineRule="exact"/>
        <w:rPr>
          <w:sz w:val="20"/>
          <w:szCs w:val="20"/>
          <w:color w:val="auto"/>
        </w:rPr>
      </w:pPr>
    </w:p>
    <w:p>
      <w:pPr>
        <w:jc w:val="both"/>
        <w:ind w:firstLine="656"/>
        <w:spacing w:after="0" w:line="255" w:lineRule="auto"/>
        <w:tabs>
          <w:tab w:leader="none" w:pos="106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Existence and Good Standing</w:t>
      </w:r>
      <w:r>
        <w:rPr>
          <w:rFonts w:ascii="Times New Roman" w:cs="Times New Roman" w:eastAsia="Times New Roman" w:hAnsi="Times New Roman"/>
          <w:sz w:val="18"/>
          <w:szCs w:val="18"/>
          <w:color w:val="auto"/>
        </w:rPr>
        <w:t>. The Company is a corporation duly incorporated, validly existing and in good standing under the Laws of the State of Delaware and has all requisite corporate power and authority necessary to own, lease and operate its properties and to carry on its business as presently conducted, except (other than with respect to the Company’s due incorporation, valid existence and good standing) as has not had, and would not reasonably be expected to have, individually or in the aggregate, a Company Material Adverse Effect. The Company is duly licensed or qualified to do business as a foreign corporation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07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Company has all requisite corporate power and authority to execute and deliver this Agreement and to consummate the transactions contemplated hereby. The execution, delivery and performance by the Company of this Agreement and the consummation by the Company of the transactions contemplated hereby have been duly authorized by all necessary corporate action on the part of the Company and, to the extent required by the rules of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subject to Stockholder Approval (as defined below), no other corporate proceedings on the part of the Company are necessary to approve this Agreement and to consummate the transactions contemplated hereby. The Company has duly executed and delivered this Agreement, and, assuming the due authorization, execution and delivery of this Agreement on behalf of the other Parties, this Agreement constitutes its legal, valid and binding obligation, enforceable against it in accordance with its terms, subject to the Bankruptcy and Equity Exception and, to the extent required by the rules of Nasdaq, the Stockholder Approval.</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Shares</w:t>
      </w:r>
      <w:r>
        <w:rPr>
          <w:rFonts w:ascii="Times New Roman" w:cs="Times New Roman" w:eastAsia="Times New Roman" w:hAnsi="Times New Roman"/>
          <w:sz w:val="18"/>
          <w:szCs w:val="18"/>
          <w:color w:val="auto"/>
        </w:rPr>
        <w:t>. All of the shares of Backstop Acquired Shares to be issued pursuant to this Agreement will be, as of the date of their issuance, duly authorized by all necessary corporate action on the part of the Company and, when issued and delivered by the Company against payment therefor as provided in this Agreement, (i) will be validly issued, fully paid and nonassessable, (ii) will be free and clear of all Liens (other than any restrictions on transfer arising under applicable securities Laws), and (iii) will not be subject to any statutory or contractual preemptive rights or other similar rights of stockholders.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132"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Investment Company</w:t>
      </w:r>
      <w:r>
        <w:rPr>
          <w:rFonts w:ascii="Times New Roman" w:cs="Times New Roman" w:eastAsia="Times New Roman" w:hAnsi="Times New Roman"/>
          <w:sz w:val="18"/>
          <w:szCs w:val="18"/>
          <w:color w:val="auto"/>
        </w:rPr>
        <w:t>. The Company is not required to register as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does not, and the consummation of the transactions contemplated hereby and compliance with the provisions hereof will not, (A) conflict with, or result in any breach or violation of or default or change of control (with or without notice or lapse of time, or both) under, or give rise to a right of, or result in, termination, modification, cancellation, first offer, first refusal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5" w:name="page326"/>
    <w:bookmarkEnd w:id="32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or acceleration of any obligation under any Contract binding upon the Company or any of its Subsidiaries or to which any of them are a party or by or to which any of their respective properties, rights or assets are bound or subject or result in the creation of any Lien upon any of the properties, rights or assets of the Company or any of its Subsidiaries, other than Permitted Liens, (B) conflict with or result in any violation of any provision of the Company Governing Documents or organizational documents of the Company’s Subsidiaries, or (C) conflict with or violate any Laws applicable to the Company or any of its Subsidiaries or any of their respective properties, rights or assets, other than,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any such violation, conflict, default, termination, cancellation, acceleration, right, loss or Lien that has not been or would not reasonably be expected to be, individually or in the aggregate, material to the Company and its Subsidiaries, taken as a whole.</w:t>
      </w:r>
    </w:p>
    <w:p>
      <w:pPr>
        <w:spacing w:after="0" w:line="189" w:lineRule="exact"/>
        <w:rPr>
          <w:sz w:val="20"/>
          <w:szCs w:val="20"/>
          <w:color w:val="auto"/>
        </w:rPr>
      </w:pPr>
    </w:p>
    <w:p>
      <w:pPr>
        <w:jc w:val="both"/>
        <w:ind w:firstLine="1304"/>
        <w:spacing w:after="0" w:line="256" w:lineRule="auto"/>
        <w:tabs>
          <w:tab w:leader="none" w:pos="179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or in compliance with (A) the DGCL, (B) the Securities Act, (C) the Exchange Act, (D) other applicable state or federal securities Laws, and (E) any applicable requirements of Nasdaq, no Consent of, or registration, declaration or filing with any Governmental Authority is necessary or required, under applicable Law, to be obtained or made by or with respect to the Company or any of its Subsidiaries in connection with the execution, delivery and performance of this Agreement or the consummation of the transactions contemplated by this Agreement, except for such Consents or filings that, if not obtained or made, would not reasonably be expected to be material to the Company and its Subsidiaries, taken as a whole.</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102"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in writing against the Company or any of its Subsidiaries, any of the directors or officers of the Company or any of its Subsidiaries in their capacity as such or affecting any of the business, operations, properties or assets of the Company or any of its Subsidiaries which, in any such case, has had or would reasonably be expected to have, individually or in the aggregate, a Company Material Adverse Effect. Neither the Company nor any of its Subsidiaries is in default with respect to any Judgment that is applicable to the Company or any of its Subsidiaries which, in any such case, has had or would reasonably be expected to have, individually or in the aggregate, a Company Material Adverse Effect.</w:t>
      </w:r>
    </w:p>
    <w:p>
      <w:pPr>
        <w:spacing w:after="0" w:line="18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105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Backstop Purchaser’s obligation to purchase shares of Class A Common Stock pursuant to its Backstop Commitment is subject to the following conditions: (i) the Company shall be in compliance with its obligations under this Agreement in all material respects; (ii) the representations and warranties of the Company set forth in this Agreement shall be true and correct as of the date of this Agreement and the Closing and the failure of any such representations and warranties to be so true and correct has not resulted in, and would not reasonably be expected to result in, individually or in the aggregate, a Company Material Adverse Effect; and (iii) to the extent required by the rules of Nasdaq, the Company shall have obtained the Stockholder Approval.</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hereunder are subject to the following conditions: (i) the Backstop Purchasers shall be in compliance with their respective obligations under this Agreement in all material respects; (ii) the representations and warranties of the Backstop Purchasers hereunder shall be true and correct as of the date of this Agreement and the Closing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6" w:name="page327"/>
    <w:bookmarkEnd w:id="326"/>
    <w:p>
      <w:pPr>
        <w:jc w:val="both"/>
        <w:spacing w:after="0" w:line="266" w:lineRule="auto"/>
        <w:rPr>
          <w:sz w:val="20"/>
          <w:szCs w:val="20"/>
          <w:color w:val="auto"/>
        </w:rPr>
      </w:pPr>
      <w:r>
        <w:rPr>
          <w:rFonts w:ascii="Times New Roman" w:cs="Times New Roman" w:eastAsia="Times New Roman" w:hAnsi="Times New Roman"/>
          <w:sz w:val="18"/>
          <w:szCs w:val="18"/>
          <w:color w:val="auto"/>
        </w:rPr>
        <w:t>and the failure of any such representations and warranties to be so true and correct has not resulted in, and would not reasonably be expected to result in, individually or in the aggregate, a material adverse effect on the ability of the Backstop Purchasers to consummate the transactions contemplated by this Agreement; and (iii) to the extent required by the rules of Nasdaq, the Company shall have obtained the Stockholder Approval.</w:t>
      </w:r>
    </w:p>
    <w:p>
      <w:pPr>
        <w:spacing w:after="0" w:line="176" w:lineRule="exact"/>
        <w:rPr>
          <w:sz w:val="20"/>
          <w:szCs w:val="20"/>
          <w:color w:val="auto"/>
        </w:rPr>
      </w:pPr>
    </w:p>
    <w:p>
      <w:pPr>
        <w:jc w:val="both"/>
        <w:ind w:firstLine="656"/>
        <w:spacing w:after="0" w:line="261" w:lineRule="auto"/>
        <w:tabs>
          <w:tab w:leader="none" w:pos="102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is further subject to the satisfaction or waiver of the following conditions: (i) consummation of the Rights Offering and delivery of the Subscription Notice to the Backstop Purchasers; (ii) to the extent required by the rules of Nasdaq, stockholder approval of this Agreement and the issuance of the Backstop Acquired Shares in compliance with Nasdaq Rule 5635 (the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 (iii) the consummation of the Exchange Transactions.</w:t>
      </w:r>
    </w:p>
    <w:p>
      <w:pPr>
        <w:spacing w:after="0" w:line="180"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82" w:lineRule="auto"/>
        <w:tabs>
          <w:tab w:leader="none" w:pos="104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Backstop Purchasers; Other</w:t>
      </w:r>
      <w:r>
        <w:rPr>
          <w:rFonts w:ascii="Times New Roman" w:cs="Times New Roman" w:eastAsia="Times New Roman" w:hAnsi="Times New Roman"/>
          <w:sz w:val="18"/>
          <w:szCs w:val="18"/>
          <w:color w:val="auto"/>
        </w:rPr>
        <w:t>. This Agreement shall terminate (i) automatically without any action by or on behalf of any Party or any other Person if the Exchange Agreement is validly terminated in accordance with its terms, or (ii) upon the Parties’ mutual written consent.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The Company and the Backstop Purchasers hereby agree that any termination of this Agreement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(other than termination by one Party in the event of a willful and material breach of a Party of, or fraud with respect to, any of such Party’s representations, warranties, covenants or agreements set forth in this Agreement occurring prior to such termination), shall be without liability to the Company or any Backstop Purchaser.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Rule 144 Availability; Public Information</w:t>
      </w:r>
      <w:r>
        <w:rPr>
          <w:rFonts w:ascii="Times New Roman" w:cs="Times New Roman" w:eastAsia="Times New Roman" w:hAnsi="Times New Roman"/>
          <w:sz w:val="18"/>
          <w:szCs w:val="18"/>
          <w:color w:val="auto"/>
        </w:rPr>
        <w:t>. At all times during the period commencing on the Closing Date and ending at such time that all of the Backstop Acquired Shares can be sold without the requirement to be in compliance with Rule 144(c)(1) under the Securities Act and otherwise without restriction or limitation pursuant to Rule 144 under the Securities Act, the Company shall use its reasonable best efforts to ensure the availability of Rule 144 under the Securities Act to each Backstop Purchaser with regard to the Backstop Acquired Shares, including compliance with Rule 144(c)(1) under the Securities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deemed given when delivered, if delivered personally, emailed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email states that it is a notice sent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 or sent by overnight courier (providing proof of delivery) to the Parties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-175895</wp:posOffset>
            </wp:positionV>
            <wp:extent cx="4368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56"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if to the Company, 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7" w:name="page328"/>
    <w:bookmarkEnd w:id="327"/>
    <w:p>
      <w:pPr>
        <w:ind w:left="196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60" w:right="1740" w:firstLine="320"/>
        <w:spacing w:after="0" w:line="500" w:lineRule="auto"/>
        <w:tabs>
          <w:tab w:leader="none" w:pos="1249"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Backstop Purchaser, to the address set forth next to such Backstop Purchaser’s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Section 9. </w:t>
      </w:r>
      <w:r>
        <w:rPr>
          <w:rFonts w:ascii="Times New Roman" w:cs="Times New Roman" w:eastAsia="Times New Roman" w:hAnsi="Times New Roman"/>
          <w:sz w:val="18"/>
          <w:szCs w:val="18"/>
          <w:u w:val="single" w:color="auto"/>
          <w:color w:val="auto"/>
        </w:rPr>
        <w:t>Specific Performance; Exclusive Jurisdiction; Waiver of Jury Trial</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firstLine="656"/>
        <w:spacing w:after="0" w:line="254" w:lineRule="auto"/>
        <w:tabs>
          <w:tab w:leader="none" w:pos="1041"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 claim or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038"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hereby in any court other than the Court of Chancery of the State of Delaware and any federal court located in the State of Delaware, or, if neither of such courts has subject matter jurisdiction, any state court of the State of Delaware having subject matter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color w:val="auto"/>
        </w:rPr>
        <w:t>jurisdiction, and (iv) consents to service of process being made through the notice procedures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-5080</wp:posOffset>
            </wp:positionV>
            <wp:extent cx="4286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9" w:lineRule="exact"/>
        <w:rPr>
          <w:sz w:val="20"/>
          <w:szCs w:val="20"/>
          <w:color w:val="auto"/>
        </w:rPr>
      </w:pPr>
    </w:p>
    <w:p>
      <w:pPr>
        <w:jc w:val="both"/>
        <w:ind w:firstLine="656"/>
        <w:spacing w:after="0" w:line="266" w:lineRule="auto"/>
        <w:tabs>
          <w:tab w:leader="none" w:pos="1081"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HEREBY KNOWINGLY, INTENTIONALLY AND VOLUNTARILY IRREVOCABLY WAIVES ANY AND ALL RIGHTS TO TRIAL BY JURY IN ANY LEGAL PROCEEDING ARISING OUT OF OR RELATED TO THIS AGREEMENT OR THE TRANSACTIONS.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Amendment; Waiver; Counterparts</w:t>
      </w:r>
      <w:r>
        <w:rPr>
          <w:rFonts w:ascii="Times New Roman" w:cs="Times New Roman" w:eastAsia="Times New Roman" w:hAnsi="Times New Roman"/>
          <w:sz w:val="18"/>
          <w:szCs w:val="18"/>
          <w:color w:val="auto"/>
        </w:rPr>
        <w:t>. This Agreement may not be modified, amended or supplemented, except by written instrument executed by the Parties. Any of the terms or provisions hereof may be waived in writing at any time by the Party that is entitled to the benefits of such waived terms or provisions. No failure to exercise, and no delay in exercising, any right, power or privilege under this Agreement will operate as a waiver, nor will any single or partial exercise of any right, power or privilege hereunder preclude the exercise of any other right, power or privilege. No waiver of any breach of any provision will be deemed to be a waiver of any preceding or succeeding breach of the same or any other provision, nor will any waiver be implied from any course of dealing between the Parties. No extension of time for performance of any obligations or other acts hereunder or under any other agreement will be deemed to be an extension of the time for performance of any other obligations or any other acts.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This Agreement, collectively with the other Transaction Documents, constitutes the entire agreement, and supersedes all prior agreements and understandings, both written and oral, between the Parties with respect to the subject matter hereof and is not intended to confer upon any Person other than the Parties any rights or remedies.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to the extent set forth in Section 12.4 of the Existing Credit Agreement, each Party shall pay its own fees and expenses in connection with the transactions contemplated hereby.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shall be considered one and the same agreement and shall become effective when one or more counterparts have been signed by each of the Parties and delivered to each other Party. Delivery of an executed counterpart of a signature page to this Agreement by “.pdf” format, scanned pages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color w:val="auto"/>
        </w:rPr>
        <w:t>or electronic signature shall be effective as delivery of a manually executed counterpart to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operation of law or otherwise by any of the Parties without the prior written consent of each other Party, except that each Backstop Purchaser may, upon prior written notice to the Company, assign, in its sole discretion, any or all of its rights, interests and obligations under this Agreement to any Affiliate of such Backstop Purchaser, so long as such Backstop Purchaser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covenants and other agreements in this Agreement or in any instrument delivered pursuant to this Agreement, shall survive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16 shall not limit any covenant or agreement of the Parties which by its terms contemplates performance at or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-175895</wp:posOffset>
            </wp:positionV>
            <wp:extent cx="4851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7"/>
          <w:szCs w:val="17"/>
          <w:color w:val="auto"/>
        </w:rPr>
        <w:t>IN WITNESS WHEREOF, the Parties have duly executed and delivered this Agreement, all as of the date first set forth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BACKSTOP PURCHASERS</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CHS US INVESTMENTS LLC</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CHS GP LP, as manager</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CHS UGP LLC, as general partner</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Brady Schuck</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GATEWAY RUNWAY, LLC</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Damian Giangiacomo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S3 RR AGGREGATOR, LLC</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Comisar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Peter Comisar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Representative</w:t>
      </w:r>
    </w:p>
    <w:p>
      <w:pPr>
        <w:spacing w:after="0" w:line="23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Rights Offering Backstop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540" w:right="1440" w:bottom="1440" w:gutter="0" w:footer="0" w:header="0"/>
        </w:sectPr>
      </w:pPr>
    </w:p>
    <w:bookmarkStart w:id="331" w:name="page332"/>
    <w:bookmarkEnd w:id="331"/>
    <w:tbl>
      <w:tblPr>
        <w:tblLayout w:type="fixed"/>
        <w:tblInd w:w="1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260" w:type="dxa"/>
            <w:vAlign w:val="bottom"/>
          </w:tcPr>
          <w:p>
            <w:pPr>
              <w:spacing w:after="0"/>
              <w:rPr>
                <w:sz w:val="17"/>
                <w:szCs w:val="17"/>
                <w:color w:val="auto"/>
              </w:rPr>
            </w:pPr>
          </w:p>
        </w:tc>
      </w:tr>
      <w:tr>
        <w:trPr>
          <w:trHeight w:val="453"/>
        </w:trPr>
        <w:tc>
          <w:tcPr>
            <w:tcW w:w="3500" w:type="dxa"/>
            <w:vAlign w:val="bottom"/>
          </w:tcPr>
          <w:p>
            <w:pPr>
              <w:spacing w:after="0"/>
              <w:rPr>
                <w:sz w:val="24"/>
                <w:szCs w:val="24"/>
                <w:color w:val="auto"/>
              </w:rPr>
            </w:pPr>
          </w:p>
        </w:tc>
        <w:tc>
          <w:tcPr>
            <w:tcW w:w="7740" w:type="dxa"/>
            <w:vAlign w:val="bottom"/>
            <w:gridSpan w:val="4"/>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Notice Address of Backstop Purchasers</w:t>
            </w:r>
          </w:p>
        </w:tc>
      </w:tr>
      <w:tr>
        <w:trPr>
          <w:trHeight w:val="216"/>
        </w:trPr>
        <w:tc>
          <w:tcPr>
            <w:tcW w:w="3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323"/>
        </w:trPr>
        <w:tc>
          <w:tcPr>
            <w:tcW w:w="3500" w:type="dxa"/>
            <w:vAlign w:val="bottom"/>
            <w:tcBorders>
              <w:left w:val="single" w:sz="8" w:color="auto"/>
              <w:bottom w:val="single" w:sz="8" w:color="D9D9D9"/>
            </w:tcBorders>
            <w:shd w:val="clear" w:color="auto" w:fill="D9D9D9"/>
          </w:tcPr>
          <w:p>
            <w:pPr>
              <w:ind w:left="1340"/>
              <w:spacing w:after="0"/>
              <w:rPr>
                <w:sz w:val="20"/>
                <w:szCs w:val="20"/>
                <w:color w:val="auto"/>
              </w:rPr>
            </w:pPr>
            <w:r>
              <w:rPr>
                <w:rFonts w:ascii="Times New Roman" w:cs="Times New Roman" w:eastAsia="Times New Roman" w:hAnsi="Times New Roman"/>
                <w:sz w:val="18"/>
                <w:szCs w:val="18"/>
                <w:b w:val="1"/>
                <w:bCs w:val="1"/>
                <w:color w:val="auto"/>
              </w:rPr>
              <w:t>Backstop Purchaser</w:t>
            </w:r>
          </w:p>
        </w:tc>
        <w:tc>
          <w:tcPr>
            <w:tcW w:w="680" w:type="dxa"/>
            <w:vAlign w:val="bottom"/>
            <w:tcBorders>
              <w:bottom w:val="single" w:sz="8" w:color="D9D9D9"/>
              <w:right w:val="single" w:sz="8" w:color="auto"/>
            </w:tcBorders>
            <w:shd w:val="clear" w:color="auto" w:fill="D9D9D9"/>
          </w:tcPr>
          <w:p>
            <w:pPr>
              <w:spacing w:after="0"/>
              <w:rPr>
                <w:sz w:val="24"/>
                <w:szCs w:val="24"/>
                <w:color w:val="auto"/>
              </w:rPr>
            </w:pPr>
          </w:p>
        </w:tc>
        <w:tc>
          <w:tcPr>
            <w:tcW w:w="1060" w:type="dxa"/>
            <w:vAlign w:val="bottom"/>
            <w:tcBorders>
              <w:bottom w:val="single" w:sz="8" w:color="D9D9D9"/>
            </w:tcBorders>
            <w:shd w:val="clear" w:color="auto" w:fill="D9D9D9"/>
          </w:tcPr>
          <w:p>
            <w:pPr>
              <w:spacing w:after="0"/>
              <w:rPr>
                <w:sz w:val="24"/>
                <w:szCs w:val="24"/>
                <w:color w:val="auto"/>
              </w:rPr>
            </w:pPr>
          </w:p>
        </w:tc>
        <w:tc>
          <w:tcPr>
            <w:tcW w:w="740" w:type="dxa"/>
            <w:vAlign w:val="bottom"/>
            <w:tcBorders>
              <w:bottom w:val="single" w:sz="8" w:color="D9D9D9"/>
            </w:tcBorders>
            <w:shd w:val="clear" w:color="auto" w:fill="D9D9D9"/>
          </w:tcPr>
          <w:p>
            <w:pPr>
              <w:spacing w:after="0"/>
              <w:rPr>
                <w:sz w:val="24"/>
                <w:szCs w:val="24"/>
                <w:color w:val="auto"/>
              </w:rPr>
            </w:pPr>
          </w:p>
        </w:tc>
        <w:tc>
          <w:tcPr>
            <w:tcW w:w="5260" w:type="dxa"/>
            <w:vAlign w:val="bottom"/>
            <w:tcBorders>
              <w:bottom w:val="single" w:sz="8" w:color="D9D9D9"/>
              <w:right w:val="single" w:sz="8" w:color="auto"/>
            </w:tcBorders>
            <w:shd w:val="clear" w:color="auto" w:fill="D9D9D9"/>
          </w:tcPr>
          <w:p>
            <w:pPr>
              <w:ind w:left="1140"/>
              <w:spacing w:after="0"/>
              <w:rPr>
                <w:sz w:val="20"/>
                <w:szCs w:val="20"/>
                <w:color w:val="auto"/>
              </w:rPr>
            </w:pPr>
            <w:r>
              <w:rPr>
                <w:rFonts w:ascii="Times New Roman" w:cs="Times New Roman" w:eastAsia="Times New Roman" w:hAnsi="Times New Roman"/>
                <w:sz w:val="18"/>
                <w:szCs w:val="18"/>
                <w:b w:val="1"/>
                <w:bCs w:val="1"/>
                <w:color w:val="auto"/>
              </w:rPr>
              <w:t>Notice Address</w:t>
            </w:r>
          </w:p>
        </w:tc>
      </w:tr>
      <w:tr>
        <w:trPr>
          <w:trHeight w:val="245"/>
        </w:trPr>
        <w:tc>
          <w:tcPr>
            <w:tcW w:w="350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CHS US Investments LLC</w:t>
            </w:r>
          </w:p>
        </w:tc>
        <w:tc>
          <w:tcPr>
            <w:tcW w:w="680" w:type="dxa"/>
            <w:vAlign w:val="bottom"/>
            <w:tcBorders>
              <w:top w:val="single" w:sz="8" w:color="auto"/>
              <w:right w:val="single" w:sz="8" w:color="auto"/>
            </w:tcBorders>
          </w:tcPr>
          <w:p>
            <w:pPr>
              <w:spacing w:after="0"/>
              <w:rPr>
                <w:sz w:val="21"/>
                <w:szCs w:val="21"/>
                <w:color w:val="auto"/>
              </w:rPr>
            </w:pPr>
          </w:p>
        </w:tc>
        <w:tc>
          <w:tcPr>
            <w:tcW w:w="706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CHS US Investments LLC</w:t>
            </w: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35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432"/>
        </w:trPr>
        <w:tc>
          <w:tcPr>
            <w:tcW w:w="35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r>
      <w:tr>
        <w:trPr>
          <w:trHeight w:val="414"/>
        </w:trPr>
        <w:tc>
          <w:tcPr>
            <w:tcW w:w="35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Proskauer Rose LLP</w:t>
            </w: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35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54"/>
        </w:trPr>
        <w:tc>
          <w:tcPr>
            <w:tcW w:w="3500" w:type="dxa"/>
            <w:vAlign w:val="bottom"/>
            <w:tcBorders>
              <w:left w:val="single" w:sz="8" w:color="auto"/>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45"/>
        </w:trPr>
        <w:tc>
          <w:tcPr>
            <w:tcW w:w="35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Gateway Runway, LLC</w:t>
            </w:r>
          </w:p>
        </w:tc>
        <w:tc>
          <w:tcPr>
            <w:tcW w:w="680" w:type="dxa"/>
            <w:vAlign w:val="bottom"/>
            <w:tcBorders>
              <w:right w:val="single" w:sz="8" w:color="auto"/>
            </w:tcBorders>
          </w:tcPr>
          <w:p>
            <w:pPr>
              <w:spacing w:after="0"/>
              <w:rPr>
                <w:sz w:val="21"/>
                <w:szCs w:val="21"/>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 Nexus Capital Management LP</w:t>
            </w: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35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432"/>
        </w:trPr>
        <w:tc>
          <w:tcPr>
            <w:tcW w:w="35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r>
      <w:tr>
        <w:trPr>
          <w:trHeight w:val="414"/>
        </w:trPr>
        <w:tc>
          <w:tcPr>
            <w:tcW w:w="35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35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54"/>
        </w:trPr>
        <w:tc>
          <w:tcPr>
            <w:tcW w:w="3500" w:type="dxa"/>
            <w:vAlign w:val="bottom"/>
            <w:tcBorders>
              <w:left w:val="single" w:sz="8" w:color="auto"/>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45"/>
        </w:trPr>
        <w:tc>
          <w:tcPr>
            <w:tcW w:w="35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 RR Aggregator, LLC</w:t>
            </w:r>
          </w:p>
        </w:tc>
        <w:tc>
          <w:tcPr>
            <w:tcW w:w="680" w:type="dxa"/>
            <w:vAlign w:val="bottom"/>
            <w:tcBorders>
              <w:right w:val="single" w:sz="8" w:color="auto"/>
            </w:tcBorders>
          </w:tcPr>
          <w:p>
            <w:pPr>
              <w:spacing w:after="0"/>
              <w:rPr>
                <w:sz w:val="21"/>
                <w:szCs w:val="21"/>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 Story3 Capital Partners LLC</w:t>
            </w: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35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432"/>
        </w:trPr>
        <w:tc>
          <w:tcPr>
            <w:tcW w:w="35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r>
      <w:tr>
        <w:trPr>
          <w:trHeight w:val="414"/>
        </w:trPr>
        <w:tc>
          <w:tcPr>
            <w:tcW w:w="35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35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35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54"/>
        </w:trPr>
        <w:tc>
          <w:tcPr>
            <w:tcW w:w="3500" w:type="dxa"/>
            <w:vAlign w:val="bottom"/>
            <w:tcBorders>
              <w:left w:val="single" w:sz="8" w:color="auto"/>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547"/>
        </w:trPr>
        <w:tc>
          <w:tcPr>
            <w:tcW w:w="3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27" w:right="339" w:bottom="1440" w:gutter="0" w:footer="0" w:header="0"/>
        </w:sectPr>
      </w:pPr>
    </w:p>
    <w:bookmarkStart w:id="332" w:name="page333"/>
    <w:bookmarkEnd w:id="332"/>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Backstop Purchaser Backstop Commitment Allocation Schedule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3840" w:type="dxa"/>
            <w:vAlign w:val="bottom"/>
            <w:tcBorders>
              <w:top w:val="single" w:sz="8" w:color="auto"/>
              <w:left w:val="single" w:sz="8" w:color="auto"/>
              <w:bottom w:val="single" w:sz="8" w:color="D9D9D9"/>
              <w:right w:val="single" w:sz="8" w:color="auto"/>
            </w:tcBorders>
            <w:shd w:val="clear" w:color="auto" w:fill="D9D9D9"/>
          </w:tcPr>
          <w:p>
            <w:pPr>
              <w:ind w:left="1160"/>
              <w:spacing w:after="0"/>
              <w:rPr>
                <w:sz w:val="20"/>
                <w:szCs w:val="20"/>
                <w:color w:val="auto"/>
              </w:rPr>
            </w:pPr>
            <w:r>
              <w:rPr>
                <w:rFonts w:ascii="Times New Roman" w:cs="Times New Roman" w:eastAsia="Times New Roman" w:hAnsi="Times New Roman"/>
                <w:sz w:val="18"/>
                <w:szCs w:val="18"/>
                <w:b w:val="1"/>
                <w:bCs w:val="1"/>
                <w:color w:val="auto"/>
              </w:rPr>
              <w:t>Backstop Purchaser</w:t>
            </w:r>
          </w:p>
        </w:tc>
        <w:tc>
          <w:tcPr>
            <w:tcW w:w="37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Backstop Percentage</w:t>
            </w:r>
          </w:p>
        </w:tc>
        <w:tc>
          <w:tcPr>
            <w:tcW w:w="37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Backstop Commitment Amount</w:t>
            </w:r>
          </w:p>
        </w:tc>
      </w:tr>
      <w:tr>
        <w:trPr>
          <w:trHeight w:val="263"/>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CHS US Investments LLC</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$8,750,000</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63"/>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Gateway Runway, LLC</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$1,875,000</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63"/>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 RR Aggregator, LLC</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$1,875,000</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FOURTEENTH AMENDMENT TO CREDIT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FOURTEENTH AMENDMENT</w:t>
      </w:r>
      <w:r>
        <w:rPr>
          <w:rFonts w:ascii="Times New Roman" w:cs="Times New Roman" w:eastAsia="Times New Roman" w:hAnsi="Times New Roman"/>
          <w:sz w:val="18"/>
          <w:szCs w:val="18"/>
          <w:color w:val="auto"/>
        </w:rPr>
        <w:t>, dated as of August 20, 2025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Credit Agreement, dated as of July 23, 2018, by and among the lenders from time to time party thereto (individually,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any and all such lenders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CHS (US) Management LLC (as successor-in-interest to Double Helix Pte Ltd), as the Agent for the Lenders (in such capacity, together with its successors and assigns in such capacity,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Rent the Runway, Inc.,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(as amended by the First Amendment to Credit Agreement, dated as of December 21, 2018, the Second Amendment to Credit Agreement, dated as of April 24, 2019, the Third Amendment to Credit Agreement and First Amendment to the Security Agreement, dated as of November 26, 2019, the Fourth Amendment to Credit Agreement, dated as of June 2, 2020, the Fifth Amendment to Credit Agreement, dated as of August 18, 2020, the Sixth Amendment to Credit Agreement and Second Amendment to the Security Agreement, dated as of October 26, 2020, the Seventh Amendment to Credit Agreement and Third Amendment to the Security Agreement, dated as of October 18, 2021, the Eighth Amendment to Credit Agreement, dated as of August 15, 2022, the Ninth Amendment to Credit Agreement, dated as of January 31, 2023, the Tenth Amendment to Credit Agreement, dated as of December 1, 2023, the Eleventh Amendment to Credit Agreement, dated as of March 31, 2025, the Twelfth Amendment to Credit Agreement, dated as of May 29, 2025, the Thirteenth Amendment to Credit Agreement, dated as of July 31, 2025, and as further amended, amended and restated, supplemented or otherwise modified from time to time, the "</w:t>
      </w:r>
      <w:r>
        <w:rPr>
          <w:rFonts w:ascii="Times New Roman" w:cs="Times New Roman" w:eastAsia="Times New Roman" w:hAnsi="Times New Roman"/>
          <w:sz w:val="18"/>
          <w:szCs w:val="18"/>
          <w:b w:val="1"/>
          <w:b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by and among the Borrower, the Lenders and the Agent. Unless otherwise defined herein, capitalized terms used herein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provided in the Credit Agreement.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the Agent and the Lenders desire to amend certain provisions of the Credit Agreement as provided more fully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set forth herein.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contained in the Credit Agreement and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hereby agree as follows:</w:t>
      </w:r>
    </w:p>
    <w:p>
      <w:pPr>
        <w:spacing w:after="0" w:line="155"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u w:val="single" w:color="auto"/>
          <w:color w:val="auto"/>
        </w:rPr>
        <w:t>Amendments to the Credit Agreement; Acknowledgment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color w:val="auto"/>
        </w:rPr>
        <w:t>The Credit Agreement is hereby amended (a) to delete the red or green stricken text (indicated textually in the same manner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following examples: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B050"/>
          <w:strike w:val="1"/>
        </w:rPr>
        <w:t>stricken text</w:t>
      </w:r>
      <w:r>
        <w:rPr>
          <w:rFonts w:ascii="Times New Roman" w:cs="Times New Roman" w:eastAsia="Times New Roman" w:hAnsi="Times New Roman"/>
          <w:sz w:val="18"/>
          <w:szCs w:val="18"/>
          <w:color w:val="auto"/>
        </w:rPr>
        <w:t xml:space="preserve">) and (b) to add the blue or green double-underlined text (indicated textually in the same manner as the following examples: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B050"/>
        </w:rPr>
        <w:t>double-underlined text</w:t>
      </w:r>
      <w:r>
        <w:rPr>
          <w:rFonts w:ascii="Times New Roman" w:cs="Times New Roman" w:eastAsia="Times New Roman" w:hAnsi="Times New Roman"/>
          <w:sz w:val="18"/>
          <w:szCs w:val="18"/>
          <w:color w:val="auto"/>
        </w:rPr>
        <w:t xml:space="preserve">), in each case, as set forth in the marked copy of the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made a part hereof for all purposes.</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color w:val="auto"/>
        </w:rPr>
        <w:t>The amendments in this Section 1 shall be effective only in this specific instance and for the specific purposes set forth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not allow for any other or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34" w:name="page335"/>
    <w:bookmarkEnd w:id="334"/>
    <w:p>
      <w:pPr>
        <w:jc w:val="both"/>
        <w:spacing w:after="0" w:line="282" w:lineRule="auto"/>
        <w:rPr>
          <w:sz w:val="20"/>
          <w:szCs w:val="20"/>
          <w:color w:val="auto"/>
        </w:rPr>
      </w:pPr>
      <w:r>
        <w:rPr>
          <w:rFonts w:ascii="Times New Roman" w:cs="Times New Roman" w:eastAsia="Times New Roman" w:hAnsi="Times New Roman"/>
          <w:sz w:val="18"/>
          <w:szCs w:val="18"/>
          <w:color w:val="auto"/>
        </w:rPr>
        <w:t>departure from the terms and conditions of the Credit Agreement or any other Loan Document, which terms and conditions shall continue in full force and effect.</w:t>
      </w:r>
    </w:p>
    <w:p>
      <w:pPr>
        <w:spacing w:after="0" w:line="158"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u w:val="single" w:color="auto"/>
          <w:color w:val="auto"/>
        </w:rPr>
        <w:t>Representations and Warranties</w:t>
      </w:r>
      <w:r>
        <w:rPr>
          <w:rFonts w:ascii="Times New Roman" w:cs="Times New Roman" w:eastAsia="Times New Roman" w:hAnsi="Times New Roman"/>
          <w:sz w:val="17"/>
          <w:szCs w:val="17"/>
          <w:color w:val="auto"/>
        </w:rPr>
        <w:t>. The Borrower hereby represents and warrants to the Lenders and the Agent as follows:</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b w:val="1"/>
          <w:bCs w:val="1"/>
          <w:u w:val="single" w:color="auto"/>
          <w:color w:val="auto"/>
        </w:rPr>
        <w:t>No Default</w:t>
      </w:r>
      <w:r>
        <w:rPr>
          <w:rFonts w:ascii="Times New Roman" w:cs="Times New Roman" w:eastAsia="Times New Roman" w:hAnsi="Times New Roman"/>
          <w:sz w:val="18"/>
          <w:szCs w:val="18"/>
          <w:color w:val="auto"/>
        </w:rPr>
        <w:t>. At and as of the date of this Amendment and after giving effect to this Amendment, (a) no Default has occurred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(to the knowledge of any Responsible Officer of the Borrower) and (b) no Event of Default has occurred and is continuing.</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b w:val="1"/>
          <w:bCs w:val="1"/>
          <w:u w:val="single" w:color="auto"/>
          <w:color w:val="auto"/>
        </w:rPr>
        <w:t>Representations and Warranties True and Correct</w:t>
      </w:r>
      <w:r>
        <w:rPr>
          <w:rFonts w:ascii="Times New Roman" w:cs="Times New Roman" w:eastAsia="Times New Roman" w:hAnsi="Times New Roman"/>
          <w:sz w:val="18"/>
          <w:szCs w:val="18"/>
          <w:color w:val="auto"/>
        </w:rPr>
        <w:t>. At and as of the date of this Amendment and after giving effect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each of the representations and warranties (other than the first sentence of Section 5.22 of the Credit Agreement (as amended hereby)) made by any Credit Party in or pursuant to the Loan Documents (as amended hereby)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88"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b w:val="1"/>
          <w:bCs w:val="1"/>
          <w:u w:val="single" w:color="auto"/>
          <w:color w:val="auto"/>
        </w:rPr>
        <w:t>Due Authorization</w:t>
      </w:r>
      <w:r>
        <w:rPr>
          <w:rFonts w:ascii="Times New Roman" w:cs="Times New Roman" w:eastAsia="Times New Roman" w:hAnsi="Times New Roman"/>
          <w:sz w:val="18"/>
          <w:szCs w:val="18"/>
          <w:color w:val="auto"/>
        </w:rPr>
        <w:t>. The execution, delivery and performance of this Amendment and the Credit Agreement (as amended hereby)</w:t>
      </w:r>
    </w:p>
    <w:p>
      <w:pPr>
        <w:spacing w:after="0" w:line="31" w:lineRule="exact"/>
        <w:rPr>
          <w:sz w:val="20"/>
          <w:szCs w:val="20"/>
          <w:color w:val="auto"/>
        </w:rPr>
      </w:pPr>
    </w:p>
    <w:p>
      <w:pPr>
        <w:ind w:firstLine="8"/>
        <w:spacing w:after="0" w:line="260" w:lineRule="auto"/>
        <w:tabs>
          <w:tab w:leader="none" w:pos="221"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within the Borrower's corporate power, (ii) have been duly authorized by all necessary action, and (iii) are not in contravention of any Requirement of Law applicable to the Borrower or the terms of the Borrower's organizational documents.</w:t>
      </w:r>
    </w:p>
    <w:p>
      <w:pPr>
        <w:spacing w:after="0" w:line="17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2.04 </w:t>
      </w:r>
      <w:r>
        <w:rPr>
          <w:rFonts w:ascii="Times New Roman" w:cs="Times New Roman" w:eastAsia="Times New Roman" w:hAnsi="Times New Roman"/>
          <w:sz w:val="18"/>
          <w:szCs w:val="18"/>
          <w:b w:val="1"/>
          <w:bCs w:val="1"/>
          <w:u w:val="single" w:color="auto"/>
          <w:color w:val="auto"/>
        </w:rPr>
        <w:t>Enforceability of Agreement and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has been duly executed and delivered by the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officers. This Amendment and the Credit Agreement (as amended hereby) constitute the valid and binding obligations of the Borrower, enforceable against the Borrower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2.05 </w:t>
      </w:r>
      <w:r>
        <w:rPr>
          <w:rFonts w:ascii="Times New Roman" w:cs="Times New Roman" w:eastAsia="Times New Roman" w:hAnsi="Times New Roman"/>
          <w:sz w:val="18"/>
          <w:szCs w:val="18"/>
          <w:b w:val="1"/>
          <w:bCs w:val="1"/>
          <w:u w:val="single" w:color="auto"/>
          <w:color w:val="auto"/>
        </w:rPr>
        <w:t>Consents, Approvals and Filings,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authorization, consent, approval, license, qualification or formal exemption from,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filing, declaration or registration with, any court, governmental agency or regulatory authority or any securities exchange or any other Person (whether or not governmental) is required in connection with (i) the execution and delivery of this Amendment and (ii) performance by the Borrower of this Amendment and the Credit Agreement (as amended hereby), in each case, except for such</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color w:val="auto"/>
        </w:rPr>
        <w:t>matters which have been previously obtained.</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This Amendment shall become effective and be deemed effective as of the date when, and only when,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conditions have been satisfied as determined in the Agent's and the Lenders' reasonable discretion (the date of such effectiveness being herein called the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The Agent shall have received this Amendment, duly executed by the Agent, the Borrower and the Lenders.</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3.02 Closing Certificate</w:t>
      </w:r>
      <w:r>
        <w:rPr>
          <w:rFonts w:ascii="Times New Roman" w:cs="Times New Roman" w:eastAsia="Times New Roman" w:hAnsi="Times New Roman"/>
          <w:sz w:val="18"/>
          <w:szCs w:val="18"/>
          <w:color w:val="auto"/>
        </w:rPr>
        <w:t>. The Agent shall have received a certificate of a Responsible Officer of the Borrower dated the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stating that to the best of his or her respective knowledge after due inquiry, the conditions set forth in Section 3.03 hereof have been satisfied.</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3.03 Representations and Warranties; No Event of Default</w:t>
      </w:r>
      <w:r>
        <w:rPr>
          <w:rFonts w:ascii="Times New Roman" w:cs="Times New Roman" w:eastAsia="Times New Roman" w:hAnsi="Times New Roman"/>
          <w:sz w:val="18"/>
          <w:szCs w:val="18"/>
          <w:color w:val="auto"/>
        </w:rPr>
        <w:t>. At and as of the date of this Amendment, both before and after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to this Amendment, each of the representations and warranties (other than the first sentence of Section 5.22 of the Credit Agreement (as amended hereby)) made by any Credit Party herein or in or pursuant to any other Loan Document (as amended hereby)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At and as of the date of this Amendment and after giving effect to this Amendment, no Default or Event of Default shall have occurred and be continuing.</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color w:val="auto"/>
        </w:rPr>
        <w:t>. Each Credit Party hereby acknowledges and agrees that: (i) neither it nor any of its Subsidiaries has any claim or cause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against the Agent or any Lender (or any of their respective Affiliates, officers, directors, employees, attorneys, consultants or agents in their capacities for the Agent or any Lender) in connection with the Loan Documents and (ii) the Agent and each Lender has heretofore properly performed and satisfied in a timely manner all of its obligations to the Credit Parties and their Subsidiaries under the Credit Agreement and the other Loan Documents that are required to have been performed on or prior to the date hereof. Notwithstanding the foregoing, the Agent and the Lenders wish (and the Credit Parties agree) to eliminate any possibility that any past conditions, acts, omissions, events or circumstances would impair or otherwise adversely affect any of the Agent's and the Lenders' rights, interests, security and/or remedies under the Credit Agreement and the other Loan Documents. Accordingly, for and in consideration of the agreements contained in this Amendment and other good and valuable consideration, each Credit Party (for itself and its Subsidiaries and the successors, assigns, heirs and representatives of each of the foregoing) (collectively, the "</w:t>
      </w:r>
      <w:r>
        <w:rPr>
          <w:rFonts w:ascii="Times New Roman" w:cs="Times New Roman" w:eastAsia="Times New Roman" w:hAnsi="Times New Roman"/>
          <w:sz w:val="18"/>
          <w:szCs w:val="18"/>
          <w:b w:val="1"/>
          <w:bCs w:val="1"/>
          <w:color w:val="auto"/>
        </w:rPr>
        <w:t>Releasors</w:t>
      </w:r>
      <w:r>
        <w:rPr>
          <w:rFonts w:ascii="Times New Roman" w:cs="Times New Roman" w:eastAsia="Times New Roman" w:hAnsi="Times New Roman"/>
          <w:sz w:val="18"/>
          <w:szCs w:val="18"/>
          <w:color w:val="auto"/>
        </w:rPr>
        <w:t>") does hereby fully, finally, unconditionally and irrevocably release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6" w:name="page337"/>
    <w:bookmarkEnd w:id="336"/>
    <w:p>
      <w:pPr>
        <w:jc w:val="both"/>
        <w:spacing w:after="0" w:line="254" w:lineRule="auto"/>
        <w:rPr>
          <w:sz w:val="20"/>
          <w:szCs w:val="20"/>
          <w:color w:val="auto"/>
        </w:rPr>
      </w:pPr>
      <w:r>
        <w:rPr>
          <w:rFonts w:ascii="Times New Roman" w:cs="Times New Roman" w:eastAsia="Times New Roman" w:hAnsi="Times New Roman"/>
          <w:sz w:val="18"/>
          <w:szCs w:val="18"/>
          <w:color w:val="auto"/>
        </w:rPr>
        <w:t>and forever discharge the Agent, each Lender and each of their respective Affiliates, officers, directors, employees, attorneys, consultants and agents in their capacities as the Agent or any Lender (collectively,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from any and all debts, claims,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on or prior to the Amendment Effective Date arising out of, connected with or related in any way to this Amendment, the Credit Agreement or any other Loan Document, or any act, event or transaction related or attendant thereto, or the agreements of the Agent or any Lender contained therein, or the possession, use, operation or control of any of the assets of any Credit Party, or the making of any Loans or other advances, or the management of such Loans or advances or the Collateral prior to the Amendment Effective Date.</w:t>
      </w:r>
    </w:p>
    <w:p>
      <w:pPr>
        <w:spacing w:after="0" w:line="184"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b w:val="1"/>
          <w:bCs w:val="1"/>
          <w:u w:val="single" w:color="auto"/>
          <w:color w:val="auto"/>
        </w:rPr>
        <w:t>Continuing Effect; No Waiver</w:t>
      </w:r>
      <w:r>
        <w:rPr>
          <w:rFonts w:ascii="Times New Roman" w:cs="Times New Roman" w:eastAsia="Times New Roman" w:hAnsi="Times New Roman"/>
          <w:sz w:val="18"/>
          <w:szCs w:val="18"/>
          <w:color w:val="auto"/>
        </w:rPr>
        <w:t>. Except as otherwise expressly provided herein, the Credit Agreement and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are, and shall continue to be, in full force and effect and are hereby ratified and confirmed in all respects, except that on and after the Amendment Effective Date, (i) all references in the Credit Agreement to "this Agreement", "hereto", "hereof", "hereunder" or words of like import referring to the Credit Agreement shall mean the Credit Agreement as modified by this Amendment, and (ii) all references in the other Loan Documents to the "Credit Agreement", "thereto", "thereof", "thereunder" or words of like import referring to the Credit Agreement shall mean the Credit Agreement as modified by this Amendment. To the extent that the Credit Agreement or any other Loan Document purports to pledge to the Agent, or to grant to the Agent, a security interest or lien, such pledge or grant is hereby ratified and confirmed in all respects. This Amendment does not and shall not affect any of the obligations of the Credit Parties, other than as expressly provided herein, including, without limitation, the Credit Parties' obligations to repay the Loans in accordance with the terms of Credit Agreement, or the obligations of the Credit Parties under any Loan Document to which they are a party, all of which obligations shall remain in full force and effect, and nothing herein contained shall be construed as a substitution or novation of the obligations outstanding under the Credit Agreement or instruments securing the same. Nothing expressed or implied in this Amendment shall be construed as a release or other discharge of any Credit Party under the Credit Agreement, as amended hereby, or the other Loan Documents from any of its obligations and liabilities as a "Borrower" or "Credit Party" thereunder. Except as expressly provided herein, the execution, delivery and effectiveness of this Amendment shall not operate as a waiver of any right, power or remedy of the Agent and the Lenders under the Credit Agreement or any other Loan Document, nor constitute a waiver of any provision of the Credit Agreement or any other Loan Document.</w:t>
      </w:r>
    </w:p>
    <w:p>
      <w:pPr>
        <w:spacing w:after="0" w:line="18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5.02</w:t>
      </w:r>
      <w:r>
        <w:rPr>
          <w:sz w:val="20"/>
          <w:szCs w:val="20"/>
          <w:color w:val="auto"/>
        </w:rPr>
        <w:tab/>
      </w:r>
      <w:r>
        <w:rPr>
          <w:rFonts w:ascii="Times New Roman" w:cs="Times New Roman" w:eastAsia="Times New Roman" w:hAnsi="Times New Roman"/>
          <w:sz w:val="17"/>
          <w:szCs w:val="17"/>
          <w:b w:val="1"/>
          <w:bCs w:val="1"/>
          <w:u w:val="single" w:color="auto"/>
          <w:color w:val="auto"/>
        </w:rPr>
        <w:t>Loan Document</w:t>
      </w:r>
      <w:r>
        <w:rPr>
          <w:rFonts w:ascii="Times New Roman" w:cs="Times New Roman" w:eastAsia="Times New Roman" w:hAnsi="Times New Roman"/>
          <w:sz w:val="17"/>
          <w:szCs w:val="17"/>
          <w:color w:val="auto"/>
        </w:rPr>
        <w:t>. This Amendment is a Loan Document under and as defined in the Credit Agreement.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by different parties on separate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which, when executed and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7" w:name="page338"/>
    <w:bookmarkEnd w:id="337"/>
    <w:p>
      <w:pPr>
        <w:jc w:val="both"/>
        <w:spacing w:after="0" w:line="254" w:lineRule="auto"/>
        <w:rPr>
          <w:sz w:val="20"/>
          <w:szCs w:val="20"/>
          <w:color w:val="auto"/>
        </w:rPr>
      </w:pPr>
      <w:r>
        <w:rPr>
          <w:rFonts w:ascii="Times New Roman" w:cs="Times New Roman" w:eastAsia="Times New Roman" w:hAnsi="Times New Roman"/>
          <w:sz w:val="18"/>
          <w:szCs w:val="18"/>
          <w:color w:val="auto"/>
        </w:rPr>
        <w:t>delivered, shall be deemed to be an original, and all of which, when taken together, shall constitute but one and the same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184"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5.04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Headings of the various subdivisions hereof are for convenience of reference only and shall in no way modify or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terms or provisions hereof.</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5.05 </w:t>
      </w:r>
      <w:r>
        <w:rPr>
          <w:rFonts w:ascii="Times New Roman" w:cs="Times New Roman" w:eastAsia="Times New Roman" w:hAnsi="Times New Roman"/>
          <w:sz w:val="18"/>
          <w:szCs w:val="18"/>
          <w:b w:val="1"/>
          <w:bCs w:val="1"/>
          <w:u w:val="single" w:color="auto"/>
          <w:color w:val="auto"/>
        </w:rPr>
        <w:t>Binding Effect; Assignment</w:t>
      </w:r>
      <w:r>
        <w:rPr>
          <w:rFonts w:ascii="Times New Roman" w:cs="Times New Roman" w:eastAsia="Times New Roman" w:hAnsi="Times New Roman"/>
          <w:sz w:val="18"/>
          <w:szCs w:val="18"/>
          <w:color w:val="auto"/>
        </w:rPr>
        <w:t>. This Amendment shall be binding upon and inure to the benefit of the Credit Parties, the Agent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Lenders and their respective successors and assigns in accordance with the terms of the Credit Agreement.</w:t>
      </w:r>
    </w:p>
    <w:p>
      <w:pPr>
        <w:spacing w:after="0" w:line="155"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5.06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Any provision of this Amendment that is prohibited or unenforceable in any jurisdiction shall, as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be ineffective to the extent of such prohibition or unenforceability without invalidating the remaining portions hereof or affecting the validity or enforceability of such provision in any other jurisdiction.</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5.07 </w:t>
      </w:r>
      <w:r>
        <w:rPr>
          <w:rFonts w:ascii="Times New Roman" w:cs="Times New Roman" w:eastAsia="Times New Roman" w:hAnsi="Times New Roman"/>
          <w:sz w:val="18"/>
          <w:szCs w:val="18"/>
          <w:b w:val="1"/>
          <w:bCs w:val="1"/>
          <w:u w:val="single" w:color="auto"/>
          <w:color w:val="auto"/>
        </w:rPr>
        <w:t>Costs and Expenses</w:t>
      </w:r>
      <w:r>
        <w:rPr>
          <w:rFonts w:ascii="Times New Roman" w:cs="Times New Roman" w:eastAsia="Times New Roman" w:hAnsi="Times New Roman"/>
          <w:sz w:val="18"/>
          <w:szCs w:val="18"/>
          <w:color w:val="auto"/>
        </w:rPr>
        <w:t>. The Borrower agrees to pay on demand all reasonable and documented costs and expenses of the Agent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preparation, execution and delivery of this Amendment.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5.08 </w:t>
      </w:r>
      <w:r>
        <w:rPr>
          <w:rFonts w:ascii="Times New Roman" w:cs="Times New Roman" w:eastAsia="Times New Roman" w:hAnsi="Times New Roman"/>
          <w:sz w:val="18"/>
          <w:szCs w:val="18"/>
          <w:b w:val="1"/>
          <w:bCs w:val="1"/>
          <w:u w:val="single" w:color="auto"/>
          <w:color w:val="auto"/>
        </w:rPr>
        <w:t>Consent to Jurisdiction; Governing Law; Waiver of Jury Trial</w:t>
      </w:r>
      <w:r>
        <w:rPr>
          <w:rFonts w:ascii="Times New Roman" w:cs="Times New Roman" w:eastAsia="Times New Roman" w:hAnsi="Times New Roman"/>
          <w:sz w:val="18"/>
          <w:szCs w:val="18"/>
          <w:color w:val="auto"/>
        </w:rPr>
        <w:t>. Sections 12.2, 12.3 and 12.13 of the Credit Agreement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8" w:name="page339"/>
    <w:bookmarkEnd w:id="338"/>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by their respective officers thereunto duly authorized,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RENT THE RUNWAY, INC., </w:t>
      </w:r>
      <w:r>
        <w:rPr>
          <w:rFonts w:ascii="Times New Roman" w:cs="Times New Roman" w:eastAsia="Times New Roman" w:hAnsi="Times New Roman"/>
          <w:sz w:val="18"/>
          <w:szCs w:val="18"/>
          <w:color w:val="auto"/>
        </w:rPr>
        <w:t>as Borrower</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Fourteenth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9" w:name="page340"/>
    <w:bookmarkEnd w:id="339"/>
    <w:p>
      <w:pPr>
        <w:jc w:val="right"/>
        <w:ind w:right="1199"/>
        <w:spacing w:after="0"/>
        <w:rPr>
          <w:sz w:val="20"/>
          <w:szCs w:val="20"/>
          <w:color w:val="auto"/>
        </w:rPr>
      </w:pPr>
      <w:r>
        <w:rPr>
          <w:rFonts w:ascii="Times New Roman" w:cs="Times New Roman" w:eastAsia="Times New Roman" w:hAnsi="Times New Roman"/>
          <w:sz w:val="18"/>
          <w:szCs w:val="18"/>
          <w:b w:val="1"/>
          <w:bCs w:val="1"/>
          <w:color w:val="auto"/>
        </w:rPr>
        <w:t>CHS (US) MANAGEMENT LLC</w:t>
      </w:r>
      <w:r>
        <w:rPr>
          <w:rFonts w:ascii="Times New Roman" w:cs="Times New Roman" w:eastAsia="Times New Roman" w:hAnsi="Times New Roman"/>
          <w:sz w:val="18"/>
          <w:szCs w:val="18"/>
          <w:color w:val="auto"/>
        </w:rPr>
        <w:t>, as Agent</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Fourteenth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369570</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340" w:name="page341"/>
    <w:bookmarkEnd w:id="340"/>
    <w:p>
      <w:pPr>
        <w:ind w:left="4520"/>
        <w:spacing w:after="0"/>
        <w:rPr>
          <w:sz w:val="20"/>
          <w:szCs w:val="20"/>
          <w:color w:val="auto"/>
        </w:rPr>
      </w:pPr>
      <w:r>
        <w:rPr>
          <w:rFonts w:ascii="Times New Roman" w:cs="Times New Roman" w:eastAsia="Times New Roman" w:hAnsi="Times New Roman"/>
          <w:sz w:val="18"/>
          <w:szCs w:val="18"/>
          <w:b w:val="1"/>
          <w:bCs w:val="1"/>
          <w:color w:val="auto"/>
        </w:rPr>
        <w:t>CHS US INVESTMENTS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CHS GP LP, as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CHS UGP LLC, as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Fourteenth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369570</wp:posOffset>
            </wp:positionV>
            <wp:extent cx="71323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Conformed through </w:t>
      </w:r>
      <w:r>
        <w:rPr>
          <w:rFonts w:ascii="Times New Roman" w:cs="Times New Roman" w:eastAsia="Times New Roman" w:hAnsi="Times New Roman"/>
          <w:sz w:val="18"/>
          <w:szCs w:val="18"/>
          <w:b w:val="1"/>
          <w:bCs w:val="1"/>
          <w:color w:val="FF0000"/>
          <w:strike w:val="1"/>
        </w:rPr>
        <w:t>Thirteenth</w:t>
      </w:r>
      <w:r>
        <w:rPr>
          <w:rFonts w:ascii="Times New Roman" w:cs="Times New Roman" w:eastAsia="Times New Roman" w:hAnsi="Times New Roman"/>
          <w:sz w:val="18"/>
          <w:szCs w:val="18"/>
          <w:b w:val="1"/>
          <w:bCs w:val="1"/>
          <w:u w:val="single" w:color="auto"/>
          <w:color w:val="0000FF"/>
        </w:rPr>
        <w:t>Fourteenth</w:t>
      </w:r>
      <w:r>
        <w:rPr>
          <w:rFonts w:ascii="Times New Roman" w:cs="Times New Roman" w:eastAsia="Times New Roman" w:hAnsi="Times New Roman"/>
          <w:sz w:val="18"/>
          <w:szCs w:val="18"/>
          <w:b w:val="1"/>
          <w:bCs w:val="1"/>
          <w:color w:val="auto"/>
        </w:rPr>
        <w:t xml:space="preserve"> Amendment</w:t>
      </w: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CREDIT AGREEMENT AND THE RIGHTS AND OBLIGATIONS EVIDENCED HEREBY ARE SUBORDINATE IN THE MANNER AND TO THE EXTENT SET FORTH IN THE SPECIFIED SUBORDINATION AGREEMENT (AS HEREINAFTER DEFINED) TO THE OBLIGATIONS OWED BY BORROWER UNDER THE SENIOR CREDIT AGREEMENT (AS HEREINAFTER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JULY 23,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LENDERS FROM TIME TO TIME PARTY HERETO,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LENDERS,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DOUBLE HELIX PTE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42" w:name="page343"/>
    <w:bookmarkEnd w:id="342"/>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56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Defined Terms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Terms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Rounding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Times of Day; Rates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Divisions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Loan Documents and Specified Subordination Agreement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 of Interest and Maturity; Evidence of Indebtedness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Requests for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Disbursement of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Payments; Default Interest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Prepayments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Mandatory Repayment of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2.9</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2.10</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 of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Incremental Facilities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3.</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[INTENTIONALLY OMITTED].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4.</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CONDITIONS.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of Term Loan A</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all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Subsequent to Effectiveness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Authority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Authorization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 Title; Leases; Assets; No Liens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5.5</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Defaults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5.6</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Enforceability of Agreement and Loan Documents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5.7</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5.8</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Non-contravention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5.9</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5.10</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Consents, Approvals and Filings, Etc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Agreements Affecting Financial Condition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Investment Company or Margin Stock</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ERISA</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5.14</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Affecting Business or Properties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5.15</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and Safety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5.16</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5.17</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5.18</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5.19</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5.20</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Structure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Accuracy of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5.22</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Solvency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5.23</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5.24</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5.25</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Documents and Corporate Existence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5.26</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Anti-Money Laundering/Anti-Terrorism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5.27</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EEA Financial Institution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5.28</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5.29</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Inbound Licenses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5.30</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Documents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6.</w:t>
            </w:r>
          </w:p>
        </w:tc>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AFFIRMATIVE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Taxes and Other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Business and Maintenance of Existence; Compliance with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6.6</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Inspection of Property; Books and Records, Discussions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Hazardous Material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6.9</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Observation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6.10</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and Other Approvals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ERISA; ERISA 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6.12</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Defense of Collateral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6.13</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Future Subsidiaries; Additional Collateral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6.14</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6.15</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6.16</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6.17</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Inbound Licensors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6.18</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Anti-Terrorism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6.19</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 and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6.20</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Refinancing Offer Right.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7.</w:t>
            </w:r>
          </w:p>
        </w:tc>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NEGATIVE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Debt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Liens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7.3</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Mergers, Dissolution or Sale of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7.6</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Investments, Loans and Advances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7.7</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7.8</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Sale-Leaseback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7.9</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 on Other Restrictions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7.10</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Prepayment of Subordinated Debt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of Senior Loan Documents and Subordinated Debt Documents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7.12</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Modification of Certain Agreements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7.13</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Fiscal Year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Liquidity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7.15</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7.16</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Expenditures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DEFAULTS.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Exercise of Remedies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Cumulative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by the Borrower of Certain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8.5</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Defaults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8.6</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 Off</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RECOVERIES AND COLLECTIONS.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Procedure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Payments.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Ratable Sharing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Treatment of a Defaulting Lender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YIELD PROTECTION; INCREASED COSTS; MARGIN ADJUSTMENTS; 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Adequacy and Other Increased Costs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Lenders to Fund through Branches and Affiliates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Delay in Requests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the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Agency for Perfection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Scope of the Agent’s Duties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11.5</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Decisions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11.6</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of the Agent to Enforce This Agreement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11.7</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the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11.8</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Knowledge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11.9</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Agent’s Authorization; Action by Lenders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11.10</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Enforcement Actions by the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Agent in its Individual Capacity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Specified Subordination Agreement and Subordination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Reliance on the Agent’s Customer Identification Program</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 to Jurisdiction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Closing Costs and Other Costs; Indemnification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12.5</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12.6</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12.7</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 Participations; Assignments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12.8</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12.9</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and Waiver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12.10</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12.11  Substitution or Removal of Lenders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12.12</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 Taxes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12.13</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12.14</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 Notice; Beneficial Ownership Certification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12.15</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Complete Agreement; Conflicts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12.16</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12.17</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 and Headings; Section References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12.18</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 of Certain Provisions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12.19</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Independence of Covenants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12.20</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Transmissions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12.21</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Advertisements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12.22</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Reliance on and Survival of Provisions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12.23</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12.24</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Acknowledgment and Consent to Bail-In of EEA Financial Institutions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12.25</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Specified Subordination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12.26</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Characterization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3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17145</wp:posOffset>
            </wp:positionV>
            <wp:extent cx="7132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900" w:top="540" w:right="3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20"/>
          <w:szCs w:val="20"/>
          <w:u w:val="single" w:color="auto"/>
          <w:color w:val="auto"/>
        </w:rPr>
        <w:t>EXHIBITS</w:t>
      </w:r>
    </w:p>
    <w:p>
      <w:pPr>
        <w:spacing w:after="0" w:line="234" w:lineRule="exact"/>
        <w:rPr>
          <w:sz w:val="20"/>
          <w:szCs w:val="20"/>
          <w:color w:val="auto"/>
        </w:rPr>
      </w:pPr>
    </w:p>
    <w:p>
      <w:pPr>
        <w:ind w:left="800" w:hanging="792"/>
        <w:spacing w:after="0"/>
        <w:tabs>
          <w:tab w:leader="none" w:pos="8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SECURITY AGREEMENT</w:t>
      </w:r>
    </w:p>
    <w:p>
      <w:pPr>
        <w:spacing w:after="0" w:line="27" w:lineRule="exact"/>
        <w:rPr>
          <w:sz w:val="20"/>
          <w:szCs w:val="20"/>
          <w:color w:val="auto"/>
        </w:rPr>
      </w:pPr>
    </w:p>
    <w:p>
      <w:pPr>
        <w:ind w:left="800" w:hanging="792"/>
        <w:spacing w:after="0"/>
        <w:tabs>
          <w:tab w:leader="none" w:pos="8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AGREEMENT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7"/>
          <w:szCs w:val="17"/>
          <w:color w:val="auto"/>
        </w:rPr>
        <w:t>FORM OF GUARANTY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FORM OF REQUEST FOR LOAN</w:t>
      </w:r>
    </w:p>
    <w:p>
      <w:pPr>
        <w:spacing w:after="0" w:line="9" w:lineRule="exact"/>
        <w:rPr>
          <w:sz w:val="20"/>
          <w:szCs w:val="20"/>
          <w:color w:val="auto"/>
        </w:rPr>
      </w:pPr>
    </w:p>
    <w:p>
      <w:pPr>
        <w:ind w:left="800" w:hanging="792"/>
        <w:spacing w:after="0"/>
        <w:tabs>
          <w:tab w:leader="none" w:pos="8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U.S. TAX CERTIFICATES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FFORM OF NOTE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ANNEXES</w:t>
      </w:r>
    </w:p>
    <w:p>
      <w:pPr>
        <w:spacing w:after="0" w:line="234" w:lineRule="exact"/>
        <w:rPr>
          <w:sz w:val="20"/>
          <w:szCs w:val="20"/>
          <w:color w:val="auto"/>
        </w:rPr>
      </w:pPr>
    </w:p>
    <w:p>
      <w:pPr>
        <w:ind w:left="800" w:hanging="792"/>
        <w:spacing w:after="0"/>
        <w:tabs>
          <w:tab w:leader="none" w:pos="8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Notices</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Office</w:t>
            </w:r>
          </w:p>
        </w:tc>
      </w:tr>
      <w:tr>
        <w:trPr>
          <w:trHeight w:val="418"/>
        </w:trPr>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SCHEDULES</w:t>
            </w:r>
          </w:p>
        </w:tc>
        <w:tc>
          <w:tcPr>
            <w:tcW w:w="2120" w:type="dxa"/>
            <w:vAlign w:val="bottom"/>
          </w:tcPr>
          <w:p>
            <w:pPr>
              <w:spacing w:after="0"/>
              <w:rPr>
                <w:sz w:val="24"/>
                <w:szCs w:val="24"/>
                <w:color w:val="auto"/>
              </w:rPr>
            </w:pPr>
          </w:p>
        </w:tc>
      </w:tr>
      <w:tr>
        <w:trPr>
          <w:trHeight w:val="44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Compliance Information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4.1(b)</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Qualified Jurisdictions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4.1(c)(ii)</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UCC Filing Jurisdictions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5.3(b)</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Required Consents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5.15</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Environmental and Safety Matters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5.17</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Employment Agreements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Capital Structure</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5.23</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Employment Matters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5.29</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Licenses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Existing Debt</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Affiliate Transactions</w:t>
            </w:r>
          </w:p>
        </w:tc>
      </w:tr>
    </w:tbl>
    <w:p>
      <w:pPr>
        <w:spacing w:after="0" w:line="30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35" w:right="1440" w:bottom="1440" w:gutter="0" w:footer="0" w:header="0"/>
        </w:sectPr>
      </w:pPr>
    </w:p>
    <w:bookmarkStart w:id="347" w:name="page348"/>
    <w:bookmarkEnd w:id="347"/>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Credit Agreement is made as of July 23, 2018, by and among the lenders from time to time party hereto (individually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any and all such lenders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Double Helix Pte Ltd, as the administrative agent for the Lenders (in such capacity, together with its successors and assigns in such capacity,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Rent the Runway,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has requested that the Lenders extend credit to the Borrower consisting of (a) a term loan in the original principal amount of $100,000,000 on the Effective Date (as defined below), (b) delayed draw term loans in the aggregate principal amount not to exceed $100,000,000, and (c) a Term Loan C in the original principal amount of $30,000,000, in each case, on the terms and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Lenders are prepared to extend such credit as aforesaid, but only on the terms and conditions set forth in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covenants contained herein, the Borrower, the Lenders, and the Agent agree as follows:</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DEFINITIONS.</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the purposes of this Agreement the following terms will have the following meanings: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shall mean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Control Agreement(s)</w:t>
      </w:r>
      <w:r>
        <w:rPr>
          <w:rFonts w:ascii="Times New Roman" w:cs="Times New Roman" w:eastAsia="Times New Roman" w:hAnsi="Times New Roman"/>
          <w:sz w:val="18"/>
          <w:szCs w:val="18"/>
          <w:color w:val="auto"/>
        </w:rPr>
        <w:t>” shall mean, with respect to any deposit account, any securities account, commodity account, securities entitlement or commodity contract, an agreement, in form and substance reasonably satisfactory to the Agent, among the Agent, the Senior Agent, the financial institution or other Person at which such account is maintained or with which such entitlement or contract is carried and the Borrower or Guarantor maintaining such account, effective to grant “control” (as defined under the applicable UCC) over such account to the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shall have the meaning set forth in Section 12.11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 Notwithstanding anything herein to the contrary, in no event shall any Agent or any Lender be considered an "Affiliate" of any Credit Party.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have the meaning set forth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48" w:name="page349"/>
    <w:bookmarkEnd w:id="348"/>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Account</w:t>
      </w:r>
      <w:r>
        <w:rPr>
          <w:rFonts w:ascii="Times New Roman" w:cs="Times New Roman" w:eastAsia="Times New Roman" w:hAnsi="Times New Roman"/>
          <w:sz w:val="18"/>
          <w:szCs w:val="18"/>
          <w:color w:val="auto"/>
        </w:rPr>
        <w:t>” shall mean an account at a bank designated by the Agent from time to time as the account into which the Credit Parties shall make all payments to the Agent for the benefit of the Agent and the Lenders under this Agreement and the other Loan Documents.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Amounts Due</w:t>
      </w:r>
      <w:r>
        <w:rPr>
          <w:rFonts w:ascii="Times New Roman" w:cs="Times New Roman" w:eastAsia="Times New Roman" w:hAnsi="Times New Roman"/>
          <w:sz w:val="18"/>
          <w:szCs w:val="18"/>
          <w:color w:val="auto"/>
        </w:rPr>
        <w:t>” shall have the meaning set forth in Section 9.3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Credit Agreement and any annexes, exhibits and schedules attached hereto, as it may be amended,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 in Yield</w:t>
      </w:r>
      <w:r>
        <w:rPr>
          <w:rFonts w:ascii="Times New Roman" w:cs="Times New Roman" w:eastAsia="Times New Roman" w:hAnsi="Times New Roman"/>
          <w:sz w:val="18"/>
          <w:szCs w:val="18"/>
          <w:color w:val="auto"/>
        </w:rPr>
        <w:t>” shall have the meaning set forth in Section 2.11(b)(v)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shall mean any laws relating to terrorism, trade sanctions programs and embargoes, import/export licensing, money laundering, corruption or bribery, and any regulation, order, or directive promulgated, issued or enforced pursuant to such laws, all as amended, supplemented or replaced from time to time.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means (a) for any period ending on or prior to October 31, 2023, 12%, (b) on and after November 1, 2023 through April 30, 2025, 0%, (c) on and after May 1, 2025 through January 31, 2026, 14%, and (d) on and after February 1, 2026, 15%.</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PIK Rate</w:t>
      </w:r>
      <w:r>
        <w:rPr>
          <w:rFonts w:ascii="Times New Roman" w:cs="Times New Roman" w:eastAsia="Times New Roman" w:hAnsi="Times New Roman"/>
          <w:sz w:val="18"/>
          <w:szCs w:val="18"/>
          <w:color w:val="auto"/>
        </w:rPr>
        <w:t>” means (a) for any period ending on or prior to January 31, 2023, 5%, (b) on and after February 1, 2023 through October 31, 2023, 10%, (c) on and after November 1, 2023 through April 30, 2025, 0%, (c) on and after May 1, 2025 through January 31, 2026, 9% and (d) on and after February 1, 2026, 10%.</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Application Event</w:t>
      </w:r>
      <w:r>
        <w:rPr>
          <w:rFonts w:ascii="Times New Roman" w:cs="Times New Roman" w:eastAsia="Times New Roman" w:hAnsi="Times New Roman"/>
          <w:sz w:val="18"/>
          <w:szCs w:val="18"/>
          <w:color w:val="auto"/>
        </w:rPr>
        <w:t>” shall mean the (a) occurrence of an Event of Default and (b) the election by the Agent or the Majority Lenders during the continuance of such Event of Default to require that payments and proceeds of Collateral be applied pursuant to Section 9.2(a).</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means the sale, transfer, license, lease or other disposition (including any sale and leaseback transaction), whether in one transaction or in a series of transactions, of any property (including, without limitation, any Equity Interests, contracts, merchant accounts (or any rights thereto)) by any Person (or the granting of any option or other right to do any of the foregoing), including any sale, assignment, transfer or other disposal, with or without recourse, of any notes or accounts receivable or any rights and claims associated therewith. For purposes of clarification, "Asset Sale" shall include any disposition of property through a "plan of division" under the Delaware Limited Liability Company Act or any comparable transaction under any similar law.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shall mean an Assignment Agreement substantially in the form of Exhibit B 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Signer</w:t>
      </w:r>
      <w:r>
        <w:rPr>
          <w:rFonts w:ascii="Times New Roman" w:cs="Times New Roman" w:eastAsia="Times New Roman" w:hAnsi="Times New Roman"/>
          <w:sz w:val="18"/>
          <w:szCs w:val="18"/>
          <w:color w:val="auto"/>
        </w:rPr>
        <w:t>” shall mean each person who has been authorized by the Borrower to execute and deliver any Requests for Loans hereunder pursuant to a written authorization delivered to the Agent and whose signature card or incumbency certificate has been received by the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EEA Resolution Authority in respect of any liability of an EEA Financial Institution.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49" w:name="page350"/>
    <w:bookmarkEnd w:id="349"/>
    <w:p>
      <w:pPr>
        <w:jc w:val="both"/>
        <w:spacing w:after="0" w:line="266" w:lineRule="auto"/>
        <w:rPr>
          <w:sz w:val="20"/>
          <w:szCs w:val="20"/>
          <w:color w:val="auto"/>
        </w:rPr>
      </w:pPr>
      <w:r>
        <w:rPr>
          <w:rFonts w:ascii="Times New Roman" w:cs="Times New Roman" w:eastAsia="Times New Roman" w:hAnsi="Times New Roman"/>
          <w:sz w:val="18"/>
          <w:szCs w:val="18"/>
          <w:color w:val="auto"/>
        </w:rPr>
        <w:t>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mean Title 11 of the United States Code and the rules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Observer</w:t>
      </w:r>
      <w:r>
        <w:rPr>
          <w:rFonts w:ascii="Times New Roman" w:cs="Times New Roman" w:eastAsia="Times New Roman" w:hAnsi="Times New Roman"/>
          <w:sz w:val="18"/>
          <w:szCs w:val="18"/>
          <w:color w:val="auto"/>
        </w:rPr>
        <w:t>” shall have the meaning specified therefor in Section 6.9.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BOD Meeting</w:t>
      </w:r>
      <w:r>
        <w:rPr>
          <w:rFonts w:ascii="Times New Roman" w:cs="Times New Roman" w:eastAsia="Times New Roman" w:hAnsi="Times New Roman"/>
          <w:sz w:val="18"/>
          <w:szCs w:val="18"/>
          <w:color w:val="auto"/>
        </w:rPr>
        <w:t>” shall have the meaning specified therefor in Section 6.9.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or a Sunday on which commercial banks are open for domestic and international business (including dealings in foreign exchange) in New York, New York.</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w:t>
      </w:r>
      <w:r>
        <w:rPr>
          <w:rFonts w:ascii="Times New Roman" w:cs="Times New Roman" w:eastAsia="Times New Roman" w:hAnsi="Times New Roman"/>
          <w:sz w:val="18"/>
          <w:szCs w:val="18"/>
          <w:color w:val="auto"/>
        </w:rPr>
        <w:t>” shall mean,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Notwithstanding the foregoing, with respect to the accounting for leases as either operating leases or capital leases and the impact of such accounting in accordance with FASB ASC 842, GAAP as in effect on December 31, 2018 shall be applied (whether or not such leases were in effect on such date).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Secured L/C</w:t>
      </w:r>
      <w:r>
        <w:rPr>
          <w:rFonts w:ascii="Times New Roman" w:cs="Times New Roman" w:eastAsia="Times New Roman" w:hAnsi="Times New Roman"/>
          <w:sz w:val="18"/>
          <w:szCs w:val="18"/>
          <w:color w:val="auto"/>
        </w:rPr>
        <w:t>” shall mean, a letter of credit issued for the account of the Borrower or a Guarantor and for which the Borrower or Guarantor, as applicable, has provided cash collateral to the financial institution that is the issuer of such letter of credit.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shall mean a Person that is a controlled foreign corporation under Section 957 of the Internal Revenue Code.</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 Holding Company</w:t>
      </w:r>
      <w:r>
        <w:rPr>
          <w:rFonts w:ascii="Times New Roman" w:cs="Times New Roman" w:eastAsia="Times New Roman" w:hAnsi="Times New Roman"/>
          <w:sz w:val="18"/>
          <w:szCs w:val="18"/>
          <w:color w:val="auto"/>
        </w:rPr>
        <w:t>” means any Domestic Subsidiary substantially all the assets of which consist (directly or indirectly) of equity interests (including, for this purpose, any debt or other instrument treated as equity for U.S. federal income tax purposes) and/or, if applicable, debt in one or more</w:t>
      </w:r>
    </w:p>
    <w:p>
      <w:pPr>
        <w:spacing w:after="0" w:line="1" w:lineRule="exact"/>
        <w:rPr>
          <w:sz w:val="20"/>
          <w:szCs w:val="20"/>
          <w:color w:val="auto"/>
        </w:rPr>
      </w:pPr>
    </w:p>
    <w:p>
      <w:pPr>
        <w:jc w:val="both"/>
        <w:ind w:firstLine="8"/>
        <w:spacing w:after="0" w:line="255" w:lineRule="auto"/>
        <w:tabs>
          <w:tab w:leader="none" w:pos="25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Subsidiaries that are CFCs and/or (b) other Subsidiaries substantially all the assets of which consist (directly or indirectly) of equity interests (including, for this purpose, any debt or other instrument treated as equity for U.S. federal income tax purposes) and/or, if applicable, debt in one or more Foreign Subsidiaries that are CFCs.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shall mean the occurrence, after the Effective Date, of any of the following: (i) the adoption or introduction of, or any change in any applicable law, treaty, rule or regulation (whether domestic or foreign) now or hereafter in effect and whether or not applicable to any Lender or Agent on such date, or (ii) any change in interpretation, administration or implementation of any such law, treaty, rule or regulation by any Governmental Authority, or (iii) the issuance, making or implementation by any Governmental Authority of any interpretation, administration, request, regulation, guideline, or directive (whether or not having the force of law), including any risk-based capital guidelines. For purposes of this definition, (x) a change in law, treaty, rule, regulation, interpretation, administration or implementation shall include, without limitation, any change made or which becomes effective on the basis of a law, treaty, rule, regulation, interpretation administration or implementation then in force, the effective date of which</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0" w:name="page351"/>
    <w:bookmarkEnd w:id="350"/>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change is delayed by the terms of such law, treaty, rule, regulation, interpretation, administration or implementation, (y) the </w:t>
      </w:r>
      <w:r>
        <w:rPr>
          <w:rFonts w:ascii="Times New Roman" w:cs="Times New Roman" w:eastAsia="Times New Roman" w:hAnsi="Times New Roman"/>
          <w:sz w:val="17"/>
          <w:szCs w:val="17"/>
          <w:u w:val="single" w:color="auto"/>
          <w:color w:val="auto"/>
        </w:rPr>
        <w:t>Dodd-Frank Wall Street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Reform and Consumer Protection Act</w:t>
      </w:r>
      <w:r>
        <w:rPr>
          <w:rFonts w:ascii="Times New Roman" w:cs="Times New Roman" w:eastAsia="Times New Roman" w:hAnsi="Times New Roman"/>
          <w:sz w:val="17"/>
          <w:szCs w:val="17"/>
          <w:color w:val="auto"/>
        </w:rPr>
        <w:t xml:space="preserve"> (Pub. L. 111-203, H.R. 4173) and all requests, rules, regulations, guidelines, interpretations or directives promulgated thereunder or issued in connection therewith shall be deemed to be a “Change in “Law”, regardless of the date enacted, adopted, issued or promulgated, and</w:t>
      </w:r>
    </w:p>
    <w:p>
      <w:pPr>
        <w:spacing w:after="0" w:line="2" w:lineRule="exact"/>
        <w:rPr>
          <w:sz w:val="20"/>
          <w:szCs w:val="20"/>
          <w:color w:val="auto"/>
        </w:rPr>
      </w:pPr>
    </w:p>
    <w:p>
      <w:pPr>
        <w:jc w:val="both"/>
        <w:ind w:firstLine="8"/>
        <w:spacing w:after="0" w:line="255" w:lineRule="auto"/>
        <w:tabs>
          <w:tab w:leader="none" w:pos="247"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an event or series of events by which (a) a transaction in which any “person” or “group” (within the meaning of Section 13(d) or 14(d) of the Securities Exchange Act of 1934, as amended) becomes the “beneficial owner” (as defined in Rule 13d-3 of the Securities Exchange Act of 1934, as amended), directly or indirectly, of a sufficient number of shares of all classes of stock then outstanding of the Borrower ordinarily entitled to vote in the election of directors of the Borrower, empowering such “person” or “group” to elect a majority of the board of directors of the Borrower, who did not have such power before such transaction, (b) any “person” or “group” (within the meaning of Section 13(d) or 14(d) of the Securities Exchange Act of 1934, as amended) (other than a Person that is a stockholder on the Effective Date) shall obtain “beneficial ownership” (as defined in Rule 13d-3 of the Securities Exchange Act of 1934, as amended), either directly or indirectly, of more than 34% of all classes of stock then outstanding of the Borrower ordinarily entitled to vote in the election of directors of the Borrower, (c) the occurrence of an event or series of events that would trigger a violation of any change of control or change in control provision in any of the Subordinated Debt Documents or the Senior Loan Documents, (d) [reserved], (e) the individuals holding the offices of chief executive officer or chief financial officer as of the Effective Date shall for any reason cease to hold such office or be actively engaged in day-to-day management of the Borrower, unless a successor or an interim officer is appointed by the board of directors of the Borrower within 90 days of such cessation, or (f) other than in the case of any Asset Sale permitted under Section 7.4 of 100% of the Equity Interests of any Credit Party, the Borrower fails at any time to own, directly or indirectly, 100% of the Equity Interests of the other Credit Parties. For the avoidance of doubt, it shall be deemed a Change of Control if an entity is interposed directly above Borrower following the Sixth Amendment Effective Date and such direct parent entity does not become a Guarantor at the time of such formation, in accordance with Section 6.19(d).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shall mean (a) with respect to Lenders, each of the following classes of Lenders: (i) Lenders having Term Loan A Exposure, (ii) Lenders having Term Loan B Exposure, (iii) [reserved], and (iv) Lenders having Incremental Term Loan Exposure of each applicable tranche, and (b) with respect to Loans, each of the following classes of Loans: (i) Term Loan A, (ii) Term Loan B, (iii) [reserved], and (iv) each tranche of Incremental Term Loans.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mean all property or rights in which a security interest, mortgage, lien or other encumbrance in favor of the Agent for the benefit of the Agent and the Lenders is or has been granted or arises or has arisen, under or in connection with this Agreement, the other Loan Documents, or otherwise to secure the Indebtedness.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Access Agreement</w:t>
      </w:r>
      <w:r>
        <w:rPr>
          <w:rFonts w:ascii="Times New Roman" w:cs="Times New Roman" w:eastAsia="Times New Roman" w:hAnsi="Times New Roman"/>
          <w:sz w:val="18"/>
          <w:szCs w:val="18"/>
          <w:color w:val="auto"/>
        </w:rPr>
        <w:t>” shall mean an agreement in form and substance satisfactory to the Agent in its reasonable discretion, pursuant to which a mortgagee or lessor of real property on which Collateral is stored or otherwise located, or a warehouseman, processor or other bailee of inventory or other property owned by the Borrower or any Guarantor, that acknowledges the Liens under the Collateral Documents and subordinates or waives any Liens held by such Person on such property and, includes such other agreements with respect to the Collateral as the Agent may require in its reasonable discretion, as the same may be amended, restated or otherwise modified from time to time.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1" w:name="page352"/>
    <w:bookmarkEnd w:id="35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shall mean the Security Agreement, the Pledge Agreements, the Mortgages, the Account Control Agreements, the Collateral Access Agreements, and all other security documents (and any joinders thereto) executed by any Credit Party in favor of the Agent on or after the Effective Date, in connection with any of the foregoing collateral documents, in each case, as such collateral documents may be amended or otherwise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shall mean Term Loan Commitments.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Consolidating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consolidating</w:t>
      </w:r>
      <w:r>
        <w:rPr>
          <w:rFonts w:ascii="Times New Roman" w:cs="Times New Roman" w:eastAsia="Times New Roman" w:hAnsi="Times New Roman"/>
          <w:sz w:val="18"/>
          <w:szCs w:val="18"/>
          <w:color w:val="auto"/>
        </w:rPr>
        <w:t>”) shall mean, when used with reference to any financial term in this Agreement, the aggregate for two or more Persons of the amounts signified by such term for all such Persons determined on a consolidated (or consolidating) basis in accordance with GAAP, applied on a consistent basis. Unless otherwise specified herein, “Consolidated” and “Consolidating” shall refer to the Borrower and its Subsidiaries, determined on a Consolidated or Consolidating basis.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material agreement, instrument or other undertaking to which such Person is a party or by which it or any of its property is bound.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shall mean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shall mean (a) each Credit Party, any other Persons that guaranty the Indebtedness and/or pledge collateral to secure the Indebtedness, (b) each Person that, directly or indirectly, is in control of a Person described in clause (a) above, and (c) all brokers or other agents of any Credit Party acting in any capacity in connection with this Agreement. For purposes of this definition, control of a Person shall mean the direct or indirect</w:t>
      </w:r>
    </w:p>
    <w:p>
      <w:pPr>
        <w:jc w:val="both"/>
        <w:ind w:firstLine="8"/>
        <w:spacing w:after="0" w:line="255" w:lineRule="auto"/>
        <w:tabs>
          <w:tab w:leader="none" w:pos="257"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Dat</w:t>
      </w:r>
      <w:r>
        <w:rPr>
          <w:rFonts w:ascii="Times New Roman" w:cs="Times New Roman" w:eastAsia="Times New Roman" w:hAnsi="Times New Roman"/>
          <w:sz w:val="18"/>
          <w:szCs w:val="18"/>
          <w:color w:val="auto"/>
        </w:rPr>
        <w:t>e” shall mean, with respect to each Term Loan, the date such Term Loan is made by the Lenders.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Parties</w:t>
      </w:r>
      <w:r>
        <w:rPr>
          <w:rFonts w:ascii="Times New Roman" w:cs="Times New Roman" w:eastAsia="Times New Roman" w:hAnsi="Times New Roman"/>
          <w:sz w:val="18"/>
          <w:szCs w:val="18"/>
          <w:color w:val="auto"/>
        </w:rPr>
        <w:t>” shall mean the Borrower and its Subsidiaries, if any, and “</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shall mean any one of them, as the context indicates or otherwise requires.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Security Requirements</w:t>
      </w:r>
      <w:r>
        <w:rPr>
          <w:rFonts w:ascii="Times New Roman" w:cs="Times New Roman" w:eastAsia="Times New Roman" w:hAnsi="Times New Roman"/>
          <w:sz w:val="18"/>
          <w:szCs w:val="18"/>
          <w:color w:val="auto"/>
        </w:rPr>
        <w:t>” means, collectively, all of the following to the extent relating to confidential or sensitive information, payment card data, Personal Data, or other protected information relating to individuals or otherwise relating to privacy, security, Processing, marketing, or security breach notification requirements and applicable to the Credit Parties: (i) each Credit Party’s own rules, policies, and procedures (whether physical or technical in nature, or otherwise), (ii) all applicable laws and all industry standards applicable to the Credit Parties’ industry (including the Payment Card Industry Data Security Standard), and (iii) agreements the Credit Parties have entered into or by which any of them is bound.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shall mean as to any Person, without duplication, (a) all Funded Debt of such Person, (b) all obligations of such Person under conditional sale or other title retention agreements relating to property or assets purchased by such Person, (c) all indebtedness of such Person arising in connection with any</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52" w:name="page353"/>
    <w:bookmarkEnd w:id="352"/>
    <w:p>
      <w:pPr>
        <w:jc w:val="both"/>
        <w:spacing w:after="0" w:line="255" w:lineRule="auto"/>
        <w:rPr>
          <w:sz w:val="20"/>
          <w:szCs w:val="20"/>
          <w:color w:val="auto"/>
        </w:rPr>
      </w:pPr>
      <w:r>
        <w:rPr>
          <w:rFonts w:ascii="Times New Roman" w:cs="Times New Roman" w:eastAsia="Times New Roman" w:hAnsi="Times New Roman"/>
          <w:sz w:val="18"/>
          <w:szCs w:val="18"/>
          <w:color w:val="auto"/>
        </w:rPr>
        <w:t>Hedging Transaction entered into by such Person, (d) all recourse Debt of any partnership or joint venture (other than a joint venture that is itself a corporation or limited liability company) of which such Person is the general partner, (e) all Off Balance Sheet Liabilities of such Person, (f) all Guarantee Obligations of such Person in respect of any of the types of obligations described in the preceding clauses (a) through (e), and (g) all liabilities of the type described in the preceding clauses (a) through (f) that are secured by any Liens on any property owned by such Person as of such date even though such Person has not assumed or otherwise become liable for the payment thereof,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shall mean any event that with the giving of notice or the passage of time, or both, would constitute an Event of Default under this Agreement.</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shall mean any Lender that (a) has failed to (i) fund all or any portion of its Loans within two (2)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or any other Lender any other amount required to be paid by it hereunder within two (2) Business Days of the date when due, (b) has notified the Borrower or the Agent in writing that it does not intend to comply with its funding obligations hereunder, or has made a public statement to that effect (unless such writing or public statement is based on such Lender’s good faith determination that a condition precedent to funding (which condition precedent, together with any applicable default, shall be specifically identified in such writing or public statement) has not been satisfied), (c) has failed, within three Business Days after written request by the Agent or the Borrower, to confirm in writing to the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upon delivery of written notice of such determination to the Borrower and each Lender; provided, that notwithstanding anything to the contrary contained in this Agreement, (x) the Agent shall not be responsible or have any liability for, or have any duty to ascertain, inquire into, monitor or enforce, compliance with the provisions hereof relating to a Defaulting Lender and (y) the Borrower and</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color w:val="auto"/>
        </w:rPr>
        <w:t>the Lenders acknowledge and agree that the Agent shall have no responsibility or obligation to determine whether any Lender is a Defaulting Lender.</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Letter</w:t>
      </w:r>
      <w:r>
        <w:rPr>
          <w:rFonts w:ascii="Times New Roman" w:cs="Times New Roman" w:eastAsia="Times New Roman" w:hAnsi="Times New Roman"/>
          <w:sz w:val="18"/>
          <w:szCs w:val="18"/>
          <w:color w:val="auto"/>
        </w:rPr>
        <w:t>” shall mean a flow of fund agreement, in form and substance satisfactory to the Agent, by and among the Borrower, the Agent and the Lenders, and the related funds flow memorandum describing the sources and uses of all cash payments in connection with the transactions contemplated to occur on the Effective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is defined in Section 7.5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lawful money of the United States of America.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shall mean any Subsidiary that is organized under the laws of the United States of America, any State thereof or the District of Columbia (excluding, for the avoidance of doubt, any Subsidiary organized under the laws of Puerto Rico or any other territory), and “</w:t>
      </w:r>
      <w:r>
        <w:rPr>
          <w:rFonts w:ascii="Times New Roman" w:cs="Times New Roman" w:eastAsia="Times New Roman" w:hAnsi="Times New Roman"/>
          <w:sz w:val="18"/>
          <w:szCs w:val="18"/>
          <w:b w:val="1"/>
          <w:bCs w:val="1"/>
          <w:color w:val="auto"/>
        </w:rPr>
        <w:t>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mean any or all of them.</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the date on which all the conditions precedent set forth in Sections 4.1 and 4.2 have been satisfied.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Transmission</w:t>
      </w:r>
      <w:r>
        <w:rPr>
          <w:rFonts w:ascii="Times New Roman" w:cs="Times New Roman" w:eastAsia="Times New Roman" w:hAnsi="Times New Roman"/>
          <w:sz w:val="18"/>
          <w:szCs w:val="18"/>
          <w:color w:val="auto"/>
        </w:rPr>
        <w:t>” shall mean each document, instruction, authorization, file, information and any other communication transmitted, posted or otherwise made or communicated by e-mail or E-Fax, or otherwise to or from an E-System or other equivalent service.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shall mean (a) a Lender; (b) a Temasek Entity; or (c) any other Person (other than a natural person) approved by (i) the Agent, and (ii) unless an Event of Default under Section 8.1(a), 8.1(b) or 8.1(i) has occurred and is continuing or such assignment is in connection with any sale, transfer, or other disposition of all or any substantial portion of the loan portfolio of such Lender, the Borrower (each such approval not to be unreasonably withheld, conditioned or delayed), provided that the Borrower shall be deemed to have consented to any such assignment unless it shall object thereto by written notice to the Agent within five (5) Business Days after having received notice thereof; provided further that notwithstanding the foregoing, (x) “Eligible Assignee” shall not include the Borrower, or any of the Borrower’s Affiliates or Subsidiaries and (y) no assignment shall be made to a Defaulting Lender (or any Person who would be a Defaulting Lender if such Person was a Lender hereunder) without the consent of the Agent.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4" w:name="page355"/>
    <w:bookmarkEnd w:id="354"/>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Incremental Lenders</w:t>
      </w:r>
      <w:r>
        <w:rPr>
          <w:rFonts w:ascii="Times New Roman" w:cs="Times New Roman" w:eastAsia="Times New Roman" w:hAnsi="Times New Roman"/>
          <w:sz w:val="18"/>
          <w:szCs w:val="18"/>
          <w:color w:val="auto"/>
        </w:rPr>
        <w:t>” shall mean any bank, trust company, savings and loan association, savings bank or other financial institution that regularly engages in the business of extending loans or credit, and whose reported capital and surplus equal at least $250,000,000.</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shall mean (i) in the case of any corporation, all capital stock and any securities exchangeable for or convertible into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 but excluding, in all of the foregoing cases described in clauses (i), (ii), (iii) and (iv), any Debt that is convertible into or exchangeable for Equity Interests but only prior to any such conversion.</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 as amended, or any successor act or code and the regulations in effect from time to time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shall mean,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shall mean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Credit Party or any of its ERISA Affiliates from any Pension Plan with two or more contributing sponsors or the termination of any such Pension Plan resulting in liability to any Credit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Credit Party or any of its ERISA Affiliates pursuant to Section 4062(e) or 4069(a) of ERISA or by reason of the application of Section 4212(c) of ERISA; (i) the withdrawal of any Credit Party or any of its ERISA Affiliates in a complete or partial withdrawal (within the meaning of Sections 4203 and 4205 of ERISA) from any Multiemployer Plan or the receipt by any Credit Party or any of its ERISA Affiliates of notice from any Multiemployer Plan that it is insolvent pursuant to Section 4245 of ERISA, or that it intends to terminate or has terminated under Section 4041A or 4042 of ERISA; (j) the occurrence of an act or omission which could give rise to the imposition on any Credit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Credit Party or any of its ERISA Affiliates; or</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color w:val="auto"/>
        </w:rPr>
        <w:t>(l) the imposition of a Lien pursuant to Section 430(k) of the Internal Revenue Code or pursuant to ERISA with respect to any Pension Plan.</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E-System</w:t>
      </w:r>
      <w:r>
        <w:rPr>
          <w:rFonts w:ascii="Times New Roman" w:cs="Times New Roman" w:eastAsia="Times New Roman" w:hAnsi="Times New Roman"/>
          <w:sz w:val="18"/>
          <w:szCs w:val="18"/>
          <w:color w:val="auto"/>
        </w:rPr>
        <w:t>” shall mean any electronic system and any other Internet or extranet-based site, whether such electronic system is owned, operated, hosted or utilized by the Agent, any of its Affiliates or any other Person, providing for access to data protected by passcodes or other security system.</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mean each of the conditions or events set forth in Section 8.1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Exchange Agreement</w:t>
      </w:r>
      <w:r>
        <w:rPr>
          <w:rFonts w:ascii="Times New Roman" w:cs="Times New Roman" w:eastAsia="Times New Roman" w:hAnsi="Times New Roman"/>
          <w:sz w:val="18"/>
          <w:szCs w:val="18"/>
          <w:u w:val="single" w:color="auto"/>
          <w:color w:val="0000FF"/>
        </w:rPr>
        <w:t>” shall mean that certain Exchange Agreement, dated as of the Fourteenth Amendment Effective Date, by and between the Borrower and CHS US Investments LLC, as amended, amended and restated, supplemented or otherwise modified from time to time.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w:t>
      </w:r>
      <w:r>
        <w:rPr>
          <w:rFonts w:ascii="Times New Roman" w:cs="Times New Roman" w:eastAsia="Times New Roman" w:hAnsi="Times New Roman"/>
          <w:sz w:val="18"/>
          <w:szCs w:val="18"/>
          <w:color w:val="auto"/>
        </w:rPr>
        <w:t>” shall mean (a) any account which is a payroll, withholding, disbursement, zero balance (in which all funds in such zero balance account are transferred on a daily basis to an account subject to an Account Control Agreement) or trust account, and (b) any Excluded L/C Account.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L/C Account</w:t>
      </w:r>
      <w:r>
        <w:rPr>
          <w:rFonts w:ascii="Times New Roman" w:cs="Times New Roman" w:eastAsia="Times New Roman" w:hAnsi="Times New Roman"/>
          <w:sz w:val="18"/>
          <w:szCs w:val="18"/>
          <w:color w:val="auto"/>
        </w:rPr>
        <w:t>" shall have the meaning specified therefore in Section 7.2(f).</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jc w:val="both"/>
        <w:ind w:firstLine="8"/>
        <w:spacing w:after="0" w:line="251" w:lineRule="auto"/>
        <w:tabs>
          <w:tab w:leader="none" w:pos="21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12.11) or (ii) such Lender changes its lending office, except in each case to the extent that pursuant to Section 10.4, amounts with respect to such Taxes were payable either to such Lender’s assignor immediately before such Lender became a party hereto or to such Lender immediately before it changed its lending office, (c) Taxes attributable to such Recipient’s failure to comply with Section 12.12 and (d) any U.S. federal withholding Taxes imposed under FATCA.</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Indebtedness</w:t>
      </w:r>
      <w:r>
        <w:rPr>
          <w:rFonts w:ascii="Times New Roman" w:cs="Times New Roman" w:eastAsia="Times New Roman" w:hAnsi="Times New Roman"/>
          <w:sz w:val="18"/>
          <w:szCs w:val="18"/>
          <w:color w:val="auto"/>
        </w:rPr>
        <w:t>” shall mean the Debt under that certain Plain English Growth Capital Loan and Security Agreement, dated as of November 25, 2015, between the Borrower and Triplepoint Venture Growth BDC Corp., as amended through the Effective Date.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mean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6" w:name="page357"/>
    <w:bookmarkEnd w:id="35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shall mean the second amended and restated fee letter by and between Borrower and Agent, dated as of the Seventh Amendment Effective Date, as amended, restated, replaced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shall mean the fees and charges payable by the Borrower to the Lenders or the Agent hereunder or under the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shall have the meaning specified therefor in Section 4.1(h).</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shall mean the fiscal quarter of the Borrower and its Subsidiaries ending on January 31, April 30, July 31 and October 31 of each year.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shall mean the fiscal year of the Borrower and its Subsidiaries ending on January 31 of each year.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Operating Expenditures</w:t>
      </w:r>
      <w:r>
        <w:rPr>
          <w:rFonts w:ascii="Times New Roman" w:cs="Times New Roman" w:eastAsia="Times New Roman" w:hAnsi="Times New Roman"/>
          <w:sz w:val="18"/>
          <w:szCs w:val="18"/>
          <w:color w:val="auto"/>
        </w:rPr>
        <w:t>” shall mean, for any period, without duplication, any technology, marketing and general &amp; administrative expenditures by the Borrower and its Subsidiaries during such period, other than Marketing Spend, stock compensation, credit card fees, customer service personnel costs, taxes (including sales, federal, state and local), any gains/losses associated with liquidation of rental product, asset disposals, lease terminations or exchange rates and expenditures described on Schedule 6.21 (such expenditures described on Schedule 6.21, the “</w:t>
      </w:r>
      <w:r>
        <w:rPr>
          <w:rFonts w:ascii="Times New Roman" w:cs="Times New Roman" w:eastAsia="Times New Roman" w:hAnsi="Times New Roman"/>
          <w:sz w:val="18"/>
          <w:szCs w:val="18"/>
          <w:b w:val="1"/>
          <w:bCs w:val="1"/>
          <w:color w:val="auto"/>
        </w:rPr>
        <w:t>Specified Exclusions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FOE Test Date</w:t>
      </w:r>
      <w:r>
        <w:rPr>
          <w:rFonts w:ascii="Times New Roman" w:cs="Times New Roman" w:eastAsia="Times New Roman" w:hAnsi="Times New Roman"/>
          <w:sz w:val="18"/>
          <w:szCs w:val="18"/>
          <w:color w:val="auto"/>
        </w:rPr>
        <w:t>” shall mean January 31, April 30, July 31 and October 31 of each 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FOE Test Period</w:t>
      </w:r>
      <w:r>
        <w:rPr>
          <w:rFonts w:ascii="Times New Roman" w:cs="Times New Roman" w:eastAsia="Times New Roman" w:hAnsi="Times New Roman"/>
          <w:sz w:val="18"/>
          <w:szCs w:val="18"/>
          <w:color w:val="auto"/>
        </w:rPr>
        <w:t>” shall mean, with respect to any FOE Test Date, the 2 consecutive Fiscal Quarter period ending on such FOE Test Date.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Benefit Event</w:t>
      </w:r>
      <w:r>
        <w:rPr>
          <w:rFonts w:ascii="Times New Roman" w:cs="Times New Roman" w:eastAsia="Times New Roman" w:hAnsi="Times New Roman"/>
          <w:sz w:val="18"/>
          <w:szCs w:val="18"/>
          <w:color w:val="auto"/>
        </w:rPr>
        <w:t>” shall mean, with respect to any Foreign Plan, (a) the existence of unfunded liabilities in excess of the amount permitted under any Requirement of Law, or in excess of the amount that would be permitted absent a waiver from a Governmental Authority, (b) the failure to make the required contributions or payments, under any Requirement of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or (d) the occurrence of any transaction that is prohibited under any Requirement of Law and that could reasonably be expected to result in the incurrence of any liability by a Credit Party, or the imposition on a Credit Party of, any fine, excise tax or penalty resulting from any noncompliance with any Requirement of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mean a Lender that is not a “United States person,” within the meaning of Section 7701(a)(30) of the Internal 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Plan</w:t>
      </w:r>
      <w:r>
        <w:rPr>
          <w:rFonts w:ascii="Times New Roman" w:cs="Times New Roman" w:eastAsia="Times New Roman" w:hAnsi="Times New Roman"/>
          <w:sz w:val="18"/>
          <w:szCs w:val="18"/>
          <w:color w:val="auto"/>
        </w:rPr>
        <w:t>” shall mean any employee pension benefit plan (within the meaning of Section 3(2) of ERISA, whether or not subject to ERISA) that is maintained or contributed to by a Credit Party with respect to workers employed outside the United States.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any Subsidiary of the Borrower that is not a Domestic Subsidiary, and “Foreign Subsidiaries” shall mean any or all of them.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 Amendment Effective Date</w:t>
      </w:r>
      <w:r>
        <w:rPr>
          <w:rFonts w:ascii="Times New Roman" w:cs="Times New Roman" w:eastAsia="Times New Roman" w:hAnsi="Times New Roman"/>
          <w:sz w:val="18"/>
          <w:szCs w:val="18"/>
          <w:color w:val="auto"/>
        </w:rPr>
        <w:t>” shall mean June 2, 2020.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Fourteenth Amendment Effective Date</w:t>
      </w:r>
      <w:r>
        <w:rPr>
          <w:rFonts w:ascii="Times New Roman" w:cs="Times New Roman" w:eastAsia="Times New Roman" w:hAnsi="Times New Roman"/>
          <w:sz w:val="18"/>
          <w:szCs w:val="18"/>
          <w:u w:val="single" w:color="auto"/>
          <w:color w:val="0000FF"/>
        </w:rPr>
        <w:t>” shall mean August 20, 2025.</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57" w:name="page358"/>
    <w:bookmarkEnd w:id="35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Funded Debt</w:t>
      </w:r>
      <w:r>
        <w:rPr>
          <w:rFonts w:ascii="Times New Roman" w:cs="Times New Roman" w:eastAsia="Times New Roman" w:hAnsi="Times New Roman"/>
          <w:sz w:val="18"/>
          <w:szCs w:val="18"/>
          <w:color w:val="auto"/>
        </w:rPr>
        <w:t>” of any Person shall mean, without duplication, (a) all indebtedness of such Person for borrowed money or for the deferred purchase price of property or services as of such date (other than (i) operating leases and (ii) trade payables not outstanding for more than 90 days after the date such payable was due, in each case,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(actual, contingent or otherwise) of such Person in respect of letters of credit, bankers acceptances or similar obligations issued or created for the account of such Person, and (d) all Guarantee Obligations in respect of any liability which constitutes Funded Debt under the preceding clauses (a) through (c); provided, however that Funded Debt shall not include any indebtedness under any Hedging Transaction prior to the occurrence of a termination event with respect thereto.</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as in effect from time to time, generally accepted accounting principles in the United States of America that are applicable to the circumstances as of the date of determination.</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Obligations</w:t>
      </w:r>
      <w:r>
        <w:rPr>
          <w:rFonts w:ascii="Times New Roman" w:cs="Times New Roman" w:eastAsia="Times New Roman" w:hAnsi="Times New Roman"/>
          <w:sz w:val="18"/>
          <w:szCs w:val="18"/>
          <w:color w:val="auto"/>
        </w:rPr>
        <w:t>” shall mean noncallable direct general obligations of the United States of America or obligations the payment of principal of and interest on which is unconditionally guaranteed by the United States of America.</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 Obligation</w:t>
      </w:r>
      <w:r>
        <w:rPr>
          <w:rFonts w:ascii="Times New Roman" w:cs="Times New Roman" w:eastAsia="Times New Roman" w:hAnsi="Times New Roman"/>
          <w:sz w:val="18"/>
          <w:szCs w:val="18"/>
          <w:color w:val="auto"/>
        </w:rPr>
        <w:t>” shall mean as to any Person (the “guaranteeing person”) any obligation of the guaranteeing Person in respect of any obligation of another Person (the “primary obligor”) (including, without limitation, any bank under any letter of credit), the creation of which was induced by a reimbursement agreement, guaranty agreement, keepwell agreement, purchase agreement, counterindemnity or similar obligation issued by the guaranteeing person, in either case guaranteeing or in effect guaranteeing any Debt, leases, dividends or other obligations (the “primary obligations”) of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color w:val="auto"/>
        </w:rPr>
        <w:t>be such guaranteeing person’s maximum reasonably anticipated liability in respect thereof as determined by the applicable Person in good faith.</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shall mean each Subsidiary of the Borrower (and, to the extent the Lenders have agreed to the formation of a direct parent holding entity, such parent entity of the Borrower, in accordance with Section 6.19(d)) which has executed and delivered to the Agent a Guaranty (or a joinder to a Guaranty), and a Security Agreement (or a joinder to the Security Agreement). It is understood and agreed that any Subsidiary or Affiliate of the Borrower that is a guarantor under the Senior Loan Documents (or any Permitted Refinancing Debt in respect of such Debt) shall be required to be a Guarantor hereunder. Notwithstanding anything to the contrary contained herein or in any other Loan Document, a Subsidiary shall not cease to be a Guarantor hereunder solely by virtue of such Subsidiary no longer being a wholly-owned Subsidiary of a Credit Party unless all of the Equity Interests of such Subsidiary held by any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w:t>
      </w:r>
    </w:p>
    <w:p>
      <w:pPr>
        <w:spacing w:after="0" w:line="18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shall mean, collectively, those guaranty agreements executed and delivered from time to time after the Effective Date (whether by execution of joinder agreements or otherwise) pursuant to Section 6.13 hereof or otherwise, in each case in the form attached hereto as Exhibit C, as amended, restated or otherwise modified from time to time.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shall mean any hazardous or toxic waste, substance or material defined or regulated as such in or for purposes of the Hazardous Material Laws.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 Law(s)</w:t>
      </w:r>
      <w:r>
        <w:rPr>
          <w:rFonts w:ascii="Times New Roman" w:cs="Times New Roman" w:eastAsia="Times New Roman" w:hAnsi="Times New Roman"/>
          <w:sz w:val="18"/>
          <w:szCs w:val="18"/>
          <w:color w:val="auto"/>
        </w:rPr>
        <w:t>” shall mean all laws, codes, ordinances, rules, regulations and other governmental restrictions and Requirements of Law issued by any federal, state, local or other governmental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 ordinance, code, rule, regulation, order or decree regulating, relating to, or imposing liability or standards of conduct concerning, any Hazardous Material, as now or at any time during the term of the Agreement in effect.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Transaction</w:t>
      </w:r>
      <w:r>
        <w:rPr>
          <w:rFonts w:ascii="Times New Roman" w:cs="Times New Roman" w:eastAsia="Times New Roman" w:hAnsi="Times New Roman"/>
          <w:sz w:val="18"/>
          <w:szCs w:val="18"/>
          <w:color w:val="auto"/>
        </w:rPr>
        <w:t>” shall mean each interest rate swap transaction, basis swap transaction, forward rate transaction, equity transaction, equity index transaction, foreign exchange transaction, cap transaction, floor transaction (including any option with respect to any of these transactions and any combination of any of the foregoing).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similar terms shall refer to this Agreement and not to any particular paragraph or provision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Highest Lawful Rate</w:t>
      </w:r>
      <w:r>
        <w:rPr>
          <w:rFonts w:ascii="Times New Roman" w:cs="Times New Roman" w:eastAsia="Times New Roman" w:hAnsi="Times New Roman"/>
          <w:sz w:val="18"/>
          <w:szCs w:val="18"/>
          <w:color w:val="auto"/>
        </w:rPr>
        <w:t>” shall mean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Commitments</w:t>
      </w:r>
      <w:r>
        <w:rPr>
          <w:rFonts w:ascii="Times New Roman" w:cs="Times New Roman" w:eastAsia="Times New Roman" w:hAnsi="Times New Roman"/>
          <w:sz w:val="18"/>
          <w:szCs w:val="18"/>
          <w:color w:val="auto"/>
        </w:rPr>
        <w:t>” has the meaning specified in Section 2.11.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9" w:name="page360"/>
    <w:bookmarkEnd w:id="35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Exposure</w:t>
      </w:r>
      <w:r>
        <w:rPr>
          <w:rFonts w:ascii="Times New Roman" w:cs="Times New Roman" w:eastAsia="Times New Roman" w:hAnsi="Times New Roman"/>
          <w:sz w:val="18"/>
          <w:szCs w:val="18"/>
          <w:color w:val="auto"/>
        </w:rPr>
        <w:t>” shall mean, with respect to any Lender, as of any date of determination, the sum of (a) such Lender’s undrawn Incremental Term Loan Commitment and (b) the aggregate outstanding principal amount of the Incremental Term Loans of such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Lender</w:t>
      </w:r>
      <w:r>
        <w:rPr>
          <w:rFonts w:ascii="Times New Roman" w:cs="Times New Roman" w:eastAsia="Times New Roman" w:hAnsi="Times New Roman"/>
          <w:sz w:val="18"/>
          <w:szCs w:val="18"/>
          <w:color w:val="auto"/>
        </w:rPr>
        <w:t>” has the meaning specified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has the meaning specified in Section 2.11.</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shall mean all indebtedness and liabilities (including without limitation principal, interest (including without limitation interest accruing at the then applicable rate provided in this Agreement or any other applicable Loan Document after an applicable maturity date and interest accruing at the then applicable rate provided in this Agreement or any other applicable Loan Document after the filing of any petition in bankruptcy, or the commencement of any insolvency, reorganization or like proceeding, relating to the Credit Parties whether or not a claim for post-filing or post-petition interest is allowed in such proceeding), fees, prepayment premiums (including the Yield Maintenance Premium and the Prepayment Premium), expenses, indemnification and other charges) arising under this Agreement or any of the other Loan Documents, whether direct or indirect, absolute or contingent, of any Credit Party to any of the Lenders or Affiliates thereof or to the Agent, in any manner and at any time, whether arising under this Agreement, the Guaranty or any of the other Loan Documents due or hereafter to become due, now owing or that may hereafter be incurred by any Credit Party to any of the Lenders or Affiliates thereof or to the Agent, in each case whether or not reduced to judgment, with interest according to the rates and terms specified, and any and all consolidations, amendments, renewals, replacements, substitutions or extensions of any of the foregoing; provided, however that for purposes of calculating the Indebtedness outstanding under this Agreement or any of the other Loan Documents, the direct and indirect and absolute and contingent obligations of the Credit Parties (whether direct or contingent) shall be determined without duplication.</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shall mean, collectively, any and all liabilities, obligations, losses, damages, penalties, claims, costs, expenses and disbursements of any kind or nature whatsoever (including the reasonable fees and disbursements of (i) one outside counsel for the Agent and (ii) one outside counsel for the Lenders taken as a whole (absent a conflict of interest (in which case, each group of similarly situated and conflicted Lenders may engage and be reimbursed for an additional firm of outside counsel) and if necessary, one local counsel in each relevant jurisdiction and such specialist counsel as the Agent or the Lenders may reasonably determine (and in the case of a conflict of interest, one additional local counsel or specialist counsel for the Agent or each group of similarly situated and conflicted Lenders)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(iv) any actual or prospective claim, litigation, investigation or proceeding relating to any of the foregoing, whether based on contract, tort or any other theory, whether brought by a third party or by the Borrower, and regardless of whether any Indemnitee is a party thereto; and (v) any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of this Agreement or the other Loan Documents or the transactions contemplated hereby or thereby (including the Lenders’ agreement to make Loans or the use or intended use of the proceeds thereof, or any enforcement of any of the Loan Documents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color w:val="auto"/>
        </w:rPr>
        <w:t>(including any sale of, collection from, or other realization upon any of the Collateral or the enforcement of the Guaranty)).</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shall mean (a) Taxes, other than Excluded Taxes, imposed on or with respect to any payment made by or on account of any obligation of any Credit Party under any Loan Document and (b) to the extent not otherwise described in (a),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shall have the meaning assigned to such term in Section 12.4(b).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shall means any proceeding commenced by or against any Person under any provision of any Debtor Relief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have the meaning assigned to such term in the Security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License Agreement</w:t>
      </w:r>
      <w:r>
        <w:rPr>
          <w:rFonts w:ascii="Times New Roman" w:cs="Times New Roman" w:eastAsia="Times New Roman" w:hAnsi="Times New Roman"/>
          <w:sz w:val="18"/>
          <w:szCs w:val="18"/>
          <w:color w:val="auto"/>
        </w:rPr>
        <w:t>” shall mean that certain License Agreement entered into on September 12, 2019, between the Borrower and Rent the Runway Limited.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w:t>
      </w:r>
      <w:r>
        <w:rPr>
          <w:rFonts w:ascii="Times New Roman" w:cs="Times New Roman" w:eastAsia="Times New Roman" w:hAnsi="Times New Roman"/>
          <w:sz w:val="18"/>
          <w:szCs w:val="18"/>
          <w:color w:val="auto"/>
        </w:rPr>
        <w:t>” shall mean any promissory note issued or to be issued by any Credit Party to evidence an intercompany loan in form and substance satisfactory to the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shall mean the first Business Day occurring after the end of each Fiscal Quarter.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shall mean the Internal Revenue Code of 1986 of the United States of America, as amended from time to time, and the regulations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shall mean any inventory as defined under the UCC.</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 CapEx</w:t>
      </w:r>
      <w:r>
        <w:rPr>
          <w:rFonts w:ascii="Times New Roman" w:cs="Times New Roman" w:eastAsia="Times New Roman" w:hAnsi="Times New Roman"/>
          <w:sz w:val="18"/>
          <w:szCs w:val="18"/>
          <w:color w:val="auto"/>
        </w:rPr>
        <w:t>” shall mean, for any period, without duplication, (i) any expenditures for any purchase or other acquisition of any Inventory during such period that would be classified as a fixed or capital asset on a consolidated balance sheet of the Borrower and its Subsidiaries prepared in accordance with GAAP less (ii) rental product received in prior periods plus (iii) purchases of rental product not yet settled. Rental product received in prior periods and purchases of rental product not yet settled can be found in the “Supplemental Cash Flow Information” section of the Borrower’s public filings.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 CapEx Test Date</w:t>
      </w:r>
      <w:r>
        <w:rPr>
          <w:rFonts w:ascii="Times New Roman" w:cs="Times New Roman" w:eastAsia="Times New Roman" w:hAnsi="Times New Roman"/>
          <w:sz w:val="18"/>
          <w:szCs w:val="18"/>
          <w:color w:val="auto"/>
        </w:rPr>
        <w:t>” shall mean July 31 and January 31 of each Fiscal Year.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 CapEx Test Period</w:t>
      </w:r>
      <w:r>
        <w:rPr>
          <w:rFonts w:ascii="Times New Roman" w:cs="Times New Roman" w:eastAsia="Times New Roman" w:hAnsi="Times New Roman"/>
          <w:sz w:val="18"/>
          <w:szCs w:val="18"/>
          <w:color w:val="auto"/>
        </w:rPr>
        <w:t>” shall mean, with respect to any Inventory CapEx Test Date, the 2 consecutive Fiscal Quarter period ending on such Inventory CapEx Test Date.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shall mean, when used with respect to any Person, (a) any loan, investment or advance made by such Person to any other Person (including, without limitation, any Guarantee Obligation) in respect of any Equity Interest, Debt, obligation or liability of such other Person, (b) the purchase or other acquisition by such Person, or other obligation for the purchase of, all or substantially all or any material portion of the assets or business interests or a division or line of business or other business unit of any Person or any business or going concern, and (c) any other investment made by such Person (however acquired) in Equity Interests in any other Person, including, without limitation, any investment made in exchange for the issuance of Equity Interest of such Person and any investment made as a capital contribution to such other Person.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 shall have the meaning set forth in Section 2.11.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1" w:name="page362"/>
    <w:bookmarkEnd w:id="36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shall have the meaning set forth in the preamble and any assignee which becomes a Lender pursuant to Section 12.7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any security interest in or lien on or against any property arising from any pledge, assignment, hypothecation, mortgage, security interest, deposit arrangement, trust receipt, 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shall mean an amount equal to the sum of (a) Qualified Cash plus (b) Qualified Cash Equivalents plus (c) availability under the Senior Credit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shall mean a Term Loan.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Account</w:t>
      </w:r>
      <w:r>
        <w:rPr>
          <w:rFonts w:ascii="Times New Roman" w:cs="Times New Roman" w:eastAsia="Times New Roman" w:hAnsi="Times New Roman"/>
          <w:sz w:val="18"/>
          <w:szCs w:val="18"/>
          <w:color w:val="auto"/>
        </w:rPr>
        <w:t>” shall mean an account maintained hereunder by the Agent on its books of account at the Principal Office and with respect to the Borrower, in which it will be charged with all Loans made to, and all other Indebtedness incurred by the Credit Parties.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shall mean, collectively, this Agreement, the Fee Letter, the Notes (if issued), the Disbursement Letter, the Guaranty, the Specified Subordination Agreement (if any), the Subordination Agreements, the Collateral Documents, the Perfection Certificate, the UCC Filing Authorization Letter and any other documents, certificates or agreements that are executed and required to be delivered pursuant to any of the foregoing documents, as such documents may be amended, restated or otherwise modified from time to time.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shall mean, collectively, Lenders whose Pro Rata Share (calculated in accordance with clause (e) of the definition thereof) aggregate at least 50.1%. The Commitments of, and portion of the Indebtedness attributable to, any Defaulting Lender shall be excluded for purposes of making a determination of “Majority Lenders”.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Spend</w:t>
      </w:r>
      <w:r>
        <w:rPr>
          <w:rFonts w:ascii="Times New Roman" w:cs="Times New Roman" w:eastAsia="Times New Roman" w:hAnsi="Times New Roman"/>
          <w:sz w:val="18"/>
          <w:szCs w:val="18"/>
          <w:color w:val="auto"/>
        </w:rPr>
        <w:t>” shall mean, with respect to any period, the aggregate amount that is spent on marketing activities (including, without limitation, online and mobile marketing, search engine optimization and email costs, brand marketing, printed collateral, consumer research, and other related costs) as reported on the Borrower’s financial statements for such period, but excluding therefrom salaries, payroll taxes, benefits, stock compensation, consulting and other employee related expenses associated with employees working in a marketing function for such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Spend Test Period</w:t>
      </w:r>
      <w:r>
        <w:rPr>
          <w:rFonts w:ascii="Times New Roman" w:cs="Times New Roman" w:eastAsia="Times New Roman" w:hAnsi="Times New Roman"/>
          <w:sz w:val="18"/>
          <w:szCs w:val="18"/>
          <w:color w:val="auto"/>
        </w:rPr>
        <w:t>” shall mean each Fiscal Quarter.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shall mean a material adverse effect on and/or material adverse developments with respect to (i) business, operations, assets or financial condition of the Credit Parties taken as a whole, (ii) the prospect of repayment of all or any portion of the Indebtedness or in otherwise timely performing any Credit Party’s obligations under the Loan Documents, (iii) the validity, perfection, value or priority of the Agent’s security interests in the Collateral, (iv) the legality, validity or enforceability of this Agreement and any other Loan Document, or (v) the rights and remedies of Agent or any Lender under any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period from the Sixth Amendment Effective Date through and including July 31, 2021, in determining whether a “Material Adverse Effect” has occurred or exists, any change in or effect upon the business, operations, assets or financial condition of the Borrower and its Subsidiaries substantially and directly related to the impacts of COVID-19 shall not be considered to be a Material Adverse Effect so long as any such change or effect is not materially disproportionately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color w:val="auto"/>
        </w:rPr>
        <w:t>adverse to the Credit Parties, taken as a whole, compared to other companies in the same industry in which the Credit Parties operate.</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shall mean any agreement or contract the loss of which would be reasonably likely to result in a Material Adverse Effect; provided that Material Contracts shall not be deemed to include any Pension Plans, collective bargaining agreements, or casualty or liability or other insurance policies maintained in the ordinary course of business.</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the earlier to occur of (i) October 29, 2026 (or if such date is not a Business Day, the immediately preceding Business Day), and (ii) the date that the Term Loans shall become due and payable in full hereunder, whether by acceleration or otherwise, and all Commitments have been terminated.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Mortgages</w:t>
      </w:r>
      <w:r>
        <w:rPr>
          <w:rFonts w:ascii="Times New Roman" w:cs="Times New Roman" w:eastAsia="Times New Roman" w:hAnsi="Times New Roman"/>
          <w:sz w:val="18"/>
          <w:szCs w:val="18"/>
          <w:color w:val="auto"/>
        </w:rPr>
        <w:t>” shall mean the mortgages, deeds of trust and any other similar documents related thereto or required thereby executed and delivered after the Effective Date by the Borrower or a Guarantor pursuant to Section 6.13 hereof or otherwise, each in form and substance satisfactory to the Agent, and “</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shall mean any such document, as such documents may be amended, restated or otherwise modified from time to time.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shall mean an employee benefit plan which is a multiemployer plan as defined in Section 4001(a)(3) of ERISA, to which a Credit Party or any of its ERISA Affiliates makes or is obligated to make contributions or with respect to which a Credit Party or any of its ERISA Affiliates has any liability.</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xml:space="preserve">” shall mean (a) with respect to any Asset Sale, an amount equal to: (i) cash payments received by any Credit Party from such Asset Sale,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any documented direct costs incurred in connection with such Asset Sale to the extent paid or payable to non-Affiliates, including (A) income or gains taxes payable by the seller as a result of any gain recognized in connection with such Asset Sale, (B) payment of the outstanding principal amount of, premium or penalty, if any, and interest on any Debt (other than the Indebtedness)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such Credit Party in connection with such Asset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release of any such reserve, the amount released shall be considered Net Cash Proceeds; and (b) with respect to any insurance, condemnation, taking or other casualty proceeds, an amount equal to: (i) any cash payments or proceeds received by any Credit Party (A) under any casualty or business interruption insurance policies in respect of any covered loss thereunder, or (B) as a result of the condemnation or taking of any assets of such Credit Party by any Person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 any documented costs incurred by such Credit Party in connection with the adjustment or settlement of any claims of such Credit Party in respect thereof, and</w:t>
      </w:r>
    </w:p>
    <w:p>
      <w:pPr>
        <w:spacing w:after="0" w:line="6" w:lineRule="exact"/>
        <w:rPr>
          <w:sz w:val="20"/>
          <w:szCs w:val="20"/>
          <w:color w:val="auto"/>
        </w:rPr>
      </w:pPr>
    </w:p>
    <w:p>
      <w:pPr>
        <w:ind w:firstLine="8"/>
        <w:spacing w:after="0" w:line="260" w:lineRule="auto"/>
        <w:tabs>
          <w:tab w:leader="none" w:pos="29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documented direct costs incurred in connection with any sale of such assets as referred to in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definition to the extent paid or payable to non-Affiliates, including income taxes payable as a result of any gain recognized in connection therewith.</w:t>
      </w:r>
    </w:p>
    <w:p>
      <w:pPr>
        <w:spacing w:after="0" w:line="17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Ninth Amendment</w:t>
      </w:r>
      <w:r>
        <w:rPr>
          <w:rFonts w:ascii="Times New Roman" w:cs="Times New Roman" w:eastAsia="Times New Roman" w:hAnsi="Times New Roman"/>
          <w:sz w:val="18"/>
          <w:szCs w:val="18"/>
          <w:color w:val="auto"/>
        </w:rPr>
        <w:t>” shall mean that certain Ninth Amendment to Credit Agreement, dated as of January 31, 2023, by and among the Borrower, the Agent and the Lenders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Ninth Amendment Effective Date</w:t>
      </w:r>
      <w:r>
        <w:rPr>
          <w:rFonts w:ascii="Times New Roman" w:cs="Times New Roman" w:eastAsia="Times New Roman" w:hAnsi="Times New Roman"/>
          <w:sz w:val="18"/>
          <w:szCs w:val="18"/>
          <w:color w:val="auto"/>
        </w:rPr>
        <w:t>” shall have the meaning specified therefor in the Ninth Amendment.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3" w:name="page364"/>
    <w:bookmarkEnd w:id="36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Ninth Amendment Warrant</w:t>
      </w:r>
      <w:r>
        <w:rPr>
          <w:rFonts w:ascii="Times New Roman" w:cs="Times New Roman" w:eastAsia="Times New Roman" w:hAnsi="Times New Roman"/>
          <w:sz w:val="18"/>
          <w:szCs w:val="18"/>
          <w:color w:val="auto"/>
        </w:rPr>
        <w:t>” shall mean that certain Class A Common Stock Warrant issued by the Borrower as of the Ninth Amendment Effective Date in favor of the Holder (as defined therein), as amended, restated, replaced or otherwise modified from time to time in accordance with the terms thereof, substantially in the form attached as Exhibit C to the Ninth Amendment.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shall have the meaning set forth in Section 12.11.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shall mean any Lender that is not, as of the date of relevance, a Defaulting Lender.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mean the notes described in Section 2.2 hereof, made by the Borrower to each of the Lenders in the form attached hereto as Exhibit F, as such notes may be amended or supplemented from time to time, and any other notes issued in substitution, replacement or renewal thereof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shall mean the U.S. Department of the Treasury’s Office of Foreign Assets Control.</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 Balance Sheet Liability(ies)</w:t>
      </w:r>
      <w:r>
        <w:rPr>
          <w:rFonts w:ascii="Times New Roman" w:cs="Times New Roman" w:eastAsia="Times New Roman" w:hAnsi="Times New Roman"/>
          <w:sz w:val="18"/>
          <w:szCs w:val="18"/>
          <w:color w:val="auto"/>
        </w:rPr>
        <w:t>” of a Person shall mean (i) any repurchase obligation or liability of such Person with respect to accounts or notes receivables sold by such Person, (ii) any liability under any sale and leaseback transaction which is not a Capitalized Lease, (iii) any liability under any so-called “synthetic lease” transaction entered into by such Person, or (iv) any obligation arising with respect to any other transaction which is the functional equivalent of Debt or any of the liabilities set forth in subsections (i)-(iii) of this definition, but which does not constitute a liability on the balance sheets of such Person.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12.11).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specified in Section 12.7(f).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shall mean the Pension Benefit Guaranty Corporation or any successor thereto.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all information or data relating to one or more individual(s) that is personally identifying (i.e., data that identifies an individual or, in combination with any other information or data, is capable of identifying an individual), including all information or data regulated or protected by one or more federal, state, or foreign data privacy or security laws.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shall mean any “employee benefit plan” (within the meaning of Section 3(3) of ERISA) maintained, sponsored or contributed to by a Credit Party or any of its ERISA Affiliates, or to which there is an obligation to contribute by a Credit Party or any of its ERISA Affiliates, or with respect to which a Credit Party or any of its ERISA Affiliates has any liability, which is subject to the minimum funding standards of Section 412 of the Internal Revenue Code, Section 302 of ERISA or Title IV of ERISA, other than a Multiemployer Plan.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64" w:name="page365"/>
    <w:bookmarkEnd w:id="36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shall mean a certificate in form satisfactory to the Agent that provides information with respect to the assets of the Borrower and the Guarantors.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Account</w:t>
      </w:r>
      <w:r>
        <w:rPr>
          <w:rFonts w:ascii="Times New Roman" w:cs="Times New Roman" w:eastAsia="Times New Roman" w:hAnsi="Times New Roman"/>
          <w:sz w:val="18"/>
          <w:szCs w:val="18"/>
          <w:color w:val="auto"/>
        </w:rPr>
        <w:t>” shall mean a deposit account maintained by the Borrower at Comerica Bank, in which such deposits are restricted cash in favor of Comerica Bank.</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shall mean any acquisition by the Borrower or any Guarantor of all or substantially all of the assets of another Person, or of a division or line of business of another Person, or any Equity Interests of another Person which satisfies and/or is conducted in accordance with the following requirements:</w:t>
      </w:r>
    </w:p>
    <w:p>
      <w:pPr>
        <w:spacing w:after="0" w:line="175" w:lineRule="exact"/>
        <w:rPr>
          <w:sz w:val="20"/>
          <w:szCs w:val="20"/>
          <w:color w:val="auto"/>
        </w:rPr>
      </w:pPr>
    </w:p>
    <w:p>
      <w:pPr>
        <w:ind w:left="1960" w:right="20" w:hanging="656"/>
        <w:spacing w:after="0" w:line="282" w:lineRule="auto"/>
        <w:tabs>
          <w:tab w:leader="none" w:pos="19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is of a business or Person engaged in a line of business which is compatible with, or complementary to, the business of the Borrower or such Guarantor or a reasonable extension therefrom;</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structured as an acquisition of the Equity Interests of any Person, then the Person so acquired shall (X) become a wholly-owned direct Domestic Subsidiary of the Borrower or of a Guarantor and the Borrower or the applicable Guarantor shall cause such acquired Person to comply with Section 6.13 hereof or (Y) provided that the Credit Parties continue to comply with Section 6.4(a) hereof, be merged with and into the Borrower or such a Guarantor (and, in the case of the Borrower, with the Borrower being the surviving entity);</w:t>
      </w:r>
    </w:p>
    <w:p>
      <w:pPr>
        <w:spacing w:after="0" w:line="183"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structured as the acquisition of assets, such assets shall be acquired directly by the Borrower or a Guarantor (subject to compliance with Section 6.4(a) hereof);</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Agent not less than ten (10) (or such shorter period of time agreed to in writing by the Agent) nor more than ninety (90) days prior to the date of such acquisition, notice of such acquisition together with Pro Forma Projected Financial Information, copies of all material documents relating to such acquisition (including then-current drafts of the acquisition agreement and any related document), and historical financial information (including income statements, balance sheets and cash flows) covering at least three (3) complete fiscal years of the acquisition target, if available, prior to the effective date of the acquisition or the entire operating existence of the acquisition target, whichever period is shorter, in each case in form and substance reasonably satisfactory to the Agent;</w:t>
      </w:r>
    </w:p>
    <w:p>
      <w:pPr>
        <w:spacing w:after="0" w:line="188"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after the consummation of such acquisition and after giving effect to the Pro Forma Projected Financial Information, no Default or Event of Default shall have occurred and be continuing;</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be consensual and the board of directors (or other Person(s) exercising similar functions) of the seller of the assets or issuer of the Equity Interests being acquired shall have approved such transaction;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65" w:name="page366"/>
    <w:bookmarkEnd w:id="365"/>
    <w:p>
      <w:pPr>
        <w:jc w:val="both"/>
        <w:ind w:left="840" w:hanging="656"/>
        <w:spacing w:after="0" w:line="254" w:lineRule="auto"/>
        <w:tabs>
          <w:tab w:leader="none" w:pos="8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quasi-governmental, agency, regulatory or similar licenses, authorizations, exemptions, qualifications, consents and approvals necessary under any laws applicable to the Borrower or Guarantor making the acquisition, or the acquisition target (if applicable) for or in connection with the proposed acquisition and all necessary non-governmental and other third-party approvals which, in each case, are material to such acquisition shall have been obtained, and all necessary or appropriate declarations, registrations or other filings with any court, governmental or regulatory authority, securities exchange or any other Person, which in each case, are material to the consummation of such acquisition or to the acquisition target, if applicable, have been made, and evidence thereof reasonably satisfactory in form and substance to the Agent shall have been delivered, or caused to have been delivered, by the Borrower to the Agent;</w:t>
      </w:r>
    </w:p>
    <w:p>
      <w:pPr>
        <w:spacing w:after="0" w:line="191" w:lineRule="exact"/>
        <w:rPr>
          <w:rFonts w:ascii="Times New Roman" w:cs="Times New Roman" w:eastAsia="Times New Roman" w:hAnsi="Times New Roman"/>
          <w:sz w:val="18"/>
          <w:szCs w:val="18"/>
          <w:color w:val="auto"/>
        </w:rPr>
      </w:pPr>
    </w:p>
    <w:p>
      <w:pPr>
        <w:jc w:val="both"/>
        <w:ind w:left="840" w:hanging="656"/>
        <w:spacing w:after="0" w:line="254" w:lineRule="auto"/>
        <w:tabs>
          <w:tab w:leader="none" w:pos="8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actions, suits or proceedings pending or, to the knowledge of any Credit Party threatened against or affecting the acquisition target in any court or before or by any governmental department, agency or instrumentality, which could reasonably be expected to be decided adversely to the acquisition target and which, if decided adversely, could reasonably be expected to have a material adverse effect on the business, operations, properties or financial condition of the acquisition target and its subsidiaries (taken as a whole) or would materially adversely affect the ability of the acquisition target to enter into or perform its obligations in connection with the proposed acquisition, nor shall there be any actions, suits, or proceedings pending, or to the knowledge of any Credit Party threatened against the Credit Party that is making the acquisition which would materially adversely affect the ability of such Credit Party to enter into or perform its obligations in connection with the proposed acquisition;</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55" w:lineRule="auto"/>
        <w:tabs>
          <w:tab w:leader="none" w:pos="8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(A)The aggregate Purchase Price for acquisitions of assets that are not located within the United States or Equity Interests of Persons that are not organized in a jurisdiction located within the United States shall not exceed $10,000,000 in the aggregate for all such acquisitions during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(A) shall not apply to acquisitions of assets and Equity Interests that are located within (or organized in) a jurisdiction in which the Agent reasonably determines a perfected Lien may be granted on such assets and Equity Interests in form and substance reasonably acceptable to the Agent (such determination to be evidenced in writing), and (B) such assets and Equity Interests described in clause (A) above shall be pledged to the Agent for the benefit of the Agent and the Lenders in accordance with Section 6.13(b); and</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proposed new acquisition, computed on the basis of total acquisition consideration paid or incurred, or required to be paid or incurred, with respect thereto, when added to the Purchase Price of each other acquisition consummated hereunder as a Permitted Acquisition during the same Fiscal Year as the applicable acquisition does not exceed Fifteen Million Dollars ($15,000,000); provided, that, with respect to any Fiscal Year ending on or after January 31, 2020, any unused amounts from such Fiscal Year may be carried forward into the immediately succeeding Fiscal Year; provided, further, that the aggregate amount carried forward to the immediately succeeding Fiscal Year shall not exceed Fifteen Million Dollars ($15,000,000).</w:t>
      </w:r>
    </w:p>
    <w:p>
      <w:pPr>
        <w:spacing w:after="0" w:line="2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shall mean with respect to any Person:</w:t>
      </w:r>
    </w:p>
    <w:p>
      <w:pPr>
        <w:spacing w:after="0" w:line="229" w:lineRule="exact"/>
        <w:rPr>
          <w:sz w:val="20"/>
          <w:szCs w:val="20"/>
          <w:color w:val="auto"/>
        </w:rPr>
      </w:pPr>
    </w:p>
    <w:p>
      <w:pPr>
        <w:ind w:left="1300" w:hanging="656"/>
        <w:spacing w:after="0"/>
        <w:tabs>
          <w:tab w:leader="none" w:pos="13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Obligations;</w:t>
      </w:r>
    </w:p>
    <w:p>
      <w:pPr>
        <w:spacing w:after="0" w:line="225" w:lineRule="exact"/>
        <w:rPr>
          <w:rFonts w:ascii="Times New Roman" w:cs="Times New Roman" w:eastAsia="Times New Roman" w:hAnsi="Times New Roman"/>
          <w:sz w:val="18"/>
          <w:szCs w:val="18"/>
          <w:color w:val="auto"/>
        </w:rPr>
      </w:pPr>
    </w:p>
    <w:p>
      <w:pPr>
        <w:jc w:val="both"/>
        <w:ind w:left="1300" w:hanging="656"/>
        <w:spacing w:after="0" w:line="256" w:lineRule="auto"/>
        <w:tabs>
          <w:tab w:leader="none" w:pos="13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state or commonwealth of the United States or the obligations of the District of Columbia or any possession of the United States, or any political subdivision of any of the foregoing, which are described in Section 103(a) of the Internal Revenue Code and are graded in any of the highest three (3) major grades as determined by at least one Rating Agency or secured, as to payments of principal and interest, by a letter of credit provided by a financial institution or insurance provided by a bond insurance company which in each case is itself or its debt is rated in one of the highest three (3) major grades as determined by at least one Rating Agency;</w:t>
      </w:r>
    </w:p>
    <w:p>
      <w:pPr>
        <w:spacing w:after="0" w:line="187" w:lineRule="exact"/>
        <w:rPr>
          <w:rFonts w:ascii="Times New Roman" w:cs="Times New Roman" w:eastAsia="Times New Roman" w:hAnsi="Times New Roman"/>
          <w:sz w:val="18"/>
          <w:szCs w:val="18"/>
          <w:color w:val="auto"/>
        </w:rPr>
      </w:pPr>
    </w:p>
    <w:p>
      <w:pPr>
        <w:jc w:val="both"/>
        <w:ind w:left="1300" w:hanging="656"/>
        <w:spacing w:after="0" w:line="258" w:lineRule="auto"/>
        <w:tabs>
          <w:tab w:leader="none" w:pos="13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acceptances, commercial accounts, demand deposit accounts, certificates of deposit, other time deposits or depository receipts issued by or maintained with any Lender or any Affiliate thereof, or any bank, trust company, savings and loan association, savings bank or other financial institution whose deposits are insured by the Federal Deposit Insurance Corporation and whose reported capital and surplus equal at least $250,000,000, provided that such minimum capital and surplus requirement shall not apply to demand deposit accounts maintained by any Credit Party in the ordinary course of business;</w:t>
      </w:r>
    </w:p>
    <w:p>
      <w:pPr>
        <w:spacing w:after="0" w:line="183"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rated at the time of purchase within the two highest classifications established by not less than two Rating Agencies, and which matures within 270 days after the date of issue;</w:t>
      </w:r>
    </w:p>
    <w:p>
      <w:pPr>
        <w:spacing w:after="0" w:line="161"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repurchase agreements against obligations itemized in paragraph (a) above, and executed by a bank or trust company or by members of the association of primary dealers or other recognized dealers in United States government securities, the market value of which must be maintained at levels at least equal to the amounts advanced; and</w:t>
      </w:r>
    </w:p>
    <w:p>
      <w:pPr>
        <w:spacing w:after="0" w:line="175" w:lineRule="exact"/>
        <w:rPr>
          <w:rFonts w:ascii="Times New Roman" w:cs="Times New Roman" w:eastAsia="Times New Roman" w:hAnsi="Times New Roman"/>
          <w:sz w:val="18"/>
          <w:szCs w:val="18"/>
          <w:color w:val="auto"/>
        </w:rPr>
      </w:pPr>
    </w:p>
    <w:p>
      <w:pPr>
        <w:ind w:left="1300" w:right="20" w:hanging="656"/>
        <w:spacing w:after="0" w:line="282" w:lineRule="auto"/>
        <w:tabs>
          <w:tab w:leader="none" w:pos="13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 or other pooling arrangement which exclusively purchases and holds the investments itemized in (a) through (e)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shall mean with respect to any Person:</w:t>
      </w:r>
    </w:p>
    <w:p>
      <w:pPr>
        <w:spacing w:after="0" w:line="229" w:lineRule="exact"/>
        <w:rPr>
          <w:sz w:val="20"/>
          <w:szCs w:val="20"/>
          <w:color w:val="auto"/>
        </w:rPr>
      </w:pPr>
    </w:p>
    <w:p>
      <w:pPr>
        <w:jc w:val="both"/>
        <w:ind w:left="1300" w:hanging="656"/>
        <w:spacing w:after="0" w:line="256" w:lineRule="auto"/>
        <w:tabs>
          <w:tab w:leader="none" w:pos="13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(i) taxes or governmental assessments or charges the payment of which is not required under Section 6.3(a) or (ii) customs duties in connection with the importation of goods to the extent such Liens attach to the imported goods that are the subject of the duties (x) to the extent not yet due, (y) as to which the period of grace, if any, related thereto has not expired or (z) which are being contested in good faith by appropriate proceedings, provided that in the case of any such contest, any proceedings for the enforcement of such liens have been suspended and adequate reserves with respect thereto are maintained on the books of such Person in conformity with GAAP;</w:t>
      </w:r>
    </w:p>
    <w:p>
      <w:pPr>
        <w:spacing w:after="0" w:line="187" w:lineRule="exact"/>
        <w:rPr>
          <w:rFonts w:ascii="Times New Roman" w:cs="Times New Roman" w:eastAsia="Times New Roman" w:hAnsi="Times New Roman"/>
          <w:sz w:val="18"/>
          <w:szCs w:val="18"/>
          <w:color w:val="auto"/>
        </w:rPr>
      </w:pPr>
    </w:p>
    <w:p>
      <w:pPr>
        <w:jc w:val="both"/>
        <w:ind w:left="1300" w:hanging="656"/>
        <w:spacing w:after="0" w:line="258" w:lineRule="auto"/>
        <w:tabs>
          <w:tab w:leader="none" w:pos="13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processor’s, landlord’s liens or other like liens arising in the ordinary course of business which secure obligations that are not overdue for a period of more than 30 days or which are being contested in good faith by appropriate proceedings, provided that in the case of any such contest, (x) any proceedings commenced for the enforcement of such Liens have been suspended and (y) appropriate reserves with respect thereto are maintained on the books of such Person in conformity with GAAP;</w:t>
      </w:r>
    </w:p>
    <w:p>
      <w:pPr>
        <w:spacing w:after="0" w:line="2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36" w:right="339" w:bottom="1440" w:gutter="0" w:footer="0" w:header="0"/>
        </w:sectPr>
      </w:pPr>
    </w:p>
    <w:bookmarkStart w:id="367" w:name="page368"/>
    <w:bookmarkEnd w:id="367"/>
    <w:p>
      <w:pPr>
        <w:jc w:val="both"/>
        <w:ind w:left="1960" w:hanging="656"/>
        <w:spacing w:after="0" w:line="254" w:lineRule="auto"/>
        <w:tabs>
          <w:tab w:leader="none" w:pos="19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incurred in the ordinary course of business to secure the performance of statutory obligations arising in connection with progress payments or advance payments due under contracts with the United States government or any agency thereof entered into in the ordinary course of business and (ii) Liens incurred or deposits made in the ordinary course of business to secure the performance of statutory obligations, bids, leases, fee and expense arrangements with trustees and fiscal agents, trade contracts, surety and appeal bonds, performance bonds and other similar obligations (exclusive of obligations incurred in connection with the borrowing of money, any lease-purchase arrangements or the payment of the deferred purchase price of property), whether by means of a letter of credit, guarantee, escrow or otherwise, provided that in each case full provision for the payment of all such obligations has been made on the books of such Person as may be required by GAAP;</w:t>
      </w:r>
    </w:p>
    <w:p>
      <w:pPr>
        <w:spacing w:after="0" w:line="19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securing judgments and other proceedings not constituting an Event of Default under Section 8.1(g);</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survey exceptions or minor encumbrances, easements or reservations, or rights of others for rights-of-way, utilities and other similar purposes, or zoning or other restrictions as to the use of real properties, or any interest of any lessor or sublessor under any lease permitted hereunder which, in each case, does not materially interfere with the business of such Person;</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Liens arising pursuant to a transaction permitted under Section 7.8 hereof;</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worker’s compensation, unemployment insurance, old age pensions and social security benefits and similar statutory obligations (excluding Liens arising under ERISA), provided that no enforcement proceedings in respect of such Liens are pending and provisions have been made for the payment of such liens on the books of such Person as may be required by GAAP; and</w:t>
      </w:r>
    </w:p>
    <w:p>
      <w:pPr>
        <w:spacing w:after="0" w:line="179"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continuations of Liens that are permitted under subsections (a)-(f) hereof, provided such continuations do not violate the specific time periods set forth in subsections (b) and (d) and provided further that such Liens do not extend to any additional property or assets of any Credit Party or secure any additional obligations of any Credit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 Debt</w:t>
      </w:r>
      <w:r>
        <w:rPr>
          <w:rFonts w:ascii="Times New Roman" w:cs="Times New Roman" w:eastAsia="Times New Roman" w:hAnsi="Times New Roman"/>
          <w:sz w:val="18"/>
          <w:szCs w:val="18"/>
          <w:color w:val="auto"/>
        </w:rPr>
        <w:t>” shall mean the extension of maturity, refinancing or modification of the terms of Debt so long as:</w:t>
      </w:r>
    </w:p>
    <w:p>
      <w:pPr>
        <w:spacing w:after="0" w:line="229" w:lineRule="exact"/>
        <w:rPr>
          <w:sz w:val="20"/>
          <w:szCs w:val="20"/>
          <w:color w:val="auto"/>
        </w:rPr>
      </w:pPr>
    </w:p>
    <w:p>
      <w:pPr>
        <w:jc w:val="both"/>
        <w:ind w:firstLine="1304"/>
        <w:spacing w:after="0" w:line="261" w:lineRule="auto"/>
        <w:tabs>
          <w:tab w:leader="none" w:pos="171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extension, refinancing or modification, the amount of such Debt is not greater than the amount of Debt outstanding immediately prior to such extension, refinancing or modification (other than by the amount of premiums paid thereon and the fees and expenses incurred in connection therewith, by the amount of accrued interest capitalized in the course of such refinancing, and by the amount of unfunded commitments with respect thereto);</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extension, refinancing or modification does not result in a shortening of the average weighted maturity (measured as of the extension, refinancing or modification) of the Debt so extended, refinanced or modified;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8" w:name="page369"/>
    <w:bookmarkEnd w:id="368"/>
    <w:p>
      <w:pPr>
        <w:jc w:val="both"/>
        <w:ind w:firstLine="1304"/>
        <w:spacing w:after="0" w:line="261" w:lineRule="auto"/>
        <w:tabs>
          <w:tab w:leader="none" w:pos="171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extension, refinancing or modification is pursuant to terms that are not (when taken as a whole) less favorable to the Credit Parties and the Lenders than the terms of the Debt (including, without limitation, terms relating to the collateral (if any) and subordination (if any)) being extended, refinanced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 rate, original issue discount and other related economic terms of the Debt being extended, refinanced or modified may be set substantially at the applicable then-prevailing market rate available to the Borrower; and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that is extended, refinanced or modified is not recourse to any Credit Party that is liable on account of the obligations other than those Persons which were obligated with respect to the Debt that was refinanced, renewed, or extended.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Agreement(s)</w:t>
      </w:r>
      <w:r>
        <w:rPr>
          <w:rFonts w:ascii="Times New Roman" w:cs="Times New Roman" w:eastAsia="Times New Roman" w:hAnsi="Times New Roman"/>
          <w:sz w:val="18"/>
          <w:szCs w:val="18"/>
          <w:color w:val="auto"/>
        </w:rPr>
        <w:t>” shall mean any pledge agreement executed and delivered from time to time after the Effective Date by the Borrower or a Guarantor pursuant to Section 6.13 hereof or otherwise, and any agreements, instruments or documents related thereto, in each case in form and substance satisfactory to the Agent, as amended, restated or otherwise modified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Post-Default Rate</w:t>
      </w:r>
      <w:r>
        <w:rPr>
          <w:rFonts w:ascii="Times New Roman" w:cs="Times New Roman" w:eastAsia="Times New Roman" w:hAnsi="Times New Roman"/>
          <w:sz w:val="18"/>
          <w:szCs w:val="18"/>
          <w:color w:val="auto"/>
        </w:rPr>
        <w:t>” shall have the meaning specified therefor in Section 2.6(d).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Premium</w:t>
      </w:r>
      <w:r>
        <w:rPr>
          <w:rFonts w:ascii="Times New Roman" w:cs="Times New Roman" w:eastAsia="Times New Roman" w:hAnsi="Times New Roman"/>
          <w:sz w:val="18"/>
          <w:szCs w:val="18"/>
          <w:color w:val="auto"/>
        </w:rPr>
        <w:t>” shall have the meaning specified therefor in the Fee Letter.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shall mean the Agent’s “Principal Office” as set forth on Annex III, or such other office as the Agent may from time to time designate in writing to the Borrower and each Lender.</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Projected Financial Information</w:t>
      </w:r>
      <w:r>
        <w:rPr>
          <w:rFonts w:ascii="Times New Roman" w:cs="Times New Roman" w:eastAsia="Times New Roman" w:hAnsi="Times New Roman"/>
          <w:sz w:val="18"/>
          <w:szCs w:val="18"/>
          <w:color w:val="auto"/>
        </w:rPr>
        <w:t>” shall mean, as to any proposed acquisition, a statement prepared by the Borrower (supported by reasonable detail) setting forth the total Purchase Price to be paid or incurred in connection with the proposed acquisition, and pro forma combined projected financial information for the Credit Parties and the acquisition target (if applicable), consisting of projected balance sheets as of the proposed effective date of the acquisition and as of the end of at least the next succeeding three (3) Fiscal Years following the acquisition and projected statements of income and cash flows for each of those years, as projected as of the effective date of the acquisition and as of the ends of those Fiscal Years and accompanied by (i) a statement in reasonable detail specifying all material assumptions underlying the projections and (ii) such other information as the Agent or the Lenders shall reasonably request.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shall mean (a) with respect to all payments, computations and other matters relating to the Term Loan A of any Lender, the percentage obtained by dividing (i) the Term Loan A Exposure of that Lender, by (ii) the aggregate Term Loan A Exposure of all Lenders; (b) with respect to all payments, computations and other matters relating to the Term Loan B of any Lender, the percentage obtained by dividing (i) the Term Loan B Exposure of that Lender, by (ii) the aggregate Term Loan B Exposure of all Lenders; (c) [reserved]; (d) with respect to all payments, computations, and other matters relating to Incremental Term Loan Commitments or Incremental Term Loans, the percentage obtained by dividing (i) the Incremental Term Loan Exposure of that Lender, by (ii) the aggregate Incremental Term Loan Exposure of all Lenders and (e) for all other purposes with respect to each Lender, the percentage obtained by dividing (i) an amount equal to the sum of the Term Loan A Exposure, the Term Loan B Exposure and the Incremental Term Loan Exposure of that Lender, by (ii) an amount equal to the sum of</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color w:val="auto"/>
        </w:rPr>
        <w:t>the aggregate Term Loan A Exposure, the aggregate Term Loan B Exposure and the aggregate Incremental Term Loan Exposure of all Lenders.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means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with respect to any acquisition, an amount equal to the sum of (a) the aggregate consideration paid in cash or cash equivalents by a Credit Party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Credit Parties after giving effect to such acquisition, plus (c) the aggregate amount of all transaction fees, costs and expenses incurred by the Credit Parties in connection with such acquisition.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Cash</w:t>
      </w:r>
      <w:r>
        <w:rPr>
          <w:rFonts w:ascii="Times New Roman" w:cs="Times New Roman" w:eastAsia="Times New Roman" w:hAnsi="Times New Roman"/>
          <w:sz w:val="18"/>
          <w:szCs w:val="18"/>
          <w:color w:val="auto"/>
        </w:rPr>
        <w:t>” means, as of any date of determination, the aggregate amount of unrestricted cash on-hand of the Credit Parties maintained in deposit accounts in the name of a Credit Party in the United States as of such date, which deposit accounts are subject to Account Control Agreements.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Cash Equivalents</w:t>
      </w:r>
      <w:r>
        <w:rPr>
          <w:rFonts w:ascii="Times New Roman" w:cs="Times New Roman" w:eastAsia="Times New Roman" w:hAnsi="Times New Roman"/>
          <w:sz w:val="18"/>
          <w:szCs w:val="18"/>
          <w:color w:val="auto"/>
        </w:rPr>
        <w:t>” means, as of any date of determination, the aggregate amount of Permitted Investments of the Credit Parties that constitute “cash equivalents” (as defined under GAAP) that are maintained in securities accounts in the name of a Credit Party in the United States as of such date, which securities accounts are subject to Account Control Agreements.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IPO</w:t>
      </w:r>
      <w:r>
        <w:rPr>
          <w:rFonts w:ascii="Times New Roman" w:cs="Times New Roman" w:eastAsia="Times New Roman" w:hAnsi="Times New Roman"/>
          <w:sz w:val="18"/>
          <w:szCs w:val="18"/>
          <w:color w:val="auto"/>
        </w:rPr>
        <w:t>” shall mean an underwritten public offering (other than a public offering pursuant to a registration statement on Form S-8) of the Equity Interests of the Borrower or any direct or indirect parent of the Borrower which generates cash proceeds of at least $200.0 million.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 shall mean Moody’s Investor Services, Inc., Standard and Poor’s Ratings Services, their respective successors or any other nationally recognized statistical rating organization which is acceptable to the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shall mean (a) the Agent and (b) any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shall have the meaning specified therefor in Section 12.7(h).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Amounts</w:t>
      </w:r>
      <w:r>
        <w:rPr>
          <w:rFonts w:ascii="Times New Roman" w:cs="Times New Roman" w:eastAsia="Times New Roman" w:hAnsi="Times New Roman"/>
          <w:sz w:val="18"/>
          <w:szCs w:val="18"/>
          <w:color w:val="auto"/>
        </w:rPr>
        <w:t>” shall have the meaning specified therefor in Section 2.8(a).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Relief Termination Date</w:t>
      </w:r>
      <w:r>
        <w:rPr>
          <w:rFonts w:ascii="Times New Roman" w:cs="Times New Roman" w:eastAsia="Times New Roman" w:hAnsi="Times New Roman"/>
          <w:sz w:val="18"/>
          <w:szCs w:val="18"/>
          <w:u w:val="single" w:color="auto"/>
          <w:color w:val="0000FF"/>
        </w:rPr>
        <w:t>” shall mean the earliest of (a) the Outside Date (as defined in the Exchange Agreement), (b) the date that is thirty (30) days after the Exchange Agreement is terminated pursuant to Section 8.01(a), 8.01(b)(ii), 8.01(b)(iii) or 8.01(e) thereof (each, a “</w:t>
      </w:r>
      <w:r>
        <w:rPr>
          <w:rFonts w:ascii="Times New Roman" w:cs="Times New Roman" w:eastAsia="Times New Roman" w:hAnsi="Times New Roman"/>
          <w:sz w:val="18"/>
          <w:szCs w:val="18"/>
          <w:b w:val="1"/>
          <w:bCs w:val="1"/>
          <w:u w:val="single" w:color="auto"/>
          <w:color w:val="0000FF"/>
        </w:rPr>
        <w:t>Specified Termination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b w:val="1"/>
          <w:bCs w:val="1"/>
          <w:u w:val="single" w:color="auto"/>
          <w:color w:val="0000FF"/>
        </w:rPr>
        <w:t>Even</w:t>
      </w:r>
      <w:r>
        <w:rPr>
          <w:rFonts w:ascii="Times New Roman" w:cs="Times New Roman" w:eastAsia="Times New Roman" w:hAnsi="Times New Roman"/>
          <w:sz w:val="18"/>
          <w:szCs w:val="18"/>
          <w:u w:val="single" w:color="auto"/>
          <w:color w:val="0000FF"/>
        </w:rPr>
        <w:t>t”), (c) the termination of the Exchange Agreement for any reason other than a Specified Termination Event and (d) the closing of the Exchange</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Transactions (as defined in the Exchange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shall have the meaning specified therefor in Section 12.11.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0" w:name="page371"/>
    <w:bookmarkEnd w:id="370"/>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Compliance Event</w:t>
      </w:r>
      <w:r>
        <w:rPr>
          <w:rFonts w:ascii="Times New Roman" w:cs="Times New Roman" w:eastAsia="Times New Roman" w:hAnsi="Times New Roman"/>
          <w:sz w:val="18"/>
          <w:szCs w:val="18"/>
          <w:color w:val="auto"/>
        </w:rPr>
        <w:t>” shall mean that any Covered Entity becomes a Sanctioned Person, or is indicted, arraigned, investigated or custodially detained, or receives an inquiry from regulatory or law enforcement officials, in connection with any Anti-Terrorism Law or any predicate crime to any Anti-Terrorism Law, or has knowledge of or self-discovers facts or circumstances implicating any aspect of its operations with the actual or possible violation of any Anti-Terrorism Law.</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means an event described in Section 4043 of ERISA (other than an event not subject to the provision for 30-day notice to the PBGC under the regulations promulgated under such Section).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 for Loan</w:t>
      </w:r>
      <w:r>
        <w:rPr>
          <w:rFonts w:ascii="Times New Roman" w:cs="Times New Roman" w:eastAsia="Times New Roman" w:hAnsi="Times New Roman"/>
          <w:sz w:val="18"/>
          <w:szCs w:val="18"/>
          <w:color w:val="auto"/>
        </w:rPr>
        <w:t>” shall mean a request for a Loan issued by the Borrower under Section 2.3 in the form attached hereto as Exhibit D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Prepayment Date</w:t>
      </w:r>
      <w:r>
        <w:rPr>
          <w:rFonts w:ascii="Times New Roman" w:cs="Times New Roman" w:eastAsia="Times New Roman" w:hAnsi="Times New Roman"/>
          <w:sz w:val="18"/>
          <w:szCs w:val="18"/>
          <w:color w:val="auto"/>
        </w:rPr>
        <w:t>” shall have the meaning specified therefor in Section 2.9(b).</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shall mean as to any Person, the certificate of incorporation and bylaws, the partnership agreement or other organizational or governing documents of such Person and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shall mean, with respect to any Person, the chief executive officer, chief financial officer, treasurer, president, secretary or controller of such Person or any other officer of such Person having substantially the same authority and responsibility.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shall mean a country subject to a sanctions program maintained under any Anti-Terrorism Law.</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any sanction administered or enforced by the United States Government (including, without limitation, OFAC), the United Nations Security Council, the European Union, Her Majesty’s Treasury or other relevant sanctions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Amendment Effective Date</w:t>
      </w:r>
      <w:r>
        <w:rPr>
          <w:rFonts w:ascii="Times New Roman" w:cs="Times New Roman" w:eastAsia="Times New Roman" w:hAnsi="Times New Roman"/>
          <w:sz w:val="18"/>
          <w:szCs w:val="18"/>
          <w:color w:val="auto"/>
        </w:rPr>
        <w:t>” shall mean April 24, 2019.</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shall mean, collectively, the security agreement(s) executed and delivered by the Borrower on the Effective Date pursuant to Section 4.1 hereof, and any such agreements executed and delivered by the Guarantors after the Effective Date (whether by execution of a joinder agreement to any existing security agreement or otherwise) pursuant to Section 6.13 hereof or otherwise, in the form of the Security Agreement attached hereto as Exhibit A, as amended, restated or otherwise modified from time to time.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Agent</w:t>
      </w:r>
      <w:r>
        <w:rPr>
          <w:rFonts w:ascii="Times New Roman" w:cs="Times New Roman" w:eastAsia="Times New Roman" w:hAnsi="Times New Roman"/>
          <w:sz w:val="18"/>
          <w:szCs w:val="18"/>
          <w:color w:val="auto"/>
        </w:rPr>
        <w:t>” shall mean the administrative agent and/or collateral agent under the Senior Credit Agreement and its successors and permitted assigns in such capacity.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71" w:name="page372"/>
    <w:bookmarkEnd w:id="37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Credit Agreement</w:t>
      </w:r>
      <w:r>
        <w:rPr>
          <w:rFonts w:ascii="Times New Roman" w:cs="Times New Roman" w:eastAsia="Times New Roman" w:hAnsi="Times New Roman"/>
          <w:sz w:val="18"/>
          <w:szCs w:val="18"/>
          <w:color w:val="auto"/>
        </w:rPr>
        <w:t>” shall mean a revolver credit agreement, in form and substance reasonably satisfactory to the Agent in all respects (such approval to be evidenced in writing by the Agent), if executed, to be executed by and among the Senior Agent, the Senior Lenders and the Borrower, as the same may be amended, restated, supplemented or otherwise modified from time to time in a manner not prohibited by the terms of the Specified Subordination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Debt</w:t>
      </w:r>
      <w:r>
        <w:rPr>
          <w:rFonts w:ascii="Times New Roman" w:cs="Times New Roman" w:eastAsia="Times New Roman" w:hAnsi="Times New Roman"/>
          <w:sz w:val="18"/>
          <w:szCs w:val="18"/>
          <w:color w:val="auto"/>
        </w:rPr>
        <w:t>” shall mean Debt of the Borrower or any Guarantor under the Senior Loan Documents, if 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Lenders</w:t>
      </w:r>
      <w:r>
        <w:rPr>
          <w:rFonts w:ascii="Times New Roman" w:cs="Times New Roman" w:eastAsia="Times New Roman" w:hAnsi="Times New Roman"/>
          <w:sz w:val="18"/>
          <w:szCs w:val="18"/>
          <w:color w:val="auto"/>
        </w:rPr>
        <w:t>” shall mean the lenders party to the Senior Credit Agreement, if 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Loan Documents</w:t>
      </w:r>
      <w:r>
        <w:rPr>
          <w:rFonts w:ascii="Times New Roman" w:cs="Times New Roman" w:eastAsia="Times New Roman" w:hAnsi="Times New Roman"/>
          <w:sz w:val="18"/>
          <w:szCs w:val="18"/>
          <w:color w:val="auto"/>
        </w:rPr>
        <w:t>” shall mean, collectively, the Senior Credit Agreement and any and all other documents, instruments and certificates executed and delivered pursuant thereto, in each case, as the same may be amended, restated, supplemented or otherwise modified from time to time in a manner not prohibited by the terms of the Specified Subordination Agreement. For the avoidance of doubt, no Senior Loan Document is in effect on the Seventh Amendment Effective Date.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Seventh Amendment</w:t>
      </w:r>
      <w:r>
        <w:rPr>
          <w:rFonts w:ascii="Times New Roman" w:cs="Times New Roman" w:eastAsia="Times New Roman" w:hAnsi="Times New Roman"/>
          <w:sz w:val="18"/>
          <w:szCs w:val="18"/>
          <w:color w:val="auto"/>
        </w:rPr>
        <w:t>” shall mean that certain Seventh Amendment to Credit Agreement and Third Amendment to the Security Agreement, dated as of October 18, 2021, by and among the Borrower, the Agent and the Lenders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Seventh Amendment Effective Date</w:t>
      </w:r>
      <w:r>
        <w:rPr>
          <w:rFonts w:ascii="Times New Roman" w:cs="Times New Roman" w:eastAsia="Times New Roman" w:hAnsi="Times New Roman"/>
          <w:sz w:val="18"/>
          <w:szCs w:val="18"/>
          <w:color w:val="auto"/>
        </w:rPr>
        <w:t>” shall have the meaning specified therefor in the Seventh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Seventh Amendment Existing Term Loan Indebtedness</w:t>
      </w:r>
      <w:r>
        <w:rPr>
          <w:rFonts w:ascii="Times New Roman" w:cs="Times New Roman" w:eastAsia="Times New Roman" w:hAnsi="Times New Roman"/>
          <w:sz w:val="18"/>
          <w:szCs w:val="18"/>
          <w:color w:val="auto"/>
        </w:rPr>
        <w:t>” shall have the meaning specified therefor in Section 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Seventh Amendment Fee</w:t>
      </w:r>
      <w:r>
        <w:rPr>
          <w:rFonts w:ascii="Times New Roman" w:cs="Times New Roman" w:eastAsia="Times New Roman" w:hAnsi="Times New Roman"/>
          <w:sz w:val="18"/>
          <w:szCs w:val="18"/>
          <w:color w:val="auto"/>
        </w:rPr>
        <w:t>” shall have the meaning specified therefor in Section 2.1.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Seventh Amendment Warrant</w:t>
      </w:r>
      <w:r>
        <w:rPr>
          <w:rFonts w:ascii="Times New Roman" w:cs="Times New Roman" w:eastAsia="Times New Roman" w:hAnsi="Times New Roman"/>
          <w:sz w:val="18"/>
          <w:szCs w:val="18"/>
          <w:color w:val="auto"/>
        </w:rPr>
        <w:t>” shall mean that certain Class A Common Stock Warrant issued by the Borrower as of the Seventh Amendment Effective Date in favor of the Holder (as defined therein), as amended, restated, replaced or otherwise modified from time to time in accordance with the terms thereof, substantially in the form attached as Exhibit E to the Seventh Amendment.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Effective Date</w:t>
      </w:r>
      <w:r>
        <w:rPr>
          <w:rFonts w:ascii="Times New Roman" w:cs="Times New Roman" w:eastAsia="Times New Roman" w:hAnsi="Times New Roman"/>
          <w:sz w:val="18"/>
          <w:szCs w:val="18"/>
          <w:color w:val="auto"/>
        </w:rPr>
        <w:t>” shall mean October 26, 2020.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Existing Term Loan Indebtedness</w:t>
      </w:r>
      <w:r>
        <w:rPr>
          <w:rFonts w:ascii="Times New Roman" w:cs="Times New Roman" w:eastAsia="Times New Roman" w:hAnsi="Times New Roman"/>
          <w:sz w:val="18"/>
          <w:szCs w:val="18"/>
          <w:color w:val="auto"/>
        </w:rPr>
        <w:t>” shall have the meaning specified therefor in Section 2.1.</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shall mean, with respect to any Person on a particular date, that on such date (a) such Person is able to realize upon its assets and pay its debts and other liabilities, contingent obligations and other commitments as they mature in the normal course of business, (b) such Person does not intend to, and does not believe that it will, incur debts or liabilities beyond such Person’s ability to pay as such debts and liabilities mature, and (c) such Person is not engaged in business or a transaction, and is not about to engage in business or a transaction, for which such Person’s property would constitute unreasonably small capital.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72" w:name="page373"/>
    <w:bookmarkEnd w:id="37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Exclusions</w:t>
      </w:r>
      <w:r>
        <w:rPr>
          <w:rFonts w:ascii="Times New Roman" w:cs="Times New Roman" w:eastAsia="Times New Roman" w:hAnsi="Times New Roman"/>
          <w:sz w:val="18"/>
          <w:szCs w:val="18"/>
          <w:color w:val="auto"/>
        </w:rPr>
        <w:t>” shall have the meaning specified therefor in the definition of Fixed Operating Expenditures.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Expenditures</w:t>
      </w:r>
      <w:r>
        <w:rPr>
          <w:rFonts w:ascii="Times New Roman" w:cs="Times New Roman" w:eastAsia="Times New Roman" w:hAnsi="Times New Roman"/>
          <w:sz w:val="18"/>
          <w:szCs w:val="18"/>
          <w:color w:val="auto"/>
        </w:rPr>
        <w:t>” means Inventory CapEx, Fixed Operating Expenditures and Marketing Spend.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Expenditures Cap</w:t>
      </w:r>
      <w:r>
        <w:rPr>
          <w:rFonts w:ascii="Times New Roman" w:cs="Times New Roman" w:eastAsia="Times New Roman" w:hAnsi="Times New Roman"/>
          <w:sz w:val="18"/>
          <w:szCs w:val="18"/>
          <w:color w:val="auto"/>
        </w:rPr>
        <w:t>” means (i) with respect to Inventory CapEx, the Inventory CapEx Cap, (ii) with respect to Fixed Operating Expenditures, the FOE Cap and (iii) with respect to Marketing Spend, the Marketing Spend Cap.</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Expenditures Test Period</w:t>
      </w:r>
      <w:r>
        <w:rPr>
          <w:rFonts w:ascii="Times New Roman" w:cs="Times New Roman" w:eastAsia="Times New Roman" w:hAnsi="Times New Roman"/>
          <w:sz w:val="18"/>
          <w:szCs w:val="18"/>
          <w:color w:val="auto"/>
        </w:rPr>
        <w:t>” means (i) with respect to Inventory CapEx, the Inventory CapEx Test Period, (ii) with respect to Fixed Operating Expenditures, the FOE Test Period and (iii) with respect to Marketing Spend, the Marketing Spend Test Period.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Subordination Agreement</w:t>
      </w:r>
      <w:r>
        <w:rPr>
          <w:rFonts w:ascii="Times New Roman" w:cs="Times New Roman" w:eastAsia="Times New Roman" w:hAnsi="Times New Roman"/>
          <w:sz w:val="18"/>
          <w:szCs w:val="18"/>
          <w:color w:val="auto"/>
        </w:rPr>
        <w:t>” shall mean a subordination agreement, in form and substance reasonably satisfactory to the Agent and the Lenders in all respects, if executed, to be executed by and between the Senior Agent and the Agent and to be acknowledged and agreed by the Borrower and the Guarantors, as the same may be amended, restated, supplemented or otherwise modified from time to time in accordance with the terms thereof. For the avoidance of doubt, no Specified Subordination Agreement is in effect on the Seventh Amendment Effective Date.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shall mean any unsecured Funded Debt of any Credit Party and other obligations under the Subordinated Debt Documents and any other Funded Debt of any Credit Party which has been subordinated in right of payment and priority to the Indebtedness, all on terms and conditions satisfactory to the Agent.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 Documents</w:t>
      </w:r>
      <w:r>
        <w:rPr>
          <w:rFonts w:ascii="Times New Roman" w:cs="Times New Roman" w:eastAsia="Times New Roman" w:hAnsi="Times New Roman"/>
          <w:sz w:val="18"/>
          <w:szCs w:val="18"/>
          <w:color w:val="auto"/>
        </w:rPr>
        <w:t>” shall mean and include any documents evidencing any Subordinated Debt, in each case, as the same may be amended, modified, supplemented or otherwise modified from time to time in compliance with the terms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Agreements</w:t>
      </w:r>
      <w:r>
        <w:rPr>
          <w:rFonts w:ascii="Times New Roman" w:cs="Times New Roman" w:eastAsia="Times New Roman" w:hAnsi="Times New Roman"/>
          <w:sz w:val="18"/>
          <w:szCs w:val="18"/>
          <w:color w:val="auto"/>
        </w:rPr>
        <w:t>” shall mean, collectively, any subordination agreements entered into by any Person from time to time in favor of the Agent in connection with any Subordinated Debt, the terms of which are acceptable to the Agent, in each case as the same may be amended, restated or otherwise modified from time to time, and “</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shall mean any one of them.</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Subsidiary(ies)</w:t>
      </w:r>
      <w:r>
        <w:rPr>
          <w:rFonts w:ascii="Times New Roman" w:cs="Times New Roman" w:eastAsia="Times New Roman" w:hAnsi="Times New Roman"/>
          <w:sz w:val="18"/>
          <w:szCs w:val="18"/>
          <w:color w:val="auto"/>
        </w:rPr>
        <w:t>” shall mean any other corporation, association, joint stock company, business trust, limited liability company, partnership or any other business entity of which more than fifty percent (50%) of the outstanding voting stock, share capital, membership, partnership or other interests, as the case may be, is owned either directly or indirectly by any Person or one or more of its Subsidiaries. Unless otherwise specified to the contrary herein or the context otherwise requires, Subsidiary(ies) shall refer to the Subsidiary(ies) of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Agent</w:t>
      </w:r>
      <w:r>
        <w:rPr>
          <w:rFonts w:ascii="Times New Roman" w:cs="Times New Roman" w:eastAsia="Times New Roman" w:hAnsi="Times New Roman"/>
          <w:sz w:val="18"/>
          <w:szCs w:val="18"/>
          <w:color w:val="auto"/>
        </w:rPr>
        <w:t>” shall have the meaning set forth in Section 11.4(a)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Temasek Entity</w:t>
      </w:r>
      <w:r>
        <w:rPr>
          <w:rFonts w:ascii="Times New Roman" w:cs="Times New Roman" w:eastAsia="Times New Roman" w:hAnsi="Times New Roman"/>
          <w:sz w:val="18"/>
          <w:szCs w:val="18"/>
          <w:color w:val="auto"/>
        </w:rPr>
        <w:t>” shall mean, (a) Double Helix Pte Ltd and (b) any wholly-owned Subsidiary of Temasek Holdings (Private) Limited (“</w:t>
      </w:r>
      <w:r>
        <w:rPr>
          <w:rFonts w:ascii="Times New Roman" w:cs="Times New Roman" w:eastAsia="Times New Roman" w:hAnsi="Times New Roman"/>
          <w:sz w:val="18"/>
          <w:szCs w:val="18"/>
          <w:b w:val="1"/>
          <w:bCs w:val="1"/>
          <w:color w:val="auto"/>
        </w:rPr>
        <w:t>Temasek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which the boards of directors or other equivalent governing bodies serving a similar function of such Subsidiary is comprised of employees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nominees of (i) Temasek Holdings, (ii) Temasek Pte. Ltd., a wholly-owned Subsidiary of Temasek Holdings, or (iii) a wholly-owned Subsidiary of Temasek Pte. Ltd.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73" w:name="page374"/>
    <w:bookmarkEnd w:id="3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Tenth Amendment Effective Date</w:t>
      </w:r>
      <w:r>
        <w:rPr>
          <w:rFonts w:ascii="Times New Roman" w:cs="Times New Roman" w:eastAsia="Times New Roman" w:hAnsi="Times New Roman"/>
          <w:sz w:val="18"/>
          <w:szCs w:val="18"/>
          <w:color w:val="auto"/>
        </w:rPr>
        <w:t>” shall mean December 1,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shall mean a Term Loan A, a Term Loan B and/or an Incremental Term Loan, as the context requires.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w:t>
      </w:r>
      <w:r>
        <w:rPr>
          <w:rFonts w:ascii="Times New Roman" w:cs="Times New Roman" w:eastAsia="Times New Roman" w:hAnsi="Times New Roman"/>
          <w:sz w:val="18"/>
          <w:szCs w:val="18"/>
          <w:color w:val="auto"/>
        </w:rPr>
        <w:t>” shall mean a term loan made by a Lender to the Borrower pursuant to Section 2.1(a)(i) or all of the term loans made by the Lenders to the Borrower pursuant to Section 2.1(a)(i), as the context requires.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 Commitment</w:t>
      </w:r>
      <w:r>
        <w:rPr>
          <w:rFonts w:ascii="Times New Roman" w:cs="Times New Roman" w:eastAsia="Times New Roman" w:hAnsi="Times New Roman"/>
          <w:sz w:val="18"/>
          <w:szCs w:val="18"/>
          <w:color w:val="auto"/>
        </w:rPr>
        <w:t>” shall mean the commitment of a Lender to make or otherwise fund a Term Loan A and “</w:t>
      </w:r>
      <w:r>
        <w:rPr>
          <w:rFonts w:ascii="Times New Roman" w:cs="Times New Roman" w:eastAsia="Times New Roman" w:hAnsi="Times New Roman"/>
          <w:sz w:val="18"/>
          <w:szCs w:val="18"/>
          <w:b w:val="1"/>
          <w:bCs w:val="1"/>
          <w:color w:val="auto"/>
        </w:rPr>
        <w:t>Term Loan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means such commitments of all Lenders in the aggregate. The amount of each Lender’s Term Loan A Commitment, if any, is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Annex I. The aggregate amount of the Term Loan A Commitments as of the Effective Date was $100,000,000.</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 Exposure</w:t>
      </w:r>
      <w:r>
        <w:rPr>
          <w:rFonts w:ascii="Times New Roman" w:cs="Times New Roman" w:eastAsia="Times New Roman" w:hAnsi="Times New Roman"/>
          <w:sz w:val="18"/>
          <w:szCs w:val="18"/>
          <w:color w:val="auto"/>
        </w:rPr>
        <w:t>” shall mean, with respect to any Lender, as of any date of determination, the outstanding principal amount of the Term Loan A of such Lender.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B</w:t>
      </w:r>
      <w:r>
        <w:rPr>
          <w:rFonts w:ascii="Times New Roman" w:cs="Times New Roman" w:eastAsia="Times New Roman" w:hAnsi="Times New Roman"/>
          <w:sz w:val="18"/>
          <w:szCs w:val="18"/>
          <w:color w:val="auto"/>
        </w:rPr>
        <w:t>” shall mean a term loan made by a Lender to the Borrower pursuant to Section 2.1(a)(ii) or all of the term loans made by the Lenders to the Borrower pursuant to Section 2.1(a)(ii), as the context requires.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B Commitment</w:t>
      </w:r>
      <w:r>
        <w:rPr>
          <w:rFonts w:ascii="Times New Roman" w:cs="Times New Roman" w:eastAsia="Times New Roman" w:hAnsi="Times New Roman"/>
          <w:sz w:val="18"/>
          <w:szCs w:val="18"/>
          <w:color w:val="auto"/>
        </w:rPr>
        <w:t>” shall mean the commitment of a Lender to make or otherwise fund a Term Loan B and “</w:t>
      </w:r>
      <w:r>
        <w:rPr>
          <w:rFonts w:ascii="Times New Roman" w:cs="Times New Roman" w:eastAsia="Times New Roman" w:hAnsi="Times New Roman"/>
          <w:sz w:val="18"/>
          <w:szCs w:val="18"/>
          <w:b w:val="1"/>
          <w:bCs w:val="1"/>
          <w:color w:val="auto"/>
        </w:rPr>
        <w:t>Term Loan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means such commitments of all Lenders in the aggregate. The aggregate amount of the Term Loan B Commitments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was $100,000,000.</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B Exposure</w:t>
      </w:r>
      <w:r>
        <w:rPr>
          <w:rFonts w:ascii="Times New Roman" w:cs="Times New Roman" w:eastAsia="Times New Roman" w:hAnsi="Times New Roman"/>
          <w:sz w:val="18"/>
          <w:szCs w:val="18"/>
          <w:color w:val="auto"/>
        </w:rPr>
        <w:t>” shall mean, with respect to any Lender, as of any date of determination, the outstanding principal amount of the Term Loan B of such Lender.</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B Commitment Termination Date</w:t>
      </w:r>
      <w:r>
        <w:rPr>
          <w:rFonts w:ascii="Times New Roman" w:cs="Times New Roman" w:eastAsia="Times New Roman" w:hAnsi="Times New Roman"/>
          <w:sz w:val="18"/>
          <w:szCs w:val="18"/>
          <w:color w:val="auto"/>
        </w:rPr>
        <w:t>” shall mean the earlier to occur of (a) the date of the termination of the Term Loan B Commitments pursuant to Section 8.2, and (b) the second anniversary of the Effective Date.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w:t>
      </w:r>
      <w:r>
        <w:rPr>
          <w:rFonts w:ascii="Times New Roman" w:cs="Times New Roman" w:eastAsia="Times New Roman" w:hAnsi="Times New Roman"/>
          <w:sz w:val="18"/>
          <w:szCs w:val="18"/>
          <w:color w:val="auto"/>
        </w:rPr>
        <w:t>” shall mean a term loan made by a Lender to the Borrower pursuant to Section 2.1(a)(iii) or all of the term loans made by the Lenders to the Borrower pursuant to Section 2.1(a)(iii), as the context requires. Term Loan C was repaid in full on the Seventh Amendment Effective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shall mean the Term Loan A Commitment, the Term Loan B Commitment or the Incremental Term Loan Commitment (if any) of a Lender, and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means such commitments of all Lenders.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 Effective Date</w:t>
      </w:r>
      <w:r>
        <w:rPr>
          <w:rFonts w:ascii="Times New Roman" w:cs="Times New Roman" w:eastAsia="Times New Roman" w:hAnsi="Times New Roman"/>
          <w:sz w:val="18"/>
          <w:szCs w:val="18"/>
          <w:color w:val="auto"/>
        </w:rPr>
        <w:t>” shall mean November 26, 2019.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 Existing Term Loan Indebtedness</w:t>
      </w:r>
      <w:r>
        <w:rPr>
          <w:rFonts w:ascii="Times New Roman" w:cs="Times New Roman" w:eastAsia="Times New Roman" w:hAnsi="Times New Roman"/>
          <w:sz w:val="18"/>
          <w:szCs w:val="18"/>
          <w:color w:val="auto"/>
        </w:rPr>
        <w:t>” shall have the meaning specified therefor in Section 2.1.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 Filing Authorization Letter</w:t>
      </w:r>
      <w:r>
        <w:rPr>
          <w:rFonts w:ascii="Times New Roman" w:cs="Times New Roman" w:eastAsia="Times New Roman" w:hAnsi="Times New Roman"/>
          <w:sz w:val="18"/>
          <w:szCs w:val="18"/>
          <w:color w:val="auto"/>
        </w:rPr>
        <w:t>” shall mean a letter duly executed by the Borrower authorizing the Agent to file appropriate financing statements on Form UCC-1 without the signature of the Borrower in such office or offices as may be necessary or, in the opinion of the Agent, desirable to perfect the security interests purported to be created by the Security Agreement.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74" w:name="page375"/>
    <w:bookmarkEnd w:id="374"/>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in effect in any applicable state; provided that, unless specified otherwise or the context otherwise requires, such terms shall refer to the Uniform Commercial Code as in effect in the State of New York.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shall mean an individual unit (i.e., wardrobe and similar merchandise) owned by the Borrower and currently available for rent or held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any Person that is a “United States Person” as defined in Section 7701(a)(30) of the Internal Revenue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shall have the meaning specified therefor in Section 12.12.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shall have the meaning specified therefor in Section 5.7.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Waivable Mandatory Prepayment”</w:t>
      </w:r>
      <w:r>
        <w:rPr>
          <w:rFonts w:ascii="Times New Roman" w:cs="Times New Roman" w:eastAsia="Times New Roman" w:hAnsi="Times New Roman"/>
          <w:sz w:val="18"/>
          <w:szCs w:val="18"/>
          <w:color w:val="auto"/>
        </w:rPr>
        <w:t xml:space="preserve"> shall have the meaning specified therefor in Section 2.9(b).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Documents</w:t>
      </w:r>
      <w:r>
        <w:rPr>
          <w:rFonts w:ascii="Times New Roman" w:cs="Times New Roman" w:eastAsia="Times New Roman" w:hAnsi="Times New Roman"/>
          <w:sz w:val="18"/>
          <w:szCs w:val="18"/>
          <w:color w:val="auto"/>
        </w:rPr>
        <w:t>” shall mean the Warrant Purchase Agreement and the Warrants.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Purchase Agreement</w:t>
      </w:r>
      <w:r>
        <w:rPr>
          <w:rFonts w:ascii="Times New Roman" w:cs="Times New Roman" w:eastAsia="Times New Roman" w:hAnsi="Times New Roman"/>
          <w:sz w:val="18"/>
          <w:szCs w:val="18"/>
          <w:color w:val="auto"/>
        </w:rPr>
        <w:t>” shall mean that certain Warrant Purchase Agreement, dated as of the Effective Date, by and between the Borrower and the Investor (as defined therein), as amended, restated, replaced or otherwise modified from time to time in accordance with the terms thereof.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shall mean, collectively, that certain Warrant No. 1 and Warrant No. 2, in each case, issued by the Borrower as of the Effective Date in favor of the Holder (as defined in the applicable Warrant), as amended, restated, replaced or otherwise modified from time to time in accordance with the terms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shall mean any Credit Party and the Agent.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Yield Maintenance Premium</w:t>
      </w:r>
      <w:r>
        <w:rPr>
          <w:rFonts w:ascii="Times New Roman" w:cs="Times New Roman" w:eastAsia="Times New Roman" w:hAnsi="Times New Roman"/>
          <w:sz w:val="18"/>
          <w:szCs w:val="18"/>
          <w:color w:val="auto"/>
        </w:rPr>
        <w:t>” shall have the meaning specified therefor in the Fee Letter.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162" w:lineRule="exact"/>
        <w:rPr>
          <w:sz w:val="20"/>
          <w:szCs w:val="20"/>
          <w:color w:val="auto"/>
        </w:rPr>
      </w:pPr>
    </w:p>
    <w:p>
      <w:pPr>
        <w:jc w:val="both"/>
        <w:ind w:firstLine="1304"/>
        <w:spacing w:after="0" w:line="254" w:lineRule="auto"/>
        <w:tabs>
          <w:tab w:leader="none" w:pos="167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be deemed to be followed by the phrase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 The word “</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shall be construed to have the same meaning and effect as the word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75" w:name="page376"/>
    <w:bookmarkEnd w:id="375"/>
    <w:p>
      <w:pPr>
        <w:jc w:val="both"/>
        <w:spacing w:after="0" w:line="258" w:lineRule="auto"/>
        <w:rPr>
          <w:sz w:val="20"/>
          <w:szCs w:val="20"/>
          <w:color w:val="auto"/>
        </w:rPr>
      </w:pPr>
      <w:r>
        <w:rPr>
          <w:rFonts w:ascii="Times New Roman" w:cs="Times New Roman" w:eastAsia="Times New Roman" w:hAnsi="Times New Roman"/>
          <w:sz w:val="18"/>
          <w:szCs w:val="18"/>
          <w:color w:val="auto"/>
        </w:rPr>
        <w:t>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83" w:lineRule="exact"/>
        <w:rPr>
          <w:sz w:val="20"/>
          <w:szCs w:val="20"/>
          <w:color w:val="auto"/>
        </w:rPr>
      </w:pPr>
    </w:p>
    <w:p>
      <w:pPr>
        <w:ind w:firstLine="1304"/>
        <w:spacing w:after="0" w:line="282" w:lineRule="auto"/>
        <w:tabs>
          <w:tab w:leader="none" w:pos="1699"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1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or in any other Loan Document to the satisfaction, repayment, or payment in full of the Indebtedness shall mean the repayment in Dollars in full in cash or immediately available funds of all of the Indebtedness (including the Yield Maintenance Premium and the Prepayment Premium) other than unasserted contingent indemnification obligations.</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Accounting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783"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or as reflected in the management financials provided prior to the Effective Date to</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1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any proceeds from end-of-life liquidated inventory in revenue and related costs in cost of revenue, which is presented as net gains or losses from sale of end-of-life liquidated inventory on GAAP financials and (ii) not adjust the purchases of property, plant and equipment (“PPE”) and rental product for any unpaid accounts payable balances. Additionally, GAAP financial statements may include more detailed or more summarized line items than what is presented in the management financials.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6"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Majority Lenders shall so request, the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therein and (ii)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or the Guarantors pursuant to this Agreement shall be calculated by dividing the appropriate component by the other component, carrying the result to two places more than the number of places by which such ratio is expressed herein and rounding the result up or down to the nearest number (with a rounding up if there is no nearest number).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6" w:name="page377"/>
    <w:bookmarkEnd w:id="37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Times of Day; Rates</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Senior Loan Documents and Specified Subordination Agreement</w:t>
      </w:r>
      <w:r>
        <w:rPr>
          <w:rFonts w:ascii="Times New Roman" w:cs="Times New Roman" w:eastAsia="Times New Roman" w:hAnsi="Times New Roman"/>
          <w:sz w:val="18"/>
          <w:szCs w:val="18"/>
          <w:color w:val="auto"/>
        </w:rPr>
        <w:t>. The Borrower agrees and acknowledges that each reference to any Senior Loan Document, Senior Debt, Senior Agent, Senior Lenders, or the Specified Subordination Agreement in any Loan Document (including, without limitation this Agreement and the Security Agreement) shall be disregarded until each of the Senior Credit Agreement and the Specified Subordination Agreement shall have been executed and delivered by the requisite parties thereto (including, in the case of the Specified Subordination Agreement, the Agent) and are in full force and effect.</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TERM LOANS.</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80" w:hanging="376"/>
        <w:spacing w:after="0"/>
        <w:tabs>
          <w:tab w:leader="none" w:pos="16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severally made, on the Effective Date, a Term Loan A to the Borrower in an amount equal to such Lender’s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A Commitment; and</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357"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severally made, after the Effective Date and prior to the Term Loan B Commitment Termination Date, one or more Term Loan B to the Borrower in an aggregate amount equal to such Lender’s Term Loan B Commitment.</w:t>
      </w:r>
    </w:p>
    <w:p>
      <w:pPr>
        <w:spacing w:after="0" w:line="162" w:lineRule="exact"/>
        <w:rPr>
          <w:sz w:val="20"/>
          <w:szCs w:val="20"/>
          <w:color w:val="auto"/>
        </w:rPr>
      </w:pPr>
    </w:p>
    <w:p>
      <w:pPr>
        <w:jc w:val="both"/>
        <w:ind w:firstLine="763"/>
        <w:spacing w:after="0" w:line="266" w:lineRule="auto"/>
        <w:rPr>
          <w:sz w:val="20"/>
          <w:szCs w:val="20"/>
          <w:color w:val="auto"/>
        </w:rPr>
      </w:pPr>
      <w:r>
        <w:rPr>
          <w:rFonts w:ascii="Times New Roman" w:cs="Times New Roman" w:eastAsia="Times New Roman" w:hAnsi="Times New Roman"/>
          <w:sz w:val="18"/>
          <w:szCs w:val="18"/>
          <w:color w:val="auto"/>
        </w:rPr>
        <w:t>Any amount borrowed under this Section 2.1 and subsequently repaid or prepaid may not be reborrowed. All amounts owed hereunder with respect to the Term Loan A and the Term Loan B shall be paid in full no later than the Maturity Date. Each Lender’s Term Loan A Commitment and Term Loan B Commitment have been terminated in full.</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the Fee Letter or any other Loan Document, the Borrower hereby acknowledges, confirms and agrees that (a)(i) immediately prior to the Third Amendment Effective Date, the outstanding principal amount of the Term Loan was equal to $170,710,680.23 (such Indebtedness being hereinafter referred to as the “</w:t>
      </w:r>
      <w:r>
        <w:rPr>
          <w:rFonts w:ascii="Times New Roman" w:cs="Times New Roman" w:eastAsia="Times New Roman" w:hAnsi="Times New Roman"/>
          <w:sz w:val="18"/>
          <w:szCs w:val="18"/>
          <w:b w:val="1"/>
          <w:bCs w:val="1"/>
          <w:color w:val="auto"/>
        </w:rPr>
        <w:t>Third Amendment Existing Term Loan Indebtedness</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jc w:val="both"/>
        <w:ind w:firstLine="8"/>
        <w:spacing w:after="0" w:line="251" w:lineRule="auto"/>
        <w:tabs>
          <w:tab w:leader="none" w:pos="27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Amendment Existing Term Loan Indebtedness was not repaid on the Third Amendment Effective Date, but rather was re-evidenced by this Agreement as a portion of the Term Loan outstanding hereunder, (b)(i) immediately prior to the Sixth Amendment Effective Date, the outstanding principal amount of the Term Loan was equal to $273,419,462.68 (such Indebtedness being hereinafter referred to as the “</w:t>
      </w:r>
      <w:r>
        <w:rPr>
          <w:rFonts w:ascii="Times New Roman" w:cs="Times New Roman" w:eastAsia="Times New Roman" w:hAnsi="Times New Roman"/>
          <w:sz w:val="18"/>
          <w:szCs w:val="18"/>
          <w:b w:val="1"/>
          <w:bCs w:val="1"/>
          <w:color w:val="auto"/>
        </w:rPr>
        <w:t>Sixth Amendment Existing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and (ii) such Sixth Amendment Existing Term Loan Indebtedness was not repaid on the Sixth Amendment Effective Date, but rather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re-evidenced by this Agreement as a portion of the Term Loan outstanding hereunder, and (c)(i) on the Seventh Amendment Effective Date, the Borrower shall pay an amendment fee to the Lenders in an amount equal to 3.00% of the aggregate principal amount of Term Loan A and Term Loan B outstanding on the Seventh Amendment Effective Date (calculated with all accrued but unpaid interest paid in kind on the Term Loan being capitalized on the Seventh Amendment Effective Date) (the “</w:t>
      </w:r>
      <w:r>
        <w:rPr>
          <w:rFonts w:ascii="Times New Roman" w:cs="Times New Roman" w:eastAsia="Times New Roman" w:hAnsi="Times New Roman"/>
          <w:sz w:val="18"/>
          <w:szCs w:val="18"/>
          <w:b w:val="1"/>
          <w:bCs w:val="1"/>
          <w:color w:val="auto"/>
        </w:rPr>
        <w:t>Seventh Amendment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7" w:name="page378"/>
    <w:bookmarkEnd w:id="377"/>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and such Seventh Amendment Fee shall be added to the outstanding principal amount of the Term Loan A and the Term Loan B on the Seventh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Effective Date instead of being paid in cash and shall thereafter bear interest in accordance with Section 2.6 and otherwise be treated as a Term Loan for purposes of this Agreement as if it had originally been part of the outstanding principal of the Term Loan, (ii) the Borrower shall repay the outstanding principal amount of the Term Loan C in full in accordance with Section 3.05 of the Seventh Amendment, (iii) after giving effect to the foregoing clauses (c)(i) and (c)(ii) on the Seventh Amendment Effective Date, the outstanding principal amount of the Term Loan (calculated with all accrued but unpaid interest paid in kind on the Term Loan being capitalized on the Seventh Amendment Effective Date) is equal to an amount to be provided in writing by the Agent to the Borrower on or before the Seventh Amendment Effective Date and confirmed in writing by the Borrower (such Indebtedness being hereinafter referred to as the “</w:t>
      </w:r>
      <w:r>
        <w:rPr>
          <w:rFonts w:ascii="Times New Roman" w:cs="Times New Roman" w:eastAsia="Times New Roman" w:hAnsi="Times New Roman"/>
          <w:sz w:val="18"/>
          <w:szCs w:val="18"/>
          <w:b w:val="1"/>
          <w:bCs w:val="1"/>
          <w:color w:val="auto"/>
        </w:rPr>
        <w:t>Seventh Amendment Existing Term Loan Indebtedness</w:t>
      </w:r>
      <w:r>
        <w:rPr>
          <w:rFonts w:ascii="Times New Roman" w:cs="Times New Roman" w:eastAsia="Times New Roman" w:hAnsi="Times New Roman"/>
          <w:sz w:val="18"/>
          <w:szCs w:val="18"/>
          <w:color w:val="auto"/>
        </w:rPr>
        <w:t>”) and (iv) such Seventh Amendment Existing Term Loan Indebtedness shall not be repaid on the Seventh Amendment Effective Date, but rather shall be re-evidenced by this Agreement as a portion of the Term Loan outstanding hereunder.</w:t>
      </w:r>
    </w:p>
    <w:p>
      <w:pPr>
        <w:spacing w:after="0" w:line="18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Accrual of Interest and Maturity; Evidence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67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promises to pay to the Agent for the account of each Lender the then unpaid principal amount of each Loan (plus all accrued and unpaid interest) of and any other outstanding Indebtedness hereunder (including the Yield Maintenance Premium and the Prepayment Premium) owing to such Lender to the Borrower on the Maturity Date and, subject to the terms of the Specified Subordination Agreement, on such other dates and in such other amounts as may be required from time to time pursuant to this Agreement. Subject to the terms and conditions hereof, each Loan shall, from time to time from and after the date of such Loan (until paid), bear interest in accordance with Section 2.6.</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indebtedness of the Borrower to the appropriate lending office of such Lender resulting from each Loan made by such lending office of such Lender from time to time, including the amounts of principal and interest payable thereon and paid to such Lender from time to time under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maintain the Register pursuant to Section 12.7(h), and a subaccount therein for each Lender, in which Register and subaccounts (taken together) shall be recorded (i) the amount of each Loan made hereunder, (ii) the amount of any principal or interest due and payable or to become due and payable from the Borrower to each Lender hereunder in respect of the Loans and (iii) both the amount of any sum received by the Agent hereunder from the Borrower in respect of the Loans and each Lender’s share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9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Register maintained pursuant to paragraph (c) of this Section 2.2 and Section 12.7(h) shall, absent manifest error, to the extent permitted by applicable law, be prima facie evidence of the existence and amounts of the obligations of the Borrower therein recorded;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any Lender or the Agent to maintain the Register or any account, as applicable, or any error therein, shall not in any manner affect the obligation of the Borrower to repay the Loans (and all other amounts owing with respect thereto) made to the Borrower by the Lenders in accordance with the terms of this Agreement. In the event of any conflict between the accounts and records maintained by any Lender and the accounts and records of the Agent in respect of such matters, the accounts and records of the Agent shall control in the absence of manifest error.</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upon written request to the Agent by any Lender, the Borrower will execute and deliver, to such Lender, at the Borrower’s own expense, a Note evidencing the outstanding Loans owing to such Lender.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78" w:name="page379"/>
    <w:bookmarkEnd w:id="378"/>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Requests for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67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Term Loan A, the Borrower shall deliver to the Agent a Request for Loan fully executed by an Authorized Signer no later than 5 Business Days prior to the Effective Date (or such shorter period as the Agent may agree in writing in its sole discretion). Following the Effective Date, whenever the Borrower desires that Lenders make a Term Loan (other than Term Loan A), the Borrower shall deliver to the Agent a fully executed and delivered Request for Loan (which shall specify the principal amount of the proposed Loan and the proposed date of such Loan, which must be a Business Day) no later than 10:00 a.m. (New York City time) at least 10 days in advance of the proposed Credit Date. Except as otherwise provided herein, a Request for Loan for a Term Loan shall be irrevocable on and after the date of receipt by the Agent, and the Borrower shall be bound to make a borrowing in accordance therewith. Promptly upon receipt by the Agent of any Request for Loan, the Agent shall notify each Lender of the proposed borrowing. The Agent and Lenders (i) may act without liability upon the basis of written or facsimile notice believed by the Agent in good faith to be from the Borrower (or from any Authorized Signer), (ii) shall be entitled to rely conclusively on any Authorized Signer’s authority to request a Term Loan on behalf of the Borrower until the Agent receives written notice to the contrary, and (iii) shall have no duty to verify the authenticity of the signature appearing on any written Request for Loan.</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its Term Loan available to the Agent not later than 12:00 p.m. (New York City time) on the applicable Credit Date, by wire transfer of same day funds in Dollars, at the Agent’s Principal Office. Upon satisfaction or waiver of the conditions precedent specified herein, the Agent shall make the proceeds of the Term Loans available to the Borrower on the applicable Credit Date by causing an amount of same day funds in Dollars equal to the proceeds of all such Loans received by the Agent from Lenders to be credited to the account of the Borrower designated in writing to the Agent by the Borrower.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702"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Request for Loan, once delivered to the Agent, shall not be revocable by the Borrower and shall constitute a certification by the Borrower as of the date thereof that: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75"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to the making of Loans set forth in Sections 4.1 and/or 4.2, as applicable, of this Agreement have been satisfied, and shall remain satisfied to the date of such Loan (both before and immediately after giving effect to such Loan);</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35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after giving effect to the making of such Loan and the application of the proceeds thereof, no Default or Event of Default has occurred and is continuing or would result from the making of the Loan to be made; and</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448"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Credit Parties contained in this Agreement and the other Loan Documents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9" w:name="page380"/>
    <w:bookmarkEnd w:id="37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Disbursement of Loans</w:t>
      </w:r>
      <w:r>
        <w:rPr>
          <w:rFonts w:ascii="Times New Roman" w:cs="Times New Roman" w:eastAsia="Times New Roman" w:hAnsi="Times New Roman"/>
          <w:sz w:val="18"/>
          <w:szCs w:val="18"/>
          <w:color w:val="auto"/>
        </w:rPr>
        <w:t>. Unless the Agent shall have been notified in writing by any Lender prior to the applicable Credit Date that such Lender does not intend to make available to the Agent the amount of such Lender’s Loan requested on such Credit Date, the Agent may assume that such Lender has made such amount available to the Agent on such Credit Date and the Agent may but shall not be obligated to, make available to the Borrower a corresponding amount on such Credit Date. If such corresponding amount is not in fact made available to the Agent by such Lender, the Agent shall be entitled to recover such corresponding amount on demand from such Lender together with interest thereon, for each day from such Credit Date until the date such amount is paid to the Agent, at the customary rate set by the Agent for the correction of errors among banks for three Business Days and thereafter at the rate specified in Section 2.6(a). If such Lender does not pay such corresponding amount forthwith upon the Agent’s demand therefor, the Agent shall promptly notify the Borrower and the Borrower shall immediately pay such corresponding amount to the Agent together with interest thereon, for each day from such Credit Date until the date such amount is paid to the Agent, at the rate specified in Section 2.6(a). Nothing in this Section 2.4 shall be deemed to relieve any Lender from its obligation to fulfill its Term Loan Commitments hereunder or to prejudice any rights that the Borrower may have against any Lender as a result of any default by such Lender hereunder.</w:t>
      </w:r>
    </w:p>
    <w:p>
      <w:pPr>
        <w:spacing w:after="0" w:line="19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Borrower agrees to pay to the Agent all fees payable by it in the Fee Letter in the amounts and at the times specified therein.</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Interest Payments; Default 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72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each Class of Loan shall bear interest on the unpaid principal amount thereof from the date made through repayment (whether by acceleration or otherwise) thereof as follows:</w:t>
      </w:r>
    </w:p>
    <w:p>
      <w:pPr>
        <w:spacing w:after="0" w:line="16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30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Term Loan A and Term Loan B, at a rate per annum equal to the Applicable Margin, which shall be due and payable in cash, in arrears, on each Interest Payment Date; provided, that (A) interest accruing at a rate per annum up to the Applicable PIK Rate may be paid by capitalizing such interest and adding such capitalized interest to the then outstanding principal amount of the Term Loan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 solely with respect to accrued and unpaid interest on the Term Loan that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was</w:t>
      </w:r>
      <w:r>
        <w:rPr>
          <w:rFonts w:ascii="Times New Roman" w:cs="Times New Roman" w:eastAsia="Times New Roman" w:hAnsi="Times New Roman"/>
          <w:sz w:val="18"/>
          <w:szCs w:val="18"/>
          <w:color w:val="auto"/>
        </w:rPr>
        <w:t xml:space="preserve"> due and payable on the Interest Payment Date occurring on August 1, 2025, (1) the portion of such interest that </w:t>
      </w:r>
      <w:r>
        <w:rPr>
          <w:rFonts w:ascii="Times New Roman" w:cs="Times New Roman" w:eastAsia="Times New Roman" w:hAnsi="Times New Roman"/>
          <w:sz w:val="18"/>
          <w:szCs w:val="18"/>
          <w:color w:val="FF0000"/>
          <w:strike w:val="1"/>
        </w:rPr>
        <w:t>accrues</w:t>
      </w:r>
      <w:r>
        <w:rPr>
          <w:rFonts w:ascii="Times New Roman" w:cs="Times New Roman" w:eastAsia="Times New Roman" w:hAnsi="Times New Roman"/>
          <w:sz w:val="18"/>
          <w:szCs w:val="18"/>
          <w:u w:val="single" w:color="auto"/>
          <w:color w:val="0000FF"/>
        </w:rPr>
        <w:t>accrued</w:t>
      </w:r>
      <w:r>
        <w:rPr>
          <w:rFonts w:ascii="Times New Roman" w:cs="Times New Roman" w:eastAsia="Times New Roman" w:hAnsi="Times New Roman"/>
          <w:sz w:val="18"/>
          <w:szCs w:val="18"/>
          <w:color w:val="auto"/>
        </w:rPr>
        <w:t xml:space="preserve"> at the Applicable PIK Rate pursuant to the foregoing clause (A) </w:t>
      </w:r>
      <w:r>
        <w:rPr>
          <w:rFonts w:ascii="Times New Roman" w:cs="Times New Roman" w:eastAsia="Times New Roman" w:hAnsi="Times New Roman"/>
          <w:sz w:val="18"/>
          <w:szCs w:val="18"/>
          <w:color w:val="FF0000"/>
          <w:strike w:val="1"/>
        </w:rPr>
        <w:t>shall be</w:t>
      </w:r>
      <w:r>
        <w:rPr>
          <w:rFonts w:ascii="Times New Roman" w:cs="Times New Roman" w:eastAsia="Times New Roman" w:hAnsi="Times New Roman"/>
          <w:sz w:val="18"/>
          <w:szCs w:val="18"/>
          <w:u w:val="single" w:color="auto"/>
          <w:color w:val="0000FF"/>
        </w:rPr>
        <w:t>was</w:t>
      </w:r>
      <w:r>
        <w:rPr>
          <w:rFonts w:ascii="Times New Roman" w:cs="Times New Roman" w:eastAsia="Times New Roman" w:hAnsi="Times New Roman"/>
          <w:sz w:val="18"/>
          <w:szCs w:val="18"/>
          <w:color w:val="auto"/>
        </w:rPr>
        <w:t xml:space="preserve"> paid by capitalizing such interest and adding such capitalized interest to the then outstanding principal amount of the Term Loan on such Interest Payment Date (i.e., August 1, 2025) and (2) the portion of such interest that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was</w:t>
      </w:r>
      <w:r>
        <w:rPr>
          <w:rFonts w:ascii="Times New Roman" w:cs="Times New Roman" w:eastAsia="Times New Roman" w:hAnsi="Times New Roman"/>
          <w:sz w:val="18"/>
          <w:szCs w:val="18"/>
          <w:color w:val="auto"/>
        </w:rPr>
        <w:t xml:space="preserve"> payable in cash on such Interest Payment Date shall instead be </w:t>
      </w:r>
      <w:r>
        <w:rPr>
          <w:rFonts w:ascii="Times New Roman" w:cs="Times New Roman" w:eastAsia="Times New Roman" w:hAnsi="Times New Roman"/>
          <w:sz w:val="18"/>
          <w:szCs w:val="18"/>
          <w:u w:val="single" w:color="auto"/>
          <w:color w:val="0000FF"/>
        </w:rPr>
        <w:t>paid by capitalizing such interest and adding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capitalized interest to the then outstanding principal amount of the Term Loan on the Fourteenth Amendment Effective Date and (C) solely with respect to accrued and unpaid interest on the Term Loan that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due and payable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August 29, 2025.</w:t>
      </w:r>
      <w:r>
        <w:rPr>
          <w:rFonts w:ascii="Times New Roman" w:cs="Times New Roman" w:eastAsia="Times New Roman" w:hAnsi="Times New Roman"/>
          <w:sz w:val="18"/>
          <w:szCs w:val="18"/>
          <w:u w:val="single" w:color="auto"/>
          <w:color w:val="0000FF"/>
        </w:rPr>
        <w:t>any Interest Payment Date occurring during the period from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Fourteenth Amendment Effective Date until the Relief Termination Date, all such interest shall be paid by capitalizing such interest and adding such capitalized interest to the then outstanding principal amount of the Term Loan on such Interest Payment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Borrower shall provide the Agent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written notice of its election to capitalize interest pursuant to this clause (i) at least fifteen (15) Business Days (or such shorter period as the Agent may agree in writing in its sole discretion) in advance of each Interest Payment Date. If the Borrower fails to provide such written notice, all interest due and payable on the following Interest Payment Date shall be due and payable in cash. Any interest to be so capitalized pursuant to this clause (i) shall be capitalized on each designated Interest Payment Date and added to the then outstanding principal amount of the Term Loan and, thereafter, shall bear interest as provided hereunder as if it had originally been part of the outstanding principal of the Term Loan; and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0" w:name="page381"/>
    <w:bookmarkEnd w:id="380"/>
    <w:p>
      <w:pPr>
        <w:ind w:left="2360" w:hanging="408"/>
        <w:spacing w:after="0"/>
        <w:tabs>
          <w:tab w:leader="none" w:pos="23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Incremental Term Loans, at the rate set forth in the Joinder Agreement.</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payable (i) as set forth in clause (a) above; (ii) upon any prepayment of that Loan, whether voluntary or mandatory, to the extent accrued on the amount of principal being prepaid; and (iii) on the Maturity Date. Whenever any payment under this Section 2.6 shall become due on a day which is not a Business Day, the date for payment thereof shall be extended to the next Business Day. Interest shall be computed on the basis of a 360 day year, in each case for the actual number of days elapsed in the period during which it accrues.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1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the principal amount of all Loans outstanding and, to the extent permitted by applicable law, any interest payments on the Loans or any fees or other amounts owed hereunder (including any Yield Maintenance Premium and the Prepayment Premium), shall thereafter automatically bear interest (including post-petition interest in any proceeding under the Bankruptcy Code or other applicable bankruptcy laws), from the date such Event of Default occurred until the date such Event of Default is cured or waived in writing in accordance herewith, payable on demand at a rate that is 2% per annum in excess of the interest rate otherwise payable hereunder with respect to the applicable Loans (“</w:t>
      </w:r>
      <w:r>
        <w:rPr>
          <w:rFonts w:ascii="Times New Roman" w:cs="Times New Roman" w:eastAsia="Times New Roman" w:hAnsi="Times New Roman"/>
          <w:sz w:val="18"/>
          <w:szCs w:val="18"/>
          <w:b w:val="1"/>
          <w:bCs w:val="1"/>
          <w:color w:val="auto"/>
        </w:rPr>
        <w:t>Post-Default Rate</w:t>
      </w:r>
      <w:r>
        <w:rPr>
          <w:rFonts w:ascii="Times New Roman" w:cs="Times New Roman" w:eastAsia="Times New Roman" w:hAnsi="Times New Roman"/>
          <w:sz w:val="18"/>
          <w:szCs w:val="18"/>
          <w:color w:val="auto"/>
        </w:rPr>
        <w:t>”). Payment or acceptance of the increased rates of interest provided for in this Section 2.6(d) is not a permitted alternative to timely payment and shall not constitute a waiver of any Event of Default or otherwise prejudice or limit any rights or remedies of the Agent or any Lender.</w:t>
      </w:r>
    </w:p>
    <w:p>
      <w:pPr>
        <w:spacing w:after="0" w:line="19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Optional Prepayments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8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Specified Subordination Agreement, with respect to each Term Loan, any time after the Seventh Amendment Effective Date, the Borrower may prepay such Term Loan on any Business Day, in whole or in part, in an aggregate minimum amount of $5,000,000 and integral multiples of $1,000,000 in excess of that amount, subject to the payment of the Yield Maintenance Premium and the Prepayment Premium, as applicable.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prepayments shall be made upon not less than 10 Business Day’s (or such shorter period as the Agent may agree in writing in its sole discretion) prior written notice to the Agent by 10:00 a.m. (New York time) on the date required. Upon the giving of any such notice, the principal amount of the Term Loan specified in such notice shall become due and payable on the prepayment date specified therein.</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Mandatory 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20" w:firstLine="1943"/>
        <w:spacing w:after="0" w:line="254" w:lineRule="auto"/>
        <w:tabs>
          <w:tab w:leader="none" w:pos="247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Subject to the terms of the Specified Subordination Agreement, no later than the third Business Day following the date of receipt by any Credit Party of any Net Cash Proceeds from Asset Sales (excluding Asset Sales permitted under Section 7.4 other than Section 7.4(g)(ii)) in excess of $1,000,000 in the aggregate in any Fiscal Year, the Borrower shall prepay the Loans as set forth in Section 2.9(a) in an aggregate amount equal to such Net Cash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 long as (i) no Event of Default shall have occurred and be continuing, (ii) the Borrower has delivered the Agent prior written notice of the Borrower’s intention to apply such monies (the “</w:t>
      </w:r>
      <w:r>
        <w:rPr>
          <w:rFonts w:ascii="Times New Roman" w:cs="Times New Roman" w:eastAsia="Times New Roman" w:hAnsi="Times New Roman"/>
          <w:sz w:val="18"/>
          <w:szCs w:val="18"/>
          <w:b w:val="1"/>
          <w:bCs w:val="1"/>
          <w:color w:val="auto"/>
        </w:rPr>
        <w:t>Reinvestment Amounts</w:t>
      </w:r>
      <w:r>
        <w:rPr>
          <w:rFonts w:ascii="Times New Roman" w:cs="Times New Roman" w:eastAsia="Times New Roman" w:hAnsi="Times New Roman"/>
          <w:sz w:val="18"/>
          <w:szCs w:val="18"/>
          <w:color w:val="auto"/>
        </w:rPr>
        <w:t>”) to the costs of replacement of the properties or assets that are the subject of such sale or disposition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1" w:name="page382"/>
    <w:bookmarkEnd w:id="381"/>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Borrower shall have the option to apply such monies to the costs of replacement of the assets that are the subject of such sale or disposition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Nothing contained in this Section 2.8(a) shall permit the Borrower or any of its Subsidiaries to sell or otherwise dispose of any assets other than in accordance with Section 7.4.</w:t>
      </w:r>
    </w:p>
    <w:p>
      <w:pPr>
        <w:spacing w:after="0" w:line="183" w:lineRule="exact"/>
        <w:rPr>
          <w:sz w:val="20"/>
          <w:szCs w:val="20"/>
          <w:color w:val="auto"/>
        </w:rPr>
      </w:pPr>
    </w:p>
    <w:p>
      <w:pPr>
        <w:jc w:val="both"/>
        <w:ind w:firstLine="1304"/>
        <w:spacing w:after="0" w:line="253" w:lineRule="auto"/>
        <w:tabs>
          <w:tab w:leader="none" w:pos="168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Insurance/Condemnation Proceeds</w:t>
      </w:r>
      <w:r>
        <w:rPr>
          <w:rFonts w:ascii="Times New Roman" w:cs="Times New Roman" w:eastAsia="Times New Roman" w:hAnsi="Times New Roman"/>
          <w:sz w:val="18"/>
          <w:szCs w:val="18"/>
          <w:color w:val="auto"/>
        </w:rPr>
        <w:t xml:space="preserve">. Subject to the terms of the Specified Subordination Agreement, no later than the third Business Day following the date of receipt by any Credit Party, or the Agent as loss payee, of any Net Cash Proceeds from insurance or any condemnation, taking or other casualty in excess of $1,000,000 in the aggregate in any Fiscal Year, the Borrower shall prepay the Loans in an aggregate amount equal to such Net Cash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 long as (i) no Event of Default shall have occurred and be continuing, (ii) the Borrower has delivered the Agent prior written notice of the Borrower’s intention to apply the Reinvestment Amounts to the costs of replacement of the properties or assets that are the subject of such condemnation, taking or other casualty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condemnation, taking or other casualty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9"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Debt</w:t>
      </w:r>
      <w:r>
        <w:rPr>
          <w:rFonts w:ascii="Times New Roman" w:cs="Times New Roman" w:eastAsia="Times New Roman" w:hAnsi="Times New Roman"/>
          <w:sz w:val="18"/>
          <w:szCs w:val="18"/>
          <w:color w:val="auto"/>
        </w:rPr>
        <w:t>. Subject to the terms of the Specified Subordination Agreement, on the date of receipt by any Credit Party of any cash proceeds from the incurrence of any Debt of any Credit Party (other than with respect to any Debt permitted to be incurred pursuant to Section 7.1), the Borrower shall prepay the Loans in accordance with Section 2.9(a) in an aggregate amount equal to 100% of such proceeds, net of underwriting discounts and commissions and other reasonable costs and expenses associated therewith, in each case, paid to non-Affiliates, including reasonable legal fees and expenses.</w:t>
      </w:r>
    </w:p>
    <w:p>
      <w:pPr>
        <w:spacing w:after="0" w:line="183"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Notice and Certificate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61"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provide written notice to the Agent of the anticipated date of any prepayment of the Loans (which notice is not required to include the amount of such prepayment) pursuant to Sections 2.8(a) through 2.8(c) at least 10 Business Days (or such shorter period as the Borrower and Agent may agree) prior to such prepayment.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384"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prepayment of the Loans pursuant to Sections 2.8(a) through 2.8(c), the Borrower shall deliver to the Agent a certificate of a Responsible Officer demonstrating the calculation of the amount of the applicable cash proceeds and compensation owing to Lenders under the Fee Letter. In the event that the Borrower shall subsequently determine that the actual amount received exceeded the amount set forth in such certificate, the Borrower shall promptly make an additional prepayment of the Loans, and the Borrower shall concurrently therewith deliver to the Agent a certificate of a Responsible Officer demonstrating the derivation of such excess.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2" w:name="page383"/>
    <w:bookmarkEnd w:id="382"/>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797"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prepayment of any Term Loan pursuant to Section 2.7 and (ii) except in connection with any Waivable Mandatory Prepayment provided for in Section 2.9(b), so long as no Application Event has occurred and is continuing, any mandatory prepayment of any Loan pursuant to Section 2.8, in each case, shall be applied as follows:</w:t>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ratably prepay the principal of the Term Loan A and Term Loan B until paid in full; and</w:t>
      </w:r>
    </w:p>
    <w:p>
      <w:pPr>
        <w:spacing w:after="0" w:line="225" w:lineRule="exact"/>
        <w:rPr>
          <w:sz w:val="20"/>
          <w:szCs w:val="20"/>
          <w:color w:val="auto"/>
        </w:rPr>
      </w:pPr>
    </w:p>
    <w:p>
      <w:pPr>
        <w:ind w:firstLine="2592"/>
        <w:spacing w:after="0" w:line="284"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ratably prepay the principal of the Incremental Term Loans, if any (in the order of the Credit Dates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Incremental Term Loans), until paid in full;</w:t>
      </w:r>
    </w:p>
    <w:p>
      <w:pPr>
        <w:spacing w:after="0" w:line="160" w:lineRule="exact"/>
        <w:rPr>
          <w:sz w:val="20"/>
          <w:szCs w:val="20"/>
          <w:color w:val="auto"/>
        </w:rPr>
      </w:pPr>
    </w:p>
    <w:p>
      <w:pPr>
        <w:jc w:val="both"/>
        <w:ind w:firstLine="1304"/>
        <w:spacing w:after="0" w:line="253" w:lineRule="auto"/>
        <w:tabs>
          <w:tab w:leader="none" w:pos="1848"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contained herein to the contrary notwithstanding, in the event the Borrower is required to make any mandatory prepayment (a “</w:t>
      </w:r>
      <w:r>
        <w:rPr>
          <w:rFonts w:ascii="Times New Roman" w:cs="Times New Roman" w:eastAsia="Times New Roman" w:hAnsi="Times New Roman"/>
          <w:sz w:val="18"/>
          <w:szCs w:val="18"/>
          <w:b w:val="1"/>
          <w:bCs w:val="1"/>
          <w:color w:val="auto"/>
        </w:rPr>
        <w:t>Waivable Mandatory Prepayment</w:t>
      </w:r>
      <w:r>
        <w:rPr>
          <w:rFonts w:ascii="Times New Roman" w:cs="Times New Roman" w:eastAsia="Times New Roman" w:hAnsi="Times New Roman"/>
          <w:sz w:val="18"/>
          <w:szCs w:val="18"/>
          <w:color w:val="auto"/>
        </w:rPr>
        <w:t>”) of the Term Loans, not less than three Business Days prior to the date (the “</w:t>
      </w:r>
      <w:r>
        <w:rPr>
          <w:rFonts w:ascii="Times New Roman" w:cs="Times New Roman" w:eastAsia="Times New Roman" w:hAnsi="Times New Roman"/>
          <w:sz w:val="18"/>
          <w:szCs w:val="18"/>
          <w:b w:val="1"/>
          <w:bCs w:val="1"/>
          <w:color w:val="auto"/>
        </w:rPr>
        <w:t>Required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on which the Borrower is required to make such Waivable Mandatory Prepayment, the Borrower shall notify the Agent in writing of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prepayment by 2:00 p.m. (New York City time) on such date, and the Agent will promptly thereafter notify each Lender holding an outstanding Term Loan of the amount of such Lender’s Pro Rata Share of such Waivable Mandatory Prepayment and such Lender’s option to decline such amount. Each such Lender may exercise such option by giving written notice to the Borrower and the Agent of its election to do so on or before 2:00 p.m. (New York City time) on the first Business Day prior to the Required Prepayment Date (it being understood that any Lender which does not notify the Borrower and the Agent of its election to exercise such option on or before 2:00 p.m. (New York City time) on the first Business Day prior to the Required Prepayment Date shall be deemed to have elected, as of such date, not to exercise such option). On the Required Prepayment Date, the Borrower shall pay to the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Section 2.9(a)), and (ii) to the extent of any excess, to the Borrower for working capital and general corporate purposes.</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 Application Event has occurred and is continuing, all payments shall be applied pursuant to Section 9.2. Nothing contained herein shall modify the provisions of the Fee Letter or Section 9.1(c) regarding the requirement that all prepayments be accompanied by accrued interest and fees and premiums (including the Yield Maintenance Premium and the Prepayment Premium) on the principal amount being prepaid to the date of such prepayment, or any requirement otherwise contained herein to pay all other amounts as the same become due and payable.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Use of Proceeds of Loans</w:t>
      </w:r>
      <w:r>
        <w:rPr>
          <w:rFonts w:ascii="Times New Roman" w:cs="Times New Roman" w:eastAsia="Times New Roman" w:hAnsi="Times New Roman"/>
          <w:sz w:val="18"/>
          <w:szCs w:val="18"/>
          <w:color w:val="auto"/>
        </w:rPr>
        <w:t>. The proceeds of the Term Loan A made on the Effective Date shall be used by the Borrower to repay in full the Existing Indebtedness, for general working capital purposes of the Borrower and to pay fees and expenses related to this Agreement. The proceeds of the Term Loan B made after the Effective Date shall be applied by the Borrower and its Subsidiaries for working capital and general corporate purposes of the Borrower (primarily for the funding of purchases of Inventory to support the Borrower’s growth strategy), but including without limitation, Investments permitted under Section 7.6 and to pay fees and expenses related to this Agreement.</w:t>
      </w:r>
    </w:p>
    <w:p>
      <w:pPr>
        <w:spacing w:after="0" w:line="18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797"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2.11(b), the Borrower may by written notice to Agent elect to request the establishment of one or more Incremental Term Loan commitments (the “</w:t>
      </w:r>
      <w:r>
        <w:rPr>
          <w:rFonts w:ascii="Times New Roman" w:cs="Times New Roman" w:eastAsia="Times New Roman" w:hAnsi="Times New Roman"/>
          <w:sz w:val="18"/>
          <w:szCs w:val="18"/>
          <w:b w:val="1"/>
          <w:bCs w:val="1"/>
          <w:color w:val="auto"/>
        </w:rPr>
        <w:t>Incremental Term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3" w:name="page384"/>
    <w:bookmarkEnd w:id="383"/>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Loan Commitments</w:t>
      </w:r>
      <w:r>
        <w:rPr>
          <w:rFonts w:ascii="Times New Roman" w:cs="Times New Roman" w:eastAsia="Times New Roman" w:hAnsi="Times New Roman"/>
          <w:sz w:val="18"/>
          <w:szCs w:val="18"/>
          <w:color w:val="auto"/>
        </w:rPr>
        <w:t>”), in an aggregate amount of up to $70,000,000. Each such notice shall specify the date (an “</w:t>
      </w:r>
      <w:r>
        <w:rPr>
          <w:rFonts w:ascii="Times New Roman" w:cs="Times New Roman" w:eastAsia="Times New Roman" w:hAnsi="Times New Roman"/>
          <w:sz w:val="18"/>
          <w:szCs w:val="18"/>
          <w:b w:val="1"/>
          <w:bCs w:val="1"/>
          <w:color w:val="auto"/>
        </w:rPr>
        <w:t>Increased Amount Date</w:t>
      </w:r>
      <w:r>
        <w:rPr>
          <w:rFonts w:ascii="Times New Roman" w:cs="Times New Roman" w:eastAsia="Times New Roman" w:hAnsi="Times New Roman"/>
          <w:sz w:val="18"/>
          <w:szCs w:val="18"/>
          <w:color w:val="auto"/>
        </w:rPr>
        <w:t>”)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proposes that the Incremental Term Loan Commitments shall be effective, which shall be a date not less than 30 days after the date on which such notice is delivered to the Agent. The opportunity to commit to provide all or a portion of the Incremental Term Loan Commitment shall be offered by the Borrower to any Eligible Incremental Lenders. To the extent any Eligible Incremental Lenders have provided a commitment to provide such Incremental Term Loan Commitment, the Borrower shall provide a copy of such commitment letter to the Agent for distribution to the existing Lenders and offer the existing Lenders the opportunity to provide such Incremental Term Loan Commitment on the same terms as set forth in such commitment letter (the date the Agent receives such commitment letter,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If the existing Lenders have not agreed in writing to provide such Incremental Term Loan Commitment within 15 days of the Notice Date, then the Eligible Incremental Lenders may provide the Incremental Term Loan Commitment on the terms of such commitment letter and subject to this Section 2.11. Any existing Lender approached to provide all or a portion of such Incremental Term Loan Commitments may elect or decline, in its sole discretion, to provide such Incremental Term Loan Commitment.</w:t>
      </w:r>
    </w:p>
    <w:p>
      <w:pPr>
        <w:spacing w:after="0" w:line="189" w:lineRule="exact"/>
        <w:rPr>
          <w:sz w:val="20"/>
          <w:szCs w:val="20"/>
          <w:color w:val="auto"/>
        </w:rPr>
      </w:pPr>
    </w:p>
    <w:p>
      <w:pPr>
        <w:ind w:firstLine="1304"/>
        <w:spacing w:after="0" w:line="282" w:lineRule="auto"/>
        <w:tabs>
          <w:tab w:leader="none" w:pos="168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Term Loan Commitments shall become effective, as of such Increased Amount Date, subject to the satisfaction of each of the following conditions:</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have funded 100% of the aggregate amount of the Term Loan B Commitments of the Lenders;</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47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obtained the commitment of one or more Incremental Term Loan Lenders to provide the applicable Incremental Term Loan and any such Incremental Term Loan Lenders, the Borrower and the Agent have signed an amendment to this Agreement pursuant to which such Incremental Term Loan Lenders agree to make, subject to the terms of this Agreement, a term loan to the Borrower (an “</w:t>
      </w:r>
      <w:r>
        <w:rPr>
          <w:rFonts w:ascii="Times New Roman" w:cs="Times New Roman" w:eastAsia="Times New Roman" w:hAnsi="Times New Roman"/>
          <w:sz w:val="18"/>
          <w:szCs w:val="18"/>
          <w:b w:val="1"/>
          <w:bCs w:val="1"/>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in an amount equal to its Incremental Term Loan Commitment and to otherwise evidence such Incremental Term Loan, in form and substance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satisfactory to the Agent (each, a ”</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on such Increased Amount Date;</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411"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Increased Amount Date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spacing w:after="0" w:line="187" w:lineRule="exact"/>
        <w:rPr>
          <w:rFonts w:ascii="Times New Roman" w:cs="Times New Roman" w:eastAsia="Times New Roman" w:hAnsi="Times New Roman"/>
          <w:sz w:val="18"/>
          <w:szCs w:val="18"/>
          <w:color w:val="auto"/>
        </w:rPr>
      </w:pPr>
    </w:p>
    <w:p>
      <w:pPr>
        <w:jc w:val="both"/>
        <w:ind w:firstLine="1952"/>
        <w:spacing w:after="0" w:line="259" w:lineRule="auto"/>
        <w:tabs>
          <w:tab w:leader="none" w:pos="2361"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reached agreement with the lenders making the Incremental Term Loan (the “</w:t>
      </w:r>
      <w:r>
        <w:rPr>
          <w:rFonts w:ascii="Times New Roman" w:cs="Times New Roman" w:eastAsia="Times New Roman" w:hAnsi="Times New Roman"/>
          <w:sz w:val="18"/>
          <w:szCs w:val="18"/>
          <w:b w:val="1"/>
          <w:bCs w:val="1"/>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 Lenders</w:t>
      </w:r>
      <w:r>
        <w:rPr>
          <w:rFonts w:ascii="Times New Roman" w:cs="Times New Roman" w:eastAsia="Times New Roman" w:hAnsi="Times New Roman"/>
          <w:sz w:val="18"/>
          <w:szCs w:val="18"/>
          <w:color w:val="auto"/>
        </w:rPr>
        <w:t>”) with respect to the interest margins applicable to such Incremental Term Loan (which interest margins may be higher than, equal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 than the interest margins applicable to the Term Loan set forth in this Agreement immediately prior to the date of the making of such Incremental Term Loan, as applicable) and shall have communicated the amount of such interest margins to the Agent. Anything to the contrary contained herein notwithstanding, if the all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84" w:name="page385"/>
    <w:bookmarkEnd w:id="384"/>
    <w:p>
      <w:pPr>
        <w:jc w:val="both"/>
        <w:spacing w:after="0" w:line="256" w:lineRule="auto"/>
        <w:rPr>
          <w:sz w:val="20"/>
          <w:szCs w:val="20"/>
          <w:color w:val="auto"/>
        </w:rPr>
      </w:pPr>
      <w:r>
        <w:rPr>
          <w:rFonts w:ascii="Times New Roman" w:cs="Times New Roman" w:eastAsia="Times New Roman" w:hAnsi="Times New Roman"/>
          <w:sz w:val="18"/>
          <w:szCs w:val="18"/>
          <w:color w:val="auto"/>
        </w:rPr>
        <w:t>in yield (including interest margins, interest floors, original issue discount, closing fees or other similar yield related discounts based on an assumed four-year to life maturity, but excluding any arrangement, underwriting or similar fees that are not shared with all of the Lenders or prospective lenders) (the “</w:t>
      </w:r>
      <w:r>
        <w:rPr>
          <w:rFonts w:ascii="Times New Roman" w:cs="Times New Roman" w:eastAsia="Times New Roman" w:hAnsi="Times New Roman"/>
          <w:sz w:val="18"/>
          <w:szCs w:val="18"/>
          <w:b w:val="1"/>
          <w:bCs w:val="1"/>
          <w:color w:val="auto"/>
        </w:rPr>
        <w:t>All In Yield</w:t>
      </w:r>
      <w:r>
        <w:rPr>
          <w:rFonts w:ascii="Times New Roman" w:cs="Times New Roman" w:eastAsia="Times New Roman" w:hAnsi="Times New Roman"/>
          <w:sz w:val="18"/>
          <w:szCs w:val="18"/>
          <w:color w:val="auto"/>
        </w:rPr>
        <w:t>”) that is to be applicable to such Incremental Term Loan is 50 basis points or more higher than the All In Yield applicable to the Term Loans hereunder immediately prior to the applicable Increased Amount Date (the amount by which the interest margins are higher, the “</w:t>
      </w:r>
      <w:r>
        <w:rPr>
          <w:rFonts w:ascii="Times New Roman" w:cs="Times New Roman" w:eastAsia="Times New Roman" w:hAnsi="Times New Roman"/>
          <w:sz w:val="18"/>
          <w:szCs w:val="18"/>
          <w:u w:val="single" w:color="auto"/>
          <w:color w:val="auto"/>
        </w:rPr>
        <w:t>Excess</w:t>
      </w:r>
      <w:r>
        <w:rPr>
          <w:rFonts w:ascii="Times New Roman" w:cs="Times New Roman" w:eastAsia="Times New Roman" w:hAnsi="Times New Roman"/>
          <w:sz w:val="18"/>
          <w:szCs w:val="18"/>
          <w:color w:val="auto"/>
        </w:rPr>
        <w:t>”), then the All In Yield applicable to each applicable Class of Term Loans immediately prior to the Increased Amount Date shall be increased by the amount of the Excess minus 50 basis points, effective on the applicable Increased Amount Date, and without the necessity of any action by any party hereto.</w:t>
      </w:r>
    </w:p>
    <w:p>
      <w:pPr>
        <w:spacing w:after="0" w:line="187" w:lineRule="exact"/>
        <w:rPr>
          <w:sz w:val="20"/>
          <w:szCs w:val="20"/>
          <w:color w:val="auto"/>
        </w:rPr>
      </w:pPr>
    </w:p>
    <w:p>
      <w:pPr>
        <w:ind w:left="1780" w:hanging="476"/>
        <w:spacing w:after="0"/>
        <w:tabs>
          <w:tab w:leader="none" w:pos="17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Loan Lender shall make an Incremental Term Loan subject to the satisfaction of each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w:t>
      </w:r>
    </w:p>
    <w:p>
      <w:pPr>
        <w:spacing w:after="0" w:line="207" w:lineRule="exact"/>
        <w:rPr>
          <w:sz w:val="20"/>
          <w:szCs w:val="20"/>
          <w:color w:val="auto"/>
        </w:rPr>
      </w:pPr>
    </w:p>
    <w:p>
      <w:pPr>
        <w:ind w:left="2300" w:hanging="348"/>
        <w:spacing w:after="0"/>
        <w:tabs>
          <w:tab w:leader="none" w:pos="2300"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conditions set forth in Section 4.2 shall have been satisfied on the applicable Credit Date; and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65"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Incremental Term Loan shall be in an aggregate amount of at least $20,000,000 and integral multiples of $1,000,000 above such amount (except, in each case, such minimum amount and integral multiples amount shall not apply when the Borrower uses all of the Incremental Term Loan Commitments available at such time).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3"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Increased Amount Date on which any Incremental Term Loan Commitments of any tranche are effective, subject to the satisfaction of the foregoing terms and conditions, each Incremental Term Loan Lender shall become a Lender hereunder with respect to the Incremental Term Loan Commitment and the Incremental Term Loans made pursuant thereto. Any Incremental Term Loans made on an Increased Amount Date shall be designated a separate Class for all purposes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75"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provisions of the Incremental Term Loans and Incremental Term Loan Commitments shall be, except as otherwise set forth herein or in a Joinder Agreement, identical to the Term Loan immediately prior to the making of such Incremental Term Loan. Each such Joinder Agreement may, without the consent of any other Lenders, effect such amendments to this Agreement and the other Loan Documents as may be necessary or appropriate, in the reasonable opinion of Agent, to effect the provision of this Section 2.11. All Incremental Term Loans shall be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Term Loans, shall not be secured by a Lien on any assets of the Borrower or any Guarantor not constituting Collateral and shall not be guaranteed by any person other than the Guarantors.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[INTENTIONALLY OMITTED].</w:t>
      </w:r>
    </w:p>
    <w:p>
      <w:pPr>
        <w:spacing w:after="0" w:line="22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the Lenders to make Loans pursuant to this Agreement are subject to the following conditions: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Conditions of Term Loan A</w:t>
      </w:r>
      <w:r>
        <w:rPr>
          <w:rFonts w:ascii="Times New Roman" w:cs="Times New Roman" w:eastAsia="Times New Roman" w:hAnsi="Times New Roman"/>
          <w:sz w:val="18"/>
          <w:szCs w:val="18"/>
          <w:color w:val="auto"/>
        </w:rPr>
        <w:t>. The obligations of the Lenders to make Term Loan A pursuant to this Agreement on the Effective Date are subject to the following conditions:</w:t>
      </w:r>
    </w:p>
    <w:p>
      <w:pPr>
        <w:spacing w:after="0" w:line="162" w:lineRule="exact"/>
        <w:rPr>
          <w:sz w:val="20"/>
          <w:szCs w:val="20"/>
          <w:color w:val="auto"/>
        </w:rPr>
      </w:pPr>
    </w:p>
    <w:p>
      <w:pPr>
        <w:jc w:val="both"/>
        <w:ind w:firstLine="1304"/>
        <w:spacing w:after="0" w:line="261" w:lineRule="auto"/>
        <w:tabs>
          <w:tab w:leader="none" w:pos="167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this Agreement and the other Loan Documents; Warrant Documents</w:t>
      </w:r>
      <w:r>
        <w:rPr>
          <w:rFonts w:ascii="Times New Roman" w:cs="Times New Roman" w:eastAsia="Times New Roman" w:hAnsi="Times New Roman"/>
          <w:sz w:val="18"/>
          <w:szCs w:val="18"/>
          <w:color w:val="auto"/>
        </w:rPr>
        <w:t>. The Borrower shall have executed and delivered to the Agent for the account of each Lender requesting Notes, the Notes; the Borrower shall have executed and delivered this Agreement; and the Borrower and each Guarantor shall have executed and delivered the other Loan Documents (other than the Loan Documents permitted to be delivered after the Effective Date pursuant to Section 4.3) to which the Borrower or such</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5" w:name="page386"/>
    <w:bookmarkEnd w:id="385"/>
    <w:p>
      <w:pPr>
        <w:jc w:val="both"/>
        <w:spacing w:after="0" w:line="266" w:lineRule="auto"/>
        <w:rPr>
          <w:sz w:val="20"/>
          <w:szCs w:val="20"/>
          <w:color w:val="auto"/>
        </w:rPr>
      </w:pPr>
      <w:r>
        <w:rPr>
          <w:rFonts w:ascii="Times New Roman" w:cs="Times New Roman" w:eastAsia="Times New Roman" w:hAnsi="Times New Roman"/>
          <w:sz w:val="18"/>
          <w:szCs w:val="18"/>
          <w:color w:val="auto"/>
        </w:rPr>
        <w:t>Guarantor is required to be a party (including all schedules and other documents to be delivered pursuant hereto); and such Notes (if any), this Agreement and the other Loan Documents shall be in full force and effect in accordance with the terms of the Disbursement Letter. The Borrower shall have executed and delivered the Warrant Documents.</w:t>
      </w:r>
    </w:p>
    <w:p>
      <w:pPr>
        <w:spacing w:after="0" w:line="176" w:lineRule="exact"/>
        <w:rPr>
          <w:sz w:val="20"/>
          <w:szCs w:val="20"/>
          <w:color w:val="auto"/>
        </w:rPr>
      </w:pPr>
    </w:p>
    <w:p>
      <w:pPr>
        <w:ind w:firstLine="1304"/>
        <w:spacing w:after="0" w:line="282" w:lineRule="auto"/>
        <w:tabs>
          <w:tab w:leader="none" w:pos="1767"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The Agent shall have received, with a counterpart thereof for each Lender, from the Borrower and each Guarantor, a certificate of its Secretary, Assistant Secretary or Chief Operating Officer, dated as of the Effective Date, as to:</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21"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resolutions (or the equivalent) of the Borrower and each Guarantor authorizing the transactions contemplated by this Agreement and the other Loan Documents, approving this Agreement and the other Loan Documents and the Warrant Documents, in each case to which the Borrower and each such Guarantor is party, and authorizing the execution and delivery of this Agreement and the other Loan Documents and the Warrant Documents, and in the case of the Borrower, authorizing the execution and delivery of requests for Loans hereunder,</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38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incumbency and signature of the officers or other authorized persons of the Borrower and each Guarantor executing any Loan Document and the Warrant Documents and in the case of the Borrower, the officers who are authorized to execute any Requests for Loan,</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75"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or continued existence (or the equivalent thereof) from the state of its incorporation or formation, and from every state or other jurisdiction where the Borrower and each Guarantor is qualified to do business (but only to the extent the failure to be so qualified could reasonably be expected to result in a Material Adverse Effect), which jurisdictions are listed on Schedule 4.1(b) attached hereto, and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38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such articles of incorporation and bylaws or other constitutional documents of the Borrower and each Guarantor, as in effect on the Effective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43"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 Guaranties and other Loan Documents.</w:t>
      </w:r>
      <w:r>
        <w:rPr>
          <w:rFonts w:ascii="Times New Roman" w:cs="Times New Roman" w:eastAsia="Times New Roman" w:hAnsi="Times New Roman"/>
          <w:sz w:val="18"/>
          <w:szCs w:val="18"/>
          <w:color w:val="auto"/>
        </w:rPr>
        <w:t xml:space="preserve"> The Agent shall have received the following documents, each in form and substance satisfactory to the Agent and fully executed by each party thereto:</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307"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Collateral Documents, each in form and substance acceptable to the Agent and fully executed by each party thereto and dated as of the Effective Date:</w:t>
      </w:r>
    </w:p>
    <w:p>
      <w:pPr>
        <w:spacing w:after="0" w:line="161"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2"/>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 executed and delivered by the Borrower and each Guarantor; and</w:t>
      </w:r>
    </w:p>
    <w:p>
      <w:pPr>
        <w:spacing w:after="0" w:line="225"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2"/>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Subordination Agreement, executed and delivered by the parties thereto.</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38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copies of uniform commercial code requests for information, or a similar search report certified by a party acceptable to the Agent, dated a date reasonably prior to the Effective Date, listing all effective financing statements in the jurisdiction noted on Schedule 4.1(c)(ii) which name the Borrower or any Guarantor (under their present names or under any previous names used within five (5) years prior to the Effective Date) as debtors, together 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Section 7.2 of this Agreement) and (B) intellectual property search reports results from the United States Patent and Trademark Office and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color w:val="auto"/>
        </w:rPr>
        <w:t>the United States Copyright Office for the Borrower and each Guarantor dated a date reasonably prior to the Effective Date.</w:t>
      </w:r>
    </w:p>
    <w:p>
      <w:pPr>
        <w:spacing w:after="0" w:line="225" w:lineRule="exact"/>
        <w:rPr>
          <w:sz w:val="20"/>
          <w:szCs w:val="20"/>
          <w:color w:val="auto"/>
        </w:rPr>
      </w:pPr>
    </w:p>
    <w:p>
      <w:pPr>
        <w:jc w:val="both"/>
        <w:ind w:firstLine="1952"/>
        <w:spacing w:after="0" w:line="261" w:lineRule="auto"/>
        <w:tabs>
          <w:tab w:leader="none" w:pos="2394"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(including, without limitation, financing statements, amendments to financing statements and assignments of financing statements, stock powers executed in blank and any endorsements) requested by the Agent and reasonably required to be provided in connection with the Collateral Documents to create, in favor of the Agent (for and on behalf of the Lenders), a perfected security interest in the Collateral thereunder shall have been filed, registered or recorded, or shall have been delivered to the Agent in proper form for filing, registration or recordation.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Agent shall have received evidence reasonably satisfactory to it that the Borrower and Guarantors have obtained the insurance policies required by Section 6.5 hereof and that such insurance policies are in full force and effect (subject to Section 4.3(c) with respect to required endorsements).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9"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Certain Documents and Agreements</w:t>
      </w:r>
      <w:r>
        <w:rPr>
          <w:rFonts w:ascii="Times New Roman" w:cs="Times New Roman" w:eastAsia="Times New Roman" w:hAnsi="Times New Roman"/>
          <w:sz w:val="18"/>
          <w:szCs w:val="18"/>
          <w:color w:val="auto"/>
        </w:rPr>
        <w:t>. The Borrower and each Guarantor shall have each performed and complied in all material respects with all agreements and conditions contained in this Agreement and the other Loan Documents, to the extent required to be performed or complied with by the Borrower and each such Guarantor. No Person (other than the Agent and Lenders) party to this Agreement or any other Loan Document shall be in material default in the performance or compliance with any of the terms or provisions of this Agreement or the other Loan Documents or shall be in material default in the performance or compliance with any of the material terms or material provisions of any Material Contract, in each case to which such Person is a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The Borrower and Guarantors shall have furnished to the Agent and the Lenders opinions of counsel to the Borrower and Guarantors, including opinions of local counsel to the extent deemed necessary by the Agent, in each case dated the Effective Date and covering such matters (including the Warrant Documents) as reasonably required by and otherwise reasonably satisfactory in form and substance to the Agent and each of the Lenders.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The Borrower shall have paid to the Agent all fees, costs or expenses due and outstanding to the Agent or the Lenders as of the Effective Date (including reasonable fees, disbursements and other charges of counsel to the Agent payable under Section 12.4(a) hereof), in each case to the extent invoiced at least one Business Day prior to the Effective Date.</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Borrower shall have delivered to the Lenders and the Agent, in form and substance satisfactory to the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 audited financial statements of the Borrower for the Fiscal Year ended January 28, 2017, and presented in accordance with GAAP, (b) unaudited financial statements of the Borrower for the Fiscal Year ended February 3, 2018, (c) unaudited financial statements of the Borrower for the Fiscal Quarter ended May 5, 2018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and (d) monthly, quarterly and annual projections of the Borrower through January 28, 2023 in form reasonably acceptable to the Agent.</w:t>
      </w:r>
    </w:p>
    <w:p>
      <w:pPr>
        <w:spacing w:after="0" w:line="188"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3"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The Agent shall have received copies of all employment agreements of each executive of the Borrower which shall remain in effect following the Effective Date as set forth on Schedule 5.17 hereto, the terms of which are reasonably acceptable to the Agent and the Majority Lenders.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7" w:name="page388"/>
    <w:bookmarkEnd w:id="387"/>
    <w:p>
      <w:pPr>
        <w:ind w:left="1700" w:hanging="396"/>
        <w:spacing w:after="0"/>
        <w:tabs>
          <w:tab w:leader="none" w:pos="17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The Agent shall have received copies of all Material Contracts described on Schedule 5.18 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4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and Other Approvals</w:t>
      </w:r>
      <w:r>
        <w:rPr>
          <w:rFonts w:ascii="Times New Roman" w:cs="Times New Roman" w:eastAsia="Times New Roman" w:hAnsi="Times New Roman"/>
          <w:sz w:val="18"/>
          <w:szCs w:val="18"/>
          <w:color w:val="auto"/>
        </w:rPr>
        <w:t>. The Agent shall have received copies of all authorizations, consents, approvals, licenses, qualifications or formal exemptions, filings, declarations and registrations with, any court, governmental agency or regulatory authority or any securities exchange or any other person or party (whether or not governmental) received by the Borrower or any Guarantor in connection with the transactions contemplated by the Loan Documents to occur on the Effective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The Agent shall have received, with a signed counterpart for each Lender, a certificate of a Responsible Officer of the Borrower dated the Effective Date, stating that to the best of his or her respective knowledge after due inquiry, (i) the conditions set forth in Sections 4.2(b) and 4.2(c) have been satisfied; and (ii) since January 28, 2017, no Material Adverse Effect has occurred.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2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Agent shall have received a certificate of the chief financial officer of the Borrower, certifying that the Borrower is Solvent (after giving effect to the Term Loan A made on the Effective Date).</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Indebtedness</w:t>
      </w:r>
      <w:r>
        <w:rPr>
          <w:rFonts w:ascii="Times New Roman" w:cs="Times New Roman" w:eastAsia="Times New Roman" w:hAnsi="Times New Roman"/>
          <w:sz w:val="18"/>
          <w:szCs w:val="18"/>
          <w:color w:val="auto"/>
        </w:rPr>
        <w:t>. On the Effective Date, the Borrower shall have (i) repaid in full all Existing Indebtedness, (ii) terminated any commitments to lend or make other extensions of credit thereunder, and (iii) delivered to the Agent all documents or instruments necessary to release all Liens securing Existing Indebtedness or other obligations of the Credit Parties thereunder being repaid on the Effective Date.</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Conditions to all Loans</w:t>
      </w:r>
      <w:r>
        <w:rPr>
          <w:rFonts w:ascii="Times New Roman" w:cs="Times New Roman" w:eastAsia="Times New Roman" w:hAnsi="Times New Roman"/>
          <w:sz w:val="18"/>
          <w:szCs w:val="18"/>
          <w:color w:val="auto"/>
        </w:rPr>
        <w:t>. The obligations of each Lender to make Loans (including the Term Loan A) shall be subject to the continuing conditions that:</w:t>
      </w:r>
    </w:p>
    <w:p>
      <w:pPr>
        <w:spacing w:after="0" w:line="162" w:lineRule="exact"/>
        <w:rPr>
          <w:sz w:val="20"/>
          <w:szCs w:val="20"/>
          <w:color w:val="auto"/>
        </w:rPr>
      </w:pPr>
    </w:p>
    <w:p>
      <w:pPr>
        <w:ind w:left="1680" w:hanging="376"/>
        <w:spacing w:after="0"/>
        <w:tabs>
          <w:tab w:leader="none" w:pos="16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fully executed Request for Loan;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99"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after giving effect to the making of such Loan and the application of the proceeds thereof, no Default or Event of Default has occurred and is continuing or would result from the making of the Loan to be made;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43"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such Credit Date,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8" w:name="page389"/>
    <w:bookmarkEnd w:id="38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Conditions Subsequent to Effectiveness</w:t>
      </w:r>
      <w:r>
        <w:rPr>
          <w:rFonts w:ascii="Times New Roman" w:cs="Times New Roman" w:eastAsia="Times New Roman" w:hAnsi="Times New Roman"/>
          <w:sz w:val="18"/>
          <w:szCs w:val="18"/>
          <w:color w:val="auto"/>
        </w:rPr>
        <w:t>. As an accommodation to the Credit Parties, the Agent and the Lenders have agreed to execute this Agreement and to make the Term Loan A on the Effective Date notwithstanding the failure by the Credit Parties to satisfy the conditions set forth below on or before the Effective Date. In consideration of such accommodation, the Credit Parties agree that, in addition to all other terms, conditions and provisions set forth in this Agreement and the other Loan Documents, the Credit Parties shall satisfy each of the conditions subsequent set forth below on or before the date applicable thereto (it being understood that (i) the failure by the Credit Parties to perform or cause to be performed any such condition subsequent on or before the date applicable thereto shall constitute an Event of Default and (ii) to the extent that the existence of any such condition subsequent would otherwise cause any representation, warranty or covenant in this Agreement or any other Loan Document to be breached, the Majority Lenders hereby waive such breach for the period from the Effective Date until the date on which such condition subsequent is required to be fulfilled pursuant to this Section 4.3):</w:t>
      </w:r>
    </w:p>
    <w:p>
      <w:pPr>
        <w:spacing w:after="0" w:line="188" w:lineRule="exact"/>
        <w:rPr>
          <w:sz w:val="20"/>
          <w:szCs w:val="20"/>
          <w:color w:val="auto"/>
        </w:rPr>
      </w:pPr>
    </w:p>
    <w:p>
      <w:pPr>
        <w:jc w:val="both"/>
        <w:ind w:firstLine="1304"/>
        <w:spacing w:after="0" w:line="261" w:lineRule="auto"/>
        <w:tabs>
          <w:tab w:leader="none" w:pos="171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date that is 45 days after the Effective Date (or such longer time as the Agent shall agree in writing), the Agent shall have received all Account Control Agreements that, in the reasonable judgment of the Agent, are required for the Borrower and the Guarantors to comply with the Loan Documents, each duly executed by, in addition to the Borrower or Guarantor, as applicable, the applicable financial institution, the Senior Agent and the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82" w:lineRule="auto"/>
        <w:tabs>
          <w:tab w:leader="none" w:pos="1699"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use commercially reasonable efforts to deliver to the Agent a Collateral Access Agreement with respect to each location in which the Senior Agent has such agreement within 60 days after the Effective Date (or such longer time as the Agent shall agree in writing);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75"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date that is 10 Business Days after the Effective Date (or such longer time as the Agent shall agree in writing), the Agent shall have received endorsements (i) naming the Agent as additional insured or lenders loss payee under the Credit Parties’ insurance policies; and</w:t>
      </w:r>
    </w:p>
    <w:p>
      <w:pPr>
        <w:jc w:val="both"/>
        <w:ind w:firstLine="8"/>
        <w:spacing w:after="0" w:line="255" w:lineRule="auto"/>
        <w:tabs>
          <w:tab w:leader="none" w:pos="271"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available to the Borrower after its use of commercially reasonable efforts, providing that such policies may be terminated or canceled (by the insurer or the insured thereunder) only upon 30 days’ prior written notice to the Agent and each such named insured or loss payee (or 10 days’ prior written notice in the event of a cancellation due to a failure to pay premiums).</w:t>
      </w:r>
    </w:p>
    <w:p>
      <w:pPr>
        <w:spacing w:after="0" w:line="1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represents and warrants to the Agent and the Lenders as follows: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Each Credit Party is a corporation (or other business entity) duly organized and existing in good standing under the laws of the state or jurisdiction of its incorporation or formation, as applicable, and each Credit Party is duly qualified and authorized to do business as a foreign corporation in each jurisdiction where the character of its assets or the nature of its activities makes such qualification and authorization necessary except where failure to be so qualified or be in good standing could not reasonably be expected to have a Material Adverse Effect. Each Credit Party has all requisite corporate, limited liability or partnership power (as applicable) and authority to own all its property (whether real, personal, tangible or intangible or of any kind whatsoever) and to carry on its business.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Execution, delivery and performance of this Agreement, and the other Loan Documents, to which each Credit Party is party, and the issuance of the Notes by the Borrower (if requested) (i) are within such Person’s corporate, limited liability or partnership power (as applicable), (ii) have been duly authorized by all necessary action, (iii) are not in contravention of any Requirement of Law applicable to such Credit Party or the terms of such Credit Party’s organizational documents, any Material Contract or the Senior Loan Documents or (iv) do not and will not result in or require the creation of any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color w:val="auto"/>
        </w:rPr>
        <w:t>Lien (other than pursuant to any Loan Document or Senior Loan Document) upon or with respect to any of its properties.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Good Title; Leases; Assets; No Liens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689"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to the extent applicable, has good and valid title (or, in the case of real property, good and marketable title) to all assets owned by it, subject only to the Liens permitted under Section 7.2 hereof, and each Credit Party has a valid leasehold or interest as a lessee or a licensee in all of its leased real property;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5.3(b) hereto identifies all of the real property owned or leased, as lessee thereunder, by the Borrower or any Guarantor on the Tenth Amendment Effective Date, including all warehouse or bailee locations;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9"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will collectively own or collectively have a valid leasehold interest in all assets that were owned or leased (as lessee) by the Credit Parties immediately prior to the Tenth Amendment Effective Date to the extent that such assets are necessary for the continued operation of the Credit Parties’ businesses in substantially the manner as such businesses were operated immediately prior to the Tenth Amendment Effective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owns or has a valid leasehold interest in all real property necessary for its continued operations and, to the best knowledge of the Borrower, no material condemnation, eminent domain or expropriation action has been commenced or threatened against any such owned or leased real property;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02"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on and no financing statements on file with respect to any of the assets owned by the Credit Parties, except for the Liens permitted pursuant to Section 7.2 of this Agreement and any financing statements relating thereto;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3"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that is not the Borrower or a Guarantor holds or owns any assets that are material to the business of the Borrower and its Subsidiaries nor any Intellectual Property (unless held by Rent the Runway Limited in the ordinary course of business for use in fulfilling its obligations to Borrower in a manner substantially consistent with the Intercompany License Agreement as of the Sixth Amendment Effective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 All Tax returns and other reports required by applicable Requirements of Law to be filed by any Credit Party have been timely filed (taking into account any extensions granted by the applicable Governmental Authority) and (ii) all Taxes imposed upon any Credit Party or any property of any Credit Party which have become due and payable on or prior to the Tenth Amendment Effective Date have been paid, except (A) unpaid Taxes in an aggregate amount at any one time not in excess of $1,000,000, (B) unpaid sales Taxes that are due and payable in the ordinary course of business and are not delinquent and (C) Taxes contested in good faith by proper proceedings which stay the imposition of any Lien resulting from the non-payment thereof and with respect to which adequate reserves have been set aside for the payment thereof in accordance with GAAP on the Financial Statements.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No Credit Party is in default under or with respect to any agreement, instrument or undertaking to which is a party or by which it or any of its property is bound which would cause or would reasonably be expected to cause a Material Adverse Effect.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Enforceability of Agreement and Loan Documents</w:t>
      </w:r>
      <w:r>
        <w:rPr>
          <w:rFonts w:ascii="Times New Roman" w:cs="Times New Roman" w:eastAsia="Times New Roman" w:hAnsi="Times New Roman"/>
          <w:sz w:val="18"/>
          <w:szCs w:val="18"/>
          <w:color w:val="auto"/>
        </w:rPr>
        <w:t>. This Agreement and each of the other Loan Documents to which any Credit Party is a party (including without limitation, each Request for Loan),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0" w:name="page391"/>
    <w:bookmarkEnd w:id="390"/>
    <w:p>
      <w:pPr>
        <w:jc w:val="both"/>
        <w:spacing w:after="0" w:line="261" w:lineRule="auto"/>
        <w:rPr>
          <w:sz w:val="20"/>
          <w:szCs w:val="20"/>
          <w:color w:val="auto"/>
        </w:rPr>
      </w:pPr>
      <w:r>
        <w:rPr>
          <w:rFonts w:ascii="Times New Roman" w:cs="Times New Roman" w:eastAsia="Times New Roman" w:hAnsi="Times New Roman"/>
          <w:sz w:val="18"/>
          <w:szCs w:val="18"/>
          <w:color w:val="auto"/>
        </w:rPr>
        <w:t>have each been duly executed and delivered by its duly authorized officers and constitute the valid and binding obligations of such Credit Party, enforceable against such Credit Party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(a) Except as disclosed on Schedule 5.7, each Credit Party has complied with all applicable federal, state and local laws, ordinances, codes, rules, regulations and guidelines (including consent decrees and administrative orders) including but not limited to Hazardous Material Laws, and is in compliance with any Requirement of Law, except to the extent that failure to comply therewith could not reasonably be expected to have a Material Adverse Effect; and (b) neither the extension of credit made pursuant to this Agreement or the use of the proceeds thereof by the Credit Parties will violate any Anti-Terrorism Laws, including the United States Foreign Corrupt Practices Act of 1977,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Act of 2001, Public Law 10756, October 26, 2001 or Executive Order 13224 of September 23, 2001 issued by the President of the United States (66 Fed. Reg. 49049 (2001)).</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of this Agreement and the other Loan Documents (including each Request for Loan) to which each Credit Party is a party are not in contravention of the terms of any indenture, agreement or undertaking to which such Credit Party is a party or by which it or its properties are bound where such violation could reasonably be expected to have a Material Adverse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5.9 hereto, there is no suit, action, proceeding, including, without limitation, any bankruptcy proceeding or governmental investigation pending against or to the knowledge of the Borrower, threatened in writing against any Credit Party (other than any suit, action or proceeding in which a Credit Party is the plaintiff and in which no counterclaim or cross-claim against such Credit Party has been filed), or any judgment, decree, injunction, rule, or order of any court, government, department, commission, agency, instrumentality or arbitrator outstanding against any Credit Party, nor is any Credit Party in violation of any applicable order, injunction, decree or requirement of any governmental body or court which (i) could in any of the foregoing events reasonably be expected to have a Material Adverse Effect or (ii) relates to this Agreement or any other Loan Document or any transaction contemplated hereby or thereby.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Consents, Approvals and Filings, Etc</w:t>
      </w:r>
      <w:r>
        <w:rPr>
          <w:rFonts w:ascii="Times New Roman" w:cs="Times New Roman" w:eastAsia="Times New Roman" w:hAnsi="Times New Roman"/>
          <w:sz w:val="18"/>
          <w:szCs w:val="18"/>
          <w:color w:val="auto"/>
        </w:rPr>
        <w:t>. Except as set forth on Schedule 5.10 hereto, (a)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the execution, delivery and performance: (i) by any Credit Party of this Agreement and any of the other Loan Documents to which such Credit Party is a party or (ii) by the Credit Parties of the grant of Liens granted, conveyed or otherwise established (or to be granted, conveyed or otherwise established) by or under this Agreement or the other Loan Documents, as applicable, and (b) no material authorization, consent, approval, license, qualification or formal exemption from, nor any filing, declaration or registration with, any court, governmental agency or regulatory authority or any securities exchange or any other Person (whether or not governmental) is otherwise necessary to the operation of its business, except in each case for (x) such matters which have been previously obtained, and (y) such filings to be made concurrently herewith or promptly following the Effective Date as are required by the Collateral Documents to perfect Liens in favor of the Agent. All such</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1" w:name="page392"/>
    <w:bookmarkEnd w:id="391"/>
    <w:p>
      <w:pPr>
        <w:jc w:val="both"/>
        <w:spacing w:after="0" w:line="266" w:lineRule="auto"/>
        <w:rPr>
          <w:sz w:val="20"/>
          <w:szCs w:val="20"/>
          <w:color w:val="auto"/>
        </w:rPr>
      </w:pPr>
      <w:r>
        <w:rPr>
          <w:rFonts w:ascii="Times New Roman" w:cs="Times New Roman" w:eastAsia="Times New Roman" w:hAnsi="Times New Roman"/>
          <w:sz w:val="18"/>
          <w:szCs w:val="18"/>
          <w:color w:val="auto"/>
        </w:rPr>
        <w:t>authorizations, consents, approvals, licenses, qualifications, exemptions, filings, declarations and registrations which have previously been obtained or made, as the case may be, are in full force and effect and, to the best knowledge of the Borrower, are not the subject of any attack or threatened attack (in each case in any material respect) by appeal or direct proceeding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Agreements Affecting Financial Condition</w:t>
      </w:r>
      <w:r>
        <w:rPr>
          <w:rFonts w:ascii="Times New Roman" w:cs="Times New Roman" w:eastAsia="Times New Roman" w:hAnsi="Times New Roman"/>
          <w:sz w:val="18"/>
          <w:szCs w:val="18"/>
          <w:color w:val="auto"/>
        </w:rPr>
        <w:t>. No Credit Party is party to any agreement or instrument or subject to any charter or other corporate restriction which could reasonably be expected to have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 Investment Company or Margin Stock</w:t>
      </w:r>
      <w:r>
        <w:rPr>
          <w:rFonts w:ascii="Times New Roman" w:cs="Times New Roman" w:eastAsia="Times New Roman" w:hAnsi="Times New Roman"/>
          <w:sz w:val="18"/>
          <w:szCs w:val="18"/>
          <w:color w:val="auto"/>
        </w:rPr>
        <w:t>. No Credit Party is an “investment company” within the meaning of the Investment Company Act of 1940, as amended. No Credit Party is engaged principally, or as one of its important activities, directly or indirectly, in the business of extending credit for the purpose of purchasing or carrying margin stock. None of the proceeds of any of the Loans will be used by any Credit Party to purchase or carry margin stock. Terms for which meanings are provided in Regulation U of the Board of Governors of the Federal Reserve System or any regulations substituted therefore, as from time to time in effect, are used in this paragraph with such meanings.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or Foreign Benefit Event has occurred and, to the knowledge of the Borrower, no ERISA Event or Foreign Benefit Event is reasonably expected to occur, except as would not reasonably be expected to have a Material Adverse Effect. Each Pension Plan and Foreign Plan is being maintained and funded in accordance with its terms and is in compliance with the requirements of the Internal Revenue Code and ERISA and other Requirements of Law, except as would not reasonably be expected to have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Conditions Affecting Business or Properties</w:t>
      </w:r>
      <w:r>
        <w:rPr>
          <w:rFonts w:ascii="Times New Roman" w:cs="Times New Roman" w:eastAsia="Times New Roman" w:hAnsi="Times New Roman"/>
          <w:sz w:val="18"/>
          <w:szCs w:val="18"/>
          <w:color w:val="auto"/>
        </w:rPr>
        <w:t>. Neither the respective businesses nor the properties of any Credit Party is affected by any fire, explosion, accident, strike, lockout or other dispute, drought, storm, hail, earthquake, embargo, Act of God, or other casualty which could reasonably be expected to have a Material Adverse Effect.</w:t>
      </w:r>
    </w:p>
    <w:p>
      <w:pPr>
        <w:spacing w:after="0" w:line="17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u w:val="single" w:color="auto"/>
          <w:color w:val="auto"/>
        </w:rPr>
        <w:t>Environmental and Safety Matters</w:t>
      </w:r>
      <w:r>
        <w:rPr>
          <w:rFonts w:ascii="Times New Roman" w:cs="Times New Roman" w:eastAsia="Times New Roman" w:hAnsi="Times New Roman"/>
          <w:sz w:val="18"/>
          <w:szCs w:val="18"/>
          <w:color w:val="auto"/>
        </w:rPr>
        <w:t>. Except as set forth in Schedules 5.9, 5.10 and 5.15:</w:t>
      </w:r>
    </w:p>
    <w:p>
      <w:pPr>
        <w:spacing w:after="0" w:line="225" w:lineRule="exact"/>
        <w:rPr>
          <w:sz w:val="20"/>
          <w:szCs w:val="20"/>
          <w:color w:val="auto"/>
        </w:rPr>
      </w:pPr>
    </w:p>
    <w:p>
      <w:pPr>
        <w:ind w:firstLine="1304"/>
        <w:spacing w:after="0" w:line="282" w:lineRule="auto"/>
        <w:tabs>
          <w:tab w:leader="none" w:pos="170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facilities and property owned or leased by the Credit Parties are in compliance with all Hazardous Material Laws, except to the extent that any non-compliance could not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Borrower, except as could not reasonably be expected to result in a Material Adverse Effect, there have been no unresolved and outstanding past, and there are no pending or threatened: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94"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complaints, notices or requests for information received by any Credit Party with respect to any alleged violation of any Hazardous Material Law, or</w:t>
      </w:r>
    </w:p>
    <w:p>
      <w:pPr>
        <w:spacing w:after="0" w:line="161" w:lineRule="exact"/>
        <w:rPr>
          <w:rFonts w:ascii="Times New Roman" w:cs="Times New Roman" w:eastAsia="Times New Roman" w:hAnsi="Times New Roman"/>
          <w:sz w:val="18"/>
          <w:szCs w:val="18"/>
          <w:color w:val="auto"/>
        </w:rPr>
      </w:pPr>
    </w:p>
    <w:p>
      <w:pPr>
        <w:ind w:left="2420" w:hanging="468"/>
        <w:spacing w:after="0"/>
        <w:tabs>
          <w:tab w:leader="none" w:pos="242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complaints, notices or inquiries to any Credit Party regarding potential liability of any Credit Parties under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 and</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Borrower, no conditions exist at, on or under any property now or previously owned or leased by any Credit Party, in each case which, with the passage of time, or the giving of notice or both, are or would be reasonably likely to give rise to liability under any Hazardous Material Law or create a significant adverse effect on the value of the property, except to the extent that such condition or liability could not reasonably be expected to result in a Material Adverse Effect.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2" w:name="page393"/>
    <w:bookmarkEnd w:id="39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Except as disclosed on Schedule 5.16 hereto as of the Tenth Amendment Effective Date, and thereafter, except as disclosed to the Agent in writing from time to time, no Credit Party has any Subsidiaries.</w:t>
      </w:r>
    </w:p>
    <w:p>
      <w:pPr>
        <w:spacing w:after="0" w:line="16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Schedule 5.18 attached hereto is an accurate and complete list of all Material Contracts in effect on or as of the Tenth Amendment Effective Date to which any Credit Party is a party or is bound. Each such Material Contract is in full force and effect and is binding upon and enforceable against each Credit Party that is a party thereto and, to the best knowledge of such Credit Party, all other parties thereto in accordance with its terms.</w:t>
      </w:r>
    </w:p>
    <w:p>
      <w:pPr>
        <w:spacing w:after="0" w:line="18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5.19</w:t>
      </w:r>
      <w:r>
        <w:rPr>
          <w:sz w:val="20"/>
          <w:szCs w:val="20"/>
          <w:color w:val="auto"/>
        </w:rPr>
        <w:tab/>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Credit Party maintains all insurance required by Section 6.5.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 Schedule 5.20 attached hereto sets forth all issued and outstanding Equity Interests of each Credit Party (other than the Borrower), including the number of authorized, issued and outstanding Equity Interests of each Credit Party, the par value of such Equity Interests and the holders of such Equity Interests, all on and as of the Tenth Amendment Effective Date. All issued and outstanding Equity Interests of each Credit Party are duly authorized and validly issued, fully paid, nonassessable, free and clear of all Liens (in the case of Liens on the Equity Interests of any Credit Party (other than the Borrower), except for Liens in favor of (i) the Agent or (ii) the Senior Agent under the Senior Loan Documents) and such Equity Interests were issued in compliance with all applicable state, federal and foreign laws concerning the issuance of securities. Except as disclosed on Schedule 5.20, there are no preemptive or other outstanding rights, options, warrants, conversion rights or similar agreements or understandings for the purchase or acquisition from any Credit Party, of any Equity Interests of any Credit Party.</w:t>
      </w:r>
    </w:p>
    <w:p>
      <w:pPr>
        <w:spacing w:after="0" w:line="19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7"/>
          <w:szCs w:val="17"/>
          <w:u w:val="single" w:color="auto"/>
          <w:color w:val="auto"/>
        </w:rPr>
        <w:t>Accuracy of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729"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for the fiscal year ended January 28, 2017, furnished to the Agent and the Lenders prior to the Effective Date fairly present in all material respects the financial condition of the Borrower and its respective Subsidiaries and the results of their operations for the periods covered thereby, and have been prepared in accordance with GAAP. The projections and the other pro forma financial information delivered to the Agent prior to the Effective Date are based upon good faith estimates and assumptions believed by management of the Borrower to be accurate and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w:t>
      </w:r>
    </w:p>
    <w:p>
      <w:pPr>
        <w:spacing w:after="0" w:line="18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28, 2017, no Material Adverse Effect has occurred.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Credit Parties, as of the Tenth Amendment Effective Date, (i) the Credit Parties do not have any material contingent obligations (including any liability for taxes) not disclosed by or reserved against in the opening balance sheet to be delivered hereunder and (ii) there are no unrealized or anticipated losses from any present commitment of the Credit Parties which contingent obligations and losses in the aggregate could reasonably be expected to have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After giving effect to the consummation of the transactions contemplated by this Agreement and other Loan Documents and before and after giving effect to each Loan, the Credit Parties, taken as a whole, will be Solvent. After giving effect to the consummation of the transactions contemplated by the Ninth Amendment, the Credit Parties, taken as a whole, are Solvent. This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3" w:name="page394"/>
    <w:bookmarkEnd w:id="393"/>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is being executed and delivered by the Borrower to the Agent and the Lenders in good faith and in exchange for fair, equivalent consideration. The Credit Parties do not contemplate filing a petition in bankruptcy or for an arrangement or reorganization under the Bankruptcy Code or any similar law of any jurisdiction now or hereafter in effect relating to any Credit Party, nor does any Credit Party have any knowledge of any threatened bankruptcy or insolvency proceedings against a Credit Party.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There are no strikes, slowdowns, work stoppages, unfair labor practice complaints, grievances, arbitration proceedings or controversies pending or, to the best knowledge of the Borrower, threatened in writing against any Credit Party by any employees of any Credit Party, other than non-material employee grievances or controversies arising in the ordinary course of business and other grievances or controversies which could not reasonably be expected to have a Material Adverse Effect. Set forth on Schedule 5.23 are all union contracts or agreements to which any Credit Party is party as of the Tenth Amendment Effective Date and the related expiration dates of each such contract.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Credit Party has disclosed to the Agent and the Lenders all agreements, instruments and corporate or other restrictions to which it is subject, and all other matters known to it, that, individually or in the aggregate, could reasonably be expected to result in a Material Adverse Effect. Neither this Agreement nor any other Loan Document, certificate, written information or report furnished or to be furnished by or on behalf of a Credit Party to the Agent or any Lender in connection with any of the transactions contemplated hereby or thereby, contains a misstatement of material fact, or omits to state a material fact required to be stated in order to make the statements contained herein or therein, taken as a whole, not materially misleading in the light of the circumstances under which such statements were made. There is no fact, other than information known to the public generally, known to any Credit Party after diligent inquiry, that could reasonably be expect to have a Material Adverse Effect that has not expressly been disclosed to the Agent in writing.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Corporate Documents and Corporate Existence</w:t>
      </w:r>
      <w:r>
        <w:rPr>
          <w:rFonts w:ascii="Times New Roman" w:cs="Times New Roman" w:eastAsia="Times New Roman" w:hAnsi="Times New Roman"/>
          <w:sz w:val="18"/>
          <w:szCs w:val="18"/>
          <w:color w:val="auto"/>
        </w:rPr>
        <w:t>. As to the Borrower and any Guarantor, (a) it is an organization as described on Schedule 1.1 hereto and has provided the Agent and the Lenders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1.1 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Anti-Money Laundering/Anti-Terrorism</w:t>
      </w:r>
      <w:r>
        <w:rPr>
          <w:rFonts w:ascii="Times New Roman" w:cs="Times New Roman" w:eastAsia="Times New Roman" w:hAnsi="Times New Roman"/>
          <w:sz w:val="18"/>
          <w:szCs w:val="18"/>
          <w:color w:val="auto"/>
        </w:rPr>
        <w:t>. Each Credit Party represents and warrants that (i) no Covered Entity (in the case of clauses (b) and (c) of the definition of “Covered Entity,” to the knowledge of the Credit Parties) (A) is a Sanctioned Person; (B), either in its own right or through any third party, (1) has any of its assets in a Sanctioned Country or in the possession, custody or control of a Sanctioned Person; (2) does business in or with, or derives any of its income from investments in or transactions with, any Sanctioned Country or Sanctioned Person in violation of any Anti-Terrorism Law; or (3) engages in any dealings or transactions prohibited by, any Anti-Terrorism Laws.</w:t>
      </w:r>
    </w:p>
    <w:p>
      <w:pPr>
        <w:spacing w:after="0" w:line="18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5.27</w:t>
      </w:r>
      <w:r>
        <w:rPr>
          <w:sz w:val="20"/>
          <w:szCs w:val="20"/>
          <w:color w:val="auto"/>
        </w:rPr>
        <w:tab/>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Neither the Borrower nor any Guarantor is an EEA Financial Institution.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5.28</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29"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Borrower’s knowledge, the Credit Parties own or have rights to use the Intellectual Property necessary for the conduct of their businesses. To the best of the Borrower’s knowledge, each of the Copyrights, Trademarks and Patents (in each case, as defined in the Security Agreement) owned by the Borrower is valid and enforceable, and no part of such Intellectual Property has been judged invalid or unenforceable, in whole or in part, and no claim has been made to the Borrower that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4" w:name="page395"/>
    <w:bookmarkEnd w:id="394"/>
    <w:p>
      <w:pPr>
        <w:ind w:right="20"/>
        <w:spacing w:after="0" w:line="282" w:lineRule="auto"/>
        <w:rPr>
          <w:sz w:val="20"/>
          <w:szCs w:val="20"/>
          <w:color w:val="auto"/>
        </w:rPr>
      </w:pPr>
      <w:r>
        <w:rPr>
          <w:rFonts w:ascii="Times New Roman" w:cs="Times New Roman" w:eastAsia="Times New Roman" w:hAnsi="Times New Roman"/>
          <w:sz w:val="18"/>
          <w:szCs w:val="18"/>
          <w:color w:val="auto"/>
        </w:rPr>
        <w:t>any part of such Intellectual Property violates the rights of any third party except to the extent such claim could not reasonably be expected to cause a Material Adverse Effect.</w:t>
      </w:r>
    </w:p>
    <w:p>
      <w:pPr>
        <w:spacing w:after="0" w:line="162" w:lineRule="exact"/>
        <w:rPr>
          <w:sz w:val="20"/>
          <w:szCs w:val="20"/>
          <w:color w:val="auto"/>
        </w:rPr>
      </w:pPr>
    </w:p>
    <w:p>
      <w:pPr>
        <w:ind w:firstLine="1304"/>
        <w:spacing w:after="0" w:line="282" w:lineRule="auto"/>
        <w:tabs>
          <w:tab w:leader="none" w:pos="1699"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and any Person acting for or on behalf of the Credit Parties have complied with all Data Security Requirements, except such non-compliance that could not reasonably be expected to result in a Material Adverse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Inbound Licenses</w:t>
      </w:r>
      <w:r>
        <w:rPr>
          <w:rFonts w:ascii="Times New Roman" w:cs="Times New Roman" w:eastAsia="Times New Roman" w:hAnsi="Times New Roman"/>
          <w:sz w:val="18"/>
          <w:szCs w:val="18"/>
          <w:color w:val="auto"/>
        </w:rPr>
        <w:t>. Except as disclosed on Schedule 5.29, the Borrower is not a party to, nor is it bound by, any material inbound license or other material agreement the failure, breach, or termination of which could reasonably be expected to cause a Material Adverse Effect, or that prohibits or otherwise restricts the Borrower from granting a security interest in the Borrower’s interest in such license or any other property.</w:t>
      </w:r>
    </w:p>
    <w:p>
      <w:pPr>
        <w:spacing w:after="0" w:line="17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5.30</w:t>
      </w:r>
      <w:r>
        <w:rPr>
          <w:sz w:val="20"/>
          <w:szCs w:val="20"/>
          <w:color w:val="auto"/>
        </w:rPr>
        <w:tab/>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shall be used in accordance with Section 2.10.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The Security Agreement creates in favor of the Agent, for the benefit of itself and the Lenders, a legal, valid, continuing and enforceable security interest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AFFIRMATIVE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covenants and agrees, so long as any Lender has any commitment to extend credit hereunder, or any of the Indebtedness (including any Yield Maintenance Premium or Prepayment Premium) remains outstanding and unpaid, that it will, and, as applicable, it will cause each of its Subsidiaries 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Furnish to the Agent, in form and detail satisfactory to the Agent, with sufficient copies for each Lender, the following documents:</w:t>
      </w:r>
    </w:p>
    <w:p>
      <w:pPr>
        <w:spacing w:after="0" w:line="162" w:lineRule="exact"/>
        <w:rPr>
          <w:sz w:val="20"/>
          <w:szCs w:val="20"/>
          <w:color w:val="auto"/>
        </w:rPr>
      </w:pPr>
    </w:p>
    <w:p>
      <w:pPr>
        <w:jc w:val="both"/>
        <w:ind w:firstLine="1304"/>
        <w:spacing w:after="0" w:line="253" w:lineRule="auto"/>
        <w:tabs>
          <w:tab w:leader="none" w:pos="1702"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hundred twenty (120) days after the end of each Fiscal Year, a copy of the audited Consolidated financial statements of the Borrower and its Consolidated Subsidiaries and the related audited Consolidated statements of income, stockholders equity, and cash flows of the Borrower and its Consolidated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2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upcoming maturity date under this Agreement or the Senior Credit Agreement occurring within one year from the time such report is delivered or (y) any inability to satisfy the financial covenants set forth in the Senior Credit Agreement;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6"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Fiscal Quarter (including the last Fiscal Quarter of each Fiscal Year which, for such Fiscal Quarter, shall be a Borrower prepared draft subject to standard audit adjustments), (i) the Borrower prepared unaudited Consolidated balance sheets of the Borrower and its Consolidated Subsidiaries as at the end of such Fiscal Quarter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Quarter, setting forth in each case in comparative form the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5" w:name="page396"/>
    <w:bookmarkEnd w:id="395"/>
    <w:p>
      <w:pPr>
        <w:spacing w:after="0" w:line="282" w:lineRule="auto"/>
        <w:rPr>
          <w:sz w:val="20"/>
          <w:szCs w:val="20"/>
          <w:color w:val="auto"/>
        </w:rPr>
      </w:pPr>
      <w:r>
        <w:rPr>
          <w:rFonts w:ascii="Times New Roman" w:cs="Times New Roman" w:eastAsia="Times New Roman" w:hAnsi="Times New Roman"/>
          <w:sz w:val="18"/>
          <w:szCs w:val="18"/>
          <w:color w:val="auto"/>
        </w:rPr>
        <w:t>figures for the corresponding periods in the previous Fiscal Year, and (ii) a report reflecting compliance with Section 7.16 (with reasonably detailed supporting information), in each case, certified by a Responsible Officer of the Borrower as being fairly stated in all material respects; and</w:t>
      </w:r>
    </w:p>
    <w:p>
      <w:pPr>
        <w:spacing w:after="0" w:line="162" w:lineRule="exact"/>
        <w:rPr>
          <w:sz w:val="20"/>
          <w:szCs w:val="20"/>
          <w:color w:val="auto"/>
        </w:rPr>
      </w:pPr>
    </w:p>
    <w:p>
      <w:pPr>
        <w:jc w:val="both"/>
        <w:ind w:firstLine="1304"/>
        <w:spacing w:after="0" w:line="255" w:lineRule="auto"/>
        <w:tabs>
          <w:tab w:leader="none" w:pos="1702"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end of each month (or such later date as the Agent agrees in its sole discretion), (including the last month of each Fiscal Quarter and each Fiscal Year, which, for such months, shall be a Borrower prepared draft subject to standard audit adjustments), commencing with the first full month occurring after the Effective Date, the Borrower prepared unaudited Consolidated balance sheets of the Borrower and its Consolidated Subsidiaries as at the end of such month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Month, setting forth in each case in comparative form the figures for the corresponding periods in the previous Fiscal Year, and certified by a Responsible Officer of the Borrower as being fairly stated in all material respects;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such financial statements to be complete and correct in all material respects and to be prepared in reasonable detail and in accordance with GAAP consistently applied, throughout the periods reflected therein and with prior periods (except as approved by a Responsible Officer of the Borrower and disclosed therein), provided however that (i) the Consolidating financial statements delivered pursuant to clause (a) hereof, (ii) all the financial statements delivered pursuant to clause (b) hereof will not be required to include footnotes and will be subject to change as a result of audit and year-end adjustments and (iii) all the financial statements delivered pursuant to clause (c) hereof will not be required to include exhibits and will be subject to change as a result of audit, quarterly and/or year-end adjustments.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may be satisfied with respect to financial information of the Borrower and its Consolidated Subsidiaries by furnishing Form 10-K or 10-Q of the Borrower,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information is in lieu of information required to be provided under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such materials are accompanied by a report and opinion of the Borrower’s auditor or any other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Furnish to the Agent, in form and detail acceptable to the Agent, with sufficient copies for each Lender, the following documents:</w:t>
      </w:r>
    </w:p>
    <w:p>
      <w:pPr>
        <w:spacing w:after="0" w:line="162" w:lineRule="exact"/>
        <w:rPr>
          <w:sz w:val="20"/>
          <w:szCs w:val="20"/>
          <w:color w:val="auto"/>
        </w:rPr>
      </w:pPr>
    </w:p>
    <w:p>
      <w:pPr>
        <w:jc w:val="both"/>
        <w:ind w:firstLine="1304"/>
        <w:spacing w:after="0" w:line="266" w:lineRule="auto"/>
        <w:tabs>
          <w:tab w:leader="none" w:pos="1837"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thereof, copies of all significant reports submitted by the Credit Parties’ firm(s) of certified public accountants in connection with each annual, interim or special audit or review of any type of the financial statements or related internal control systems of the Credit Parties made by such accountants, including any comment letter submitted by such accountants to management in connection with their services;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reports, statements, press releases, other material information or written notices delivered to the Senior Agent, the Senior Lenders or the holders of the Subordinated Debt pursuant to any Senior Loan Documents or any applicable Subordinated Debt Documents (to the extent not otherwise required hereunder), as and when delivered to such Persons (including, without limitation, any compliance certificate (or similar report) delivered pursuant to the Senior Credit Agreement);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6" w:name="page397"/>
    <w:bookmarkEnd w:id="396"/>
    <w:p>
      <w:pPr>
        <w:jc w:val="both"/>
        <w:ind w:firstLine="1304"/>
        <w:spacing w:after="0" w:line="258" w:lineRule="auto"/>
        <w:tabs>
          <w:tab w:leader="none" w:pos="168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after the end of such Fiscal Year, projections for the Credit Parties for the Fiscal Year then in progress, with the projections presented on a quarterly basis, including a balance sheet, as at the end of each relevant period and for the period commencing at the beginning of the Fiscal Year and ending on the last day of such relevant period, such projections approved by the Borrower’s board of directors and certified by a Responsible Officer of the Borrower as being believed to be reasonable estimates and assumptions taking into account all facts and information known by a Responsible Officer of the Borrower;</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delivery of the financial statements of the Credit Parties required by Section 6.1, if, as a result of any change in accounting principles and policies from those used in the preparation of the Financial Statements, the Consolidated financial statements of the Borrower delivered pursuant to Section 6.1 will differ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7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information as required by any Loan Document, and such additional schedules, certificates and reports respecting all or any of the Collateral, the items or amounts received by the Credit Parties in full or partial payment thereof, and any goods (the sale or lease of which shall have given rise to any of the Collateral) possession of which has been obtained by the Credit Parties, all to such extent as the Agent may reasonably request from time to time, any such schedule, certificate or report to be certified as true and correct in all material respects by a Responsible Officer of the applicable Credit Party and shall be in such form and detail as the Agent may reasonably specify;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75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upon the Agent’s request, a report of the cash account balances of the Credit Parties, confirming the Credit Parties’ compliance with the covenant set forth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financial and/or other information as the Agent or any Lender may from time to time reasonably request, promptly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such request.</w:t>
      </w:r>
    </w:p>
    <w:p>
      <w:pPr>
        <w:spacing w:after="0" w:line="207"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Payment of Taxes and Other Obligations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29"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full before delinquency or before the expiration of any extension period, all Taxes imposed upon any Credit Party or any property of any Credit Party, except (i) unpaid Taxes in an aggregate amount at any one time not in excess of $1,000,000, and (ii) Taxes contested in good faith by proper proceedings which stay the imposition of any Lien resulting from the non-payment thereof and with respect to which adequate reserves have been set aside for the payment thereof in accordance with GAAP.</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or otherwise satisfy, at or before maturity or before they become delinquent, as the case may be, all of its material obligations (other than obligations described in clause (a) above) of whatever nature, including without limitation all assessments, governmental charges, claims for labor, supplies, rent or other obligations, except where the amount or validity thereof is currently being appropriately contested in good faith and reserves in conformity with GAAP with respect thereto have been provided on the books of the Credit Parties.</w:t>
      </w:r>
    </w:p>
    <w:p>
      <w:pPr>
        <w:spacing w:after="0" w:line="18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Conduct of Business and Maintenance of Existence; 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71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their respective business and operations substantially as conducted immediately prior to the Effective Date, except as otherwise permitted pursuant to Section 7.4 or as may be agreed by the Agent from time to time in its reasonable discretion;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7" w:name="page398"/>
    <w:bookmarkEnd w:id="397"/>
    <w:p>
      <w:pPr>
        <w:ind w:firstLine="1304"/>
        <w:spacing w:after="0" w:line="282" w:lineRule="auto"/>
        <w:tabs>
          <w:tab w:leader="none" w:pos="1753"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renew and keep in full force and effect its existence and maintain its qualifications to do business in each jurisdiction where such qualifications are necessary for its operations, except as otherwise permitted pursuant to Section 7.4;</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8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 it deems necessary in its reasonable business judgment to maintain all rights, privileges, licenses and franchises, and protect all algorithms, Software and customer lists, in each case as are necessary for the normal conduct of its business except where the failure to so maintain such rights, privileges or franchises or so protect such algorithms, Software and customer lists could not, either singly or in the aggregate, reasonably be expected to have a Material Adverse Effect. If, despite the restrictions contained in Section 7.3 and subject to the exceptions for Rent the Runway Limited set forth therein, any Subsidiary of the Borrower that is not the Borrower or a Guarantor holds, acquires, exclusively licenses or develops material algorithms, material customer lists, or material Software, the Borrower shall promptly cause (i) such Subsidiary to transfer such material algorithms, material customer lists, or material Software and any rights thereto to the Borrower or a Guarantor and (ii) grant a perfected security interest in any such material algorithms, material customer lists, or material Software in accordance with the requirements set forth in the Loan Documents and, provided that if Borrower or a Guarantor complies with the foregoing sentence, such holding, acquisition, exclusive license or development shall not constitute a breach of this Section 6.4;</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72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or renew all of its Intellectual Property, except to the extent such Intellectual Property is no longer used or useful to the business of the Credit Parties, based on Credit Parties’ reasonable business judgment;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Contractual Obligations and Requirements of Law, except to the extent that failure to comply therewith could not, either singly or in the aggregate, reasonably be expected to have a Material Adverse Effect;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(ii) not engage in the transactions prohibited by Section 2 of that Order or become associated with Persons such that a violation of Section 2 of the Order would arise, and (iii) not become a Person on the list of Specially Designated Nationals and Blocked Persons, or (iv) otherwise not become subject to the limitation of any OFAC regulation or executive order.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(a) Keep all material property it deems, in its reasonable business judgment, useful and necessary in its business in working order (ordinary wear and tear excepted); (b) maintain insurance coverage with financially sound and reputable insurance companies on physical assets and against other business risks in such amounts and of such types as are customarily carried by companies similar in size and nature (including without limitation casualty and public liability and property damage insurance), and in the event of acquisition of additional property, real or personal, or of the incurrence of additional risks of any nature, increase such insurance coverage in such manner and to such extent as prudent business judgment and present practice or any applicable Requirements of Law would dictate; (c) in the case of all insurance policies covering any Collateral, such insurance policies shall provide that the loss payable thereunder shall be payable to the applicable Credit Party, and to the Agent (as mortgagee, or, in the case of personal property interests, lender loss payee) as their respective interests may appear; (d) in the case of all public liability insurance policies, such policies shall list the Agent as an additional insured, as the Agent may reasonably request; and (e) if requested by the Agent, certificates evidencing such policies, including all endorsements thereto, to be deposited with the Agent, such certificates being in form and substance reasonably acceptable to the Agent (which policies shall provide that it shall not be canceled, modified or not renewed (i) by reason of nonpayment of premium except upon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color w:val="auto"/>
        </w:rPr>
        <w:t>not less than ten (10) days’ prior written notice thereof by insurer to the Agent (giving the Agent the right to cure defaults in the payment of premiums) or</w:t>
      </w:r>
    </w:p>
    <w:p>
      <w:pPr>
        <w:spacing w:after="0" w:line="27" w:lineRule="exact"/>
        <w:rPr>
          <w:sz w:val="20"/>
          <w:szCs w:val="20"/>
          <w:color w:val="auto"/>
        </w:rPr>
      </w:pPr>
    </w:p>
    <w:p>
      <w:pPr>
        <w:jc w:val="both"/>
        <w:ind w:firstLine="8"/>
        <w:spacing w:after="0" w:line="252" w:lineRule="auto"/>
        <w:tabs>
          <w:tab w:leader="none" w:pos="281"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except upon not less than thirty (30) days’ prior written notice thereof by the insurer to the Agent. If any Credit Party fails to maintain such insurance, the Agent may arrange for such insurance, but at the Borrower’s expense and without any responsibility on the Agent’s part for obtaining the insurance, the solvency of the insurance companies, the adequacy of the coverage, or the collection of claims. Upon the occurrence and during the continuance of an Event of Default, subject to the terms of the Specified Subordination Agreement, the Agent shall have the sole right, in the name of the Lenders or any Credit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Inspection of Property; Books and Records, Discussions</w:t>
      </w:r>
      <w:r>
        <w:rPr>
          <w:rFonts w:ascii="Times New Roman" w:cs="Times New Roman" w:eastAsia="Times New Roman" w:hAnsi="Times New Roman"/>
          <w:sz w:val="18"/>
          <w:szCs w:val="18"/>
          <w:color w:val="auto"/>
        </w:rPr>
        <w:t>. Permit the Agent and each Lender, through their authorized attorneys, accountants and representatives (i) at all reasonable times during normal business hours, upon the request of the Agent or such Lender, to examine each Credit Party’s books, accounts, records, ledgers and assets and properties, (ii) during normal business hours and at their own risk, to enter onto the real property owned or leased by any Credit Party to conduct inspections, investigations or other reviews of such real property, and (iii) at reasonable times during normal business hours and at reasonable intervals, to visit all of the Credit Parties’ offices, discuss each Credit Party’s respective financial matters with their respective officers, as applicable, and, by this provision, the Borrower authorizes, and will cause each of its respective Subsidiaries to authorize, its independent certified or chartered public accountants to discuss the finances and affairs of any Credit Party and examine any of such Credit Party’s books, reports or records held by such accountants; provided, however, when an Event of Default exists, the Agent and each Lender, through their authorized attorneys, accountants and representatives, may do any of the foregoing at the expense of the Credit Parties at any time during normal business hours and without advance notice.</w:t>
      </w:r>
    </w:p>
    <w:p>
      <w:pPr>
        <w:spacing w:after="0" w:line="19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Give written notice to the Agent of:</w:t>
      </w:r>
    </w:p>
    <w:p>
      <w:pPr>
        <w:spacing w:after="0" w:line="225" w:lineRule="exact"/>
        <w:rPr>
          <w:sz w:val="20"/>
          <w:szCs w:val="20"/>
          <w:color w:val="auto"/>
        </w:rPr>
      </w:pPr>
    </w:p>
    <w:p>
      <w:pPr>
        <w:ind w:firstLine="1304"/>
        <w:spacing w:after="0" w:line="282" w:lineRule="auto"/>
        <w:tabs>
          <w:tab w:leader="none" w:pos="167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2 Business Days after the occurrence thereof, the occurrence of any Default or Event of Default of which any Credit Party has knowledge or the occurrence of any Reportable Compliance Event;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2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any (i) litigation or proceeding existing at any time between any Credit Party and any Governmental Authority or other third party, or any investigation of any Credit Party conducted by any Governmental Authority, which in any case if adversely determined would have a Material Adverse Effect together with all documents and information furnished to such Governmental Authority in connection thereof (to the extent such disclosure is not prohibited by any Requirements of Law) or (ii) Material Adverse Effect on the financial condition of any Credit Party since the date of the last audited financial statements delivered pursuant to Section 6.1(a) hereto;</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75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which any Credit Party believes could reasonably be expected to have a Material Adverse Effect, promptly, but in any event within 5 Business Days, after concluding that such event could reasonably be expected to have such a Material Adverse Effect;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any event within 5 Business Days, after becoming aware thereof, the taking by the Internal Revenue Service or any state, local or foreign taxing jurisdiction of a written tax position (or any such tax position taken by any Credit Party in a filing with the Internal Revenue Service or any state, local or foreign taxing jurisdiction) which could reasonably be expected to have a Material Adverse Effect, setting forth the details of such position and the financial impact thereof;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9" w:name="page400"/>
    <w:bookmarkEnd w:id="399"/>
    <w:p>
      <w:pPr>
        <w:jc w:val="both"/>
        <w:ind w:firstLine="1304"/>
        <w:spacing w:after="0" w:line="256" w:lineRule="auto"/>
        <w:tabs>
          <w:tab w:leader="none" w:pos="177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jurisdictions in which the Borrower or any Guarantor proposes to become qualified after the Effective Date to transact business, (ii) the acquisition or creation of any new Subsidiaries, (iii) any material change after the Effective Date in the authorized and issued Equity Interests of any Credit Party or any other material amendment to any Credit Party’s charter, by-laws or other organizational documents, such notice, in each case, to identify the applicable jurisdictions, capital structures or amendments as applicable, provided that such notice shall be given not less than ten (10) Business Days prior to the proposed effectiveness of such changes, acquisition or creation, as the case may be (or such shorter period to which the Agent may consent);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66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notices that any Credit Party executes or receives in connection with any Material Contract, as soon as possible and in any event within 5 Business Days after execution, receipt or delivery thereof, together with copies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fifteen (15) Business Days (or such other shorter period to which the Agent may agree) prior to the proposed effective date thereof (or to the extent the Borrower requests any such modification less than fifteen (15) Business Days prior to the proposed effective date thereof, upon receipt thereof), (i) any proposed amendments, restatements or other modifications to any Senior Loan Document or (ii) any material proposed amendments, restatements or other modifications to any Subordinated Debt Documents;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or event of default by any Person under any Senior Loan Document or any Subordinated Debt Document, concurrently with delivery or promptly, but in any event within 5 Business Days, after receipt (as the case may be) of any notice of default or event of default under the applicable document, as the case may be.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notice pursuant to this Section shall be accompanied by a statement of a Responsible Officer of the Borrower setting forth details of the occurrence referred to therein and, in the case of notices referred to in clauses (a), (b), (c), (d) and (h) hereof stating what action the applicable Credit Party has taken or proposes to take with respect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obligations in this Section may be satisfied by disclosure in public filings of the Borrower filed with the SEC.</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u w:val="single" w:color="auto"/>
          <w:color w:val="auto"/>
        </w:rPr>
        <w:t>Hazardous Material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2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and operate all of its business, facilities and properties in material compliance with all applicable Hazardous Material Laws, keep all material required permits, approvals, certificates, licenses and other authorizations required under such Hazardous Material Laws in effect and remain in compliance therewith, and handle all Hazardous Materials in material compliance with all applicable Hazardous Material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Promptly notify the Agent and provide copies upon receipt of all written claims, complaints, notices or inquiries received by any Credit Party relating to its facilities and properties or compliance with Hazardous Material Laws which, if adversely determined, could reasonably be expected to have a Material Adverse Effect and (ii) promptly cure and have dismissed with prejudice to the reasonable satisfaction of the Agent and the Majority Lenders any material actions and proceedings relating to compliance with, or liability under, Hazardous Material Laws to which any Credit Party is named a party, other than such actions or proceedings being contested in good faith and with the establishment of reasonable reserves;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72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Hazardous Material Laws, remediate or monitor contamination arising from a release or disposal of Hazardous Material, or undertake corrective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0" w:name="page401"/>
    <w:bookmarkEnd w:id="400"/>
    <w:p>
      <w:pPr>
        <w:spacing w:after="0" w:line="282" w:lineRule="auto"/>
        <w:rPr>
          <w:sz w:val="20"/>
          <w:szCs w:val="20"/>
          <w:color w:val="auto"/>
        </w:rPr>
      </w:pPr>
      <w:r>
        <w:rPr>
          <w:rFonts w:ascii="Times New Roman" w:cs="Times New Roman" w:eastAsia="Times New Roman" w:hAnsi="Times New Roman"/>
          <w:sz w:val="18"/>
          <w:szCs w:val="18"/>
          <w:color w:val="auto"/>
        </w:rPr>
        <w:t>action to address any noncompliance with or liability under Hazardous Material Laws, in each case which solely, or together with other releases, instances of noncompliance, liability or disposals of Hazardous Materials could reasonably be expected to have a Material Adverse Effect; and</w:t>
      </w:r>
    </w:p>
    <w:p>
      <w:pPr>
        <w:spacing w:after="0" w:line="162" w:lineRule="exact"/>
        <w:rPr>
          <w:sz w:val="20"/>
          <w:szCs w:val="20"/>
          <w:color w:val="auto"/>
        </w:rPr>
      </w:pPr>
    </w:p>
    <w:p>
      <w:pPr>
        <w:ind w:firstLine="1304"/>
        <w:spacing w:after="0" w:line="282" w:lineRule="auto"/>
        <w:tabs>
          <w:tab w:leader="none" w:pos="1713"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information and certifications which the Agent or any Lender may reasonably request from time to time to evidence compliance with this Section 6.8.</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Board Observation Rights</w:t>
      </w:r>
      <w:r>
        <w:rPr>
          <w:rFonts w:ascii="Times New Roman" w:cs="Times New Roman" w:eastAsia="Times New Roman" w:hAnsi="Times New Roman"/>
          <w:sz w:val="18"/>
          <w:szCs w:val="18"/>
          <w:color w:val="auto"/>
        </w:rPr>
        <w:t xml:space="preserve">. At the Agent’s election, which shall be made for each Fiscal Quarter by providing written notice thereof to the Borrower at least thirty (30) days prior to the beginning of such Fiscal Quarter (or such shorter period agreed by the Borrower </w:t>
      </w:r>
      <w:r>
        <w:rPr>
          <w:rFonts w:ascii="Times New Roman" w:cs="Times New Roman" w:eastAsia="Times New Roman" w:hAnsi="Times New Roman"/>
          <w:sz w:val="18"/>
          <w:szCs w:val="18"/>
          <w:u w:val="single" w:color="auto"/>
          <w:color w:val="0000FF"/>
        </w:rPr>
        <w:t>(it being understood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agreed that the Agent has elected to appoint two board observers for all periods from and after the Fourteenth Amendment Effective Date and the Borrower hereby consents to such election)</w:t>
      </w:r>
      <w:r>
        <w:rPr>
          <w:rFonts w:ascii="Times New Roman" w:cs="Times New Roman" w:eastAsia="Times New Roman" w:hAnsi="Times New Roman"/>
          <w:sz w:val="18"/>
          <w:szCs w:val="18"/>
          <w:color w:val="000000"/>
        </w:rPr>
        <w:t>), the Agent shall be entitled to designate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one observer (the “</w:t>
      </w:r>
      <w:r>
        <w:rPr>
          <w:rFonts w:ascii="Times New Roman" w:cs="Times New Roman" w:eastAsia="Times New Roman" w:hAnsi="Times New Roman"/>
          <w:sz w:val="18"/>
          <w:szCs w:val="18"/>
          <w:u w:val="single" w:color="auto"/>
          <w:color w:val="0000FF"/>
        </w:rPr>
        <w:t>two observers (each, a “</w:t>
      </w:r>
      <w:r>
        <w:rPr>
          <w:rFonts w:ascii="Times New Roman" w:cs="Times New Roman" w:eastAsia="Times New Roman" w:hAnsi="Times New Roman"/>
          <w:sz w:val="18"/>
          <w:szCs w:val="18"/>
          <w:b w:val="1"/>
          <w:bCs w:val="1"/>
          <w:color w:val="000000"/>
        </w:rPr>
        <w:t>Board Observer</w:t>
      </w:r>
      <w:r>
        <w:rPr>
          <w:rFonts w:ascii="Times New Roman" w:cs="Times New Roman" w:eastAsia="Times New Roman" w:hAnsi="Times New Roman"/>
          <w:sz w:val="18"/>
          <w:szCs w:val="18"/>
          <w:color w:val="000000"/>
        </w:rPr>
        <w:t>”) to attend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person (or, only in the case of BOD Meetings that other board members or observers are permitted to attend by telephone, </w:t>
      </w:r>
      <w:r>
        <w:rPr>
          <w:rFonts w:ascii="Times New Roman" w:cs="Times New Roman" w:eastAsia="Times New Roman" w:hAnsi="Times New Roman"/>
          <w:sz w:val="18"/>
          <w:szCs w:val="18"/>
          <w:u w:val="single" w:color="auto"/>
          <w:color w:val="0000FF"/>
        </w:rPr>
        <w:t>videoconference or other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electronic means,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telephone</w:t>
      </w:r>
      <w:r>
        <w:rPr>
          <w:rFonts w:ascii="Times New Roman" w:cs="Times New Roman" w:eastAsia="Times New Roman" w:hAnsi="Times New Roman"/>
          <w:sz w:val="18"/>
          <w:szCs w:val="18"/>
          <w:u w:val="single" w:color="auto"/>
          <w:color w:val="0000FF"/>
        </w:rPr>
        <w:t>, videoconference or such other electronic means</w:t>
      </w:r>
      <w:r>
        <w:rPr>
          <w:rFonts w:ascii="Times New Roman" w:cs="Times New Roman" w:eastAsia="Times New Roman" w:hAnsi="Times New Roman"/>
          <w:sz w:val="18"/>
          <w:szCs w:val="18"/>
          <w:color w:val="000000"/>
        </w:rPr>
        <w:t>) any regular or special meeting (a “</w:t>
      </w:r>
      <w:r>
        <w:rPr>
          <w:rFonts w:ascii="Times New Roman" w:cs="Times New Roman" w:eastAsia="Times New Roman" w:hAnsi="Times New Roman"/>
          <w:sz w:val="18"/>
          <w:szCs w:val="18"/>
          <w:b w:val="1"/>
          <w:bCs w:val="1"/>
          <w:color w:val="000000"/>
        </w:rPr>
        <w:t>BOD Meeting</w:t>
      </w:r>
      <w:r>
        <w:rPr>
          <w:rFonts w:ascii="Times New Roman" w:cs="Times New Roman" w:eastAsia="Times New Roman" w:hAnsi="Times New Roman"/>
          <w:sz w:val="18"/>
          <w:szCs w:val="18"/>
          <w:color w:val="000000"/>
        </w:rPr>
        <w:t>”) of the board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directors of the Borrower (or any relevant committees thereof), except that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no</w:t>
      </w:r>
      <w:r>
        <w:rPr>
          <w:rFonts w:ascii="Times New Roman" w:cs="Times New Roman" w:eastAsia="Times New Roman" w:hAnsi="Times New Roman"/>
          <w:sz w:val="18"/>
          <w:szCs w:val="18"/>
          <w:color w:val="000000"/>
        </w:rPr>
        <w:t xml:space="preserve"> Board Observer shall </w:t>
      </w:r>
      <w:r>
        <w:rPr>
          <w:rFonts w:ascii="Times New Roman" w:cs="Times New Roman" w:eastAsia="Times New Roman" w:hAnsi="Times New Roman"/>
          <w:sz w:val="18"/>
          <w:szCs w:val="18"/>
          <w:color w:val="FF0000"/>
          <w:strike w:val="1"/>
        </w:rPr>
        <w:t>not</w:t>
      </w:r>
      <w:r>
        <w:rPr>
          <w:rFonts w:ascii="Times New Roman" w:cs="Times New Roman" w:eastAsia="Times New Roman" w:hAnsi="Times New Roman"/>
          <w:sz w:val="18"/>
          <w:szCs w:val="18"/>
          <w:color w:val="000000"/>
        </w:rPr>
        <w:t xml:space="preserve"> be entitled to vote on matters presented to or discussed by the board of directors (or any relevant committee thereof) of the Borrower at any such meetings. For any Fiscal Quarter for which the Agent shall have made such election,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each</w:t>
      </w:r>
      <w:r>
        <w:rPr>
          <w:rFonts w:ascii="Times New Roman" w:cs="Times New Roman" w:eastAsia="Times New Roman" w:hAnsi="Times New Roman"/>
          <w:sz w:val="18"/>
          <w:szCs w:val="18"/>
          <w:color w:val="000000"/>
        </w:rPr>
        <w:t xml:space="preserve"> Board Observer shall be timely notified of the time and place of any BOD Meetings and will be given written notice </w:t>
      </w:r>
      <w:r>
        <w:rPr>
          <w:rFonts w:ascii="Times New Roman" w:cs="Times New Roman" w:eastAsia="Times New Roman" w:hAnsi="Times New Roman"/>
          <w:sz w:val="18"/>
          <w:szCs w:val="18"/>
          <w:color w:val="FF0000"/>
          <w:strike w:val="1"/>
        </w:rPr>
        <w:t>of</w:t>
      </w:r>
      <w:r>
        <w:rPr>
          <w:rFonts w:ascii="Times New Roman" w:cs="Times New Roman" w:eastAsia="Times New Roman" w:hAnsi="Times New Roman"/>
          <w:sz w:val="18"/>
          <w:szCs w:val="18"/>
          <w:u w:val="single" w:color="auto"/>
          <w:color w:val="0000FF"/>
        </w:rPr>
        <w:t>(such notice to be delivered to the Board Observers contemporaneously with delivery of such notice to the other board members)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all proposed actions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to be taken by the board of directors (or any relevant committee thereof) of the Borrower at such meeting as if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Board Observer were a member thereof;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notwithstanding anything to the contrary contained in this Section 6.9, the Board </w:t>
      </w:r>
      <w:r>
        <w:rPr>
          <w:rFonts w:ascii="Times New Roman" w:cs="Times New Roman" w:eastAsia="Times New Roman" w:hAnsi="Times New Roman"/>
          <w:sz w:val="18"/>
          <w:szCs w:val="18"/>
          <w:color w:val="FF0000"/>
          <w:strike w:val="1"/>
        </w:rPr>
        <w:t>Observer</w:t>
      </w:r>
      <w:r>
        <w:rPr>
          <w:rFonts w:ascii="Times New Roman" w:cs="Times New Roman" w:eastAsia="Times New Roman" w:hAnsi="Times New Roman"/>
          <w:sz w:val="18"/>
          <w:szCs w:val="18"/>
          <w:u w:val="single" w:color="auto"/>
          <w:color w:val="0000FF"/>
        </w:rPr>
        <w:t>Observers</w:t>
      </w:r>
      <w:r>
        <w:rPr>
          <w:rFonts w:ascii="Times New Roman" w:cs="Times New Roman" w:eastAsia="Times New Roman" w:hAnsi="Times New Roman"/>
          <w:sz w:val="18"/>
          <w:szCs w:val="18"/>
          <w:color w:val="000000"/>
        </w:rPr>
        <w:t xml:space="preserve"> may be excluded from meetings (or a portion thereof) and materials provided to the Board </w:t>
      </w:r>
      <w:r>
        <w:rPr>
          <w:rFonts w:ascii="Times New Roman" w:cs="Times New Roman" w:eastAsia="Times New Roman" w:hAnsi="Times New Roman"/>
          <w:sz w:val="18"/>
          <w:szCs w:val="18"/>
          <w:color w:val="FF0000"/>
          <w:strike w:val="1"/>
        </w:rPr>
        <w:t>Observer</w:t>
      </w:r>
      <w:r>
        <w:rPr>
          <w:rFonts w:ascii="Times New Roman" w:cs="Times New Roman" w:eastAsia="Times New Roman" w:hAnsi="Times New Roman"/>
          <w:sz w:val="18"/>
          <w:szCs w:val="18"/>
          <w:u w:val="single" w:color="auto"/>
          <w:color w:val="0000FF"/>
        </w:rPr>
        <w:t>Observers</w:t>
      </w:r>
      <w:r>
        <w:rPr>
          <w:rFonts w:ascii="Times New Roman" w:cs="Times New Roman" w:eastAsia="Times New Roman" w:hAnsi="Times New Roman"/>
          <w:sz w:val="18"/>
          <w:szCs w:val="18"/>
          <w:color w:val="000000"/>
        </w:rPr>
        <w:t xml:space="preserve"> in connection with such meetings may be redacted to the extent that the board of directors of the Borrower (or any relevant committees thereof) reasonably determines that such exclusion or redaction is necessary (a) to preserve attorney-client privilege or (b) to avoid a conflict of interest between the interests of the Borrower or any of its Subsidiaries, as applicable, and those of the Agent or any Lender;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and/or voted upon at such meeting (or the proposed actions to be taken by written consent without a meeting). In the event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000000"/>
        </w:rPr>
        <w:t xml:space="preserve"> Board Observer is excluded from any meeting or portion thereof or is delivered any redacted information or materials related thereto, the Borrower shall promptly provide to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Board Observer a general description, which shall be true and correct in all material respects, of the matters discussed during such meeting or portion thereof at which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Board Observer was excluded and any such redacted information or materials;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description may exclude any information to the extent that the Borrower reasonably determines that such exclusion is necessary (i) to preserve attorney-client privilege or (ii) to avoid a conflict of interest between the interests of the Borrower or any of its Subsidiaries, as applicable, and those of the Agent or any Lender. Subject to the first proviso in the second sentence of this Section, the Board </w:t>
      </w:r>
      <w:r>
        <w:rPr>
          <w:rFonts w:ascii="Times New Roman" w:cs="Times New Roman" w:eastAsia="Times New Roman" w:hAnsi="Times New Roman"/>
          <w:sz w:val="18"/>
          <w:szCs w:val="18"/>
          <w:color w:val="FF0000"/>
          <w:strike w:val="1"/>
        </w:rPr>
        <w:t>Observer</w:t>
      </w:r>
      <w:r>
        <w:rPr>
          <w:rFonts w:ascii="Times New Roman" w:cs="Times New Roman" w:eastAsia="Times New Roman" w:hAnsi="Times New Roman"/>
          <w:sz w:val="18"/>
          <w:szCs w:val="18"/>
          <w:u w:val="single" w:color="auto"/>
          <w:color w:val="0000FF"/>
        </w:rPr>
        <w:t>Observers</w:t>
      </w:r>
      <w:r>
        <w:rPr>
          <w:rFonts w:ascii="Times New Roman" w:cs="Times New Roman" w:eastAsia="Times New Roman" w:hAnsi="Times New Roman"/>
          <w:sz w:val="18"/>
          <w:szCs w:val="18"/>
          <w:color w:val="000000"/>
        </w:rPr>
        <w:t xml:space="preserve"> shall have the right to receive all information provided to the members of the board of directors or any similar group performing an executive oversight or similar function (or any relevant committee thereof) of the Borrower in anticipation of or at such meeting (regular or special and whether telephonic</w:t>
      </w:r>
      <w:r>
        <w:rPr>
          <w:rFonts w:ascii="Times New Roman" w:cs="Times New Roman" w:eastAsia="Times New Roman" w:hAnsi="Times New Roman"/>
          <w:sz w:val="18"/>
          <w:szCs w:val="18"/>
          <w:u w:val="single" w:color="auto"/>
          <w:color w:val="0000FF"/>
        </w:rPr>
        <w:t>, videoconference</w:t>
      </w:r>
      <w:r>
        <w:rPr>
          <w:rFonts w:ascii="Times New Roman" w:cs="Times New Roman" w:eastAsia="Times New Roman" w:hAnsi="Times New Roman"/>
          <w:sz w:val="18"/>
          <w:szCs w:val="18"/>
          <w:color w:val="000000"/>
        </w:rPr>
        <w:t xml:space="preserve"> or otherwise), in addition to copies of the records of the proceedings or minutes of such meeting, when provided to the members, and the Board </w:t>
      </w:r>
      <w:r>
        <w:rPr>
          <w:rFonts w:ascii="Times New Roman" w:cs="Times New Roman" w:eastAsia="Times New Roman" w:hAnsi="Times New Roman"/>
          <w:sz w:val="18"/>
          <w:szCs w:val="18"/>
          <w:color w:val="FF0000"/>
          <w:strike w:val="1"/>
        </w:rPr>
        <w:t>Observer</w:t>
      </w:r>
      <w:r>
        <w:rPr>
          <w:rFonts w:ascii="Times New Roman" w:cs="Times New Roman" w:eastAsia="Times New Roman" w:hAnsi="Times New Roman"/>
          <w:sz w:val="18"/>
          <w:szCs w:val="18"/>
          <w:u w:val="single" w:color="auto"/>
          <w:color w:val="0000FF"/>
        </w:rPr>
        <w:t>Observers</w:t>
      </w:r>
      <w:r>
        <w:rPr>
          <w:rFonts w:ascii="Times New Roman" w:cs="Times New Roman" w:eastAsia="Times New Roman" w:hAnsi="Times New Roman"/>
          <w:sz w:val="18"/>
          <w:szCs w:val="18"/>
          <w:color w:val="000000"/>
        </w:rPr>
        <w:t xml:space="preserve"> shall keep such materials and information confidential in accordance with Section 12.10.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Each</w:t>
      </w:r>
      <w:r>
        <w:rPr>
          <w:rFonts w:ascii="Times New Roman" w:cs="Times New Roman" w:eastAsia="Times New Roman" w:hAnsi="Times New Roman"/>
          <w:sz w:val="18"/>
          <w:szCs w:val="18"/>
          <w:color w:val="000000"/>
        </w:rPr>
        <w:t xml:space="preserve"> Board Observer shall be identified by the Agent and consented to by the Borrower (such consent not to </w:t>
      </w:r>
      <w:r>
        <w:rPr>
          <w:rFonts w:ascii="Times New Roman" w:cs="Times New Roman" w:eastAsia="Times New Roman" w:hAnsi="Times New Roman"/>
          <w:sz w:val="18"/>
          <w:szCs w:val="18"/>
          <w:u w:val="single" w:color="auto"/>
          <w:color w:val="0000FF"/>
        </w:rPr>
        <w:t>be</w:t>
      </w:r>
      <w:r>
        <w:rPr>
          <w:rFonts w:ascii="Times New Roman" w:cs="Times New Roman" w:eastAsia="Times New Roman" w:hAnsi="Times New Roman"/>
          <w:sz w:val="18"/>
          <w:szCs w:val="18"/>
          <w:color w:val="000000"/>
        </w:rPr>
        <w:t xml:space="preserve"> unreasonably delayed or withheld) (it being acknowledged and agreed by the Borrower that </w:t>
      </w:r>
      <w:r>
        <w:rPr>
          <w:rFonts w:ascii="Times New Roman" w:cs="Times New Roman" w:eastAsia="Times New Roman" w:hAnsi="Times New Roman"/>
          <w:sz w:val="18"/>
          <w:szCs w:val="18"/>
          <w:color w:val="FF0000"/>
          <w:strike w:val="1"/>
        </w:rPr>
        <w:t>Soyoun Ahn and</w:t>
      </w:r>
      <w:r>
        <w:rPr>
          <w:rFonts w:ascii="Times New Roman" w:cs="Times New Roman" w:eastAsia="Times New Roman" w:hAnsi="Times New Roman"/>
          <w:sz w:val="18"/>
          <w:szCs w:val="18"/>
          <w:u w:val="single" w:color="auto"/>
          <w:color w:val="0000FF"/>
        </w:rPr>
        <w:t>each of</w:t>
      </w:r>
      <w:r>
        <w:rPr>
          <w:rFonts w:ascii="Times New Roman" w:cs="Times New Roman" w:eastAsia="Times New Roman" w:hAnsi="Times New Roman"/>
          <w:sz w:val="18"/>
          <w:szCs w:val="18"/>
          <w:color w:val="000000"/>
        </w:rPr>
        <w:t xml:space="preserve"> Nicolas Debetencourt </w:t>
      </w:r>
      <w:r>
        <w:rPr>
          <w:rFonts w:ascii="Times New Roman" w:cs="Times New Roman" w:eastAsia="Times New Roman" w:hAnsi="Times New Roman"/>
          <w:sz w:val="18"/>
          <w:szCs w:val="18"/>
          <w:color w:val="FF0000"/>
          <w:strike w:val="1"/>
        </w:rPr>
        <w:t>are</w:t>
      </w:r>
      <w:r>
        <w:rPr>
          <w:rFonts w:ascii="Times New Roman" w:cs="Times New Roman" w:eastAsia="Times New Roman" w:hAnsi="Times New Roman"/>
          <w:sz w:val="18"/>
          <w:szCs w:val="18"/>
          <w:u w:val="single" w:color="auto"/>
          <w:color w:val="0000FF"/>
        </w:rPr>
        <w:t>and an individual identified in writing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by the Agent to the Borrower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1" w:name="page402"/>
    <w:bookmarkEnd w:id="401"/>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FF"/>
        </w:rPr>
        <w:t>on or prior to the Fourteenth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 approved to be a Board Observer). The Borrower shall reimburse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Board Observer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all reasonable out-of-pocket costs and expenses incurred in connection with its participation in any such BOD Meeting.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Governmental and Other Approvals</w:t>
      </w:r>
      <w:r>
        <w:rPr>
          <w:rFonts w:ascii="Times New Roman" w:cs="Times New Roman" w:eastAsia="Times New Roman" w:hAnsi="Times New Roman"/>
          <w:sz w:val="18"/>
          <w:szCs w:val="18"/>
          <w:color w:val="auto"/>
        </w:rPr>
        <w:t>. Apply for, obtain and/or maintain in effect, as applicable, all authorizations, consents, approvals, licenses, qualifications, exemptions, filings, declarations and registrations (whether with any court, governmental agency, regulatory authority, securities exchange or otherwise) which are necessary or reasonably requested by the Agent in connection with the execution, delivery and performance by any Credit Party of, as applicable, this Agreement, the other Loan Documents, the Senior Loan Documents, the Subordinated Debt Documents, or any other documents or instruments to be executed and/or delivered by any Credit Party, as applicable in connection therewith or herewith, except where the failure to so apply for, obtain or maintain could not reasonably be expected to have a Material Adverse Effect.</w:t>
      </w:r>
    </w:p>
    <w:p>
      <w:pPr>
        <w:spacing w:after="0" w:line="1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u w:val="single" w:color="auto"/>
          <w:color w:val="auto"/>
        </w:rPr>
        <w:t>Compliance with ERISA; ERISA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4"/>
        <w:spacing w:after="0" w:line="261" w:lineRule="auto"/>
        <w:tabs>
          <w:tab w:leader="none" w:pos="171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all requirements imposed by ERISA and the Internal Revenue Code and other Requirements of Law, including, but not limited to, the minimum funding requirements for any Pension Plan (other than a Multiemployer Plan), and to prevent any occurrence of an ERISA Event or Foreign Benefit Event, except to the extent that failure to comply therewith could not, either singly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Agent in writing if any ERISA Event or Foreign Benefit Event occurs, or is reasonably expected to occur, to the extent that such ERISA Event or Foreign Benefit Event could reasonably be expected to have a Material Adverse Effect.</w:t>
      </w:r>
    </w:p>
    <w:p>
      <w:pPr>
        <w:spacing w:after="0" w:line="16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u w:val="single" w:color="auto"/>
          <w:color w:val="auto"/>
        </w:rPr>
        <w:t>Defense of Collateral</w:t>
      </w:r>
      <w:r>
        <w:rPr>
          <w:rFonts w:ascii="Times New Roman" w:cs="Times New Roman" w:eastAsia="Times New Roman" w:hAnsi="Times New Roman"/>
          <w:sz w:val="18"/>
          <w:szCs w:val="18"/>
          <w:color w:val="auto"/>
        </w:rPr>
        <w:t>. Defend the Collateral from any Liens other than Liens permitted by Section 7.2.</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7"/>
          <w:szCs w:val="17"/>
          <w:u w:val="single" w:color="auto"/>
          <w:color w:val="auto"/>
        </w:rPr>
        <w:t>Future Subsidiaries; Additional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72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Person which becomes a (i) Domestic Subsidiary of the Borrower (directly or indirectly) subsequent to the Effective Date, whether by Permitted Acquisition or otherwise, cause such new Domestic Subsidiary or (ii) Foreign Subsidiary (including any CFC) of the Borrower (directly or indirectly) subsequent to the Effective Date, whether by Permitted Acquisition or otherwise, unless the Agent, acting in consultation with the Borrower, reasonably determines in good faith that the cost, burden, difficulty and/or consequence of obtaining a guaranty or security interest with respect thereto outweigh the benefit to the Lenders after conducting due diligence on such Foreign Subsidiary, cause such new Foreign Subsidiary, to execute and deliver to the Agent, for and on behalf of itself and each of the Lenders (unless waived by the Agent) the below items set forth in clauses (i)-(iii); provided, that no CFC or CFC Holding Company shall be required to complete the items set forth in clauses (a)(i)-(iii) below if completing such requirements would reasonably be expected to result in material tax liabilities or material adverse tax consequences as jointly determined in good faith by the Borrower and the Agent:</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75"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date such Person becomes a Subsidiary (or such longer time period as the Agent may determine, without any requirement for Lender consent), a Guaranty, or in the event that a Guaranty already exists, a joinder agreement to the Guaranty whereby such Subsidiary becomes obligated as a Guarantor under the Guaranty;</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41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date such Person becomes a Subsidiary (or such longer time period as the Agent may determine, without any requirement for Lender consent), a joinder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2" w:name="page403"/>
    <w:bookmarkEnd w:id="402"/>
    <w:p>
      <w:pPr>
        <w:jc w:val="both"/>
        <w:spacing w:after="0" w:line="266" w:lineRule="auto"/>
        <w:rPr>
          <w:sz w:val="20"/>
          <w:szCs w:val="20"/>
          <w:color w:val="auto"/>
        </w:rPr>
      </w:pPr>
      <w:r>
        <w:rPr>
          <w:rFonts w:ascii="Times New Roman" w:cs="Times New Roman" w:eastAsia="Times New Roman" w:hAnsi="Times New Roman"/>
          <w:sz w:val="18"/>
          <w:szCs w:val="18"/>
          <w:color w:val="auto"/>
        </w:rPr>
        <w:t>agreement to the Security Agreement whereby such Subsidiary grants a Lien over its assets (other than Equity Interests which should be governed by (b) of this Section 6.13) as set forth in the Security Agreement, and such Subsidiary shall take such additional actions as may be necessary to ensure a valid perfected Lien over such assets of such Subsidiary, subject only to the other Liens permitted pursuant to Section 7.2 of this Agreement; and</w:t>
      </w:r>
    </w:p>
    <w:p>
      <w:pPr>
        <w:spacing w:after="0" w:line="176" w:lineRule="exact"/>
        <w:rPr>
          <w:sz w:val="20"/>
          <w:szCs w:val="20"/>
          <w:color w:val="auto"/>
        </w:rPr>
      </w:pPr>
    </w:p>
    <w:p>
      <w:pPr>
        <w:ind w:firstLine="1952"/>
        <w:spacing w:after="0" w:line="282" w:lineRule="auto"/>
        <w:tabs>
          <w:tab w:leader="none" w:pos="2407"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and to the extent required under clause (c) of this Section 6.13, a Mortgage, Collateral Access Agreements and/or other documents required to be delivered in connection therewith;</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99"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Equity Interests of each Person which becomes (whether by Permitted Acquisition or otherwise) (i) a Domestic Subsidiary or a Foreign Subsidiary which becomes (or is required to become) a Guarantor subsequent to the Effective Date, cause the Borrower or the Guarantor that holds such Equity Interests to execute and deliver such Pledge Agreements, and take such actions as may be necessary to ensure a valid perfected Lien over one hundred percent (100%) of the Equity Interests of such Subsidiary held by the Borrower or such Guarantor, such Pledge Agreements to be executed and delivered (unless waived in writing by the Agent) within thirty (30) days after the date such Person becomes a Subsidiary (or such longer time period as the Agent may determine, without any requirement for Lender consent); provided that with respect to any CFC Holding Company that is not required to become a Guarantor, there shall be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 of such CFC Holding Company; and (ii) a Foreign Subsidiary subsequent to the Effective Date and is not required to become a Guarantor, the Equity Interests of which is held directly by the Borrower or a Guarantor, cause the Borrower or such Guarantor that holds such Equity Interests to execute and deliver such Pledge Agreements and take such actions as may be necessary to ensure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Interests of such Foreign Subsidiary, such Pledge Agreements to be executed and delivered (unless waived in writing by the Agent) within thirty (30) days after the date such Person becomes a Foreign Subsidiary (or such longer time period as the Agent may determine, without any requirement for Lender consent); and</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7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the acquisition of a fee interest in real property by the Borrower or any Guarantor after the Effective Date (whether by Permitted Acquisition or otherwise), not later than sixty (60) days after the acquisition is consummated (or such longer time period as the Agent may determine, without any requirement for Lender consent), the Borrower or such Guarantor shall execute or cause to be executed (unless waived in writing by the Agent), a Mortgage (or an amendment to an existing mortgage, where appropriate) covering such real property, together with such additional real estate documentation, environmental reports, title policies and surveys as may be reasonably required by the Agent; (ii) with respect to the acquisition of any leasehold interest in real property by the Borrower or any Guarantor after the Effective Date (whether by Permitted Acquisition or otherwise) at which the Borrower or such Guarantor maintains its headquarters location, not later than forty-five (45) days after the acquisition is consummated (or such longer time period as the Agent may determine, without any requirement for Lender consent), the Borrower or such Guarantor shall deliver to the Agent a copy of the applicable lease agreement and shall use commercially reasonably efforts to execute or cause to be executed, unless otherwise waived in writing by the Agent, a Collateral Access Agreement in form and substance reasonably acceptable to the Agent together with such other documentation as may be reasonably required by the Agent; and (iii) with respect to the acquisition of any other leasehold interest in real property by the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3" w:name="page404"/>
    <w:bookmarkEnd w:id="403"/>
    <w:p>
      <w:pPr>
        <w:jc w:val="both"/>
        <w:spacing w:after="0" w:line="256" w:lineRule="auto"/>
        <w:rPr>
          <w:sz w:val="20"/>
          <w:szCs w:val="20"/>
          <w:color w:val="auto"/>
        </w:rPr>
      </w:pPr>
      <w:r>
        <w:rPr>
          <w:rFonts w:ascii="Times New Roman" w:cs="Times New Roman" w:eastAsia="Times New Roman" w:hAnsi="Times New Roman"/>
          <w:sz w:val="18"/>
          <w:szCs w:val="18"/>
          <w:color w:val="auto"/>
        </w:rPr>
        <w:t>Borrower or any Guarantor after the Effective Date (whether by Permitted Acquisition or otherwise) at which the Borrower or such Guarantor holds or stores Collateral with an aggregate net book value in excess of $2,500,000 at each such location, not later than sixty (60) days after the date on which Collateral in excess of such threshold amount is located on the location subject to such lease (or such longer time period as the Agent may determine, without any requirement for Lender consent), the Borrower or such Guarantor shall deliver to the Agent a copy of the applicable lease agreement and shall use commercially reasonable efforts to execute or cause to be executed, unless otherwise waived by the Agent, a Collateral Access Agreement in form and substance reasonably acceptable to the Agent, together with such other documentation as may be reasonably required by the Agent;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case in form reasonably satisfactory to the Agent, in its reasonable discretion, together with such supporting documentation, including without limitation corporate authority items, certificates and opinions of counsel, as reasonably required by the Agent. Upon the Agent’s request, the Borrower and the Guarantors shall take, or cause to be taken, such additional steps as are necessary or advisable under applicable law to perfect and ensure the validity and priority of the Liens granted under this Section 6.13.</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All deposit accounts and securities accounts of the Borrower and the Guarantors (other than the Permitted Account, Excluded Accounts and other deposit accounts and/or securities accounts that the Agent shall agree in its sole discretion) shall be subject to Account Control Agreements. The Borrower and the Guarantors shall take all other steps necessary, or in the opinion of the Agent, desirable to ensure that the Agent has a perfected security interest in such account. Notwithstanding the foregoing, the Borrower shall be permitted to maintain the Permitted Account without delivering the documentation required under this Section 6.14 with respect to such Permitted Account, so long as no Event of Default has occurred and is continuing and the aggregate balance in the Permitted Account does not exceed Three Hundred Thousand Dollars ($300,000) at any time. The Borrower and the Guarantors shall deposit, or cause to be deposited promptly, and in any event no later than the next Business Day after the date of receipt thereof, all proceeds in respect of any Collateral and all other amounts received by the Borrower and the Guarantors into an account of the Borrower or Guarantors. Subject to Section 6.19(f), the Borrower and the Guarantors shall not maintain cash or other amounts in any deposit account or securities account, unless the Agent shall have received an Account Control Agreement in respect of each such account (other than the Permitted Account and the Excluded Accounts). Subject to the terms of the Specified Subordination Agreement, if an Event of Default has occurred and is continuing, all amounts received in such accounts shall, if so directed by the Agent, be wired each Business Day into the Agent’s Account.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Use the Loans in accordance with Section 2.10. The Borrower shall not use any portion of the proceeds of any such advances for the purpose of purchasing or carrying any “margin stock” (as defined in Regulation U of the Board of Governors of the Federal Reserve System) in any manner which violates the provisions of Regulation T, U or X of said Board of Governors or for any other purpose in violation of any applicable statute or regulation and not use the Loans to fund any operations in, finance any investments or activities in, or, make any payments to, a Sanctioned Country or Sanctioned Person in violation of any Anti-Terrorism Law or in any other manner that would result in a violation of Sanctions by any Person.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could not reasonably be expected to have a Material Adverse Effect, the Borrower shall (i) protect, defend and maintain the validity and enforceability of the material Trademarks, Patents, Copyrights and Trade Secrets owned by the Borrower, (ii) use commercially reasonable efforts to detect infringements of the Trademarks, Patents and Copyrights or misappropriation of Trade Secrets owned by the Borrower and promptly advise the Agent in writing of material infringements or misappropriations detected and (iii) not allow any material Intellectual Property owned by the Borrower to be abandoned, forfeited or dedicated to the public without the written consent of the Agent, which shall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4" w:name="page405"/>
    <w:bookmarkEnd w:id="404"/>
    <w:p>
      <w:pPr>
        <w:jc w:val="both"/>
        <w:spacing w:after="0" w:line="261" w:lineRule="auto"/>
        <w:rPr>
          <w:sz w:val="20"/>
          <w:szCs w:val="20"/>
          <w:color w:val="auto"/>
        </w:rPr>
      </w:pPr>
      <w:r>
        <w:rPr>
          <w:rFonts w:ascii="Times New Roman" w:cs="Times New Roman" w:eastAsia="Times New Roman" w:hAnsi="Times New Roman"/>
          <w:sz w:val="18"/>
          <w:szCs w:val="18"/>
          <w:color w:val="auto"/>
        </w:rPr>
        <w:t>not be unreasonably withheld. If, despite the restrictions contained in Section 7.3 and subject to the exceptions for Rent the Runway Limited set forth therein, any Subsidiary of the Borrower that is not the Borrower or a Guarantor holds, acquires, exclusively licenses or develops material Intellectual Property, the Borrower shall promptly cause (i) such Subsidiary to transfer such material Intellectual Property and any rights thereto to the Borrower or a Guarantor and (ii) grant a perfected security interest in any such Intellectual Property in accordance with the requirements set forth in the Loan Documents.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Consent of Inbound Licensors</w:t>
      </w:r>
      <w:r>
        <w:rPr>
          <w:rFonts w:ascii="Times New Roman" w:cs="Times New Roman" w:eastAsia="Times New Roman" w:hAnsi="Times New Roman"/>
          <w:sz w:val="18"/>
          <w:szCs w:val="18"/>
          <w:color w:val="auto"/>
        </w:rPr>
        <w:t>. Promptly after entering into or becoming bound by any inbound license or agreement (other than over-the-counter software that is commercially available to the public), the failure, breach or termination of which could reasonably be expected to cause a Material Adverse Effect, the Borrower shall provide written notice to the Agent of the material terms of such license or agreement with a description of its likely impact on the Borrower’s business or financial condition. The Borrower shall, in good faith, take such actions as the Agent may reasonably request to obtain the consent of, or waiver by, any person whose consent or waiver is necessary for (a) the Borrower’s interest in such licenses or contract rights to be deemed Collateral and for the Agent to have, for the benefit of the Lenders, a security interest in it that might otherwise be restricted by the terms of the applicable license or agreement, whether now existing or entered into in the future (in each case, only to the extent they constitute Collateral), and (b) the Agent to have the ability in the event of a liquidation of any Collateral to dispose of such Collateral in accordance with the Agent’s rights and remedies under this Agreement and the other Loan Documents, provided, however, that the failure to obtain any such consent or waiver shall not constitute an Event of Default under this Agreement.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Anti-Terrorism</w:t>
      </w:r>
      <w:r>
        <w:rPr>
          <w:rFonts w:ascii="Times New Roman" w:cs="Times New Roman" w:eastAsia="Times New Roman" w:hAnsi="Times New Roman"/>
          <w:sz w:val="18"/>
          <w:szCs w:val="18"/>
          <w:color w:val="auto"/>
        </w:rPr>
        <w:t>. Not permit (i) any Covered Entity (in the case of clauses (b) and (c) of the definition of “Covered Entity,” to the knowledge of the Credit Parties) to become a Sanctioned Person, (ii) any Covered Entity (in the case of clauses (b) and (c) of the definition of “Covered Entity,” to the knowledge of the Credit Parties), either in its own right or through any third party, to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Loans to fund any operations in, finance any investments or activities in, or, make any payments to, a Sanctioned Country or Sanctioned Person in violation of any Anti-Terrorism Law, (iii) the funds used to repay the Indebtedness will not be derived from any unlawful activity, and (iv) shall cause each Covered Entity (in the case of clauses (b) and (c) of the definition of “Covered Entity,” to the knowledge of the Credit Parties) to comply with all Anti-Terrorism Laws.</w:t>
      </w:r>
    </w:p>
    <w:p>
      <w:pPr>
        <w:spacing w:after="0" w:line="18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6.19</w:t>
      </w:r>
      <w:r>
        <w:rPr>
          <w:sz w:val="20"/>
          <w:szCs w:val="20"/>
          <w:color w:val="auto"/>
        </w:rPr>
        <w:tab/>
      </w:r>
      <w:r>
        <w:rPr>
          <w:rFonts w:ascii="Times New Roman" w:cs="Times New Roman" w:eastAsia="Times New Roman" w:hAnsi="Times New Roman"/>
          <w:sz w:val="17"/>
          <w:szCs w:val="17"/>
          <w:u w:val="single" w:color="auto"/>
          <w:color w:val="auto"/>
        </w:rPr>
        <w:t>Further Assurances and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702"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actions as the Agent or Majority Lenders may from time to time reasonably request to establish and maintain perfected security interests in and Liens on all of the Collateral, subject only to those Liens permitted under Section 7.2 hereof, including executing and delivering such additional pledges, assignments, mortgages, lien instruments or other security instruments covering any or all of the Borrower’s and the Guarantors’ assets as the Agent may reasonably require, such documentation to be in form and substance reasonably acceptable to the Agent, and prepared at the expense of the Borrower.</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or cause to be executed and delivered to the Agent within a reasonable time following the Agent’s request, and at the expense of the Borrower, such other documents or instruments as the Agent may reasonably require to effectuate more fully the purposes of this Agreement or the other Loan Documents.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5" w:name="page406"/>
    <w:bookmarkEnd w:id="405"/>
    <w:p>
      <w:pPr>
        <w:ind w:firstLine="1304"/>
        <w:spacing w:after="0" w:line="282" w:lineRule="auto"/>
        <w:tabs>
          <w:tab w:leader="none" w:pos="168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Agent and the Lenders with any other information required by Section 326 of the USA Patriot Act or necessary for the Agent and the Lenders to verify the identity of any Credit Party as required by Section 326 of the USA Patriot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9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Agent, in its sole discretion, consents in writing to the formation or other existence of a direct parent entity of the Borrower, cause such parent entity to become a Guarantor and a party hereunder and the other Loan Documents, grant a security interest in all of the assets of such entity, including a pledge of 100% of the Equity Interests of the Borrower, and amend, restate, amend and restate, supplement or otherwise modify this Agreement and any other Loan Document to give effect to the foregoing, including causing such direct parent entity to be subject to, among other things, the representations, affirmative covenants, negative covenants (including, without limitation, a passive holding covenant, a restriction on granting Liens on any Equity Interests of the Borrower and a restriction prohibiting the “round-tripping” of cash equity contributions to any equity holders) and events of default hereunder.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7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forty-five (45) days after the Sixth Amendment Effective Date (or such longer time as the Agent may agree in writing), the Agent shall have received (in accordance with and subject to Section 6.13(b) hereof) pledge documents governed by Irish law, in form and substance reasonably satisfactory to the Agent, and take all other steps as may be required by Irish law to perfect a Lien on sixty-five percent (65%) (or such greater percentage that, due to a change in applicable law after the Effective Date, (A) would not reasonably be expected to cause the undistributed earnings of such Foreign Subsidiary as determined for United States federal income tax purposes to be treated as a deemed dividend to such Foreign Subsidiary’s United States parent and (B) would not reasonably be expected to cause any material adverse tax consequences as determined by the Borrower and the Agent) of the voting Equity Interests and one hundred percent (100%) of the non-voting Equity Interests of Rent the Runway Limited with all costs and expenses of the Agent borne by the Agent and of the Borrower borne by the Borrower.</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date that is 60 days after the Sixth Amendment Effective Date (or such longer time as the Agent may agree in writing), the Agent shall have received all additional Account Control Agreements that, in the reasonable judgment of the Agent and the Majority Lenders, are required for the Borrower and the Guarantors to comply with the Loan Documents, each duly executed by, in addition to the Borrower or Guarantor, as applicable, the applicable financial institution, the Senior Agent and the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53"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forty-five (45) days after the Seventh Amendment Effective Date (or such longer time as the Agent may agree in writing), (i) the Agent shall have received (A) pledge documents governed by Irish law, in form and substance reasonably satisfactory to the Agent and (B) original share certificates and transfer powers executed in blank (or the equivalent thereof) representing one hundred percent (100%) of the voting Equity Interests and one-hundred percent (100%) of the non-voting Equity Interests of Rent the Runway Limited and (ii) the Borrower shall have taken all other steps as may be required by Irish law to perfect the Agent’s Lien on one hundred percent (100%) of the voting Equity Interests and one hundred percent (100%) of the non-voting Equity Interests of Rent the Runway Limited.</w:t>
      </w:r>
    </w:p>
    <w:p>
      <w:pPr>
        <w:spacing w:after="0" w:line="18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6.20</w:t>
      </w:r>
      <w:r>
        <w:rPr>
          <w:sz w:val="20"/>
          <w:szCs w:val="20"/>
          <w:color w:val="auto"/>
        </w:rPr>
        <w:tab/>
      </w:r>
      <w:r>
        <w:rPr>
          <w:rFonts w:ascii="Times New Roman" w:cs="Times New Roman" w:eastAsia="Times New Roman" w:hAnsi="Times New Roman"/>
          <w:sz w:val="17"/>
          <w:szCs w:val="17"/>
          <w:u w:val="single" w:color="auto"/>
          <w:color w:val="auto"/>
        </w:rPr>
        <w:t>Refinancing Offer Right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689"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first offer the Lenders the opportunity to refinance the Obligations (or amend this Agreement if it has the effect of refinancing the Obligations) in full, and the Lenders shall have twenty (20) Business Days (or such longer period as mutually agreed by the Borrower in its sole discretion) after the date of receipt of such offer to either agree to such refinancing and provide a binding letter of intent or similar documentation to provide such financing (or such other documentation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6" w:name="page407"/>
    <w:bookmarkEnd w:id="406"/>
    <w:p>
      <w:pPr>
        <w:jc w:val="both"/>
        <w:spacing w:after="0" w:line="256" w:lineRule="auto"/>
        <w:rPr>
          <w:sz w:val="20"/>
          <w:szCs w:val="20"/>
          <w:color w:val="auto"/>
        </w:rPr>
      </w:pPr>
      <w:r>
        <w:rPr>
          <w:rFonts w:ascii="Times New Roman" w:cs="Times New Roman" w:eastAsia="Times New Roman" w:hAnsi="Times New Roman"/>
          <w:sz w:val="18"/>
          <w:szCs w:val="18"/>
          <w:color w:val="auto"/>
        </w:rPr>
        <w:t>acceptable to the Borrower) or decline (and shall be deemed to have declined to provide such refinancing to the extent the Lenders do not deliver such letter of intent or similar documentation within such period of twenty (20) Business Days (or such longer period as agreed by the Borrower in its sole discretion)). If the Lenders decline to participate in such refinancing, the Borrower may then offer such opportunity to provide such refinancing to any other Person on terms and conditions no better, taken as a whole, to such Person than the terms and conditions offered to the Lenders. Any communication, notice or other documentation provided by or to the Borrower in respect of such refinancing pursuant to the provisions set forth in this Section 6.20 shall be concurrently delivered to the Agent and the Lenders under this Agreement.</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NEGATIVE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covenants and agrees that, so long as any Lender has any commitment to extend credit hereunder, or any of the Indebtedness (including any Yield Maintenance Premium or Prepayment Premium) remains outstanding and unpaid, it will not, and, as applicable, it will not permit any of its Subsidiaries to:</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Limitation on Debt</w:t>
      </w:r>
      <w:r>
        <w:rPr>
          <w:rFonts w:ascii="Times New Roman" w:cs="Times New Roman" w:eastAsia="Times New Roman" w:hAnsi="Times New Roman"/>
          <w:sz w:val="18"/>
          <w:szCs w:val="18"/>
          <w:color w:val="auto"/>
        </w:rPr>
        <w:t>. Create, incur, assume or suffer to exist any Debt, except:</w:t>
      </w:r>
    </w:p>
    <w:p>
      <w:pPr>
        <w:spacing w:after="0" w:line="225" w:lineRule="exact"/>
        <w:rPr>
          <w:sz w:val="20"/>
          <w:szCs w:val="20"/>
          <w:color w:val="auto"/>
        </w:rPr>
      </w:pPr>
    </w:p>
    <w:p>
      <w:pPr>
        <w:ind w:left="1680" w:hanging="376"/>
        <w:spacing w:after="0"/>
        <w:tabs>
          <w:tab w:leader="none" w:pos="16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Credit Party to the Agent or any Lender;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07"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existing on the Sixth Amendment Effective Date and set forth in Schedule 7.1 attached hereto and any Permitted Refinancing Debt in respect of such Debt;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of the Borrower or any of its Subsidiaries incurred to finance the acquisition of fixed or capital assets, or any Permitted Refinancing Debt thereof, whether pursuant to a loan or a Capitalized Lease provided that both at the time of and immediately after giving effect to the incurrence thereof (i) no Event of Default shall have occurred and be continuing, (ii) other than in the case of a refinancing, such Debt is incurred within 180 days of the acquisition thereof and (iii) the aggregate principal amount of all such Debt at any one time outstanding (including, without limitation, any Debt of the type described in this clause (c) which is set forth on Schedule 7.1 hereto) shall not exceed $30,000,000;</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72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of the Credit Parties under the Senior Loan Documents in the aggregate principal amount not to exceed $30,000,000 so long as such Debt and all other obligations of the Credit Parties in connection therewith are subject to the Specified Subordination Agreement;</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under any Hedging Transactions, provided that such transaction is entered into for risk management purposes and not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purposes;</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arising from judgments or decrees not deemed to be a Default or Event of Default under Section 8.1(g);</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owing to a Person that is a Credit Party, but only to the extent permitted under Section 7.6(d) or 7.6(m);</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4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in respect of credit cards, credit card processing services, debit cards, stored value cards, purchase cards (including so-called “procurement cards” or “P-cards”) or other similar cash management services, in each case, incurred in the ordinary course of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7" w:name="page408"/>
    <w:bookmarkEnd w:id="407"/>
    <w:p>
      <w:pPr>
        <w:ind w:firstLine="1304"/>
        <w:spacing w:after="0" w:line="282" w:lineRule="auto"/>
        <w:tabs>
          <w:tab w:leader="none" w:pos="168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obligations with respect to Cash Secured L/Cs;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face amount of all Cash Secured L/Cs shall not exceed $18,000,000 at any time;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otherwise permitted under this Section 7.1, provided that both at the time of and immediately after giving effect to the incurrence thereof (i) no Event of Default shall have occurred and be continuing or result therefrom and (ii) the aggregate amount of all such Debt shall not exceed $7,500,000 at any one time outstanding.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or sign or file or suffer to exist under the UCC or any similar Law or statute of any jurisdiction a financing statement that names any Credit Party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except for:</w:t>
      </w:r>
    </w:p>
    <w:p>
      <w:pPr>
        <w:spacing w:after="0" w:line="183" w:lineRule="exact"/>
        <w:rPr>
          <w:sz w:val="20"/>
          <w:szCs w:val="20"/>
          <w:color w:val="auto"/>
        </w:rPr>
      </w:pPr>
    </w:p>
    <w:p>
      <w:pPr>
        <w:ind w:left="1680" w:hanging="376"/>
        <w:spacing w:after="0"/>
        <w:tabs>
          <w:tab w:leader="none" w:pos="168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699"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Debt permitted by Section 7.1(c), provided that (i) such Liens are created only upon fixed or capital assets acquired by the applicable Credit Party after the date of this Agreement (including without limitation by virtue of a loan or a Capitalized Lease), (ii) any such Lien is created solely for the purpose of securing indebtedness representing or incurred to finance the cost of the acquisition of the item of property subject thereto,</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29"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Debt secured by any such Lien shall at no time exceed 100% of the sum of the purchase price or cost of the applicable property, equipment or improvements and the related costs and charges imposed by the vendors thereof and (iv) the Lien does not cover any property other than the fixed or capital asset acquired; provided, however, that no such Lien shall be created over any owned real property of any Credit Party for which the Agent has received a Mortgage or for which such Credit Party is required to execute a Mortgage pursuant to the terms of this Agreement;</w:t>
      </w:r>
    </w:p>
    <w:p>
      <w:pPr>
        <w:spacing w:after="0" w:line="188"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Loan Documents;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99"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Collateral securing the Senior Debt permitted by Section 7.1(d) so long as such Liens and all obligations of the Credit Parties in connection therewith are subject to the Specified Subordination Agreement;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89"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existing on the Sixth Amendment Effective Date and set forth on Schedule 7.2; provided, that any such Lien shall only secure the Debt that it secures on the Sixth Amendment Effective Date and any Permitted Refinancing Debt in respect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6"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and cash on deposit in deposit accounts securing the Cash Secured L/Cs constituting Debt permitted by Section 7.1(j) (each, an "</w:t>
      </w:r>
      <w:r>
        <w:rPr>
          <w:rFonts w:ascii="Times New Roman" w:cs="Times New Roman" w:eastAsia="Times New Roman" w:hAnsi="Times New Roman"/>
          <w:sz w:val="18"/>
          <w:szCs w:val="18"/>
          <w:b w:val="1"/>
          <w:bCs w:val="1"/>
          <w:color w:val="auto"/>
        </w:rPr>
        <w:t>Excluded L/C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amount of such cash collateral and cash in Excluded L/C Accounts does not exceed 105% of the face amount of the Cash Secured L/Cs;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which do not secure Indebtedness for borrowed money or letters of credit and as to which the aggregate amount of the obligations secured thereby does not exceed $2,500,000, so long as both at the time of and immediately after giving effect to the incurrence thereof no Event of Default shall have occurred and be continuing or result therefrom.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8" w:name="page409"/>
    <w:bookmarkEnd w:id="408"/>
    <w:p>
      <w:pPr>
        <w:jc w:val="both"/>
        <w:spacing w:after="0" w:line="266" w:lineRule="auto"/>
        <w:rPr>
          <w:sz w:val="20"/>
          <w:szCs w:val="20"/>
          <w:color w:val="auto"/>
        </w:rPr>
      </w:pPr>
      <w:r>
        <w:rPr>
          <w:rFonts w:ascii="Times New Roman" w:cs="Times New Roman" w:eastAsia="Times New Roman" w:hAnsi="Times New Roman"/>
          <w:sz w:val="18"/>
          <w:szCs w:val="18"/>
          <w:color w:val="auto"/>
        </w:rPr>
        <w:t>Regardless of the provisions of this Section 7.2, no Lien (except for those Liens (i) for the benefit of the Agent and the Lenders or (ii) for the benefit of the Senior Lenders under the Senior Loan Documents) over the Equity Interests owned by any Credit Party shall be permitted under the terms of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Transfers of Assets</w:t>
      </w:r>
      <w:r>
        <w:rPr>
          <w:rFonts w:ascii="Times New Roman" w:cs="Times New Roman" w:eastAsia="Times New Roman" w:hAnsi="Times New Roman"/>
          <w:sz w:val="18"/>
          <w:szCs w:val="18"/>
          <w:color w:val="auto"/>
        </w:rPr>
        <w:t>. (a) Hold, acquire, develop, own or possess any assets that are material to the business of the Borrower and its Subsidiaries, including material Intellectual Property, material algorithms, material customer lists, material Software source code (or portions thereof) and, other than in the ordinary course, other material Software, unless held, acquired, developed, owned or possessed by the Borrower or a Guarantor (or developed or, with respect to material algorithms, material customer lists, material Software source code (or portions thereof) and other material Software, held or possessed by Rent the Runway Limited in the ordinary course of business for use in fulfilling its obligations to Borrower in a manner substantially consistent with the Intercompany License Agreement as of the Sixth Amendment Effective Date) or (b) subject to Section 7.4(j), transfer, contribute, exclusively license, or otherwise dispose, directly or indirectly, in any transaction or series of transactions, any assets that are material to the business of the Borrower and its Subsidiaries, including (i) material Intellectual Property or rights thereto and any licenses that are necessary to conduct the business of the Borrower and its Subsidiaries, to any other Subsidiary that is not the Borrower or a Guarantor and (ii) material algorithms, material customer lists, material Software source code (or portions thereof) and, other than in the ordinary course, other material Software other than such algorithms, customer lists, Software source codes or other Software transferred, contributed, exclusively licensed or otherwise disposed of to Rent the Runway Limited in the ordinary course of business for use in fulfilling its obligations to Borrower in a manner substantially consistent with the Intercompany License Agreement as of the Sixth Amendment Effective Date.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Limitation on Mergers, Dissolution or Sale of Assets</w:t>
      </w:r>
      <w:r>
        <w:rPr>
          <w:rFonts w:ascii="Times New Roman" w:cs="Times New Roman" w:eastAsia="Times New Roman" w:hAnsi="Times New Roman"/>
          <w:sz w:val="18"/>
          <w:szCs w:val="18"/>
          <w:color w:val="auto"/>
        </w:rPr>
        <w:t>. Merge, dissolve, liquidate or consolidate with or into another Person (or agree to do any of the foregoing) or make any Asset Sale or enter into any agreement to make any Asset Sale except:</w:t>
      </w:r>
    </w:p>
    <w:p>
      <w:pPr>
        <w:spacing w:after="0" w:line="162" w:lineRule="exact"/>
        <w:rPr>
          <w:sz w:val="20"/>
          <w:szCs w:val="20"/>
          <w:color w:val="auto"/>
        </w:rPr>
      </w:pPr>
    </w:p>
    <w:p>
      <w:pPr>
        <w:ind w:left="1680" w:hanging="376"/>
        <w:spacing w:after="0"/>
        <w:tabs>
          <w:tab w:leader="none" w:pos="16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leased or sold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obsolete, damaged, uneconomic or worn out machinery, equipment or Units, or machinery, equipment or Units no longer used or useful in the conduct of the applicable Credit Party’s business (including write-offs of any such assets); provided that the fair market value of such equipment not financed by the Agent or a Lender shall not exceed $2,500,000 in any Fiscal Year (it being understood and agreed for the avoidance of doubt that any write-off of assets shall not count toward such cap);</w:t>
      </w:r>
    </w:p>
    <w:p>
      <w:pPr>
        <w:spacing w:after="0" w:line="179"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8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of any Subsidiary of the Borrower with or into the Borrower or any Guarantor so long as the Borrower or such Guarantor shall be the continuing or surviving entity; provided that at the time of each such merger or consolidation, both before and after giving effect thereto, no Event of Default shall have occurred and be continuing or result from such merger or consolidation;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Borrower may liquidate or dissolve into the Borrower or a Guarantor if the Borrower determines in good faith that such liquidation or dissolution is in the best interests of the Borrower, so long as no Event of Default has occurred and is continuing or would result therefrom;</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77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transfers, including without limitation upon voluntary liquidation from any Guarantor to the Borrower or to another Guarantor, provided that the Borrower or Guarantor takes such actions as the Agent may reasonably request to ensure the perfection and priority of the Liens in favor of the Lenders over such transferred assets;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9" w:name="page410"/>
    <w:bookmarkEnd w:id="409"/>
    <w:p>
      <w:pPr>
        <w:jc w:val="both"/>
        <w:ind w:firstLine="1304"/>
        <w:spacing w:after="0" w:line="255" w:lineRule="auto"/>
        <w:tabs>
          <w:tab w:leader="none" w:pos="169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Asset Sales (exclusive of asset sales permitted pursuant to all other subsections of this Section 7.4) in which the sales price is at least equal to the fair market value of the assets sold and the consideration received is cash or cash equivalents or Debt of any Credit Party being assumed by the purchaser, provided, that (A) the aggregate amount of such Asset Sales does not exceed $100,000 in any Fiscal Year, (B) the assets being sold do not consist of any Equity Interests of any Subsidiary of the Borrower, and (C) no Default or Event of Default has occurred and is continuing at the time of each such sale (both before and after giving effect to such Asset Sale), and (ii) other Asset Sales approved in writing by the Majority Lenders in their sole discretion so long as the Net Cash Proceeds of such Asset Sale described in this clause (ii) are paid to the Agent for the benefit of the Agent and the Lenders pursuant to the terms of Section 2.8(a);</w:t>
      </w:r>
    </w:p>
    <w:p>
      <w:pPr>
        <w:spacing w:after="0" w:line="18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sale or disposition of Permitted Investments and other cash or cash equivalents in the ordinary course of business;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4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charitable donations of cash or Units (valued using the net book value) not to exceed $2,000,000 in the aggregate in any Fiscal Year; provided that charitable donations of cash may not exceed $750,000 in any Fiscal Year;</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73"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non-exclusive licenses and similar non-exclusive arrangements for the use of property (including Intellectual Property, rights in or to algorithms, rights in or to Software (including any portions of source code therein) and rights in or to customer lists) of the Borrower or its Subsidiaries in the ordinary course of business, and (y) exclusive licenses and similar arrangements for use of the Intellectual Property, rights in or to algorithms, rights in or to Software (including any portions of source code therein) or rights in or to customer lists of the Borrower or its Subsidiaries which exclusivity is limited in geographic scope and does not apply within the United States, provided, in each case of this clause (y), that (i) such licenses or similar arrangements do not, in the Borrower’s reasonable business judgment, materially interfere with, restrict, or limit the conduct of the business of the Borrower and its Subsidiaries, taken as a whole and (ii) the terms of any material exclusive licenses or similar material arrangements concerning any material property (including material Intellectual Property, rights in or to material algorithms, rights in or to material Software (including any portions of source code therein) and rights in or to material customer lists) shall be on arms’ length terms with third parties and subject to the review and consent of the Agent (such consent not to be unreasonably withheld, conditioned or delayed); provided that the Agent shall be deemed to have consented to any such material exclusive license or similar material arrangement unless it shall object thereto by written notice to the Borrower within ten (10) Business Days after having received written notice thereof;</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machinery or equipment to the extent that such machinery or equipment is exchanged for credit against the purchase price of similar replacement machinery or equipment;</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owned or leased vehicles in the ordinary course of business;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3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(other than Intellectual Property, algorithms, Software (including portions of source code therein) or customer lists) that are not permitted by any other provision of this Section; provided that (i) the aggregate fair value of all assets disposed of in reliance on this clause shall not exceed $1,000,000 during any Fiscal Year and (ii) all dispositions made in reliance on this clause shall be made for fair value and at least 75% cash or cash equivalents consideration;</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event of an Asset Sale (other than a non-exclusive license) of Intellectual Property used or useful in connection with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purchaser, assignee or other transferee thereof agrees in writing to be bound by a non-exclusive royalty-free worldwide license of such Intellectual Property in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0" w:name="page411"/>
    <w:bookmarkEnd w:id="41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favor of the Agent for use in connection with the exercise of the rights and remedies of the Credit Parties, which license shall be in form and substance reasonably satisfactory to the Agent,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an Asset Sale of Intellectual Property licensed by the Borrower or one of its Subsidiaries from a third party, the transferee thereof shall be required to provide such a license only to the extent to which the applicable license gives it a right to do so. Asset Sales of Intellectual Property (including, without limitation, algorithms, customer lists, Software source code (or portions thereof) or other Software) shall be subject to Section 7.3 in addition to this Section 7.4;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transfers of such Intellectual Property to Rent the Runway Limited that are permitted under Section 7.3 shall be permitted under this Section 7.4.</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Lenders hereby consent and agree to the release by the Agent of any and all Liens on the property sold or otherwise disposed of in compliance with this Section 7.4.</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Declare or make, directly or indirectly, (x) any distributions, dividend, payment or other distribution of assets, properties, cash, rights, obligations or securities (collectively,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on account of any of its Equity Interests, as applicable, or (y) any payment (whether in cash, securities or other property), including any sinking fund or similar deposit, on account of the purchase, redemption, retirement, defeasance, acquisition, cancellation or termination of any such Equity Interest, or on account of any return of capital to its stockholders, partners or members (or the equivalent of any thereof), or any option, warrant or other right to acquire any such dividend or other distribution or payment (collectively, “</w:t>
      </w:r>
      <w:r>
        <w:rPr>
          <w:rFonts w:ascii="Times New Roman" w:cs="Times New Roman" w:eastAsia="Times New Roman" w:hAnsi="Times New Roman"/>
          <w:sz w:val="18"/>
          <w:szCs w:val="18"/>
          <w:b w:val="1"/>
          <w:bCs w:val="1"/>
          <w:color w:val="auto"/>
        </w:rPr>
        <w:t>Purchases</w:t>
      </w:r>
      <w:r>
        <w:rPr>
          <w:rFonts w:ascii="Times New Roman" w:cs="Times New Roman" w:eastAsia="Times New Roman" w:hAnsi="Times New Roman"/>
          <w:sz w:val="18"/>
          <w:szCs w:val="18"/>
          <w:color w:val="auto"/>
        </w:rPr>
        <w:t>”), or incur any obligation (contingent or otherwise) to do any of the foregoing, except that (subject to Section 7.3):</w:t>
      </w:r>
    </w:p>
    <w:p>
      <w:pPr>
        <w:spacing w:after="0" w:line="187" w:lineRule="exact"/>
        <w:rPr>
          <w:sz w:val="20"/>
          <w:szCs w:val="20"/>
          <w:color w:val="auto"/>
        </w:rPr>
      </w:pPr>
    </w:p>
    <w:p>
      <w:pPr>
        <w:ind w:left="1680" w:hanging="376"/>
        <w:spacing w:after="0"/>
        <w:tabs>
          <w:tab w:leader="none" w:pos="16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may pay cash Distributions to the Borrower or a Guarantor;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94"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may declare and make Distributions payable in the Equity Interests of such Credit Party, provided that the issuance of such Equity Interests does not otherwise violate the terms of this Agreement and no Default or Event of Default has occurred and is continuing at the time of making such Distribution or would result from the making of such Distribution;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Purchase the stock of current and former employees or directors pursuant to stock repurchase agreements as long as (i) no Default or Event of Default exists prior to such Purchase or would exist after giving effect to such Purchase and (ii) the aggregate amount of any Distributions made in connection with such Purchases does not exceed $4,000,000 in any Fiscal Year;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99"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Purchase the stock of current and former employees pursuant to stock repurchase agreements by the cancellation of indebtedness owed by such former employees, regardless of whether an Event of Default exists;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3"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Purchase shares of its Equity Interests or warrant or options to acquire any such Equity Interests from its stockholders consistent with the requirement of existing equity agreements of the Borrower to the extent the consideration paid in respect thereof is paid solely in Equity Interests of the Borrower; and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69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Distributions and/or Purchases in an aggregate amount not to exceed $2,000,000 in any Fiscal Year so long as no Default or Event of Default has occurred and is continuing both before and after making such Distribution or Purchase, as applicable, or would result therefrom.</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in the event Borrower or any other Credit Party receives proceeds from an equity contribution or the issuance of Equity Interests and such proceeds are used to satisfy a financial test, liquidity test or other similar test under this Agreement, the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color w:val="auto"/>
        </w:rPr>
        <w:t>Senior Credit Agreement or otherwise, such proceeds shall not be permitted to used make a Distribution and/or Purchase pursuant to this Section 7.5.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Limitation on Investments, Loans and Advances</w:t>
      </w:r>
      <w:r>
        <w:rPr>
          <w:rFonts w:ascii="Times New Roman" w:cs="Times New Roman" w:eastAsia="Times New Roman" w:hAnsi="Times New Roman"/>
          <w:sz w:val="18"/>
          <w:szCs w:val="18"/>
          <w:color w:val="auto"/>
        </w:rPr>
        <w:t>. Make or allow to remain outstanding any Investment (whether such investment shall be of the character of investment in shares of stock, evidences of indebtedness or other securities or otherwise) in, or any loans or advances to, any Person other than (subject to Section 7.3):</w:t>
      </w:r>
    </w:p>
    <w:p>
      <w:pPr>
        <w:spacing w:after="0" w:line="176" w:lineRule="exact"/>
        <w:rPr>
          <w:sz w:val="20"/>
          <w:szCs w:val="20"/>
          <w:color w:val="auto"/>
        </w:rPr>
      </w:pPr>
    </w:p>
    <w:p>
      <w:pPr>
        <w:ind w:left="1680" w:hanging="376"/>
        <w:spacing w:after="0"/>
        <w:tabs>
          <w:tab w:leader="none" w:pos="16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99"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existing on the Third Amendment Effective Date and listed on Schedule 7.6 hereto but not any increase in the amount thereof as set forth in such Schedule or any other modification of the terms thereof;</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created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loans or intercompany Investments made by any Credit Party to or in any Guarantor, the Borrower or any other Credit Party; provided that, in the case of any intercompany loans or intercompany Investments made by (i) a Credit Party that is not the Borrower or a Guarantor, such Credit Party is party to an intercompany subordination agreement, in form and substance reasonably satisfactory to the Agent, or (ii) the Borrower or a Guarantor to or in a Credit Party that is not the Borrower or a Guarantor, the aggregate amount outstanding in respect thereof shall not exceed $250,000 in any Fiscal Year; and provided further that in each case, no Default or Event of Default shall have occurred and be continuing at the time of making such intercompany loan or intercompany Investment or result from such intercompany loan or intercompany Investment being made and that any intercompany loans shall be evidenced by and funded under an Intercompany Note pledged to the Agent under the appropriate Collateral Documents;</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67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respect of Hedging Transactions provided that such transaction is entered into for risk management purposes and not for speculative purposes;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69"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temporary advances to employees to cover incidental expenses to be incurred in the ordinary course of business, in an aggregate outstanding amount not to exceed $50,000 in the aggregate at any time outstanding;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the Borrower’s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4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and securities accounts in which the Agent, on behalf of itself and the Lenders, has a perfected security interest;</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accepted in connection with transfers or dispositions of property that are otherwise permitted under 7.4(g)(i);</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4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loans to employees, officers or directors relating to the purchase of equity securities of the Borrower or its Subsidiaries pursuant to employee stock purchase plan agreements approved by the Borrower’s board of directors and any related tax liabilities so long as the cash portion does not exceed $500,000 in the aggregate in any Fiscal Year, provided that no Event of Default has occurred, is continuing or would exist after giving effect to the loan;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2" w:name="page413"/>
    <w:bookmarkEnd w:id="412"/>
    <w:p>
      <w:pPr>
        <w:ind w:left="1700" w:hanging="396"/>
        <w:spacing w:after="0"/>
        <w:tabs>
          <w:tab w:leader="none" w:pos="17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64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notes receivable of, or prepaid royalties and other credit extensions, to customers and suppliers who are not Affiliates, in the ordinary course of business, provided that this clause (l) shall not apply to Investments by the Borrower in any Subsidiary;</w:t>
      </w:r>
    </w:p>
    <w:p>
      <w:pPr>
        <w:spacing w:after="0" w:line="16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Investments, Investments permitted under Section 7.4(d), 7.4(e) or 7.4(f);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or would result therefrom, any other Investments in an aggregate amount not to exceed $5,000,000 in the aggregate at any time outstanding; provided, however, that no more than $2,500,000 in the aggregate at any time outstanding may be used for Investments by the Borrower or any Guarantor in any Subsidiary that is not a Guarantor;</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event of an Investment made using Intellectual Property used or useful in connection with the Collateral (other than a non-exclusive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the assignee or other transferee thereof agrees in writing to be bound by a non-exclusive royalty-free worldwide license of such Intellectual Property in favor of the Agent for use in connection with the exercise of the rights and remedies of the Agent and the Lenders, which license shall be in form and substance reasonably satisfactory to the Agent.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valuing any Investments for the purpose of applying the limitations set forth in this Section 7.6 (except as otherwise expressly provided herein), such Investment shall be taken at the original cost thereof, without allowance for any subsequent write-offs or appreciation or depreciation, but less any amount repaid or recovered on account of capital or principal.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set forth on Schedule 7.7, enter into any transaction, including, without limitation, any purchase, sale, lease or exchange of property or the rendering of any service, with any Affiliates of the Credit Parties except: (a) transactions among the Borrower or Guarantors; (b) transactions permitted under this Agreement; (c) transactions in the ordinary course of a Credit Party’s business and upon fair and reasonable terms (x) no less favorable to such Credit Party than it would obtain in a comparable arm’s length transaction from unrelated third parties and</w:t>
      </w:r>
    </w:p>
    <w:p>
      <w:pPr>
        <w:spacing w:after="0" w:line="3" w:lineRule="exact"/>
        <w:rPr>
          <w:sz w:val="20"/>
          <w:szCs w:val="20"/>
          <w:color w:val="auto"/>
        </w:rPr>
      </w:pPr>
    </w:p>
    <w:p>
      <w:pPr>
        <w:ind w:right="20" w:firstLine="8"/>
        <w:spacing w:after="0" w:line="260" w:lineRule="auto"/>
        <w:tabs>
          <w:tab w:leader="none" w:pos="255"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fully disclosed to the Agent in writing prior to the consummation thereof, if they involve one or more payments by any Credit Party in excess of $100,000 for any single transaction or series of related transactions; and (d) issuances of Equity Interests or Subordinated Debt.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Sale-Leaseback Transactions</w:t>
      </w:r>
      <w:r>
        <w:rPr>
          <w:rFonts w:ascii="Times New Roman" w:cs="Times New Roman" w:eastAsia="Times New Roman" w:hAnsi="Times New Roman"/>
          <w:sz w:val="18"/>
          <w:szCs w:val="18"/>
          <w:color w:val="auto"/>
        </w:rPr>
        <w:t>. Enter into any arrangement with any Person providing for the leasing by a Credit Party of real or personal property which has been or is to be sold or transferred by such Credit Party to such Person or to any other Person to whom funds have been or are to be advanced by such Person on the security of such property or rental obligations of such Credit Party, as the case may be, provided that if, at the time that a Credit Party acquires fixed or capital assets, such Credit Party intends to sell to and then lease any such assets with an aggregate value in excess of $500,000 from another Person pursuant to a financing arrangement that would be permitted under Section 7.1(c), such transaction will not constitute a violation of this Section 7.8 so long as (i) such transaction is consummated within one hundred eighty (180) days following the acquisition of such assets and (ii) the Borrower provides a written notice of such transaction to the Agent at least 10 Business Days prior to the date on which such asset is leased to such Person.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Limitations on Other Restrictions</w:t>
      </w:r>
      <w:r>
        <w:rPr>
          <w:rFonts w:ascii="Times New Roman" w:cs="Times New Roman" w:eastAsia="Times New Roman" w:hAnsi="Times New Roman"/>
          <w:sz w:val="18"/>
          <w:szCs w:val="18"/>
          <w:color w:val="auto"/>
        </w:rPr>
        <w:t>. Except for this Agreement, any other Loan Document or the Senior Loan Documents, enter into any agreement, document or instrument which would (i) restrict the ability of any Subsidiary of the Borrower to pay or make dividends or distributions in cash or kind to</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3" w:name="page414"/>
    <w:bookmarkEnd w:id="413"/>
    <w:p>
      <w:pPr>
        <w:jc w:val="both"/>
        <w:spacing w:after="0" w:line="261" w:lineRule="auto"/>
        <w:rPr>
          <w:sz w:val="20"/>
          <w:szCs w:val="20"/>
          <w:color w:val="auto"/>
        </w:rPr>
      </w:pPr>
      <w:r>
        <w:rPr>
          <w:rFonts w:ascii="Times New Roman" w:cs="Times New Roman" w:eastAsia="Times New Roman" w:hAnsi="Times New Roman"/>
          <w:sz w:val="18"/>
          <w:szCs w:val="18"/>
          <w:color w:val="auto"/>
        </w:rPr>
        <w:t>the Borrower or any Guarantor, to make loans, advances or other payments of whatever nature to any Credit Party, or to make transfers or distributions of all or any part of its assets to any Credit Party; or (ii) restrict or prevent any Credit Party from granting the Agent on behalf of Lenders Liens upon, security interests in and pledges of their respective assets, except to the extent such restrictions exist in documents creating Liens permitted by Section 7.2(b)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Prepayment of Subordinated Debt</w:t>
      </w:r>
      <w:r>
        <w:rPr>
          <w:rFonts w:ascii="Times New Roman" w:cs="Times New Roman" w:eastAsia="Times New Roman" w:hAnsi="Times New Roman"/>
          <w:sz w:val="18"/>
          <w:szCs w:val="18"/>
          <w:color w:val="auto"/>
        </w:rPr>
        <w:t>. Make any prepayment (whether optional or mandatory), repurchase, redemption, defeasance or any other payment in respect of any Subordinated Debt, provided, however, that the applicable Credit Party may make certain payments in respect of Subordinated Debt to the extent permitted by the applicable Subordination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Amendment of Senior Loan Documents and Subordinated Debt Documents</w:t>
      </w:r>
      <w:r>
        <w:rPr>
          <w:rFonts w:ascii="Times New Roman" w:cs="Times New Roman" w:eastAsia="Times New Roman" w:hAnsi="Times New Roman"/>
          <w:sz w:val="18"/>
          <w:szCs w:val="18"/>
          <w:color w:val="auto"/>
        </w:rPr>
        <w:t>. Amend, modify or otherwise alter (or suffer to be amended, modified or altered) (a) any Senior Loan Document except in a manner not prohibited by the terms of the Specified Subordination Agreement or (b) any Subordinated Debt Documents except as permitted in the applicable Subordinated Debt Documents and Subordination Agreements, or if no such restrictions exist in the applicable Subordinated Debt Documents or Subordination Agreements, without the prior written consent of the Agent.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Modification of Certain Agreements</w:t>
      </w:r>
      <w:r>
        <w:rPr>
          <w:rFonts w:ascii="Times New Roman" w:cs="Times New Roman" w:eastAsia="Times New Roman" w:hAnsi="Times New Roman"/>
          <w:sz w:val="18"/>
          <w:szCs w:val="18"/>
          <w:color w:val="auto"/>
        </w:rPr>
        <w:t>. Make, permit or consent to any amendment, supplement or other modification to the constitutional documents of any Credit Party, any Material Contract (other than the Senior Loan Documents) or the Intercompany License Agreement except to the extent that any such amendment, supplement or modification (i) does not violate the terms and conditions of this Agreement or any of the other Loan Documents,</w:t>
      </w:r>
    </w:p>
    <w:p>
      <w:pPr>
        <w:spacing w:after="0" w:line="1" w:lineRule="exact"/>
        <w:rPr>
          <w:sz w:val="20"/>
          <w:szCs w:val="20"/>
          <w:color w:val="auto"/>
        </w:rPr>
      </w:pPr>
    </w:p>
    <w:p>
      <w:pPr>
        <w:jc w:val="both"/>
        <w:ind w:firstLine="8"/>
        <w:spacing w:after="0" w:line="253" w:lineRule="auto"/>
        <w:tabs>
          <w:tab w:leader="none" w:pos="269"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materially adversely affect the interest of the Lenders as creditors and/or secured parties under any Loan Document, (iii) could not reasonably be expected to have a Material Adverse Effect and (iv) with respect to the Intercompany License Agreement, does not amend, supplement or otherwise modify the fees in excess of Costs (as defined in the Intercompany License Agreement as of the Sixth Amendment Effective Date) payable thereunder in excess of 105% of the fees historically paid thereunder as of the Sixth Amendment Effective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Permit the Fiscal Year of any Credit Party to end on a day other than January 31, except as may be agreed to by the Agent from time to time in its reasonable discretion.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xml:space="preserve">. Permit Liquidity </w:t>
      </w:r>
      <w:r>
        <w:rPr>
          <w:rFonts w:ascii="Times New Roman" w:cs="Times New Roman" w:eastAsia="Times New Roman" w:hAnsi="Times New Roman"/>
          <w:sz w:val="18"/>
          <w:szCs w:val="18"/>
          <w:color w:val="FF0000"/>
          <w:strike w:val="1"/>
        </w:rPr>
        <w:t>at any time</w:t>
      </w:r>
      <w:r>
        <w:rPr>
          <w:rFonts w:ascii="Times New Roman" w:cs="Times New Roman" w:eastAsia="Times New Roman" w:hAnsi="Times New Roman"/>
          <w:sz w:val="18"/>
          <w:szCs w:val="18"/>
          <w:color w:val="auto"/>
        </w:rPr>
        <w:t xml:space="preserve"> to be less than </w:t>
      </w:r>
      <w:r>
        <w:rPr>
          <w:rFonts w:ascii="Times New Roman" w:cs="Times New Roman" w:eastAsia="Times New Roman" w:hAnsi="Times New Roman"/>
          <w:sz w:val="18"/>
          <w:szCs w:val="18"/>
          <w:u w:val="single" w:color="auto"/>
          <w:color w:val="0000FF"/>
        </w:rPr>
        <w:t>(a) $15,000,000 at any time during the period from the Fourteenth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 Date until the Relief Termination Date or (b)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$30,000,000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at any time after the period set forth in the foregoing clause (a)</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Notwithstanding anything herein or any other Loan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the Agent, and in the event that any Credit Party that is a limited liability company divides itself into two or more limited liability companies (with or without the prior consent of the Agent as required above), any limited liability companies formed as a result of such division shall be required to comply with the obligations set forth in Section 6.13 and the other further assurances obligations set forth in the Loan Documents and become a Guarantor under this Agreement and the other Loan Documents.</w:t>
      </w:r>
    </w:p>
    <w:p>
      <w:pPr>
        <w:spacing w:after="0" w:line="18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7"/>
          <w:szCs w:val="17"/>
          <w:u w:val="single" w:color="auto"/>
          <w:color w:val="auto"/>
        </w:rPr>
        <w:t>Expenditures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80" w:hanging="376"/>
        <w:spacing w:after="0"/>
        <w:tabs>
          <w:tab w:leader="none" w:pos="168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 CapEx</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4" w:name="page415"/>
    <w:bookmarkEnd w:id="414"/>
    <w:p>
      <w:pPr>
        <w:ind w:firstLine="1952"/>
        <w:spacing w:after="0" w:line="282" w:lineRule="auto"/>
        <w:tabs>
          <w:tab w:leader="none" w:pos="2334"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7.16(e), the aggregate amount of Inventory CapEx for the Inventory CapEx Test Period ending on (x) July 31, 2024 shall not exceed $25,500,000 and (y) January 31, 2025 shall not exceed $25,500,000.</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57"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7.16(e), the aggregate amount of Inventory CapEx for any Inventory CapEx Test Period ending on any Inventory Test Date occurring after January 31,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shall not exceed an amount to be mutually agreed by the Agent and the Borrower in accordance with Section 7.16(d).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475"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Inventory CapEx for any Inventory CapEx Test Period as set forth in Section 7.16(a)(i) or 7.16(a)(ii) shall be referred to herein as the “</w:t>
      </w:r>
      <w:r>
        <w:rPr>
          <w:rFonts w:ascii="Times New Roman" w:cs="Times New Roman" w:eastAsia="Times New Roman" w:hAnsi="Times New Roman"/>
          <w:sz w:val="18"/>
          <w:szCs w:val="18"/>
          <w:b w:val="1"/>
          <w:bCs w:val="1"/>
          <w:color w:val="auto"/>
        </w:rPr>
        <w:t>Inventory CapEx Cap</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Operating Expenditures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07"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7.16(e), the aggregate amount of Fixed Operating Expenditures for (x) the FOE Test Period ending July 31, 2024 shall not exceed $50,000,000, (y) the FOE Test Period ending October 31, 2024 shall not exceed $50,000,000, and (z) the FOE Test Period ending January 31, 2025 shall not exceed $50,000,000.</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57"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7.16(e), the aggregate amount of Fixed Operating Expenditures for any FOE Test Period ending on any FOE Test Date occurring after January 31,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shall not exceed an amount to be mutually agreed by the Agent and the Borrower in accordance with Section 7.16(d).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475"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Fixed Operating Expenditures for any FOE Test Period as set forth in Section 7.16(b)(i) or 7.16(b)(ii) shall be referred to herein as the “</w:t>
      </w:r>
      <w:r>
        <w:rPr>
          <w:rFonts w:ascii="Times New Roman" w:cs="Times New Roman" w:eastAsia="Times New Roman" w:hAnsi="Times New Roman"/>
          <w:sz w:val="18"/>
          <w:szCs w:val="18"/>
          <w:b w:val="1"/>
          <w:bCs w:val="1"/>
          <w:color w:val="auto"/>
        </w:rPr>
        <w:t>FOE Cap</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492"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Specified Exclusions excluded from calculation of Fixed Operating Expenditures shall not exceed $10,000,000 in any Fiscal Year.</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Marketing Spend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321"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7.16(e), the aggregate amount of Marketing Spend for each Marketing Spend Test Period ending April 30, 2024, July 31, 2024, October 31, 2024 and January 31, 2025 shall not exceed $7,500,000.</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384"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7.16(e), the aggregate amount of Marketing Spend for any Marketing Spend Test Period ending after January 31,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shall not exceed an amount to be mutually agreed by the Agent and the Borrower in accordance with Section 7.16(d).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475"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Marketing Spend for any Marketing Spend Test Period as set forth in Section 7.16(c)(i) or 7.16(c)(ii) shall be referred to herein as the “</w:t>
      </w:r>
      <w:r>
        <w:rPr>
          <w:rFonts w:ascii="Times New Roman" w:cs="Times New Roman" w:eastAsia="Times New Roman" w:hAnsi="Times New Roman"/>
          <w:sz w:val="18"/>
          <w:szCs w:val="18"/>
          <w:b w:val="1"/>
          <w:bCs w:val="1"/>
          <w:color w:val="auto"/>
        </w:rPr>
        <w:t>Marketing Spend Cap</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firstLine="1304"/>
        <w:spacing w:after="0" w:line="259" w:lineRule="auto"/>
        <w:tabs>
          <w:tab w:leader="none" w:pos="168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Fiscal Year ending after January 31,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Subsequent Fiscal Year</w:t>
      </w:r>
      <w:r>
        <w:rPr>
          <w:rFonts w:ascii="Times New Roman" w:cs="Times New Roman" w:eastAsia="Times New Roman" w:hAnsi="Times New Roman"/>
          <w:sz w:val="18"/>
          <w:szCs w:val="18"/>
          <w:color w:val="auto"/>
        </w:rPr>
        <w:t xml:space="preserve">”), the Borrower shall deliver to the Agent an initial draft of the budget setting forth Inventory CapEx, Fixed Operating Expenditures and Marketing Spend for (x) each Inventory CapEx Test Period, FOE Test Period and Marketing Spend Test Period, as applicable, during such Subsequent Fiscal Year and (y) such Subsequent Fiscal Year in the aggregate, in each case, no later than January 15 of the Fiscal Year immediately preceding such Subsequent Fiscal Year </w:t>
      </w:r>
      <w:r>
        <w:rPr>
          <w:rFonts w:ascii="Times New Roman" w:cs="Times New Roman" w:eastAsia="Times New Roman" w:hAnsi="Times New Roman"/>
          <w:sz w:val="18"/>
          <w:szCs w:val="18"/>
          <w:u w:val="single" w:color="auto"/>
          <w:color w:val="008000"/>
        </w:rPr>
        <w:t>(or, solely with respect to the 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8000"/>
        </w:rPr>
        <w:t>Fiscal Year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5" w:name="page416"/>
    <w:bookmarkEnd w:id="415"/>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008000"/>
        </w:rPr>
        <w:t>ending</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u w:val="single" w:color="auto"/>
          <w:color w:val="0000FF"/>
        </w:rPr>
        <w:t>January 31, 2027, the later of January 15, 2026 and the Relief Termination Date)</w:t>
      </w:r>
      <w:r>
        <w:rPr>
          <w:rFonts w:ascii="Times New Roman" w:cs="Times New Roman" w:eastAsia="Times New Roman" w:hAnsi="Times New Roman"/>
          <w:sz w:val="18"/>
          <w:szCs w:val="18"/>
          <w:color w:val="000000"/>
        </w:rPr>
        <w:t>. The maximum amount of Inventory CapEx, Fixed Operating</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Expenditures and Marketing Spend for (x) each Inventory CapEx Test Period, FOE Test Period and Marketing Spend Test Period, as applicable, during such Subsequent Fiscal Year and (y) such Subsequent Fiscal Year in the aggregate (the maximum aggregate amount of Inventory CapEx, Fixed Operating Expenditures and Marketing Spend for any Subsequent Fiscal Year as so agreed, each an “</w:t>
      </w:r>
      <w:r>
        <w:rPr>
          <w:rFonts w:ascii="Times New Roman" w:cs="Times New Roman" w:eastAsia="Times New Roman" w:hAnsi="Times New Roman"/>
          <w:sz w:val="18"/>
          <w:szCs w:val="18"/>
          <w:b w:val="1"/>
          <w:bCs w:val="1"/>
          <w:color w:val="000000"/>
        </w:rPr>
        <w:t>Aggregate Yearly Cap</w:t>
      </w:r>
      <w:r>
        <w:rPr>
          <w:rFonts w:ascii="Times New Roman" w:cs="Times New Roman" w:eastAsia="Times New Roman" w:hAnsi="Times New Roman"/>
          <w:sz w:val="18"/>
          <w:szCs w:val="18"/>
          <w:color w:val="000000"/>
        </w:rPr>
        <w:t xml:space="preserve">”), in each case, shall be determined by no later than March 31 of such Subsequent Fiscal Year </w:t>
      </w:r>
      <w:r>
        <w:rPr>
          <w:rFonts w:ascii="Times New Roman" w:cs="Times New Roman" w:eastAsia="Times New Roman" w:hAnsi="Times New Roman"/>
          <w:sz w:val="18"/>
          <w:szCs w:val="18"/>
          <w:color w:val="008000"/>
          <w:strike w:val="1"/>
        </w:rPr>
        <w:t>(or, solely with respect to the Subsequent Fiscal Year ending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on January 31, 2026, by no later than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August 29, 2025)</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firstLine="1304"/>
        <w:spacing w:after="0" w:line="255" w:lineRule="auto"/>
        <w:tabs>
          <w:tab w:leader="none" w:pos="1756"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Specified Expenditure during any Fiscal Year, the Specified Expenditures Cap applicable to any Specified Expenditures Test Period ending during such Fiscal Year (the “</w:t>
      </w:r>
      <w:r>
        <w:rPr>
          <w:rFonts w:ascii="Times New Roman" w:cs="Times New Roman" w:eastAsia="Times New Roman" w:hAnsi="Times New Roman"/>
          <w:sz w:val="18"/>
          <w:szCs w:val="18"/>
          <w:b w:val="1"/>
          <w:bCs w:val="1"/>
          <w:color w:val="auto"/>
        </w:rPr>
        <w:t>Applicable Test Period</w:t>
      </w:r>
      <w:r>
        <w:rPr>
          <w:rFonts w:ascii="Times New Roman" w:cs="Times New Roman" w:eastAsia="Times New Roman" w:hAnsi="Times New Roman"/>
          <w:sz w:val="18"/>
          <w:szCs w:val="18"/>
          <w:color w:val="auto"/>
        </w:rPr>
        <w:t>”) may be increased (x) by the amount equal to the unused portion, if any, of the Specified Expenditures Cap applicable to such Specified Expenditure with respect to any Specified Expenditures Test Period ended during such Fiscal Year but prior to the Applicable Test Period and (y) by an amount equal to any amount allowed to be made in the immediately succeeding Specified Expenditures Test Period (so long as such immediately succeeding Specified Expenditure Test Period ends on or prior to the end of such Fiscal Year) with respect to such Specified Expenditures but in no event exceeding 10% of such amount allowed to be made in the immediately succeeding Specified Expenditures Test Period with respect to such Specified Expenditures.</w:t>
      </w:r>
    </w:p>
    <w:p>
      <w:pPr>
        <w:spacing w:after="0" w:line="188"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of the foregoing:</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2"/>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aggregate amount of Inventory CapEx for the Fiscal Year ending January 31, 2025 shall not exceed $51,000,000,</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317"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Fixed Operating Expenditures for the Fiscal Year ending January 31, 2025 shall not exceed $100,000,000 and (C) the aggregate amount of Marketing Spend for the Fiscal Year ending January 31, 2025 shall not exceed $30,000,000;</w:t>
      </w:r>
    </w:p>
    <w:p>
      <w:pPr>
        <w:spacing w:after="0" w:line="181" w:lineRule="exact"/>
        <w:rPr>
          <w:rFonts w:ascii="Times New Roman" w:cs="Times New Roman" w:eastAsia="Times New Roman" w:hAnsi="Times New Roman"/>
          <w:sz w:val="18"/>
          <w:szCs w:val="18"/>
          <w:color w:val="auto"/>
        </w:rPr>
      </w:pPr>
    </w:p>
    <w:p>
      <w:pPr>
        <w:ind w:firstLine="1952"/>
        <w:spacing w:after="0" w:line="282" w:lineRule="auto"/>
        <w:tabs>
          <w:tab w:leader="none" w:pos="2357" w:val="left"/>
        </w:tabs>
        <w:numPr>
          <w:ilvl w:val="2"/>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Inventory CapEx, Fixed Operating Expenditures and Marketing Spend for any Subsequent Fiscal Year shall not exceed the Aggregate Yearly Cap applicable to such Specified Expenditure;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94" w:val="left"/>
        </w:tabs>
        <w:numPr>
          <w:ilvl w:val="2"/>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that in no event shall any caps set forth in this Section 7.16 be deemed to be exceeded solely as a result of Inventory CapEx, Fixed Operating Expenditures and/or Marketing Spend consisting of non-cash charges.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DEFAULTS.</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occurrence of any of the following events shall constitute an Event of Default hereunder:</w:t>
      </w:r>
    </w:p>
    <w:p>
      <w:pPr>
        <w:spacing w:after="0" w:line="225" w:lineRule="exact"/>
        <w:rPr>
          <w:sz w:val="20"/>
          <w:szCs w:val="20"/>
          <w:color w:val="auto"/>
        </w:rPr>
      </w:pPr>
    </w:p>
    <w:p>
      <w:pPr>
        <w:ind w:left="1680" w:hanging="376"/>
        <w:spacing w:after="0"/>
        <w:tabs>
          <w:tab w:leader="none" w:pos="16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when due of the principal or interest on the Indebtedness;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any Fees or other amounts (including any the Yield Maintenance Premium or Prepayment Premium) due and owing by the Borrower under this Agreement or by any Credit Party under any of the other Loan Documents to which it is a party, other than as set forth in subsection (a) above, within three (3) Business Days after the same is due and payable;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observance or performance of any of the conditions, covenants or agreements of the Borrower set forth in Sections 6.1, 6.2, 6.4(b) (solely with respect to maintenance of the Borrower’s existence), 6.4(e), 6.5, 6.6, 6.7, 6.9, 6.13, 6.14, 6.15, 6.16, 6.17, 6.18, 6.19, 6.20 or Article 7 in its entirety or Sections 4.5(a), 4.7(a) or 4.8(b)(i) of the Security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6" w:name="page417"/>
    <w:bookmarkEnd w:id="416"/>
    <w:p>
      <w:pPr>
        <w:jc w:val="both"/>
        <w:ind w:firstLine="1304"/>
        <w:spacing w:after="0" w:line="261" w:lineRule="auto"/>
        <w:tabs>
          <w:tab w:leader="none" w:pos="168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observance or performance of any of the other conditions, covenants or agreements set forth in this Agreement or any of the other Loan Documents by any Credit Party and continuance thereof for a period of twenty (20) consecutive days after the earlier of (i) the date that a Responsible Officer of the Borrower or such other Credit Party becomes aware of the same or (ii) the date on which notice shall have been given to the Borrower or any other Credit Party from the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9"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any Credit Party herein, any other Loan Document or in any certificate, instrument or other document submitted pursuant hereto or thereto proves untrue or misleading in any material adverse respect (or in any respect if such representation or warranty is qualified or modified as to materiality or “Material Adverse Effect” in the text thereof) when made;</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default by any Credit Party in the payment of any Debt, whether under a direct obligation or guaranty (other than Indebtedness and the Senior Debt) of any Credit Party in excess of One Million Dollars ($1,000,000) (or the equivalent thereof in any currency other than Dollars) individually or in the aggregate when due and continuance thereof beyond any applicable period of cure or (ii) failure to comply with the terms of any other obligation of any Credit Party with respect to any Debt (other than Indebtedness and the Senior Debt) in excess of One Million Dollars ($1,000,000) (or the equivalent thereof in any currency other than Dollars) individually or in the aggregate, which continues beyond any applicable period of cure and which would permit the holder or holders thereto to accelerate such other Debt, or require the prepayment, repurchase, redemption or defeasance of such indebtedness;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2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any judgment (not covered by adequate insurance from a solvent carrier which is defending such action without reservation of rights) for the payment of money in excess of the sum of One Million Dollars ($1,000,000) (or the equivalent thereof in any currency other than Dollars) individually or in the aggregate against any Credit Party, and (i) enforcement proceedings shall have been commenced by any creditor upon any such judgment or (ii) there shall be a period of thirty (30) consecutive days after entry thereof during which (A) a stay of enforcement thereof is not in effect or (B) the same is not vacated, discharged, stayed or bonded pending appeal;</w:t>
      </w:r>
    </w:p>
    <w:p>
      <w:pPr>
        <w:spacing w:after="0" w:line="18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or Foreign Benefit Event that could reasonably be expected to result in a Material Adverse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6"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59"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under this Agreement, any Credit Party shall be dissolved (other than a dissolution of a Subsidiary of the Borrower which is not a Guarantor or the Borrower) or liquidated (or any judgment, order or decree therefor shall be entered); or if a creditors’ committee shall have been appointed for the business of any Credit Party; or if any Credit Party shall have made a general assignment for the benefit of creditors or shall have been adjudicated bankrupt and if not an adjudication based on a filing by a Credit Party, it shall not have been dismissed within forty five (45) days, or shall have filed a voluntary petition in bankruptcy or for reorganization or to effect a plan or arrangement with creditors or shall fail to pay its debts generally as such debts become due in the ordinary course of business (except as contested in good faith and for which adequate reserves are made in such party’s financial statements in accordance with GAAP); or shall file an answer to a creditor’s petition or other petition filed against it, admitting the material allegations thereof for an adjudication in bankruptcy or for reorganization; or shall have applied for or permitted the appointment of a receiver or trustee or custodian for any of its property or assets; or such receiver, trustee or custodian shall have been appointed for any of its property or assets (otherwise than upon application or consent of a Credit Party ) and shall not have been removed within forty five (45) days; or if an order shall be entered approving any petition for reorganization of any Credit Party and shall not have been reversed or dismissed within forty five (45) days;</w:t>
      </w:r>
    </w:p>
    <w:p>
      <w:pPr>
        <w:spacing w:after="0" w:line="19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have occurred;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7" w:name="page418"/>
    <w:bookmarkEnd w:id="417"/>
    <w:p>
      <w:pPr>
        <w:jc w:val="both"/>
        <w:ind w:firstLine="1304"/>
        <w:spacing w:after="0" w:line="261" w:lineRule="auto"/>
        <w:tabs>
          <w:tab w:leader="none" w:pos="168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binding effect or enforceability of any subordination provisions relating to any Subordinated Debt shall be contested by any Person party thereto (other than any Lender or the Agent), or such subordination provisions shall fail to be enforceable by the Agent and the Lenders in accordance with the terms thereof, or the Indebtedness shall for any reason not have the priority contemplated by this Agreement or such subordination provisions;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659"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Loan Document shall at any time for any reason cease to be in full force and effect (other than in accordance with the terms thereof or hereof), (ii) the validity, binding effect or enforceability thereof shall be contested by any party thereto (other than any Lender or the Agent), (iii) any Person (other than in accordance with the terms thereof or hereof) shall deny that it has any or further liability or obligation under any Loan Document,</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0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Loan Document shall be terminated (other than in accordance with the terms thereof), invalidated, revoked or set aside or in any way cease to give or provide to the Lenders and the Agent the benefits purported to be created thereby, (v) any Loan Document purporting to grant a Lien to secure any Indebtedness shall for any reason, at any time after the delivery of such Loan Document, fail to create a valid and enforceable Lien on any Collateral purported to be covered thereby or (vi) such Lien shall fail to cease to be a perfected Lien with the priority required in the relevant Loan Document;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63"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failure to perform in any of the Senior Loan Documents and continuance thereof beyond any applicable period of grace or cure; provided that, an Event of Default shall only occur under this clause (m) if, as a result of a default or failure to perform in any of the Senior Loan Documents, the Senior Debt is accelerated or otherwise becomes due and payable prior to the stated maturity therein;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hereunder, any action by the Credit Parties, taken as a whole, to suspend the operation of their business in the ordinary course, liquidate all or a material portion of their assets, or employ an agent or other third party to conduct a program of closings, liquidations or “Going-Out-Of-Business” sales of any material portion of their business; and</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uninsured loss to any material portion of the Collateral.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Exercise of Remedies</w:t>
      </w:r>
      <w:r>
        <w:rPr>
          <w:rFonts w:ascii="Times New Roman" w:cs="Times New Roman" w:eastAsia="Times New Roman" w:hAnsi="Times New Roman"/>
          <w:sz w:val="18"/>
          <w:szCs w:val="18"/>
          <w:color w:val="auto"/>
        </w:rPr>
        <w:t>. If an Event of Default has occurred and is continuing hereunder: (a) [reserved]; (b) the Agent may, and shall, upon being directed to do so by the Majority Lenders, declare the entire unpaid principal Indebtedness, including the Notes, and any accrued and unpaid interest or other amounts (including the Yield Maintenance Premium and the Prepayment Premium), immediately due and payable, without presentment, notice or demand, all of which are hereby expressly waived by the Borrower; (c) upon the occurrence of any Event of Default specified in Section 8.1(i) and notwithstanding the lack of any declaration by the Agent under preceding clause (b), the entire unpaid principal Indebtedness and any accrued and unpaid interest or other amounts (including the Yield Maintenance Premium and the Prepayment Premium) shall become automatically and immediately due and payable, and the Commitments shall be automatically and immediately terminated; and (d) the Agent may, and shall, upon being directed to do so by the Majority Lenders or the Lenders, as applicable (subject to the terms hereof), exercise any remedy permitted by this Agreement, the other Loan Documents or law.</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Rights Cumulative</w:t>
      </w:r>
      <w:r>
        <w:rPr>
          <w:rFonts w:ascii="Times New Roman" w:cs="Times New Roman" w:eastAsia="Times New Roman" w:hAnsi="Times New Roman"/>
          <w:sz w:val="18"/>
          <w:szCs w:val="18"/>
          <w:color w:val="auto"/>
        </w:rPr>
        <w:t>. No delay or failure of the Agent and/or Lenders in exercising any right, power or privilege hereunder shall affect such right, power or privilege, nor shall any single or partial exercise thereof preclude any further exercise thereof, or the exercise of any other power, right or privilege. The rights of the Agent and Lenders under this Agreement are cumulative and not exclusive of any right or remedies which Lenders would otherwise have.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Waiver by the Borrower of Certain Laws</w:t>
      </w:r>
      <w:r>
        <w:rPr>
          <w:rFonts w:ascii="Times New Roman" w:cs="Times New Roman" w:eastAsia="Times New Roman" w:hAnsi="Times New Roman"/>
          <w:sz w:val="18"/>
          <w:szCs w:val="18"/>
          <w:color w:val="auto"/>
        </w:rPr>
        <w:t>. To the extent permitted by applicable law, the Borrower hereby agrees to waive, and does hereby absolutely and irrevocably waive and relinquish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8" w:name="page419"/>
    <w:bookmarkEnd w:id="418"/>
    <w:p>
      <w:pPr>
        <w:jc w:val="both"/>
        <w:spacing w:after="0" w:line="261" w:lineRule="auto"/>
        <w:rPr>
          <w:sz w:val="20"/>
          <w:szCs w:val="20"/>
          <w:color w:val="auto"/>
        </w:rPr>
      </w:pPr>
      <w:r>
        <w:rPr>
          <w:rFonts w:ascii="Times New Roman" w:cs="Times New Roman" w:eastAsia="Times New Roman" w:hAnsi="Times New Roman"/>
          <w:sz w:val="18"/>
          <w:szCs w:val="18"/>
          <w:color w:val="auto"/>
        </w:rPr>
        <w:t>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 contemplated by or granted under or in connection with this Agreement. These waivers have been voluntarily given, with full knowledge of the consequences thereof.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Waiver of Defaults</w:t>
      </w:r>
      <w:r>
        <w:rPr>
          <w:rFonts w:ascii="Times New Roman" w:cs="Times New Roman" w:eastAsia="Times New Roman" w:hAnsi="Times New Roman"/>
          <w:sz w:val="18"/>
          <w:szCs w:val="18"/>
          <w:color w:val="auto"/>
        </w:rPr>
        <w:t>. No Event of Default shall be waived by the Lenders except in a writing signed by an officer of the Agent in accordance with Section 12.9 hereof. No single or partial exercise of any right, power or privilege hereunder, nor any delay in the exercise thereof, shall preclude other or further exercise of their rights by the Agent or the Lenders. No waiver of any Event of Default shall extend to any other or further Event of Default. No forbearance on the part of the Agent or the Lenders in enforcing any of their rights shall constitute a waiver of any of their rights. The Borrower expressly agrees that this Section may not be waived or modified by the Lenders or the Agent by course of performance, estoppel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Set Off</w:t>
      </w:r>
      <w:r>
        <w:rPr>
          <w:rFonts w:ascii="Times New Roman" w:cs="Times New Roman" w:eastAsia="Times New Roman" w:hAnsi="Times New Roman"/>
          <w:sz w:val="18"/>
          <w:szCs w:val="18"/>
          <w:color w:val="auto"/>
        </w:rPr>
        <w:t xml:space="preserve">. Upon the occurrence and during the continuance of any Event of Default, each Lender may at any time and from time to time, without notice to the Borrower but subject to the provisions of Section 9.3 hereof (any requirement for such notice being expressly waived by the Borrower), setoff and apply against any and all of the obligations of the Borrower now or hereafter existing under this Agreement, whether owing to such Lender, any Affiliate of such Lender or any other Lender or the Agent, any and all deposits (general or special, time or demand, provisional or final) at any time held and other indebtedness at any time owing by such Lender to or for the credit or the account of the Borrower and any property of the Borrower from time to time in possession of such Lender, irrespective of whether or not such deposits held or indebtedness owing by such Lender may be contingent and unmatured and regardless of whether any Collateral then held by the Agent or any Lender is adequate to cover the Indebtedness (including any Yield Maintenance Premium or Prepayment Premium). Promptly following any such setoff, such Lender shall give written notice to the Agent and the Borrower of the occurrence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Section 9.4 and, pending such payment, shall be segregated by such Defaulting Lender from its other funds and deemed held for the benefit of the Agent and the Lenders, and (y) the Defaulting Lender shall provide promptly to the Agent a statement describing in reasonable detail the Indebtedness owing to such Defaulting Lender as to which it exercised such right of setoff. The Borrower hereby grants to the Lenders and the Agent a lien on and security interest in all such deposits, indebtedness and property as collateral security for the payment and performance of all of the obligations of the Borrower under this Agreement. The rights of each Lender under this Section 8.6 are in addition to the other rights and remedies (including, without limitation, other rights of setoff) which such Lender may have.</w:t>
      </w:r>
    </w:p>
    <w:p>
      <w:pPr>
        <w:spacing w:after="0" w:line="192" w:lineRule="exact"/>
        <w:rPr>
          <w:sz w:val="20"/>
          <w:szCs w:val="20"/>
          <w:color w:val="auto"/>
        </w:rPr>
      </w:pPr>
    </w:p>
    <w:p>
      <w:pPr>
        <w:ind w:left="660" w:right="6820" w:hanging="652"/>
        <w:spacing w:after="0" w:line="503" w:lineRule="auto"/>
        <w:tabs>
          <w:tab w:leader="none" w:pos="327"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PAYMENTS, RECOVERIES AND COLLECTIONS. </w:t>
      </w: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Payment Procedure</w:t>
      </w:r>
      <w:r>
        <w:rPr>
          <w:rFonts w:ascii="Times New Roman" w:cs="Times New Roman" w:eastAsia="Times New Roman" w:hAnsi="Times New Roman"/>
          <w:sz w:val="18"/>
          <w:szCs w:val="18"/>
          <w:color w:val="auto"/>
        </w:rPr>
        <w:t>.</w:t>
      </w:r>
    </w:p>
    <w:p>
      <w:pPr>
        <w:jc w:val="both"/>
        <w:ind w:firstLine="1304"/>
        <w:spacing w:after="0" w:line="255" w:lineRule="auto"/>
        <w:tabs>
          <w:tab w:leader="none" w:pos="1689"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the Borrower shall be made without condition or deduction for any counterclaim, defense, recoupment or setoff. Except as otherwise provided herein, all payments made by the Borrower of principal, interest or fees hereunder shall be made without setoff or counterclaim on the date specified for payment under this Agreement and must be received by the Agent not later than 12:00 p.m. (New York time) (or such later time on such date as agreed to by Agent) on the date such payment is required or intended to be made in Dollars in immediately available funds to the Agent’s Account. The Agent shall deem any payment by or on behalf of the Borrower hereunder that is not made in same day funds prior to 12:00 p.m. (New York time) to be a non-conforming payment. Any such payment shall not be deemed to have been received by the Agent until the later of (i) the time such</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9" w:name="page420"/>
    <w:bookmarkEnd w:id="419"/>
    <w:p>
      <w:pPr>
        <w:jc w:val="both"/>
        <w:spacing w:after="0" w:line="256" w:lineRule="auto"/>
        <w:rPr>
          <w:sz w:val="20"/>
          <w:szCs w:val="20"/>
          <w:color w:val="auto"/>
        </w:rPr>
      </w:pPr>
      <w:r>
        <w:rPr>
          <w:rFonts w:ascii="Times New Roman" w:cs="Times New Roman" w:eastAsia="Times New Roman" w:hAnsi="Times New Roman"/>
          <w:sz w:val="18"/>
          <w:szCs w:val="18"/>
          <w:color w:val="auto"/>
        </w:rPr>
        <w:t>funds become available funds, and (ii) the applicable next Business Day. The Agent shall give prompt telephonic notice to the Borrower and each applicable Lender (confirmed in writing) if any payment is non-conforming. Any non-conforming payment may constitute or become a Default or Event of Default in accordance with the terms of Section 8.1(a) or 8.1(b), as applicable. Interest shall continue to accrue on any principal as to which a non-conforming payment is made until such funds become available funds (but in no event less than the period from the date of such payment to the next succeeding applicable Business Day) at the default interest rate determined pursuant to Section 2.6(d) from the date such amount was due and payable until the date such amount is paid in full.</w:t>
      </w:r>
    </w:p>
    <w:p>
      <w:pPr>
        <w:spacing w:after="0" w:line="187" w:lineRule="exact"/>
        <w:rPr>
          <w:sz w:val="20"/>
          <w:szCs w:val="20"/>
          <w:color w:val="auto"/>
        </w:rPr>
      </w:pPr>
    </w:p>
    <w:p>
      <w:pPr>
        <w:jc w:val="both"/>
        <w:ind w:firstLine="1304"/>
        <w:spacing w:after="0" w:line="266" w:lineRule="auto"/>
        <w:tabs>
          <w:tab w:leader="none" w:pos="1699"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the Borrower hereby authorize the Agent to, and the Agent may, from time to time, charge the Loan Account with any amount due and payable by the Borrower under any Loan Document. Any amount charged to the Loan Account shall be deemed Indebtedness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2"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the principal amount of any Loan shall be accompanied by payment of accrued interest on the principal amount being repaid or prepaid, together with any fees or premiums (including the Yield Maintenance Premium and the Prepayment Premium) and all other amounts payable with respect to the principal amount being repaid or prepaid.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distribute to each Lender at such account or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the Agent.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02"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to be made hereunder shall otherwise be due on a day which is not a Business Day, such payment shall be made on the next succeeding Business Day and such extension of time shall be included in computing interest, if any, in connection with such payment.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(a) (a) At any time an Application Event has occurred and is continuing, or the maturity of the Indebtedness shall have been accelerated pursuant to Section 8.2, all payments or proceeds received by the Agent hereunder or under any other Loan Document in respect of any of the Indebtedness, including, but not limited to all proceeds received by the Agent in respect of any sale, any collection from, or other realization upon all or any part of the Collateral, shall be applied in full or in part as follows:</w:t>
      </w:r>
    </w:p>
    <w:p>
      <w:pPr>
        <w:spacing w:after="0" w:line="178" w:lineRule="exact"/>
        <w:rPr>
          <w:sz w:val="20"/>
          <w:szCs w:val="20"/>
          <w:color w:val="auto"/>
        </w:rPr>
      </w:pPr>
    </w:p>
    <w:p>
      <w:pPr>
        <w:ind w:left="1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ratably to pay the Indebtedness in respect of any fees (other than the Yield Maintenance Premium and the Prepayment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expense reimbursements, indemnities and other amounts then due and payable to the Agent until paid in full;</w:t>
      </w:r>
    </w:p>
    <w:p>
      <w:pPr>
        <w:spacing w:after="0" w:line="158" w:lineRule="exact"/>
        <w:rPr>
          <w:sz w:val="20"/>
          <w:szCs w:val="20"/>
          <w:color w:val="auto"/>
        </w:rPr>
      </w:pPr>
    </w:p>
    <w:p>
      <w:pPr>
        <w:ind w:left="1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ratably to pay the Indebtedness in respect of any fees (other than the Yield Maintenance Premium and the Prepayment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expense reimbursements, and indemnities then due and payable to the Lenders until paid in full;</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ratably to pay interest then due and payable in respect of the Loans;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ratably to pay principal of the Term Loan A and Term Loan B until paid in full;</w:t>
      </w:r>
    </w:p>
    <w:p>
      <w:pPr>
        <w:spacing w:after="0" w:line="225" w:lineRule="exact"/>
        <w:rPr>
          <w:sz w:val="20"/>
          <w:szCs w:val="20"/>
          <w:color w:val="auto"/>
        </w:rPr>
      </w:pPr>
    </w:p>
    <w:p>
      <w:pPr>
        <w:ind w:left="1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ratably to pay principal of the Incremental Term Loans, if any (in the order of the Credit Dates of the Incremental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until paid in full;</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0" w:name="page421"/>
    <w:bookmarkEnd w:id="420"/>
    <w:p>
      <w:pPr>
        <w:ind w:left="1300"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ratably to pay the Indebtedness in respect of the Yield Maintenance Premium and the Prepayment Premium then due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Lenders until paid in full;</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to the ratable payment of all other Indebtedness then due and payable until paid in full;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all remaining amounts to the Borrower or such other Person entitled thereto under applicable law.</w:t>
      </w:r>
    </w:p>
    <w:p>
      <w:pPr>
        <w:spacing w:after="0" w:line="227" w:lineRule="exact"/>
        <w:rPr>
          <w:sz w:val="20"/>
          <w:szCs w:val="20"/>
          <w:color w:val="auto"/>
        </w:rPr>
      </w:pPr>
    </w:p>
    <w:p>
      <w:pPr>
        <w:jc w:val="both"/>
        <w:ind w:firstLine="1304"/>
        <w:spacing w:after="0" w:line="261" w:lineRule="auto"/>
        <w:tabs>
          <w:tab w:leader="none" w:pos="168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9.2,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direct conflict between the priority provisions of Section 9.2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9.2 shall control and govern.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Ratable Sharing</w:t>
      </w:r>
      <w:r>
        <w:rPr>
          <w:rFonts w:ascii="Times New Roman" w:cs="Times New Roman" w:eastAsia="Times New Roman" w:hAnsi="Times New Roman"/>
          <w:sz w:val="18"/>
          <w:szCs w:val="18"/>
          <w:color w:val="auto"/>
        </w:rPr>
        <w:t>(a). Lenders hereby agree among themselves that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in respect of fees and other amounts then due and owing to such Lender hereunder or under the other Loan Documents (collectively, the “</w:t>
      </w:r>
      <w:r>
        <w:rPr>
          <w:rFonts w:ascii="Times New Roman" w:cs="Times New Roman" w:eastAsia="Times New Roman" w:hAnsi="Times New Roman"/>
          <w:sz w:val="18"/>
          <w:szCs w:val="18"/>
          <w:b w:val="1"/>
          <w:bCs w:val="1"/>
          <w:color w:val="auto"/>
        </w:rPr>
        <w:t>Aggregate Amounts Due</w:t>
      </w:r>
      <w:r>
        <w:rPr>
          <w:rFonts w:ascii="Times New Roman" w:cs="Times New Roman" w:eastAsia="Times New Roman" w:hAnsi="Times New Roman"/>
          <w:sz w:val="18"/>
          <w:szCs w:val="18"/>
          <w:color w:val="auto"/>
        </w:rPr>
        <w:t xml:space="preserve">” to such Lender) which is greater than the proportion received by any other Lender in respect of the Aggregate Amounts Due to such other Lender having Loans of the same Class, then the Lender receiving such proportionately greater payment shall (a) notify the Agent and each other Lender in writing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Loans of the same Class in proportion to the Aggregate Amounts Due to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set off or counterclaim with respect to any and all monies owing by the Borrower to that holder with respect thereto as fully as if that holder were owed the amount of the participation held by that holder.</w:t>
      </w:r>
    </w:p>
    <w:p>
      <w:pPr>
        <w:spacing w:after="0" w:line="19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Treatment of a Defaulting Lender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67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any Lender to make any Loan hereunder shall not be affected by the failure of any other Lender to make any Loan under this Agreement, and no Lender shall have any liability to the Borrower or any of its Subsidiaries, the Agent, any other Lender, or any other Person for another Lender’s failure to make any loan or Loan hereunder.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21" w:name="page422"/>
    <w:bookmarkEnd w:id="421"/>
    <w:p>
      <w:pPr>
        <w:jc w:val="both"/>
        <w:ind w:firstLine="1304"/>
        <w:spacing w:after="0" w:line="266" w:lineRule="auto"/>
        <w:tabs>
          <w:tab w:leader="none" w:pos="1699"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become a Defaulting Lender, then such Defaulting Lender’s right to vote in respect of any amendment, consent or waiver of the terms of this Agreement or such other Loan Documents, or to direct or approve any action or inaction by the Agent shall be subject to the restrictions set forth in Section 12.9.</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75"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Agent for the account of such Defaulting Lender (whether voluntary or mandatory, at maturity, pursuant to Article 9 or otherwise) or received by the Agent from a Defaulting Lender pursuant to Section 8.6 shall be applied at such time or times as may be determined by the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in accordance with their Pro Rata Shares prior to being applied to the payment of any Loans of such Defaulting Lender until such time as all Loans are held by the Lenders pro rata in accordance with their respective Pro Rata Shares.</w:t>
      </w:r>
    </w:p>
    <w:p>
      <w:pPr>
        <w:spacing w:after="0" w:line="19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YIELD PROTECTION; INCREASED COSTS; MARGIN ADJUSTMENTS; TAXES.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Capital Adequacy and Other Increased Costs</w:t>
      </w:r>
      <w:r>
        <w:rPr>
          <w:rFonts w:ascii="Times New Roman" w:cs="Times New Roman" w:eastAsia="Times New Roman" w:hAnsi="Times New Roman"/>
          <w:sz w:val="18"/>
          <w:szCs w:val="18"/>
          <w:color w:val="auto"/>
        </w:rPr>
        <w:t>. If any Change in Law affects or would affect the capital or liquidity requirements of a Lender or the Agent (or any corporation controlling such Lender or the Agent) (including as a result of the imposition of Taxes other than Indemnified Taxes, Taxes described in clauses (b) through (d) of the definition of Excluded Taxes or Other Connection Taxes imposed on or measured by net income (however denominated) or that are franchise Taxes or branch profit Taxes) and such Lender or the Agent, as the case may be, determines that the amount of required capital is increased by, or based upon the existence of such Lender’s or the Agent’s obligations or Loans hereunder, the effect of such Change in Law is to result in such an increase, and such increase has the effect of reducing the rate of return on such Lender’s or the Agent’s (or such controlling corporation’s) capital as a consequence of such obligations or Loans hereunder to a level below that which such Lender or the Agent (or such controlling corporation) could have achieved but for such circumstances (taking into consideration its policies with respect to capital adequacy or liquidity) by an amount deemed by such Lender or the Agent to be material, then the Agent or such Lender shall notify the Borrower, and thereafter the Borrower shall pay to such Lender or the Agent, as the case may be, within ten (10) Business Days of written demand therefor from such Lender or the Agent, additional amounts sufficient to compensate such Lender or the Agent (or such controlling corporation) for any such reduction which such Lender or the Agent determines to be allocable to the existence of such Lender’s or the Agent’s obligations or Loans hereunder. A statement setting forth the amount of such compensation, the methodology for the calculation and the calculation thereof which shall also be prepared in good faith and in reasonable detail by such Lender or the Agent, as the case may be, shall be submitted by such Lender or by the Agent to the Borrower, reasonably promptly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color w:val="auto"/>
        </w:rPr>
        <w:t>after becoming aware of any event described in this Section 10.1 and shall be conclusively presumed to be correct, absent manifest error.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Right of Lenders to Fund through Branches and Affiliates</w:t>
      </w:r>
      <w:r>
        <w:rPr>
          <w:rFonts w:ascii="Times New Roman" w:cs="Times New Roman" w:eastAsia="Times New Roman" w:hAnsi="Times New Roman"/>
          <w:sz w:val="18"/>
          <w:szCs w:val="18"/>
          <w:color w:val="auto"/>
        </w:rPr>
        <w:t xml:space="preserve">. Each Lender may, if it so elects, fulfill its commitment as to any Loan hereunder by designating a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 shall remain solely responsible for the performances of its obligations hereunder and (b) no such designation shall result in any material increased costs to the Borrower or the Agent.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any Lender to demand compensation pursuant to the foregoing provisions of this Section 10.3 shall not constitute a waiver of such Lender’s right to demand such compensation, provided that the Borrower shall not be required to compensate a Lender pursuant to Section 10.1, for any increased costs incurred or reductions suffered more than 180 days prior to the date that such Lender notifies the Borrower of the Change in Law (provided that this provision will not apply to any Change in Law of the type referred to in clauses (x), (y) or (z) of the definition thereof) giving rise to such increased costs or reductions and of such Lender’s intention to claim compensation therefor (except that, if the Change in Law giving rise to such increased costs or reductions is retroactive, then the 180 day period referred to above shall be extended to include the period of retroactive effect thereof).</w:t>
      </w:r>
    </w:p>
    <w:p>
      <w:pPr>
        <w:spacing w:after="0" w:line="18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743"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10.4) the applicable Recipient receives an amount equal to the sum it would have received had no such deduction or withholding been made.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7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Section 10.4(a), the Credit Parties shall timely pay to the relevant Governmental Authority in accordance with applicable law, or at the option of the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2"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Taxes by any Credit Party to a Governmental Authority pursuant to this Section 10.4, such Credit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2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determines, in its sole discretion exercised in good faith, that it has received a refund of any Taxes as to which it has been indemnified pursuant to this Section 10.4, (including by payment of additional amounts pursuant to this Section 10.4), it shall pay to the indemnifying party an amount equal to such refund (but only to the extent of additional amounts or indemnification paid under this Section 10.4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3" w:name="page424"/>
    <w:bookmarkEnd w:id="423"/>
    <w:p>
      <w:pPr>
        <w:jc w:val="both"/>
        <w:spacing w:after="0" w:line="254" w:lineRule="auto"/>
        <w:rPr>
          <w:sz w:val="20"/>
          <w:szCs w:val="20"/>
          <w:color w:val="auto"/>
        </w:rPr>
      </w:pPr>
      <w:r>
        <w:rPr>
          <w:rFonts w:ascii="Times New Roman" w:cs="Times New Roman" w:eastAsia="Times New Roman" w:hAnsi="Times New Roman"/>
          <w:sz w:val="18"/>
          <w:szCs w:val="18"/>
          <w:color w:val="auto"/>
        </w:rPr>
        <w:t>request of such indemnified party, shall repay to such indemnified party the amount paid over pursuant to this paragraph (d) (plus any penalties, interest or other charges imposed by the relevant Governmental Authority) in the event that such indemnified party is required to repay such refund to such Governmental Authority.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2" w:lineRule="exact"/>
        <w:rPr>
          <w:sz w:val="20"/>
          <w:szCs w:val="20"/>
          <w:color w:val="auto"/>
        </w:rPr>
      </w:pPr>
    </w:p>
    <w:p>
      <w:pPr>
        <w:jc w:val="both"/>
        <w:ind w:firstLine="1304"/>
        <w:spacing w:after="0" w:line="256" w:lineRule="auto"/>
        <w:tabs>
          <w:tab w:leader="none" w:pos="1716"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Recipient, within ten (10) days after demand therefor, for the full amount of any Indemnified Taxes (including Indemnified Taxes imposed or asserted on or attributable to amounts payable under this Section 10.4)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69"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Agent (and in the case of (iii) below, the Borrower, but only with respect to Lenders that are assignees and participants), within ten (10) days after demand therefor, for (i) any Indemnified Taxes attributable to such Lender (but only to the extent the Borrower has not already indemnified the Agent for such Indemnified Taxes and without limiting the obligation of the Borrower to do so), (ii) any Taxes attributable to such Lender’s failure to comply with the provisions of Section 12.7 hereof relating to the maintenance of a Participant Register and</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Taxes attributable to such Lender (or assignee or participant, if applicable), in each case, that are payable or paid by the Agent or Borrower, as and if applicable, in connection with any Loan Document, and any reasonable expenses arising therefrom or with respect thereto, whether or not such Taxes were correctly or legally imposed or asserted by the relevant Governmental Authority; provided, however, that an indemnification of any amount to the Borrower by a Lender that is an assignee or participant, as applicable, shall be limited to (x) circumstances where the Borrower has properly complied with its obligation to withhold taxes and (y) Taxes that are required to be paid to the IRS on the basis that the exemption for portfolio interest is inapplicable. A certificate as to the amount of such payment or liability delivered to any Lender by the Agent, accompanied by reasonable supporting documentation,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(f).</w:t>
      </w:r>
    </w:p>
    <w:p>
      <w:pPr>
        <w:spacing w:after="0" w:line="193"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10.4, the term “applicable law” includes FATCA.</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3"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10.4 shall survive the resignation or replacement of the Agent or any assignment of rights by, or the replacement of a Lender, the termination of Commitments and the repayment, satisfaction or discharge of all obligations under any Loan Document.</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AGENT.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Appointment of the Agent</w:t>
      </w:r>
      <w:r>
        <w:rPr>
          <w:rFonts w:ascii="Times New Roman" w:cs="Times New Roman" w:eastAsia="Times New Roman" w:hAnsi="Times New Roman"/>
          <w:sz w:val="18"/>
          <w:szCs w:val="18"/>
          <w:color w:val="auto"/>
        </w:rPr>
        <w:t>. Each Lender and the holder of each Note (if issued) irrevocably appoints and authorizes the Agent to act on behalf of such Lender or holder under this Agreement and the other Loan Documents and to exercise such powers hereunder and thereunder as are specifically delegated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4" w:name="page425"/>
    <w:bookmarkEnd w:id="424"/>
    <w:p>
      <w:pPr>
        <w:jc w:val="both"/>
        <w:spacing w:after="0" w:line="261" w:lineRule="auto"/>
        <w:rPr>
          <w:sz w:val="20"/>
          <w:szCs w:val="20"/>
          <w:color w:val="auto"/>
        </w:rPr>
      </w:pPr>
      <w:r>
        <w:rPr>
          <w:rFonts w:ascii="Times New Roman" w:cs="Times New Roman" w:eastAsia="Times New Roman" w:hAnsi="Times New Roman"/>
          <w:sz w:val="18"/>
          <w:szCs w:val="18"/>
          <w:color w:val="auto"/>
        </w:rPr>
        <w:t>to the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 non-fiduciary agent of the Lenders and does not assume and shall not be deemed to have assumed any obligation towards or relationship of agency or trust with or for any Credit Party.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Agency for Perfection</w:t>
      </w:r>
      <w:r>
        <w:rPr>
          <w:rFonts w:ascii="Times New Roman" w:cs="Times New Roman" w:eastAsia="Times New Roman" w:hAnsi="Times New Roman"/>
          <w:sz w:val="18"/>
          <w:szCs w:val="18"/>
          <w:color w:val="auto"/>
        </w:rPr>
        <w:t>. Each Lender hereby appoints the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the Agent and each Lender hereby acknowledges that it holds possession of or otherwise controls any such Collateral for the benefit of the Agent and the Lenders as secured party. Should any Lender obtain possession or control of any such Collateral, such Lender shall notify the Agent thereof in writing, and, promptly upon the Agent’s request therefore shall deliver such Collateral to the Agent or in accordance with the Agent’s instructions.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Scope of the Agent’s Duties</w:t>
      </w:r>
      <w:r>
        <w:rPr>
          <w:rFonts w:ascii="Times New Roman" w:cs="Times New Roman" w:eastAsia="Times New Roman" w:hAnsi="Times New Roman"/>
          <w:sz w:val="18"/>
          <w:szCs w:val="18"/>
          <w:color w:val="auto"/>
        </w:rPr>
        <w:t>. The Agent shall have no duties or responsibilities except those expressly set forth herein, and shall not, by reason of this Agreement or otherwise, have a fiduciary relationship with any Lender (and no implied covenants or other obligations shall be read into this Agreement against the Agent). None of the Agent, its Affiliates nor any of their respective directors, officers, employees or agents shall be liable for any action taken or omitted to be taken by it or them under this Agreement or any document executed pursuant hereto, or in connection herewith or therewith:</w:t>
      </w:r>
    </w:p>
    <w:p>
      <w:pPr>
        <w:spacing w:after="0" w:line="3" w:lineRule="exact"/>
        <w:rPr>
          <w:sz w:val="20"/>
          <w:szCs w:val="20"/>
          <w:color w:val="auto"/>
        </w:rPr>
      </w:pPr>
    </w:p>
    <w:p>
      <w:pPr>
        <w:jc w:val="both"/>
        <w:ind w:firstLine="8"/>
        <w:spacing w:after="0" w:line="251" w:lineRule="auto"/>
        <w:tabs>
          <w:tab w:leader="none" w:pos="232"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or (ii) in the absence of its own gross negligence or willful misconduct, as determined by a court of competent jurisdiction by a final and non-appealable judgment; provided, that, no action taken or not taken by the Agent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shall be considered gross negligence or willful misconduct of the Agent. None of the Agent, its Affiliates nor any of their respective directors, officers, employees or agents shall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 any security thereunder, (c) the performance by the Credit Parties of their respective obligations hereunder or thereunder, or (d) the satisfaction of any condition hereunder or thereunder, including without limitation in connection with the making of any Loan. The Agent and its Affiliates shall be entitled to rely upon, and shall not incur any liability for relying upon, any certificate, notice, document or other communication (including any cable, telegraph, telex, facsimile transmission or oral communication) believed by it to be genuine and correct and to have been sent or given by or on behalf of a proper Person. The Agent may treat the payee of any Note as the holder thereof. The Agent may employ agents and may consult with legal counsel, independent public accountants and other experts selected by it and shall not be liable to any Person for the negligence or misconduct of any such Person (except to the extent that a court of competent jurisdiction determines in a final and non-appealable judgment that the Agent acted with gross negligence or willful misconduct in the selection of such Person) or for any action taken or omitted to be taken by it in good faith in accordance with the advice of such counsel, accountants or experts.</w:t>
      </w:r>
    </w:p>
    <w:p>
      <w:pPr>
        <w:spacing w:after="0" w:line="19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u w:val="single" w:color="auto"/>
          <w:color w:val="auto"/>
        </w:rPr>
        <w:t>Successor Agent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5" w:name="page426"/>
    <w:bookmarkEnd w:id="425"/>
    <w:p>
      <w:pPr>
        <w:jc w:val="both"/>
        <w:ind w:firstLine="1304"/>
        <w:spacing w:after="0" w:line="252" w:lineRule="auto"/>
        <w:tabs>
          <w:tab w:leader="none" w:pos="1689"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resign as such at any time upon at least thirty (30) days prior notice to the Borrower and each of the Lenders. If the Agent at any time shall resign or if the office of the Agent shall become vacant for any other reason, Majority Lenders shall, by written instrument, appoint successor agent(s) (“</w:t>
      </w:r>
      <w:r>
        <w:rPr>
          <w:rFonts w:ascii="Times New Roman" w:cs="Times New Roman" w:eastAsia="Times New Roman" w:hAnsi="Times New Roman"/>
          <w:sz w:val="18"/>
          <w:szCs w:val="18"/>
          <w:b w:val="1"/>
          <w:bCs w:val="1"/>
          <w:color w:val="auto"/>
        </w:rPr>
        <w:t>Successor Agent</w:t>
      </w:r>
      <w:r>
        <w:rPr>
          <w:rFonts w:ascii="Times New Roman" w:cs="Times New Roman" w:eastAsia="Times New Roman" w:hAnsi="Times New Roman"/>
          <w:sz w:val="18"/>
          <w:szCs w:val="18"/>
          <w:color w:val="auto"/>
        </w:rPr>
        <w:t>”) satisfactory to such Majority Lenders and, so long as no Event of Default has occurred and is continuing, to the Borrower (which approval shall not be unreasonably withheld or delayed); provided, however that any such successor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Agent shall thereupon become the Agent hereunder, as applicable, and the Agent shall deliver or cause to be delivered to any successor agent such documents of transfer and assignment as such Successor Agent may reasonably request. If a Successor Agent is not so appointed or does not accept such appointment before the resigning Agent’s resignation becomes effective, the resigning Agent may, but shall be under no obligation to, appoint a temporary successor to act until such appointment by the Majority Lenders and, if applicable, the Borrower, is made and accepted, or if no such temporary successor is appointed as provided above by the resigning the Agent, the Majority Lenders shall thereafter perform all of the duties of the resigning the Agent hereunder until such appointment by the Majority Lenders and, if applicable, the Borrower, is made and accepted. Such Successor Agent shall succeed to all of the rights and obligations of the resigning Agent as if originally named. The resigning Agent shall duly assign, transfer and deliver to such Successor Agent all moneys at the time held by the resigning Agent hereunder after deducting therefrom its expenses for which it is entitled to be reimbursed hereunder. Upon such succession of any such Successor Agent, the resigning Agent shall be discharged from its duties and obligations, in its capacity as the Agent hereunder, and the provisions of this Article 11, Section 10.4(e)-(f) and Section 12.4 shall continue in effect for the benefit of the resigning Agent in respect of any actions taken or omitted to be taken by it while it was acting as the Agent.</w:t>
      </w:r>
    </w:p>
    <w:p>
      <w:pPr>
        <w:spacing w:after="0" w:line="193" w:lineRule="exact"/>
        <w:rPr>
          <w:rFonts w:ascii="Times New Roman" w:cs="Times New Roman" w:eastAsia="Times New Roman" w:hAnsi="Times New Roman"/>
          <w:sz w:val="18"/>
          <w:szCs w:val="18"/>
          <w:color w:val="auto"/>
        </w:rPr>
      </w:pPr>
    </w:p>
    <w:p>
      <w:pPr>
        <w:jc w:val="both"/>
        <w:ind w:right="20" w:firstLine="1304"/>
        <w:spacing w:after="0" w:line="258" w:lineRule="auto"/>
        <w:tabs>
          <w:tab w:leader="none" w:pos="172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Double Helix Pte Ltd may assign its rights and duties as the Agent hereunder to another Temasek Entity without the prior written consent of, or prior written notice to, the Borrower or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and the Lenders may deem and treat such assigning Agent as the Agent for all purposes hereof, unless and until such assigning Agent provides written notice to the Borrower and the Lenders of such assignment. Upon such assignment such Temasek Entity shall succeed to and become vested with all rights, powers, privileges and duties as the Agent hereunder and under the other Loan Documents.</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2"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perform any and all of its duties and exercise its rights and powers under this Agreement or under any other Loan Document by or through any one or more additional individuals or institutions as separate trustee, co-trustee, collateral agent, sub-agent or co-agent (“</w:t>
      </w:r>
      <w:r>
        <w:rPr>
          <w:rFonts w:ascii="Times New Roman" w:cs="Times New Roman" w:eastAsia="Times New Roman" w:hAnsi="Times New Roman"/>
          <w:sz w:val="18"/>
          <w:szCs w:val="18"/>
          <w:u w:val="single" w:color="auto"/>
          <w:color w:val="auto"/>
        </w:rPr>
        <w:t>Supplemental Agents</w:t>
      </w:r>
      <w:r>
        <w:rPr>
          <w:rFonts w:ascii="Times New Roman" w:cs="Times New Roman" w:eastAsia="Times New Roman" w:hAnsi="Times New Roman"/>
          <w:sz w:val="18"/>
          <w:szCs w:val="18"/>
          <w:color w:val="auto"/>
        </w:rPr>
        <w:t>”) appointed by the Agent. The Agent and any such Supplemental Agents may perform any and all of its duties and exercise its rights and powers by or through their respective Affiliates. The exculpatory, indemnification and other provisions of this Agreement (including, without limitation, this Article 11, Section 10.4(e)-(f) and Section 12.4) shall apply to any of the Supplemental Agents of the Agent and shall apply to their respective activities in connection with its activities as the Agent. All of the rights, benefits and privileges (including the exculpatory and indemnification provisions) of this Agreement (including, without limitation, this Article 11, Section 10.4(e)-(f) and Section 12.4) shall apply to any such Supplemental Agent and to the Affiliates of any such Supplemental Agent, and shall apply to their respective activities as sub-agent as if such sub-agent and Affiliates were named herein. Notwithstanding anything herein to the contrary, with respect to each Supplemental Agent appointed by the Agent, (i) such Supplemental 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6" w:name="page427"/>
    <w:bookmarkEnd w:id="426"/>
    <w:p>
      <w:pPr>
        <w:jc w:val="both"/>
        <w:spacing w:after="0" w:line="255" w:lineRule="auto"/>
        <w:rPr>
          <w:sz w:val="20"/>
          <w:szCs w:val="20"/>
          <w:color w:val="auto"/>
        </w:rPr>
      </w:pPr>
      <w:r>
        <w:rPr>
          <w:rFonts w:ascii="Times New Roman" w:cs="Times New Roman" w:eastAsia="Times New Roman" w:hAnsi="Times New Roman"/>
          <w:sz w:val="18"/>
          <w:szCs w:val="18"/>
          <w:color w:val="auto"/>
        </w:rPr>
        <w:t>the consent or joinder of any other Person, against any or all of the Borrower, the Guarantors and the Lenders, (ii) such rights, benefits and privileges (including exculpatory rights and rights to indemnification) shall not be modified or amended without the consent of such Supplemental Agent, and (iii) such Supplemental Agent shall only have obligations to the Agent, and not to the Borrower, Guarantor, Lender or any other Person and no Borrower, Guarantor, Lender or any other Person shall have the rights, directly or indirectly, as a third party beneficiary or otherwise, against such Supplemental Agent. The Agent shall not be responsible for the negligence or misconduct of any Supplemental Agent except to the extent that a court of competent jurisdiction determines in a final and non-appealable judgment that the Agent acted with gross negligence or willful misconduct in the selection of such Supplemental Agent.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Credit Decisions</w:t>
      </w:r>
      <w:r>
        <w:rPr>
          <w:rFonts w:ascii="Times New Roman" w:cs="Times New Roman" w:eastAsia="Times New Roman" w:hAnsi="Times New Roman"/>
          <w:sz w:val="18"/>
          <w:szCs w:val="18"/>
          <w:color w:val="auto"/>
        </w:rPr>
        <w:t>. Each Lender acknowledges that it has, independently of the Agent and each other Lender and based on the financial statements of the Borrower and such other documents, information and investigations as it has deemed appropriate, made its own credit decision to extend credit hereunder from time to time. Each Lender also acknowledges that it will, independently of the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Authority of the Agent to Enforce This Agreement</w:t>
      </w:r>
      <w:r>
        <w:rPr>
          <w:rFonts w:ascii="Times New Roman" w:cs="Times New Roman" w:eastAsia="Times New Roman" w:hAnsi="Times New Roman"/>
          <w:sz w:val="18"/>
          <w:szCs w:val="18"/>
          <w:color w:val="auto"/>
        </w:rPr>
        <w:t>. Each Lender, subject to the terms and conditions of this Agreement, grants the Agent full power and authority as attorney-in-fact to institute and maintain actions, suits or proceedings for the collection and enforcement of any Indebtedness (including any Yield Maintenance Premium or Prepayment Premium) outstanding under this Agreement or any other Loan Document and to file such proofs of debt or other documents as may be necessary to have the claims of the Lenders allowed in any proceeding relative to any Credit Party, or their respective creditors or affecting their respective properties, and to take such other actions which the Agent considers to be necessary or desirable for the protection, collection and enforcement of the Notes, this Agreement or the other Loan Documents.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Indemnification of the Agent</w:t>
      </w:r>
      <w:r>
        <w:rPr>
          <w:rFonts w:ascii="Times New Roman" w:cs="Times New Roman" w:eastAsia="Times New Roman" w:hAnsi="Times New Roman"/>
          <w:sz w:val="18"/>
          <w:szCs w:val="18"/>
          <w:color w:val="auto"/>
        </w:rPr>
        <w:t>. The Lenders agree to indemnify the Agent, its Affiliates and their respective officers, partners, directors, trustees employees and agents (each, an “</w:t>
      </w:r>
      <w:r>
        <w:rPr>
          <w:rFonts w:ascii="Times New Roman" w:cs="Times New Roman" w:eastAsia="Times New Roman" w:hAnsi="Times New Roman"/>
          <w:sz w:val="18"/>
          <w:szCs w:val="18"/>
          <w:b w:val="1"/>
          <w:bCs w:val="1"/>
          <w:color w:val="auto"/>
        </w:rPr>
        <w:t>Indemnitee Agent Party</w:t>
      </w:r>
      <w:r>
        <w:rPr>
          <w:rFonts w:ascii="Times New Roman" w:cs="Times New Roman" w:eastAsia="Times New Roman" w:hAnsi="Times New Roman"/>
          <w:sz w:val="18"/>
          <w:szCs w:val="18"/>
          <w:color w:val="auto"/>
        </w:rPr>
        <w:t>”) (to the extent not reimbursed by the Borrower, but without limiting any obligation of the Borrower to make such reimbursement), ratably according to their respective Pro Rata Shares (provided, that, if such indemnity payment is sought after the date on which the Loans have been paid in full, such determination of such Pro Rata Shares shall be made as of the last date prior to which the Loans were paid in full), from and against any and all claims, damages, losses, liabilities, costs or expenses of any kind or nature whatsoever (including, without limitation, reasonable fees and expenses of in-house and outside counsel) which may be imposed on, incurred by, or asserted against any Indemnitee Agent Party in any way relating to or arising out of this Agreement, any of the other Loan Documents or the transactions contemplated hereby or any action taken or omitted by any Indemnitee Agent Party under this Agreement or any of the Loan Documents in all cases, whether or not caused by or arising, in whole or in part, out of the comparative, contributory, or sole negligence of such Indemnitee Agent Party; provided, however, that no Lender shall be liable for any portion of such claims, damages, losses, liabilities, costs or expenses resulting from such Indemnitee Agent Party’s gross negligence or willful misconduct as determined by a court of competent jurisdiction in a final, non-appealable order. Without limitation of the foregoing, each Lender agrees to reimburse the Indemnitee Agent Parties promptly upon demand for its ratable share of any reasonable out-of-pocket expenses (including, without limitation, reasonable fees and expenses of in-house and outside counsel) incurred by the Indemnitee Agent Parties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Indemnitee Agent Parties are not timely reimbursed for such</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7" w:name="page428"/>
    <w:bookmarkEnd w:id="427"/>
    <w:p>
      <w:pPr>
        <w:jc w:val="both"/>
        <w:spacing w:after="0" w:line="254" w:lineRule="auto"/>
        <w:rPr>
          <w:sz w:val="20"/>
          <w:szCs w:val="20"/>
          <w:color w:val="auto"/>
        </w:rPr>
      </w:pPr>
      <w:r>
        <w:rPr>
          <w:rFonts w:ascii="Times New Roman" w:cs="Times New Roman" w:eastAsia="Times New Roman" w:hAnsi="Times New Roman"/>
          <w:sz w:val="18"/>
          <w:szCs w:val="18"/>
          <w:color w:val="auto"/>
        </w:rPr>
        <w:t>expenses by the Borrower, but without limiting the obligation of the Borrower to make such reimbursement. Each Lender agrees to reimburse the Indemnitee Agent Parties promptly upon demand for its ratable share (provided, that, if such payment is sought after the date on which the Loans have been paid in full, such determination of such ratable share shall be made as of the last date prior to which the Loans were paid in full) of any amounts owing to the Indemnitee Agent Parties by the Lenders pursuant to this Section, provided that, if the Indemnitee Agent Parties are subsequently reimbursed by the Borrower for such amounts, they shall refund to the Lenders on a pro rata basis the amount of any excess reimbursement. If the indemnity furnished to the Indemnitee Agent Parties under this Section shall become impaired as determined in the Agent’s reasonable judgment or the Agent shall elect in its sole discretion to have such indemnity confirmed by the Lenders (as to specific matters or otherwise), the Agent shall give notice thereof to each Lender and, until such additional indemnity is provided or such existing indemnity is confirmed, the Agent may cease, or not commence, to take any action. Any amounts paid by the Lenders hereunder to the Indemnitee Agent Parties shall be deemed to constitute part of the Indebtedness hereunder.</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Knowledge of Default</w:t>
      </w:r>
      <w:r>
        <w:rPr>
          <w:rFonts w:ascii="Times New Roman" w:cs="Times New Roman" w:eastAsia="Times New Roman" w:hAnsi="Times New Roman"/>
          <w:sz w:val="18"/>
          <w:szCs w:val="18"/>
          <w:color w:val="auto"/>
        </w:rPr>
        <w:t>. It is expressly understood and agreed that the Agent shall be entitled to assume that no Default or Event of Default has occurred and is continuing, unless the officers of the Agent immediately responsible for matters concerning this Agreement shall have received a written notice from a Lender or the Borrower specifying such Default or Event of Default and conspicuously stating that such notice is a “notice of default”. Upon receiving such a notice, the Agent shall promptly notify each Lender of such Default or Event of Default and provide each Lender with a copy of such notice and shall endeavor to provide such notice to the Lenders within three (3) Business Days (but without any liability whatsoever in the event of its failure to do so). The Agent shall also furnish the Lenders, promptly upon receipt, with copies of all other notices or other information required to be provided by the Borrower hereunder.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The Agent’s Authorization; Action by Lenders</w:t>
      </w:r>
      <w:r>
        <w:rPr>
          <w:rFonts w:ascii="Times New Roman" w:cs="Times New Roman" w:eastAsia="Times New Roman" w:hAnsi="Times New Roman"/>
          <w:sz w:val="18"/>
          <w:szCs w:val="18"/>
          <w:color w:val="auto"/>
        </w:rPr>
        <w:t>. Except as otherwise expressly provided herein, whenever the Agent is authorized and empowered hereunder on behalf of the Lenders to give any approval or consent, or to make any request, or to take any other action on behalf of the Lenders (including without limitation the exercise of any right or remedy hereunder or under the other Loan Documents), the Agent shall be required to give such approval or consent, or to make such request or to take such other action only when so requested in writing by the Majority Lenders or the Lenders, as applicable hereunder,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Action that may be taken by the Majority Lenders, any other specified percentage of the Lenders or all of the Lenders, as the case may be (as provided for hereunder), may be taken (i) pursuant to a vote of the requisite percentages of the Lenders as required hereunder at a meeting (which may be held by telephone conference call), provided that the Agent exercises good faith, diligent efforts to give all of the Lenders reasonable advance notice of the meeting, or (ii) pursuant to the written consent of the requisite percentages of the Lenders as required hereunder, provided that all of the Lenders are given reasonable advance notice of the requests for such consent.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Enforcement Actions by the Agent</w:t>
      </w:r>
      <w:r>
        <w:rPr>
          <w:rFonts w:ascii="Times New Roman" w:cs="Times New Roman" w:eastAsia="Times New Roman" w:hAnsi="Times New Roman"/>
          <w:sz w:val="18"/>
          <w:szCs w:val="18"/>
          <w:color w:val="auto"/>
        </w:rPr>
        <w:t>. Except as otherwise expressly provided under this Agreement or in any of the other Loan Documents and subject to the terms hereof, the Agent will take such action, assert such rights and pursue such remedies under this Agreement and the other Loan Documents as the Majority Lenders or all of the Lenders, as the case may be (as provided for hereunder), shall direct;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Anything contained in any of the Loan Documents to the contrary notwithstanding, the Borrower, the Agent and each Lender hereby agree (i) no Lender shall have any right individually to realize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8" w:name="page429"/>
    <w:bookmarkEnd w:id="428"/>
    <w:p>
      <w:pPr>
        <w:jc w:val="both"/>
        <w:spacing w:after="0" w:line="253" w:lineRule="auto"/>
        <w:rPr>
          <w:sz w:val="20"/>
          <w:szCs w:val="20"/>
          <w:color w:val="auto"/>
        </w:rPr>
      </w:pPr>
      <w:r>
        <w:rPr>
          <w:rFonts w:ascii="Times New Roman" w:cs="Times New Roman" w:eastAsia="Times New Roman" w:hAnsi="Times New Roman"/>
          <w:sz w:val="18"/>
          <w:szCs w:val="18"/>
          <w:color w:val="auto"/>
        </w:rPr>
        <w:t>upon any of the Collateral under any Loan Document or to enforce any Guaranty, it being understood and agreed that all powers, rights and remedies under the Loan Documents may be exercised solely by the Agent for the benefit of the Lenders in accordance with the terms thereof, (ii) in the event of a foreclosure by the Agent on any of the Collateral pursuant to a public or private sale, the Agent or any Lender may be the purchaser of any or all of such Collateral at any such sale and (iii) the Agent, as agent for and representative of the Lenders (but not any Lender or Lenders in its or their respective individual capacities unless the Majority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Agent under the provisions of the Uniform Commercial Code (including pursuant to Sections 9-610 or 9-620 of the Uniform Commercial Code), (C) at any sale or foreclosure conducted by the Agent (whether by judicial action or otherwise) in accordance with applicable law or (D) any sale conducted pursuant to the provisions of any Debtor Relief Law (including Section 363 of the Bankruptcy Code), to use and apply all or any of the Indebtedness (including any Yield Maintenance Premium or Prepayment Premium) as a credit on account of the purchase price for any Collateral payable by the Agent at such sale.</w:t>
      </w:r>
    </w:p>
    <w:p>
      <w:pPr>
        <w:spacing w:after="0" w:line="19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729"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authorized on behalf of all the Lenders, without the necessity of any notice to or further consent from the Lenders, from time to time to take any action with respect to any Collateral or the Collateral Documents which may be necessary to perfect and maintain a perfected security interest in and Liens upon the Collateral granted pursuant to the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8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irrevocably authorize the Agent, in its reasonable discretion, to the full extent set forth in Section 12.9(d) hereof, at the sole cost and expense of the Borrower (1) to release or terminate any Lien granted to or held by the Agent upon any Collateral (a) upon termination of the Commitments and payment in full of all Indebtedness (including any Yield Maintenance Premium or Prepayment Premium) payable under this Agreement and under any other Loan Document; (b) constituting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11.11(b)(3) below; (c) constituting property in which a Credit Party owned no interest at the time the Lien was granted or at any time thereafter; or (d) if approved, authorized or ratified in writing by the Majority Lenders, or all the Lenders, as the case may be, as provided in Section 12.9; (2) to subordinate the Lien granted to or held by the Agent on any Collateral to any other holder of a Lien on such Collateral which is permitted by Section 7.2(b) hereto; and (3) if all of the Equity Interests held by the Credit Parties in any Person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to release such Person from all of its obligations under the Loan Documents (including, without limitation, under any Guaranty). Upon request by the Agent at any time, the Lenders will confirm in writing the Agent’s authority to release particular types or items of Collateral or subordinate its interest in particular types or items of property or to release any Guarantor from its obligations under the Guaranty pursuant to this Section 11.11(b), and the Agent shall be entitled to refrain from taking any such action until it receives such written confirmation from the Majority Lenders or Lenders (as applicable).</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The Agent in its Individual Capacity</w:t>
      </w:r>
      <w:r>
        <w:rPr>
          <w:rFonts w:ascii="Times New Roman" w:cs="Times New Roman" w:eastAsia="Times New Roman" w:hAnsi="Times New Roman"/>
          <w:sz w:val="18"/>
          <w:szCs w:val="18"/>
          <w:color w:val="auto"/>
        </w:rPr>
        <w:t>. Double Helix Pte Ltd and its Affiliates, successors and assigns shall each have the same rights and powers hereunder as any other Lender and may exercise or refrain from exercising the same as though such Lender were not the Agent. Double Helix Pte Ltd and its Affiliates may (without having to account therefor to any Lender) accept deposits from, lend money to,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9" w:name="page430"/>
    <w:bookmarkEnd w:id="429"/>
    <w:p>
      <w:pPr>
        <w:jc w:val="both"/>
        <w:spacing w:after="0" w:line="282" w:lineRule="auto"/>
        <w:rPr>
          <w:sz w:val="20"/>
          <w:szCs w:val="20"/>
          <w:color w:val="auto"/>
        </w:rPr>
      </w:pPr>
      <w:r>
        <w:rPr>
          <w:rFonts w:ascii="Times New Roman" w:cs="Times New Roman" w:eastAsia="Times New Roman" w:hAnsi="Times New Roman"/>
          <w:sz w:val="18"/>
          <w:szCs w:val="18"/>
          <w:color w:val="auto"/>
        </w:rPr>
        <w:t>generally engage in any kind of banking, trust, financial advisory or other business with the Credit Parties as if such Lender were not acting as the Agent hereunder, and may accept fees and other consideration therefor without having to account for the same to the Lenders.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Specified Subordination Agreement and Subordination Agreements</w:t>
      </w:r>
      <w:r>
        <w:rPr>
          <w:rFonts w:ascii="Times New Roman" w:cs="Times New Roman" w:eastAsia="Times New Roman" w:hAnsi="Times New Roman"/>
          <w:sz w:val="18"/>
          <w:szCs w:val="18"/>
          <w:color w:val="auto"/>
        </w:rPr>
        <w:t>. Each Lender hereby irrevocably appoints, designates and authorizes Agent to enter into any subordination or intercreditor agreement pertaining to the Senior Debt or any Subordinated Debt, on its behalf and to take such action on its behalf under the provisions of any such agreement. Each Lender further agrees to be bound by the terms and conditions of each subordination or intercreditor agreement pertaining to the Senior Debt or any Subordinated Debt.</w:t>
      </w:r>
    </w:p>
    <w:p>
      <w:pPr>
        <w:spacing w:after="0" w:line="18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7"/>
          <w:szCs w:val="17"/>
          <w:u w:val="single" w:color="auto"/>
          <w:color w:val="auto"/>
        </w:rPr>
        <w:t>No Reliance on the Agent’s Customer Identification Program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689"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18"/>
          <w:szCs w:val="18"/>
          <w:b w:val="1"/>
          <w:bCs w:val="1"/>
          <w:color w:val="auto"/>
        </w:rPr>
        <w:t>CIP Regulations</w:t>
      </w:r>
      <w:r>
        <w:rPr>
          <w:rFonts w:ascii="Times New Roman" w:cs="Times New Roman" w:eastAsia="Times New Roman" w:hAnsi="Times New Roman"/>
          <w:sz w:val="18"/>
          <w:szCs w:val="18"/>
          <w:color w:val="auto"/>
        </w:rPr>
        <w:t>”), or any other Anti-Terrorism Law, including any programs involving any of the following items relating to or in connection with the Borrower or any of its Subsidiaries, any of their respective Affiliates or agents, the Loan Documents or the transactions hereunder: (i) any identify verification procedures, (ii) any record keeping, (iii) any comparisons with government lists, (iv) any customer notices or (v) any other procedures required under the CIP Regulations or such other laws.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(x) within 10 days after the Effective Date, and (y) at such other times as are required under the USA Patriot Act.</w:t>
      </w:r>
    </w:p>
    <w:p>
      <w:pPr>
        <w:spacing w:after="0" w:line="18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xml:space="preserve">. ALL JUDICIAL PROCEEDINGS BROUGHT AGAINST ANY THE BORROWER OR ANY GUARANTOR ARISING OUT OF OR RELATING HERETO OR ANY OTHER LOAN DOCUMENT, OR ANY OF THE INDEBTEDNESS (INCLUDING ANY YIELD MAINTENANCE PREMIUM OR PREPAYMENT PREMIUM), MAY BE BROUGHT IN ANY STATE OR FEDERAL COURT OF COMPETENT JURISDICTION IN THE STATE, COUNTY AND CITY OF NEW YORK. BY EXECUTING AND DELIVERING THIS AGREEMENT, THE BORROWER,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CREDIT PARTY AT ITS ADDRESS PROVIDED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12.5 IS SUFFICIENT TO CONFER PERSONAL JURISDICTION OVER THE APPLICABLE CREDIT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0" w:name="page431"/>
    <w:bookmarkEnd w:id="430"/>
    <w:p>
      <w:pPr>
        <w:jc w:val="both"/>
        <w:spacing w:after="0" w:line="261" w:lineRule="auto"/>
        <w:rPr>
          <w:sz w:val="20"/>
          <w:szCs w:val="20"/>
          <w:color w:val="auto"/>
        </w:rPr>
      </w:pPr>
      <w:r>
        <w:rPr>
          <w:rFonts w:ascii="Times New Roman" w:cs="Times New Roman" w:eastAsia="Times New Roman" w:hAnsi="Times New Roman"/>
          <w:sz w:val="18"/>
          <w:szCs w:val="18"/>
          <w:color w:val="auto"/>
        </w:rPr>
        <w:t>PARTY IN ANY SUCH PROCEEDING IN ANY SUCH COURT, AND OTHERWISE CONSTITUTES EFFECTIVE AND BINDING SERVICE IN EVERY RESPECT; AND (iv) AGREES THAT THE AGENT AND THE LENDERS RETAIN THE RIGHT TO SERVE PROCESS IN ANY OTHER MANNER PERMITTED BY LAW OR TO BRING PROCEEDINGS AGAINST THE BORROWER OR ANY GUARANTOR IN THE COURTS OF ANY OTHER JURISDICTION.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7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u w:val="single" w:color="auto"/>
          <w:color w:val="auto"/>
        </w:rPr>
        <w:t>Closing Costs and Other Costs;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1689"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hereby shall be consummated, the Borrower shall pay or reimburse (a) the Agent, the Lenders and their respective Affiliates for payment of, on demand, all reasonable and documented costs and expenses incurred by the Agent, Lenders and their respective Affiliates in connection with the consummation and closing of the loans contemplated hereby, the administration or enforcement of this Agreement or the other Loan Documents (including the obtaining of legal advice regarding the rights and responsibilities of the parties hereto), any refinancing or restructuring of the Loans provided under this Agreement or the other Loan Documents or the negotiation, preparation, execution and administration of the Loan Documents and any consents, amendments, waivers or other modifications thereto and any other documents or matters requested by Borrower, including, by way of description and not limitation, reasonable outside attorney fees (which shall be limited to one outside counsel for the Agent and one outside counsel for the Lenders (absent a conflict of interest (in which case, each group of similarly situated and conflicted Lenders may engage and be reimbursed for an additional firm of outside counsel)) and if necessary, one local counsel in each relevant jurisdiction and such specialist counsel as the Agent may reasonably determine to be necessary and one local counsel in each relevant jurisdiction and such specialist counsel as the Lenders may reasonably determine to be necessary (the "</w:t>
      </w:r>
      <w:r>
        <w:rPr>
          <w:rFonts w:ascii="Times New Roman" w:cs="Times New Roman" w:eastAsia="Times New Roman" w:hAnsi="Times New Roman"/>
          <w:sz w:val="18"/>
          <w:szCs w:val="18"/>
          <w:b w:val="1"/>
          <w:bCs w:val="1"/>
          <w:color w:val="auto"/>
        </w:rPr>
        <w:t>Legal Counsel Limitations</w:t>
      </w:r>
      <w:r>
        <w:rPr>
          <w:rFonts w:ascii="Times New Roman" w:cs="Times New Roman" w:eastAsia="Times New Roman" w:hAnsi="Times New Roman"/>
          <w:sz w:val="18"/>
          <w:szCs w:val="18"/>
          <w:color w:val="auto"/>
        </w:rPr>
        <w:t>")) and advances, appraisal, auditing, consulting and accounting fees, costs and expenses of creating and perfecting Liens in favor of the Agent, for the benefit of Agent and the Lenders (including, without limitation, filing and recording fees and lien search fees), costs and expenses (including the fees, expenses and disbursements of any appraisers, consultants, advisors and agents retained by Agent and its counsel and Lenders and their counsel) in connection with the custody or preservation of any of the Collateral and required travel costs, and (b) the Agent and its Affiliates and each of the Lenders,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incurred by the Agent, the Lenders and their respective Affiliates in revising, preserving, protecting, exercising or enforcing any of the Agent’s and the Lenders’ rights against the Borrower or any other Credit Party, or otherwise incurred by the Agent and its Affiliates and the Lenders in connection with any Event of Default or the enforcement of their rights and remedies hereunder (whether incurred through negotiations, legal proceedings or otherwise), including by way of description and not limitation, such charges incurred in connection with the sale of, collection from or other realization upon any of the Collateral, in connection with any refinancing or restructuring of the credit arrangements provided hereunder in the nature of a “workout” or pursuant to any court or bankruptcy proceedings or arising out of any claim or action by any person against the Agent, its Affiliates, or any Lender which would not have been asserted were it not for the Agent’s or such Affiliate’s or Lender’s relationship with the Borrower hereunder or otherwise, shall also be paid by the Borrower.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1" w:name="page432"/>
    <w:bookmarkEnd w:id="431"/>
    <w:p>
      <w:pPr>
        <w:jc w:val="both"/>
        <w:ind w:firstLine="1304"/>
        <w:spacing w:after="0" w:line="254" w:lineRule="auto"/>
        <w:tabs>
          <w:tab w:leader="none" w:pos="188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PAYMENT OF EXPENSES PURSUANT TO </w:t>
      </w:r>
      <w:r>
        <w:rPr>
          <w:rFonts w:ascii="Times New Roman" w:cs="Times New Roman" w:eastAsia="Times New Roman" w:hAnsi="Times New Roman"/>
          <w:sz w:val="18"/>
          <w:szCs w:val="18"/>
          <w:u w:val="single" w:color="auto"/>
          <w:color w:val="auto"/>
        </w:rPr>
        <w:t>SECTION 12.4(a)</w:t>
      </w:r>
      <w:r>
        <w:rPr>
          <w:rFonts w:ascii="Times New Roman" w:cs="Times New Roman" w:eastAsia="Times New Roman" w:hAnsi="Times New Roman"/>
          <w:sz w:val="18"/>
          <w:szCs w:val="18"/>
          <w:color w:val="auto"/>
        </w:rPr>
        <w:t>, WHETHER OR NOT THE TRANSACTIONS CONTEMPLATED HEREBY SHALL BE CONSUMMATED, THE BORROWER AGREES TO DEFEND (SUBJECT TO THE LEGAL COUNSEL LIMITATIONS)), INDEMNIFY, PAY AND HOLD HARMLESS, AGENT AND EACH LENDER, THEIR RESPECTIVE AFFILIATES AND THEIR RESPECTIVE OFFICERS, PARTNERS, DIRECTORS, TRUSTEES, EMPLOYEES AND AGENTS OF AGENT AND EACH LENDER (EACH,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FROM AND AGAINST ANY AND ALL INDEMNIFIED LIABILITIES, </w:t>
      </w:r>
      <w:r>
        <w:rPr>
          <w:rFonts w:ascii="Times New Roman" w:cs="Times New Roman" w:eastAsia="Times New Roman" w:hAnsi="Times New Roman"/>
          <w:sz w:val="18"/>
          <w:szCs w:val="18"/>
          <w:b w:val="1"/>
          <w:bCs w:val="1"/>
          <w:color w:val="auto"/>
        </w:rPr>
        <w:t>IN ALL CASES,</w:t>
      </w:r>
    </w:p>
    <w:p>
      <w:pPr>
        <w:spacing w:after="0" w:line="3"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WHETHER OR NOT CAUSED BY OR ARISING, IN WHOLE OR IN PART, OUT OF THE COMPARATIVE, CONTRIBUTORY, OR SOLE NEGLIGENCE OF SUCH 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BORROWER SHALL NOT HAVE ANY OBLIGATION TO ANY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 w:cs="Times New Roman" w:eastAsia="Times New Roman" w:hAnsi="Times New Roman"/>
          <w:sz w:val="18"/>
          <w:szCs w:val="18"/>
          <w:u w:val="single" w:color="auto"/>
          <w:color w:val="auto"/>
        </w:rPr>
        <w:t>SECTION 12.4(b)</w:t>
      </w:r>
      <w:r>
        <w:rPr>
          <w:rFonts w:ascii="Times New Roman" w:cs="Times New Roman" w:eastAsia="Times New Roman" w:hAnsi="Times New Roman"/>
          <w:sz w:val="18"/>
          <w:szCs w:val="18"/>
          <w:color w:val="auto"/>
        </w:rPr>
        <w:t xml:space="preserve">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INDEMNITEES OR ANY OF THEM.</w:t>
      </w:r>
    </w:p>
    <w:p>
      <w:pPr>
        <w:spacing w:after="0" w:line="19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83"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Borrower shall not assert, and the Borrower hereby waives, any claim against Lenders,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the Borrower hereby waives, releases and agrees not to sue upon any such claim or any such damages, whether or not accrued and whether or not known or suspected to exist in its favor.</w:t>
      </w:r>
    </w:p>
    <w:p>
      <w:pPr>
        <w:spacing w:after="0" w:line="18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77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otherwise in this Agreement (and except as provided in clause (b) 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Annex II or at such other address as may be designated by such party in a notice to the other parties that complies as to delivery with the terms of this Section 12.5 or posted to an E-System set up by or at the direction of the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The Agent may, but, except as specifically provided herein,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 with the provisions of this Section set forth above. If such telephonic notice conflicts with any such confirmation, the terms of such</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color w:val="auto"/>
        </w:rPr>
        <w:t>confirmation shall control. Any notice given by the Agent or any Lender to the Borrower shall be deemed to be a notice to all of the Credit Parties.</w:t>
      </w:r>
    </w:p>
    <w:p>
      <w:pPr>
        <w:spacing w:after="0" w:line="225" w:lineRule="exact"/>
        <w:rPr>
          <w:sz w:val="20"/>
          <w:szCs w:val="20"/>
          <w:color w:val="auto"/>
        </w:rPr>
      </w:pPr>
    </w:p>
    <w:p>
      <w:pPr>
        <w:jc w:val="both"/>
        <w:ind w:firstLine="1304"/>
        <w:spacing w:after="0" w:line="253" w:lineRule="auto"/>
        <w:tabs>
          <w:tab w:leader="none" w:pos="174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provided to the Agent and the Lenders party hereto under this Agreement or any other Loan Document may be delivered or furnished by electronic communication (including email and Internet or intranet websites) pursuant to procedures approved by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2 if such Lender has notified the Agent that it is incapable of receiving notices under such Section by electronic communication. The Agent or the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clause (i) of notification that such notice or other communication is available and identifying the website address therefore;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Borrower, from time to time, upon written request of the Agent will make, execute, acknowledge and deliver or cause to be made, executed, acknowledged and delivered, all such further and additional instruments, and take all such further action as may reasonably be required to carry out the intent and purpose of this Agreement or the Loan Documents, and to provide for Loans under and payment of the Notes, according to the intent and purpose herein and therein expressed.</w:t>
      </w:r>
    </w:p>
    <w:p>
      <w:pPr>
        <w:spacing w:after="0" w:line="18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u w:val="single" w:color="auto"/>
          <w:color w:val="auto"/>
        </w:rPr>
        <w:t>Successors and Assigns; Participations; Assignments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(a)</w:t>
        <w:tab/>
        <w:t>This Agreement shall be binding upon and shall inure to the benefit of the Borrower and the Lenders and their respective successors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assigns.</w:t>
      </w:r>
    </w:p>
    <w:p>
      <w:pPr>
        <w:spacing w:after="0" w:line="207" w:lineRule="exact"/>
        <w:rPr>
          <w:sz w:val="20"/>
          <w:szCs w:val="20"/>
          <w:color w:val="auto"/>
        </w:rPr>
      </w:pPr>
    </w:p>
    <w:p>
      <w:pPr>
        <w:ind w:firstLine="1304"/>
        <w:spacing w:after="0" w:line="282" w:lineRule="auto"/>
        <w:tabs>
          <w:tab w:leader="none" w:pos="179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shall not authorize any assignment by the Borrower of its rights or duties hereunder, and, except as otherwise provided herein, no such assignment shall be made (or be effective) without the prior written approval of the Lenders.</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29"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Lenders may at any time assign or grant participations in such Lender’s rights and obligations hereunder and under the other Loan Documents except (i) by way of assignment to any Eligible Assignee in accordance with clause (d) of this Section, (ii) by way of a participation in accordance with the provisions of clause (e) of this Section 12.7 or (iii) by way of a pledge or assignment or grant of a security interest subject to the restrictions of clause (g) of this Section 12.7 (and any other attempted assignment or transfer by any Lender shall be deemed to be null and void); provided, that, notwithstanding anything to the contrary contained in this Agreement, (a) the Agent shall not be responsible or have any liability for, or have any duty to ascertain, inquire into, monitor or enforce, compliance with the provisions hereof relating to an Eligible Assignee and (b) the Borrower and the Lenders acknowledge and agree that the Agent shall have no responsibility or obligation to determine whether any Lender or potential Lender is an Eligible Assignee and that the Agent shall have no liability with respect to any assignment or participation made to any Person which is not an Eligible Assignee.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assignment by a Lender of all or any portion of its rights and obligations hereunder and under the other Loan Documents, shall be subject to the following terms and conditions: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3" w:name="page434"/>
    <w:bookmarkEnd w:id="433"/>
    <w:p>
      <w:pPr>
        <w:jc w:val="both"/>
        <w:ind w:firstLine="1952"/>
        <w:spacing w:after="0" w:line="261" w:lineRule="auto"/>
        <w:tabs>
          <w:tab w:leader="none" w:pos="2388"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assignment shall be made on a pro rata basis with respect to each Class of Term Loans, and shall be in a minimum amount of the lesser of Five Million Dollars ($5,000,000) (or such lesser amount as may be agreed to by the Agent or as shall constitute the aggregate amount of the Term Loan A, Term Loan B or Incremental Term Loans of a particular tranche of the assigning Lender) with respect to the assignment of Term Loans; and</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44"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any assignment shall execute and deliver to the Agent an Assignment Agreement substantially (as determined by the Agent) in the form attached hereto as Exhibit B (with appropriate insertions acceptable to the Agent), together with a processing and recordation fee in the amount, if any, required as set forth in the Assignment Agreement, and any other documents as the Agent shall reasonably request from such assignee.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the Assignment Agreement becomes effective in accordance with its terms and is recorded in the Register maintained by the Agent under clause (h) of this Section 12.7, and the Agent has confirmed that the assignment satisfies the requirements of this Section 12.7, the Borrower and the Agent shall be entitled to continue to deal solely and directly with the assigning Lender in connection with the interest so assigned. From and after the effective date of each Assignment Agreement that satisfies the requirements of this Section 12.7, the assignee thereunder shall be deemed to be a party to this Agreement, such assignee shall have the rights and obligations of a Lender under this Agreement and the other Loan Documents (including without limitation the right to receive fees payable hereunder in respect of the period following such assignment) and the assigning Lender shall relinquish its rights and be released from its obligations under this Agreement and the other Loan Documents.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request, the Borrower shall execute and deliver to the Agent, new Note(s) payable to the order of the assignee in an amount equal to the amount assigned to the assigning Lender pursuant to such Assignment Agreement, and with respect to the portion of the Indebtedness retained by the assigning Lender, to the extent applicable, new Note(s) payable to the order of the assigning Lender in an amount equal to the amount retained by such Lender hereunder. The Agent, the Lenders and the Borrower acknowledges and agrees that any such new Note(s) shall be given in renewal and replacement of the Notes issued to the assigning lender prior to such assignment and shall not effect or constitute a novation or discharge of the Indebtedness evidenced by such prior Note, and each such new Note may contain a provision confirming such agreement.</w:t>
      </w:r>
    </w:p>
    <w:p>
      <w:pPr>
        <w:spacing w:after="0" w:line="187" w:lineRule="exact"/>
        <w:rPr>
          <w:sz w:val="20"/>
          <w:szCs w:val="20"/>
          <w:color w:val="auto"/>
        </w:rPr>
      </w:pPr>
    </w:p>
    <w:p>
      <w:pPr>
        <w:jc w:val="both"/>
        <w:ind w:firstLine="1304"/>
        <w:spacing w:after="0" w:line="261" w:lineRule="auto"/>
        <w:tabs>
          <w:tab w:leader="none" w:pos="1689"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Agent acknowledge that each of the Lenders may at any time and from time to time, subject to the terms and conditions hereof, grant participations in such Lender’s rights and obligations hereunder (on a pro rata basis only) and under the other Loan Documents to any Person (other than a natural person or to the Borrower or any of the Borrower’s Affiliates or Subsidiaries); provided that any participation permitted hereunder shall comply with all applicable laws and shall be subject to a participation agreement that incorporates the following restrictions:</w:t>
      </w:r>
    </w:p>
    <w:p>
      <w:pPr>
        <w:spacing w:after="0" w:line="179" w:lineRule="exact"/>
        <w:rPr>
          <w:rFonts w:ascii="Times New Roman" w:cs="Times New Roman" w:eastAsia="Times New Roman" w:hAnsi="Times New Roman"/>
          <w:sz w:val="18"/>
          <w:szCs w:val="18"/>
          <w:color w:val="auto"/>
        </w:rPr>
      </w:pPr>
    </w:p>
    <w:p>
      <w:pPr>
        <w:ind w:left="2460" w:hanging="508"/>
        <w:spacing w:after="0"/>
        <w:tabs>
          <w:tab w:leader="none" w:pos="2460"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remain the holder of its Notes hereunder (if such Notes are issued), notwithstanding any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w:t>
      </w:r>
    </w:p>
    <w:p>
      <w:pPr>
        <w:spacing w:after="0" w:line="206"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reassign or transfer, or grant any sub-participations in its participation interest hereunder or any part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461"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retain the sole right and responsibility to enforce the obligations of the Credit Parties relating to the Notes and the other Loan Documents, including, without limitation, the right to proceed against any Guarantors, or cause the Agent to do so (subject to the terms and conditions hereof), and the right to approve any amendment, modification or waiver of any provision of this Agreement without the consent of the participant (unless such participant is an Affiliate of such</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4" w:name="page435"/>
    <w:bookmarkEnd w:id="434"/>
    <w:p>
      <w:pPr>
        <w:jc w:val="both"/>
        <w:spacing w:after="0" w:line="253" w:lineRule="auto"/>
        <w:rPr>
          <w:sz w:val="20"/>
          <w:szCs w:val="20"/>
          <w:color w:val="auto"/>
        </w:rPr>
      </w:pPr>
      <w:r>
        <w:rPr>
          <w:rFonts w:ascii="Times New Roman" w:cs="Times New Roman" w:eastAsia="Times New Roman" w:hAnsi="Times New Roman"/>
          <w:sz w:val="18"/>
          <w:szCs w:val="18"/>
          <w:color w:val="auto"/>
        </w:rPr>
        <w:t>Lender), except for those matters requiring the consent of each of the Lenders under Section 12.9(b) (provided that a participant may exercise approval rights over such matters only on an indirect basis, acting through such Lender and the Credit Parties, the Agent and the other Lenders may continue to deal directly with such Lender in connection with such Lender’s rights and duties hereunder). Notwithstanding the foregoing, however, in the case of any participation granted by any Lender hereunder, the participant shall not have any rights under this Agreement or any of the other Loan Documents against the Agent, any other Lender or any Credit Party; provided, however that the participant may have rights against such Lender in respect of such participation as may be set forth in the applicable participation agreement and all amounts payable by the Borrower and Guarantors hereunder shall be determined as if such Lender had not sold such participation. Each such participant shall be entitled to the benefits of Article 10 of this Agreement to the same extent as if it were a Lender and had acquired its interest by assignment pursuant to clause (d) of this Section, provided that no participant shall be entitled to receive any greater amount pursuant to such the provisions of Article 10 than the issuing Lender would have been entitled to receive in respect of the amount of the participation transferred by such issuing Lender to such participant had no such transfer occurred, except to the extent that such entitlement to receive any greater payment results from a Change in Law that occurs after the participant acquired the applicable participation, and each such participant shall also be entitled to the benefits of Section 8.6 hereof as though it were a Lender, provided that such participant agrees to be subject to Section 9.3 hereof as though it were a Lender; and</w:t>
      </w:r>
    </w:p>
    <w:p>
      <w:pPr>
        <w:spacing w:after="0" w:line="187" w:lineRule="exact"/>
        <w:rPr>
          <w:sz w:val="20"/>
          <w:szCs w:val="20"/>
          <w:color w:val="auto"/>
        </w:rPr>
      </w:pPr>
    </w:p>
    <w:p>
      <w:pPr>
        <w:ind w:left="2400" w:hanging="448"/>
        <w:spacing w:after="0"/>
        <w:tabs>
          <w:tab w:leader="none" w:pos="240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provide the relevant tax form required under Section 12.12 to its participating Lender.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37"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163(f), 871(h)(2) and 881(c)(2)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4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pledge or assign or grant a security interest in all or any portion of its rights under this Agreement (including its Notes, if any) or any other Loan Document to secure obligations or indebtedness of such Lender, including any pledge or assignment or grant to secure obligations to a Federal Reserve Bank or other third party lender, without notice to or consent of the Borrower or the Agent; provided that no such pledge or assignment shall release such Lender from any of its obligations hereunder or substitute any such pledge or assignee for such Lender as a party</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hereto (except in connection with the exercise of remedies by such pledgee or assignee or grantee with respect to the obligations or indebtedness of such Lender).</w:t>
      </w:r>
    </w:p>
    <w:p>
      <w:pPr>
        <w:spacing w:after="0" w:line="181" w:lineRule="exact"/>
        <w:rPr>
          <w:sz w:val="20"/>
          <w:szCs w:val="20"/>
          <w:color w:val="auto"/>
        </w:rPr>
      </w:pPr>
    </w:p>
    <w:p>
      <w:pPr>
        <w:jc w:val="both"/>
        <w:ind w:firstLine="1304"/>
        <w:spacing w:after="0" w:line="261" w:lineRule="auto"/>
        <w:tabs>
          <w:tab w:leader="none" w:pos="168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designates the Agent, and Agent agrees to serve, as the Borrower’s non-fiduciary agent solely for purposes of this Section 12.7(h) to maintain at its principal office in the United States a copy of each Assignment Agreement delivered to it and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Lenders and the principal amount of each type of Loan owing to each such Lender from time to time. The entries in the Register shall be conclusive evidence,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5" w:name="page436"/>
    <w:bookmarkEnd w:id="435"/>
    <w:p>
      <w:pPr>
        <w:jc w:val="both"/>
        <w:spacing w:after="0" w:line="256" w:lineRule="auto"/>
        <w:rPr>
          <w:sz w:val="20"/>
          <w:szCs w:val="20"/>
          <w:color w:val="auto"/>
        </w:rPr>
      </w:pPr>
      <w:r>
        <w:rPr>
          <w:rFonts w:ascii="Times New Roman" w:cs="Times New Roman" w:eastAsia="Times New Roman" w:hAnsi="Times New Roman"/>
          <w:sz w:val="18"/>
          <w:szCs w:val="18"/>
          <w:color w:val="auto"/>
        </w:rPr>
        <w:t>absent manifest error, and the Borrower, the Agent, and the Lenders shall treat each Person whose name is recorded in the Register as the owner of the Loans recorded therein for all purposes of this Agreement. The Register shall be available for inspection by the Borrower or any Lender (but only with respect to any entry relating to the principal amounts owing to such Lender) upon reasonable notice to the Agent and a copy of such information shall be provided to any such party on their prior written request. The Agent shall give prompt written notice to the Borrower of the making of any entry in the Register or any change in such entry. This Section 12.7(h) shall be construed so that the Loans are at all times maintained in “registered form” within the meaning of Section 5f.103-1(c) of the United States Treasury Regulations and Sections 163(f), 871(h)(2) and 881(c)(2) of the Internal Revenue Code.</w:t>
      </w:r>
    </w:p>
    <w:p>
      <w:pPr>
        <w:spacing w:after="0" w:line="187" w:lineRule="exact"/>
        <w:rPr>
          <w:sz w:val="20"/>
          <w:szCs w:val="20"/>
          <w:color w:val="auto"/>
        </w:rPr>
      </w:pPr>
    </w:p>
    <w:p>
      <w:pPr>
        <w:jc w:val="both"/>
        <w:ind w:firstLine="1304"/>
        <w:spacing w:after="0" w:line="261" w:lineRule="auto"/>
        <w:tabs>
          <w:tab w:leader="none" w:pos="1713"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authorizes each Lender to disclose to any prospective assignee or participant which has satisfied the requirements hereunder, any and all financial information in such Lender’s possession concerning the Credit Parties which has been delivered to such Lender pursuant to this Agreement, provided that each such prospective assignee or participant shall execute a confidentiality agreement consistent with the terms of Section 12.10 hereof or shall otherwise agree to be bound by the terms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and each executed copy shall constitute an original instrument, but such counterparts shall together constitute but one and the same instrument.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18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u w:val="single" w:color="auto"/>
          <w:color w:val="auto"/>
        </w:rPr>
        <w:t>Amendment and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729"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waiver of any provision of this Agreement or any other Loan Document, nor consent to any departure by any Credit Party therefrom, shall in any event be effective unless the same shall be in writing and signed by the Agent and the Majority Lenders (or by the Agent at the written request of the Majority Lenders) (except with respect to the Fee Letter, which shall only require the consent of the parties thereto) or, if this Agreement expressly so requires with respect to the subject matter thereof, by all Lenders (and, with respect to any amendments to this Agreement or the other Loan Documents, by any Credit Party or the Guarantors that are signatories thereto), and then such waiver or consent shall be effective only in the specific instance and for the specific purpose for which given. All references in this Agreement to “Lenders” or “the Lenders” shall refer to all Lenders, unless expressly stated to refer to Majority Lenders (or the like).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6" w:name="page437"/>
    <w:bookmarkEnd w:id="436"/>
    <w:p>
      <w:pPr>
        <w:ind w:left="1700" w:hanging="396"/>
        <w:spacing w:after="0"/>
        <w:tabs>
          <w:tab w:leader="none" w:pos="170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increase the stated amount of any Lender’s commitment hereunder without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consent;</w:t>
      </w:r>
    </w:p>
    <w:p>
      <w:pPr>
        <w:spacing w:after="0" w:line="207" w:lineRule="exact"/>
        <w:rPr>
          <w:sz w:val="20"/>
          <w:szCs w:val="20"/>
          <w:color w:val="auto"/>
        </w:rPr>
      </w:pPr>
    </w:p>
    <w:p>
      <w:pPr>
        <w:ind w:firstLine="1952"/>
        <w:spacing w:after="0" w:line="282" w:lineRule="auto"/>
        <w:tabs>
          <w:tab w:leader="none" w:pos="2438"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the Lender or Lenders holding Indebtedness directly affected thereby, do any of the following:</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076"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interest (other than any waiver of any increase in the interest rate applicable to any Loan pursuant to Section 2.6(d)) on, any outstanding Indebtedness or any Fees or other amounts payable hereunder (including any Yield Maintenance Premium or Prepayment Premium),</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025"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for any payment of principal of, or interest on, any outstanding Indebtedness or any Fees or other amounts payable hereunder (including any Yield Maintenance Premium or Prepayment Premium),</w:t>
      </w:r>
    </w:p>
    <w:p>
      <w:pPr>
        <w:spacing w:after="0" w:line="161" w:lineRule="exact"/>
        <w:rPr>
          <w:rFonts w:ascii="Times New Roman" w:cs="Times New Roman" w:eastAsia="Times New Roman" w:hAnsi="Times New Roman"/>
          <w:sz w:val="18"/>
          <w:szCs w:val="18"/>
          <w:color w:val="auto"/>
        </w:rPr>
      </w:pPr>
    </w:p>
    <w:p>
      <w:pPr>
        <w:jc w:val="both"/>
        <w:ind w:firstLine="2600"/>
        <w:spacing w:after="0" w:line="261" w:lineRule="auto"/>
        <w:tabs>
          <w:tab w:leader="none" w:pos="3012"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of the provisions of this Section 12.9 or the definition of “Majority Lenders” or any other provision of any Loan Document specifying the number or percentage of Lenders required to waive, amend or modify any rights thereunder or make any determination or grant any consent thereunder; provided that changes to the definition of “Majority Lenders” may be made with the consent of only the Majority Lenders to include the Lenders holding any additional credit facilities that are added to this Agreement with the approval of the appropriate Lenders, and</w:t>
      </w:r>
    </w:p>
    <w:p>
      <w:pPr>
        <w:spacing w:after="0" w:line="179"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“Pro Rata Share”;</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all Lenders, do any of the following:</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049"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hereunder or under the Collateral Documents, release all or substantially all of the Collateral (provided that neither the Agent nor any Lender shall be prohibited thereby from proposing or participating in a consensual or nonconsensual debtor-in-possession or similar financing), or release any material guaranty provided by any Person in favor of the Agent and the Lenders, provided however that the Agent shall be entitled, without notice to or any further action or consent of the Lenders, to release any Collateral which any Credit Party is permitted to sell, assign or otherwise transfer in compliance with this Agreement or the other Loan Documents (to a Person that is not the Borrower or a Guarantor) or release any guaranty to the extent expressly permitted by Section 11.11(b)(iii) of this Agreement,</w:t>
      </w:r>
    </w:p>
    <w:p>
      <w:pPr>
        <w:spacing w:after="0" w:line="187" w:lineRule="exact"/>
        <w:rPr>
          <w:rFonts w:ascii="Times New Roman" w:cs="Times New Roman" w:eastAsia="Times New Roman" w:hAnsi="Times New Roman"/>
          <w:sz w:val="18"/>
          <w:szCs w:val="18"/>
          <w:color w:val="auto"/>
        </w:rPr>
      </w:pPr>
    </w:p>
    <w:p>
      <w:pPr>
        <w:jc w:val="both"/>
        <w:ind w:firstLine="2600"/>
        <w:spacing w:after="0" w:line="266" w:lineRule="auto"/>
        <w:tabs>
          <w:tab w:leader="none" w:pos="3052"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directly or indirectly, Section 9.2, Section 9.3 hereof or any other provision herein or in the other Loan Documents receiving the pro rata treatment of Lenders in a manner that would alter the priorities set forth therein or the pro rata sharing of payments required thereby, or</w:t>
      </w:r>
    </w:p>
    <w:p>
      <w:pPr>
        <w:spacing w:after="0" w:line="175" w:lineRule="exact"/>
        <w:rPr>
          <w:rFonts w:ascii="Times New Roman" w:cs="Times New Roman" w:eastAsia="Times New Roman" w:hAnsi="Times New Roman"/>
          <w:sz w:val="18"/>
          <w:szCs w:val="18"/>
          <w:color w:val="auto"/>
        </w:rPr>
      </w:pPr>
    </w:p>
    <w:p>
      <w:pPr>
        <w:jc w:val="both"/>
        <w:ind w:right="20" w:firstLine="2600"/>
        <w:spacing w:after="0" w:line="266" w:lineRule="auto"/>
        <w:tabs>
          <w:tab w:leader="none" w:pos="3012"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in Section 11.11(b)(2), subordinate the Indebtedness hereunder or the Liens granted hereunder or under the other Loan Documents, to any other Debt (other than the Senior Debt) or obligation or Lien (other than the Liens in favor of the Senior Agent under the Senior Loan Documents), as the case may be;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7" w:name="page438"/>
    <w:bookmarkEnd w:id="437"/>
    <w:p>
      <w:pPr>
        <w:ind w:firstLine="1952"/>
        <w:spacing w:after="0" w:line="282" w:lineRule="auto"/>
        <w:tabs>
          <w:tab w:leader="none" w:pos="2438" w:val="left"/>
        </w:tabs>
        <w:numPr>
          <w:ilvl w:val="2"/>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or consent that will affect the rights or duties of the Agent under this Agreement or any other Loan Document, shall require the written concurrence of the Agent; and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347" w:val="left"/>
        </w:tabs>
        <w:numPr>
          <w:ilvl w:val="2"/>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consent or other modification to this Agreement to permit the formation or other existence of the direct parent entity of the Borrower shall require the written consent of the Agent in its sole discretion.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83"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59"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such Defaulting Lender’s stated commitment amounts, (ii) the waiver, forgiveness or reduction of the principal amount of any Indebtedness owing to such Defaulting Lender (unless all other Lenders affected thereby are treated similarly), (iii) the extension of the final maturity date(s) of such Defaulting Lenders’ portion of any of the Indebtedness (including any Yield Maintenance Premium or Prepayment Premium) or the extension of any commitment to extend credit of such Defaulting Lender, or (iv) any other modification which requires the consent of all Lenders or the Lender(s) affected thereby which affects such Defaulting Lender more adversely than the other affected Lenders (other than a modification which results in a reduction of repayment of any amounts owing to such Defaulting Lender on a non pro-rata basis).</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53"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upon the written request of the Borrower, execute and deliver to the Credit Parties such documents as may be necessary to evidence (1) the release of any Lien granted to or held by the Agent upon any Collateral: (a) upon termination of the Commitments and payment in full of all Indebtedness (including any Yield Maintenance Premium or Prepayment Premium) payable under this Agreement and under any other Loan Document; (b) which constitutes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12.9(d)(2) below; (c) which constitutes property in which a Credit Party owned no interest at the time the Lien was granted or at any time thereafter; or (d) if approved, authorized or ratified in writing by the Majority Lenders, or all the Lenders, as the case may be, as provided in this Section 12.9; or (2) the release of any Person from its obligations under the Loan Documents (including without limitation the Guaranty) if all of the Equity Interests of such Person that were held by a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Agent shall not be required to execute any such release or subordination agreement under clauses (1) or (2) above on terms which, in the Agent’s opinion, would expose the Agent to liability or create any obligation or entail any consequence other than the release of such Liens without recourse or warranty or such release shall not in any manner discharge, affect or impair the Indebtedness (including any Yield Maintenance Premium or Prepayment Premium) or any Liens upon any Collateral retained by any Credit Party, including (without limitation) the proceeds of the sale or other disposition, all of which shall constitute and remain part of the Collateral.</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81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Agent may, with the consent of the Borrower only, amend, modify or supplement this Agreement or any of the other Loan Documents to cure any ambiguity, omission, mistake, defect or inconsistency.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8" w:name="page439"/>
    <w:bookmarkEnd w:id="438"/>
    <w:p>
      <w:pPr>
        <w:jc w:val="both"/>
        <w:ind w:firstLine="1304"/>
        <w:spacing w:after="0" w:line="255" w:lineRule="auto"/>
        <w:tabs>
          <w:tab w:leader="none" w:pos="1723"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amendment and restatement of this Agreement which is in all other respects approved by the Lenders in accordance with this Section 12.9 shall require the consent or approval of any Lender (i) which immediately after giving effect to such amendment and restatement, shall have no commitment or other obligation to maintain or extend credit under this Agreement (as so amended and restated) and (ii) which, substantially contemporaneously with the effectiveness of such amendment and restatement, shall have received payment in full of all Indebtedness (including any Yield Maintenance Premium or Prepayment Premium) owing to such Lender under the Loan Documents. From and after the effectiveness of any such amendment and restatement, any such Lender shall be deemed to no longer be a “Lender” hereunder or a party hereto, except that any such Lender shall retain the benefits of indemnification provisions hereof which, by the terms hereof would survive the termination of this Agreement.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Agent and Lender agrees that it will not disclose without the prior consent of the Borrower (other than to its Subsidiaries, another Lender, an Affiliate of a Lender or to its auditors, agents, advisors, directors, officers, employees, shareholders, counsel or representatives (or to other Persons authorized by a Lender or the Agent to organize, present or disseminate such information in connection with disclosures otherwise made in accordance with this Section 12.10)) any information with respect to the Credit Parties which is furnished pursuant to this Agreement or any of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Agent and Lenders may disclose any such information (a) as has become generally available to the public or has been lawfully obtained by Agent or Lender from any third party under no duty of confidentiality to any Credit Party, (b) as may be required or appropriate in any report, statement or testimony submitted to, or in respect to any inquiry, by, any municipal, state or federal regulatory body having or claiming to have jurisdiction over Agent or Lender, including the Board of Governors of the Federal Reserve System of the United States, the Office of the Comptroller of the Currency or the Federal Deposit Insurance Corporation or similar organizations (whether in the United States or elsewhere) or their successors, (c) as may be required or appropriate in respect to any summons or subpoena or in connection with any litigation, (d) in order to comply with any law, order, regulation, ruling or other requirement of law applicable to such Lender, (e) to any prospective assignee or participant in accordance with Section 12.7(f) hereof, (f) disclosure to any rating agency when required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rating agency shall undertake in writing to preserve the confidentiality of any confidential information relating to the Credit Parties received by it from any of the Agent or any Lender, and (g) disclosures of such information to any investors, members and partners of any Agent, Lender or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investor, member or partner is informed of the confidential nature of the information.</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Substitution or Removal of Lenders</w:t>
      </w:r>
      <w:r>
        <w:rPr>
          <w:rFonts w:ascii="Times New Roman" w:cs="Times New Roman" w:eastAsia="Times New Roman" w:hAnsi="Times New Roman"/>
          <w:sz w:val="18"/>
          <w:szCs w:val="18"/>
          <w:color w:val="auto"/>
        </w:rPr>
        <w:t>. Anything contained herein to the contrary notwithstanding, in the event that: (a) (i) any Lender shall give notice to the Borrower that such Lender is entitled to receive payments under Section 10.1 or 10.4, (ii) the circumstances which entitle such Lender to receive such payments shall remain in effect, and (iii) such Lender shall fail to withdraw such notice within five Business Days after the Borrower’s request for such withdrawal; or (b)(i) any Lender shall become a Defaulting Lender, and (ii) such Defaulting Lender shall fail to cure the default as a result of which it has become a Defaulting Lender within five Business Days after the Borrower’s request that it cure such default; or (c) in connection with any proposed amendment, modification, termination, waiver or consent with respect to any of the provisions hereof as contemplated by Section 12.9(b), the consent of the Agent and the Majority Lenders shall have been obtained but the consent of one or more of such other Lenders whose consent is required shall not have been obtained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then, with respect to each such Lender (an “</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the Borrower or Agent may, by giving written notice to the Borrower and any Affected Lender of its election to do so, elect to cause such Affected Lender (and such Affected Lender hereby irrevocably agrees) to assign its outstanding Loans in full to one or more Eligible Assignees (each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xml:space="preserve">”) in accordance with the provisions of Section 12.7 and Affected Lender shall pay any fees payable thereunder in connection with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(1) on the date of such</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9" w:name="page440"/>
    <w:bookmarkEnd w:id="43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assignment, the Replacement Lender shall pay to Affected Lender an amount equal to the sum of (A) an amount equal to the principal of, and all accrued interest on, all outstanding Loans of the Affected Lender and (B) an amount equal to all accrued, but theretofore unpaid fees owing to such Affected Lender pursuant to the Fee Letter; (2) on the date of such assignment, the Borrower shall pay any amounts payable to such Affected Lender pursuant to Section 10.1 or 10.4; and (3) in the event such Affected Lender is a Non-Consenting Lender, each Replacement Lender shall consent, at the time of such assignment, to each matter in respect of which such Affected Lender was a Non-Consenting Lender. Upon the prepayment of all amounts owing to any Affected Lender, such Affected Lender shall no longer constitute a “Lender” for purposes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rights of such Affected Lender to indemnification hereunder shall survive as to such Affected Lender.</w:t>
      </w:r>
    </w:p>
    <w:p>
      <w:pPr>
        <w:spacing w:after="0" w:line="18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675"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12.12(a)(i)(A), (i)(B) and (i)(D)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in this Agreement to the contrary, (x) no Temasek Entity shall be required by this Section 12.12 to provide an IRS Form W-8EXP for the purpose of reducing or eliminating any withholding tax that may be imposed on any payments to any Temasek Entity made under the Loan Documents and (y) a failure to provide an IRS Form W-8EXP to the Borrower or the Agent shall not prevent any Temasek Entity from being in compliance with its obligations under this Section 12.12 for purposes of clause (c) of the definition of “Excluded Taxes”.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limiting the generality of the foregoing:</w:t>
      </w:r>
    </w:p>
    <w:p>
      <w:pPr>
        <w:spacing w:after="0" w:line="225" w:lineRule="exact"/>
        <w:rPr>
          <w:sz w:val="20"/>
          <w:szCs w:val="20"/>
          <w:color w:val="auto"/>
        </w:rPr>
      </w:pPr>
    </w:p>
    <w:p>
      <w:pPr>
        <w:jc w:val="both"/>
        <w:ind w:left="1960" w:hanging="656"/>
        <w:spacing w:after="0" w:line="261" w:lineRule="auto"/>
        <w:tabs>
          <w:tab w:leader="none" w:pos="1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Agent on or about the date on which such Lender becomes a Lender under this Agreement (and from time to time thereafter upon the reasonable request of the Borrower or the Agent), executed copies of IRS Form W-9 (or any successor form)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W-8BEN-E (or any successor form), as applicable, establishing an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0" w:name="page441"/>
    <w:bookmarkEnd w:id="440"/>
    <w:p>
      <w:pPr>
        <w:ind w:left="1480"/>
        <w:spacing w:after="0"/>
        <w:rPr>
          <w:sz w:val="20"/>
          <w:szCs w:val="20"/>
          <w:color w:val="auto"/>
        </w:rPr>
      </w:pPr>
      <w:r>
        <w:rPr>
          <w:rFonts w:ascii="Times New Roman" w:cs="Times New Roman" w:eastAsia="Times New Roman" w:hAnsi="Times New Roman"/>
          <w:sz w:val="18"/>
          <w:szCs w:val="18"/>
          <w:color w:val="auto"/>
        </w:rPr>
        <w:t>exemption from, or reduction of, U.S. federal withholding Tax pursuant to the “interest” article of such tax treaty and</w:t>
      </w:r>
    </w:p>
    <w:p>
      <w:pPr>
        <w:spacing w:after="0" w:line="27" w:lineRule="exact"/>
        <w:rPr>
          <w:sz w:val="20"/>
          <w:szCs w:val="20"/>
          <w:color w:val="auto"/>
        </w:rPr>
      </w:pPr>
    </w:p>
    <w:p>
      <w:pPr>
        <w:jc w:val="both"/>
        <w:ind w:left="1480"/>
        <w:spacing w:after="0" w:line="255" w:lineRule="auto"/>
        <w:tabs>
          <w:tab w:leader="none" w:pos="1764" w:val="left"/>
        </w:tabs>
        <w:numPr>
          <w:ilvl w:val="2"/>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8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 (or any successor form);</w:t>
      </w:r>
    </w:p>
    <w:p>
      <w:pPr>
        <w:spacing w:after="0" w:line="225" w:lineRule="exact"/>
        <w:rPr>
          <w:rFonts w:ascii="Times New Roman" w:cs="Times New Roman" w:eastAsia="Times New Roman" w:hAnsi="Times New Roman"/>
          <w:sz w:val="18"/>
          <w:szCs w:val="18"/>
          <w:color w:val="auto"/>
        </w:rPr>
      </w:pPr>
    </w:p>
    <w:p>
      <w:pPr>
        <w:jc w:val="both"/>
        <w:ind w:left="1480" w:hanging="648"/>
        <w:spacing w:after="0" w:line="256" w:lineRule="auto"/>
        <w:tabs>
          <w:tab w:leader="none" w:pos="148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a Borrower within the meaning of Section 881(c)(3)(B) of the Internal Revenue Code, or a “controlled foreign corporation” related to the Borrower as described in Section 881(c)(3)(C) of the Internal Revenue Code (a “U.S. Tax Compliance Certificate”) and (y) executed copies of IRS Form W-8BEN or W-8BEN-E; or</w:t>
      </w:r>
    </w:p>
    <w:p>
      <w:pPr>
        <w:spacing w:after="0" w:line="187" w:lineRule="exact"/>
        <w:rPr>
          <w:rFonts w:ascii="Times New Roman" w:cs="Times New Roman" w:eastAsia="Times New Roman" w:hAnsi="Times New Roman"/>
          <w:sz w:val="18"/>
          <w:szCs w:val="18"/>
          <w:color w:val="auto"/>
        </w:rPr>
      </w:pPr>
    </w:p>
    <w:p>
      <w:pPr>
        <w:jc w:val="both"/>
        <w:ind w:left="1480" w:hanging="648"/>
        <w:spacing w:after="0" w:line="255" w:lineRule="auto"/>
        <w:tabs>
          <w:tab w:leader="none" w:pos="148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executed copies of IRS Form W-8IMY (or any successor form), accompanied by IRS Form W-8ECI, IRS Form W-8BEN, IRS Form W-8BEN-E, a U.S. Tax Compliance Certificate substantially in the form of Exhibit E-2 or Exhibit E-3, IRS Form W-9, and/or other certification documents from each beneficial owner and supplementary documentation as may be prescribed by applicable law,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or Agent under any Loan Document would be subject to U.S. federal withholding Tax imposed by FATCA if such Lender or Agent were to fail to comply with the applicable reporting requirements of FATCA (including those contained in Section 1471(b) or 1472(b) of the Internal Revenue Code, as applicable), such Lender or Agent shall deliver to the Borrower and the Agent at the time or times prescribed by law and at such time or times reasonably requested by the Borrower or the Agent such documentation prescribed by applicable law (including as prescribed by Section 1471(b)(3)(C)(i) of the Internal Revenue Code) and such additional documentation reasonably requested by the</w:t>
      </w:r>
    </w:p>
    <w:p>
      <w:pPr>
        <w:spacing w:after="0" w:line="2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441" w:name="page442"/>
    <w:bookmarkEnd w:id="441"/>
    <w:p>
      <w:pPr>
        <w:jc w:val="both"/>
        <w:ind w:left="1960"/>
        <w:spacing w:after="0" w:line="261" w:lineRule="auto"/>
        <w:rPr>
          <w:sz w:val="20"/>
          <w:szCs w:val="20"/>
          <w:color w:val="auto"/>
        </w:rPr>
      </w:pPr>
      <w:r>
        <w:rPr>
          <w:rFonts w:ascii="Times New Roman" w:cs="Times New Roman" w:eastAsia="Times New Roman" w:hAnsi="Times New Roman"/>
          <w:sz w:val="18"/>
          <w:szCs w:val="18"/>
          <w:color w:val="auto"/>
        </w:rPr>
        <w:t>Borrower or the Agent as may be necessary for the Borrower and the Agent to comply with their obligations under FATCA and to determine that such Lender or Agent has complied with such Lender’s or Agent’s obligations under FATCA or to determine the amount to deduct and withhold from such payment. Solely for purposes of this clause (D), “FATCA” shall include any amendments made to FATCA after the date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62"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For purposes of this Section 12.12, the term “applicable law” includes FATCA.</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12.13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A COPY OF THIS AGREEMENT MAY BE FILED AS A WRITTEN CONSENT TO A TRIAL BY THE COURT.</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USA Patriot Act Notice; Beneficial Ownership Certification</w:t>
      </w:r>
      <w:r>
        <w:rPr>
          <w:rFonts w:ascii="Times New Roman" w:cs="Times New Roman" w:eastAsia="Times New Roman" w:hAnsi="Times New Roman"/>
          <w:sz w:val="18"/>
          <w:szCs w:val="18"/>
          <w:color w:val="auto"/>
        </w:rPr>
        <w:t>. Pursuant to Section 326 of the USA Patriot Act, the Agent and the Lenders hereby notify the Credit Parties that if they or any of their Subsidiaries open an account, including any loan, deposit account, treasury management account, or other extension of credit with the Agent or any Lender, the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Lender to comply with the USA Patriot Act. The Borrower shall also deliver, from time to time at the reasonable request of the Agent or any Lender, a completed certification regarding beneficial ownership to the extent required by 31 C.F.R. §1010.230, together with any other information required under such regulation.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Complete Agreement; Conflicts</w:t>
      </w:r>
      <w:r>
        <w:rPr>
          <w:rFonts w:ascii="Times New Roman" w:cs="Times New Roman" w:eastAsia="Times New Roman" w:hAnsi="Times New Roman"/>
          <w:sz w:val="18"/>
          <w:szCs w:val="18"/>
          <w:color w:val="auto"/>
        </w:rPr>
        <w:t>. This Agreement, the Notes (if issued), any Requests for Loan and the Loan Documents contain the entire agreement of the parties hereto, superseding all prior agreements, discussions and understandings relating to the subject matter hereof, and none of the parties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2" w:name="page443"/>
    <w:bookmarkEnd w:id="44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shall be bound by anything not expressed in writing. In the event of any conflict between the terms of this Agreement and the other Loan Documents, this Agreement shall govern.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Table of Contents and Headings; Section References</w:t>
      </w:r>
      <w:r>
        <w:rPr>
          <w:rFonts w:ascii="Times New Roman" w:cs="Times New Roman" w:eastAsia="Times New Roman" w:hAnsi="Times New Roman"/>
          <w:sz w:val="18"/>
          <w:szCs w:val="18"/>
          <w:color w:val="auto"/>
        </w:rPr>
        <w:t>. 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Construction of Certain Provisions</w:t>
      </w:r>
      <w:r>
        <w:rPr>
          <w:rFonts w:ascii="Times New Roman" w:cs="Times New Roman" w:eastAsia="Times New Roman" w:hAnsi="Times New Roman"/>
          <w:sz w:val="18"/>
          <w:szCs w:val="18"/>
          <w:color w:val="auto"/>
        </w:rPr>
        <w:t>. If any provision of this Agreement or any of the Loan Documents refers to any action to be taken by any Person, or which such Person is prohibited from taking, such provision shall be applicable whether such action is taken directly or indirectly by such Person, whether or not expressly specified in such provision.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12.19 </w:t>
      </w:r>
      <w:r>
        <w:rPr>
          <w:rFonts w:ascii="Times New Roman" w:cs="Times New Roman" w:eastAsia="Times New Roman" w:hAnsi="Times New Roman"/>
          <w:sz w:val="18"/>
          <w:szCs w:val="18"/>
          <w:u w:val="single" w:color="auto"/>
          <w:color w:val="auto"/>
        </w:rPr>
        <w:t>Independence of Covenants</w:t>
      </w:r>
      <w:r>
        <w:rPr>
          <w:rFonts w:ascii="Times New Roman" w:cs="Times New Roman" w:eastAsia="Times New Roman" w:hAnsi="Times New Roman"/>
          <w:sz w:val="18"/>
          <w:szCs w:val="18"/>
          <w:color w:val="auto"/>
        </w:rPr>
        <w:t>. Each covenant hereunder shall be given independent effect (subject to any exceptions stated in such covenant) so that if a particular action or condition is not permitted by any such covenant (taking into account any such stated exception), the fact that it would be permitted by an exception to, or would be otherwise within the limitations of, another covenant shall not avoid the occurrence of a Default or an Event of Default.</w:t>
      </w:r>
    </w:p>
    <w:p>
      <w:pPr>
        <w:spacing w:after="0" w:line="18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12.20</w:t>
      </w:r>
      <w:r>
        <w:rPr>
          <w:sz w:val="20"/>
          <w:szCs w:val="20"/>
          <w:color w:val="auto"/>
        </w:rPr>
        <w:tab/>
      </w:r>
      <w:r>
        <w:rPr>
          <w:rFonts w:ascii="Times New Roman" w:cs="Times New Roman" w:eastAsia="Times New Roman" w:hAnsi="Times New Roman"/>
          <w:sz w:val="17"/>
          <w:szCs w:val="17"/>
          <w:u w:val="single" w:color="auto"/>
          <w:color w:val="auto"/>
        </w:rPr>
        <w:t>Electronic Transmissions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71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the Credit Parties, the Lenders, and each of their Affiliates is authorized (but not required) to transmit, post or otherwise make or communicate, in its sole discretion, Electronic Transmissions in connection with any Loan Document and the transactions contemplated therein. The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uses of an E-System shall be governed by and subject to, in addition to Section 12.5 and this Section 12.20, separate terms and conditions posted or referenced in such E-System and related contractual obligations executed by the Agent, the Credit Parties and the Lenders in connection with the use of such E-System.</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75"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E-Systems and Electronic Transmissions shall be provided “as is” and “as available”. None of the Agent or any of its Affiliates, nor the Borrower or any of its respective Affiliates warrants the accuracy, adequacy or completeness of any E-Systems or Electronic Transmission, and each disclaims all liability for errors or omissions therein. No warranty of any kind is made by the Agent or any of its Affiliates, or the Borrower or any of its respective Affiliates in connection with any E-Systems or Electronic Transmission, including any warranty of merchantability, fitness for a particular purpose, non-infringement of third-party rights or freedom from viruses or other code defects. The Agent, the Borrower and its Subsidiaries, and the Lenders agree that the Agent has no responsibility for maintaining or providing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3" w:name="page444"/>
    <w:bookmarkEnd w:id="443"/>
    <w:p>
      <w:pPr>
        <w:jc w:val="both"/>
        <w:spacing w:after="0" w:line="266" w:lineRule="auto"/>
        <w:rPr>
          <w:sz w:val="20"/>
          <w:szCs w:val="20"/>
          <w:color w:val="auto"/>
        </w:rPr>
      </w:pPr>
      <w:r>
        <w:rPr>
          <w:rFonts w:ascii="Times New Roman" w:cs="Times New Roman" w:eastAsia="Times New Roman" w:hAnsi="Times New Roman"/>
          <w:sz w:val="18"/>
          <w:szCs w:val="18"/>
          <w:color w:val="auto"/>
        </w:rPr>
        <w:t>any equipment, software, services or any testing required in connection with any Electronic Transmission or otherwise required for any E-System. The Agent and the Lenders agree that the Borrower has no responsibility for maintaining or providing any equipment, software, services or any testing required in connection with any Electronic Transmission or otherwise required for any E-System.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12.21 </w:t>
      </w:r>
      <w:r>
        <w:rPr>
          <w:rFonts w:ascii="Times New Roman" w:cs="Times New Roman" w:eastAsia="Times New Roman" w:hAnsi="Times New Roman"/>
          <w:sz w:val="18"/>
          <w:szCs w:val="18"/>
          <w:u w:val="single" w:color="auto"/>
          <w:color w:val="auto"/>
        </w:rPr>
        <w:t>Advertisements</w:t>
      </w:r>
      <w:r>
        <w:rPr>
          <w:rFonts w:ascii="Times New Roman" w:cs="Times New Roman" w:eastAsia="Times New Roman" w:hAnsi="Times New Roman"/>
          <w:sz w:val="18"/>
          <w:szCs w:val="18"/>
          <w:color w:val="auto"/>
        </w:rPr>
        <w:t>. The Agent and the Lenders, subject to the Borrower’s consent not to be unreasonably withheld, delayed or conditioned, may issue news releases and publish “tombstone” advertisements and other announcements relating to this transaction in newspapers, trade journals and other appropriate media (which may include use of logos of one or more of the Credit Parties) (collectively, “</w:t>
      </w:r>
      <w:r>
        <w:rPr>
          <w:rFonts w:ascii="Times New Roman" w:cs="Times New Roman" w:eastAsia="Times New Roman" w:hAnsi="Times New Roman"/>
          <w:sz w:val="18"/>
          <w:szCs w:val="18"/>
          <w:b w:val="1"/>
          <w:bCs w:val="1"/>
          <w:color w:val="auto"/>
        </w:rPr>
        <w:t>Trade Announcements</w:t>
      </w:r>
      <w:r>
        <w:rPr>
          <w:rFonts w:ascii="Times New Roman" w:cs="Times New Roman" w:eastAsia="Times New Roman" w:hAnsi="Times New Roman"/>
          <w:sz w:val="18"/>
          <w:szCs w:val="18"/>
          <w:color w:val="auto"/>
        </w:rPr>
        <w:t>”). No Credit Party shall issue any Trade Announcement or disclose the name of Agent or any Lender except (i) disclosures required by applicable law, regulation, legal process or the rules of the Securities and Exchange Commission or (ii) with the prior approval of Agent and such Lender not to be unreasonably withheld, delayed or conditioned.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12.22 </w:t>
      </w:r>
      <w:r>
        <w:rPr>
          <w:rFonts w:ascii="Times New Roman" w:cs="Times New Roman" w:eastAsia="Times New Roman" w:hAnsi="Times New Roman"/>
          <w:sz w:val="18"/>
          <w:szCs w:val="18"/>
          <w:u w:val="single" w:color="auto"/>
          <w:color w:val="auto"/>
        </w:rPr>
        <w:t>Reliance on and Survival of Provisions</w:t>
      </w:r>
      <w:r>
        <w:rPr>
          <w:rFonts w:ascii="Times New Roman" w:cs="Times New Roman" w:eastAsia="Times New Roman" w:hAnsi="Times New Roman"/>
          <w:sz w:val="18"/>
          <w:szCs w:val="18"/>
          <w:color w:val="auto"/>
        </w:rPr>
        <w:t>. All terms, covenants, agreements, representations and warranties of the Credit Parties to any of the Loan Documents made herein or in any of the Loan Documents or in any certificate, report, financial statement or other document furnished by or on behalf of any Credit Party in connection with this Agreement or any of the Loan Documents shall be deemed to have been relied upon by the Lenders, notwithstanding any investigation heretofore or hereafter made by any Lender or on such Lender’s behalf, and those covenants and agreements of the Borrower and the Lenders, as applicable, set forth in Sections 8.3, 8.6, 9.3, 10.1, 10.4, 11.3, 11.7 and 12.4 hereof (together with any other indemnities of any Credit Party or Lender contained elsewhere in this Agreement or in any of the other Loan Documents) shall survive the repayment in full of the Indebtedness (including any Yield Maintenance Premium or Prepayment Premium) and the termination of this Agreement and the other Loan Documents, including any commitment to extend credit thereunder.</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12.23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Notwithstanding any other provision herein, the aggregate interest rate charged or agreed to be paid with respect to any of the Indebtedness (including any Yield Maintenance Premium or Prepayment Premium),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 In determining whether the interest contracted for, charged, or received by the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Indebtedness hereunder.</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4" w:name="page445"/>
    <w:bookmarkEnd w:id="4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12.24 </w:t>
      </w:r>
      <w:r>
        <w:rPr>
          <w:rFonts w:ascii="Times New Roman" w:cs="Times New Roman" w:eastAsia="Times New Roman" w:hAnsi="Times New Roman"/>
          <w:sz w:val="18"/>
          <w:szCs w:val="18"/>
          <w:u w:val="single" w:color="auto"/>
          <w:color w:val="auto"/>
        </w:rPr>
        <w:t>Acknowledgment and Consent to Bail-In of EEA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 down and conversion powers of an EEA Resolution Authority and agrees and consents to, and acknowledges and agrees to be bound by:</w:t>
      </w:r>
    </w:p>
    <w:p>
      <w:pPr>
        <w:spacing w:after="0" w:line="180" w:lineRule="exact"/>
        <w:rPr>
          <w:sz w:val="20"/>
          <w:szCs w:val="20"/>
          <w:color w:val="auto"/>
        </w:rPr>
      </w:pPr>
    </w:p>
    <w:p>
      <w:pPr>
        <w:ind w:left="1960" w:hanging="656"/>
        <w:spacing w:after="0" w:line="282" w:lineRule="auto"/>
        <w:tabs>
          <w:tab w:leader="none" w:pos="19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12.25 </w:t>
      </w:r>
      <w:r>
        <w:rPr>
          <w:rFonts w:ascii="Times New Roman" w:cs="Times New Roman" w:eastAsia="Times New Roman" w:hAnsi="Times New Roman"/>
          <w:sz w:val="18"/>
          <w:szCs w:val="18"/>
          <w:u w:val="single" w:color="auto"/>
          <w:color w:val="auto"/>
        </w:rPr>
        <w:t>Specified Subordination Agreement</w:t>
      </w:r>
      <w:r>
        <w:rPr>
          <w:rFonts w:ascii="Times New Roman" w:cs="Times New Roman" w:eastAsia="Times New Roman" w:hAnsi="Times New Roman"/>
          <w:sz w:val="18"/>
          <w:szCs w:val="18"/>
          <w:color w:val="auto"/>
        </w:rPr>
        <w:t>. Notwithstanding anything herein to the contrary, the Indebtedness evidenced by this Agreement and the other Loan Documents and the exercise of any right or remedy by the Agent or the Lenders hereunder or thereunder are subject to the provisions of the Specified Subordination Agreement (to the extent such Specified Subordination Agreement is then in effect). In the event of any direct conflict between the terms of the Specified Subordination Agreement and any other Loan Document, the terms of the Specified Subordination Agreement (to the extent such Specified Subordination Agreement is then in effect) shall govern. Notwithstanding anything that may be contained herein to the contrary, all of the provisions of this Agreement and the other Loan Documents, including without limitation, the covenants of the Credit Parties contained herein and therein and all of the rights, remedies and powers provided for herein and therein, are subject to the provisions of the Specified Subordination Agreement to the extent such Specified Subordination Agreement is then in effect (it being understood that any breach by any Credit Party of its obligations hereunder or thereunder shall nonetheless constitute a default (and to the extent provided herein or therein, an Event of Default) hereunder or thereunder, as applicable, notwithstanding the foregoing).</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12.26 </w:t>
      </w:r>
      <w:r>
        <w:rPr>
          <w:rFonts w:ascii="Times New Roman" w:cs="Times New Roman" w:eastAsia="Times New Roman" w:hAnsi="Times New Roman"/>
          <w:sz w:val="18"/>
          <w:szCs w:val="18"/>
          <w:u w:val="single" w:color="auto"/>
          <w:color w:val="auto"/>
        </w:rPr>
        <w:t>Tax Characterization</w:t>
      </w:r>
      <w:r>
        <w:rPr>
          <w:rFonts w:ascii="Times New Roman" w:cs="Times New Roman" w:eastAsia="Times New Roman" w:hAnsi="Times New Roman"/>
          <w:sz w:val="18"/>
          <w:szCs w:val="18"/>
          <w:color w:val="auto"/>
        </w:rPr>
        <w:t>. Notwithstanding any provision of this Agreement to the contrary, the parties hereto agree to treat the Loans advanced hereunder as indebtedness for U.S. federal income tax purposes and no party hereto shall take a contrary position on any tax return or otherwise, unless otherwise required due to a “final determination” within the meaning Section 1313(a) of the Code. Solely for Federal income tax purposes, the Borrower, on behalf of each Credit Party, and each Lender hereby agree that (i) each Loan made hereunder will, as of the Ninth Amendment Effective Date, be treated under Treasury Regulation Section 1.1273-2(h) as an investment unit consisting of the Loan and the Ninth Amendment Warrant issued to the holders with respect to such Loan; (ii) the Ninth Amendment is a “significant modification” of the Loans within the meaning of Treasury Regulation Section 1.1001-3; (iii) the fair market value of the Ninth Amendment Warrant as of the Ninth Amendment Effective Date is $6,560,000;</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color w:val="auto"/>
        </w:rPr>
        <w:t>and (iv) the Borrower and the Lenders will file all Federal income tax returns in a manner consistent with the foregoing allocations.</w:t>
      </w:r>
    </w:p>
    <w:p>
      <w:pPr>
        <w:sectPr>
          <w:pgSz w:w="11900" w:h="16838" w:orient="portrait"/>
          <w:cols w:equalWidth="0" w:num="1">
            <w:col w:w="10139"/>
          </w:cols>
          <w:pgMar w:left="320" w:top="540" w:right="1440" w:bottom="1440" w:gutter="0" w:footer="0" w:header="0"/>
        </w:sectPr>
      </w:pPr>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[Signature Pages Omitted]</w:t>
      </w: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type w:val="continuous"/>
        </w:sectPr>
      </w:pPr>
    </w:p>
    <w:bookmarkStart w:id="446" w:name="page447"/>
    <w:bookmarkEnd w:id="446"/>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321945</wp:posOffset>
            </wp:positionV>
            <wp:extent cx="771525" cy="9772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152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 JAY STREET</w:t>
      </w:r>
    </w:p>
    <w:p>
      <w:pPr>
        <w:jc w:val="center"/>
        <w:spacing w:after="0"/>
        <w:rPr>
          <w:sz w:val="20"/>
          <w:szCs w:val="20"/>
          <w:color w:val="auto"/>
        </w:rPr>
      </w:pPr>
      <w:r>
        <w:rPr>
          <w:rFonts w:ascii="Times New Roman" w:cs="Times New Roman" w:eastAsia="Times New Roman" w:hAnsi="Times New Roman"/>
          <w:sz w:val="22"/>
          <w:szCs w:val="22"/>
          <w:color w:val="auto"/>
        </w:rPr>
        <w:t>BROOKLYN, NEW YORK 11201</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Jennifer Y. Hyman</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Amendment to the Transaction Bonus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Jenn: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Agreement between you, in your capacity as Chief Executive Officer of Rent the Runway,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Company, constitutes an amendment to the Transaction Bonus Plan adopted by the Company on May 15, 2024,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Capitalized terms used in this Letter Agreement and not defined shall have the meanings given such terms in the Plan.</w:t>
      </w:r>
    </w:p>
    <w:p>
      <w:pPr>
        <w:spacing w:after="0" w:line="176" w:lineRule="exact"/>
        <w:rPr>
          <w:sz w:val="20"/>
          <w:szCs w:val="20"/>
          <w:color w:val="auto"/>
        </w:rPr>
      </w:pPr>
    </w:p>
    <w:p>
      <w:pPr>
        <w:jc w:val="both"/>
        <w:ind w:firstLine="656"/>
        <w:spacing w:after="0" w:line="253" w:lineRule="auto"/>
        <w:tabs>
          <w:tab w:leader="none" w:pos="1098"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to Amend the Plan</w:t>
      </w:r>
      <w:r>
        <w:rPr>
          <w:rFonts w:ascii="Times New Roman" w:cs="Times New Roman" w:eastAsia="Times New Roman" w:hAnsi="Times New Roman"/>
          <w:sz w:val="18"/>
          <w:szCs w:val="18"/>
          <w:color w:val="auto"/>
        </w:rPr>
        <w:t xml:space="preserve">. Paragraph (G)(10) of the Plan provides that the Plan may be amended at any time or from time to time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 or prior to the Transaction Agreement Date, no such amendment shall impair the then-existing rights of a Participant with regard to the Plan absent the consent of the current Chief Executive Officer of the Company, and following the Transaction Agreement Date, no such amendment shall impair the then-existing rights of a Participant with regard to the Plan absent the Participant’s consent. The Company expects to enter into an Exchange Agreement by and between the Company and CHS US Investments LLC, a Delaware limited liability company (“</w:t>
      </w:r>
      <w:r>
        <w:rPr>
          <w:rFonts w:ascii="Times New Roman" w:cs="Times New Roman" w:eastAsia="Times New Roman" w:hAnsi="Times New Roman"/>
          <w:sz w:val="18"/>
          <w:szCs w:val="18"/>
          <w:b w:val="1"/>
          <w:bCs w:val="1"/>
          <w:color w:val="auto"/>
        </w:rPr>
        <w:t>CHS</w:t>
      </w:r>
      <w:r>
        <w:rPr>
          <w:rFonts w:ascii="Times New Roman" w:cs="Times New Roman" w:eastAsia="Times New Roman" w:hAnsi="Times New Roman"/>
          <w:sz w:val="18"/>
          <w:szCs w:val="18"/>
          <w:color w:val="auto"/>
        </w:rPr>
        <w:t>”) (such agreement, the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and the transactions contemplated thereby, the “</w:t>
      </w:r>
      <w:r>
        <w:rPr>
          <w:rFonts w:ascii="Times New Roman" w:cs="Times New Roman" w:eastAsia="Times New Roman" w:hAnsi="Times New Roman"/>
          <w:sz w:val="18"/>
          <w:szCs w:val="18"/>
          <w:b w:val="1"/>
          <w:bCs w:val="1"/>
          <w:color w:val="auto"/>
        </w:rPr>
        <w:t>Exchange Transaction</w:t>
      </w:r>
      <w:r>
        <w:rPr>
          <w:rFonts w:ascii="Times New Roman" w:cs="Times New Roman" w:eastAsia="Times New Roman" w:hAnsi="Times New Roman"/>
          <w:sz w:val="18"/>
          <w:szCs w:val="18"/>
          <w:color w:val="auto"/>
        </w:rPr>
        <w:t>”) on or promptly following the date hereof. If the parties enter into the Exchange Agreement, the date the Exchange Agreement is entered into will be a Transaction Agreement Date for purposes of the Plan, and if the Exchange Transaction is consummated, it will be a Transaction for purposes of the Plan. CHS’s willingness to enter into the Exchange Agreement is expressly conditioned on the amendments to the Plan set forth in this Letter Agreement. Therefore, the Company hereby agrees to amend the Plan and you hereby agree to consent to such amendment, in each case, as set forth in this Letter Agreement, effective as of the date hereof, on or in advance of the Transaction Agreement Date. If the Company and CHS do not enter into the Exchange Agreement within thirty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47" w:name="page448"/>
    <w:bookmarkEnd w:id="447"/>
    <w:p>
      <w:pPr>
        <w:spacing w:after="0" w:line="282" w:lineRule="auto"/>
        <w:rPr>
          <w:sz w:val="20"/>
          <w:szCs w:val="20"/>
          <w:color w:val="auto"/>
        </w:rPr>
      </w:pPr>
      <w:r>
        <w:rPr>
          <w:rFonts w:ascii="Times New Roman" w:cs="Times New Roman" w:eastAsia="Times New Roman" w:hAnsi="Times New Roman"/>
          <w:sz w:val="18"/>
          <w:szCs w:val="18"/>
          <w:color w:val="auto"/>
        </w:rPr>
        <w:t>following the date hereof, or if the Exchange Agreement is terminated and the Exchange Transaction does not occur, this Letter Agreement shall be immediately void and of no further force or effect.</w:t>
      </w:r>
    </w:p>
    <w:p>
      <w:pPr>
        <w:spacing w:after="0" w:line="162" w:lineRule="exact"/>
        <w:rPr>
          <w:sz w:val="20"/>
          <w:szCs w:val="20"/>
          <w:color w:val="auto"/>
        </w:rPr>
      </w:pPr>
    </w:p>
    <w:p>
      <w:pPr>
        <w:ind w:left="1120" w:hanging="464"/>
        <w:spacing w:after="0"/>
        <w:tabs>
          <w:tab w:leader="none" w:pos="112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Plan</w:t>
      </w:r>
      <w:r>
        <w:rPr>
          <w:rFonts w:ascii="Times New Roman" w:cs="Times New Roman" w:eastAsia="Times New Roman" w:hAnsi="Times New Roman"/>
          <w:sz w:val="18"/>
          <w:szCs w:val="18"/>
          <w:color w:val="auto"/>
        </w:rPr>
        <w:t>. Effective upon the date hereof but subject to the immediately preceding Section 1, paragraphs (D)(3), (D)(4), (D)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(D)(6) of the Plan are hereby deleted in their entirety and replaced with the following:</w:t>
      </w:r>
    </w:p>
    <w:p>
      <w:pPr>
        <w:spacing w:after="0" w:line="207" w:lineRule="exact"/>
        <w:rPr>
          <w:sz w:val="20"/>
          <w:szCs w:val="20"/>
          <w:color w:val="auto"/>
        </w:rPr>
      </w:pPr>
    </w:p>
    <w:p>
      <w:pPr>
        <w:jc w:val="both"/>
        <w:ind w:left="660" w:right="640" w:firstLine="648"/>
        <w:spacing w:after="0" w:line="256" w:lineRule="auto"/>
        <w:rPr>
          <w:sz w:val="20"/>
          <w:szCs w:val="20"/>
          <w:color w:val="auto"/>
        </w:rPr>
      </w:pPr>
      <w:r>
        <w:rPr>
          <w:rFonts w:ascii="Times New Roman" w:cs="Times New Roman" w:eastAsia="Times New Roman" w:hAnsi="Times New Roman"/>
          <w:sz w:val="18"/>
          <w:szCs w:val="18"/>
          <w:color w:val="auto"/>
        </w:rPr>
        <w:t>“(3) No Free Cash Flow Bonus shall be payable to any Participant at any time pursuant to the Plan. In the event that (i) the transactions contemplated by the Exchange Agreement by and between the Company and CHS US Investments LLC, a Delaware limited liability company (collectively, the “</w:t>
      </w:r>
      <w:r>
        <w:rPr>
          <w:rFonts w:ascii="Times New Roman" w:cs="Times New Roman" w:eastAsia="Times New Roman" w:hAnsi="Times New Roman"/>
          <w:sz w:val="18"/>
          <w:szCs w:val="18"/>
          <w:u w:val="single" w:color="auto"/>
          <w:color w:val="auto"/>
        </w:rPr>
        <w:t>Exchange Transaction</w:t>
      </w:r>
      <w:r>
        <w:rPr>
          <w:rFonts w:ascii="Times New Roman" w:cs="Times New Roman" w:eastAsia="Times New Roman" w:hAnsi="Times New Roman"/>
          <w:sz w:val="18"/>
          <w:szCs w:val="18"/>
          <w:color w:val="auto"/>
        </w:rPr>
        <w:t>”) are consummated and (ii) the Participant is employed by the Company or one of its affiliates on the date of consummation of the Exchange Transaction (such date, the “</w:t>
      </w:r>
      <w:r>
        <w:rPr>
          <w:rFonts w:ascii="Times New Roman" w:cs="Times New Roman" w:eastAsia="Times New Roman" w:hAnsi="Times New Roman"/>
          <w:sz w:val="18"/>
          <w:szCs w:val="18"/>
          <w:u w:val="single" w:color="auto"/>
          <w:color w:val="auto"/>
        </w:rPr>
        <w:t>Exchange Transaction Closing Date</w:t>
      </w:r>
      <w:r>
        <w:rPr>
          <w:rFonts w:ascii="Times New Roman" w:cs="Times New Roman" w:eastAsia="Times New Roman" w:hAnsi="Times New Roman"/>
          <w:sz w:val="18"/>
          <w:szCs w:val="18"/>
          <w:color w:val="auto"/>
        </w:rPr>
        <w:t>”), the Participant’s Base Transaction Bonus shall become payable subject to the terms and conditions of, and solely to the extent provided in, this paragraph (D)(3) and paragraphs (D)(4), (D)(5) and (D)(6) below.</w:t>
      </w:r>
    </w:p>
    <w:p>
      <w:pPr>
        <w:spacing w:after="0" w:line="187" w:lineRule="exact"/>
        <w:rPr>
          <w:sz w:val="20"/>
          <w:szCs w:val="20"/>
          <w:color w:val="auto"/>
        </w:rPr>
      </w:pPr>
    </w:p>
    <w:p>
      <w:pPr>
        <w:jc w:val="both"/>
        <w:ind w:left="2600" w:right="640" w:hanging="648"/>
        <w:spacing w:after="0" w:line="266" w:lineRule="auto"/>
        <w:tabs>
          <w:tab w:leader="none" w:pos="260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Participant’s Base Transaction Bonus (such portion, the “</w:t>
      </w:r>
      <w:r>
        <w:rPr>
          <w:rFonts w:ascii="Times New Roman" w:cs="Times New Roman" w:eastAsia="Times New Roman" w:hAnsi="Times New Roman"/>
          <w:sz w:val="18"/>
          <w:szCs w:val="18"/>
          <w:u w:val="single" w:color="auto"/>
          <w:color w:val="auto"/>
        </w:rPr>
        <w:t>Closing Payment</w:t>
      </w:r>
      <w:r>
        <w:rPr>
          <w:rFonts w:ascii="Times New Roman" w:cs="Times New Roman" w:eastAsia="Times New Roman" w:hAnsi="Times New Roman"/>
          <w:sz w:val="18"/>
          <w:szCs w:val="18"/>
          <w:color w:val="auto"/>
        </w:rPr>
        <w:t>”) shall become payable on the Exchange Transaction Closing Date and shall be paid to the Participant not more than thirty (30) days thereafter.</w:t>
      </w:r>
    </w:p>
    <w:p>
      <w:pPr>
        <w:spacing w:after="0" w:line="175" w:lineRule="exact"/>
        <w:rPr>
          <w:rFonts w:ascii="Times New Roman" w:cs="Times New Roman" w:eastAsia="Times New Roman" w:hAnsi="Times New Roman"/>
          <w:sz w:val="18"/>
          <w:szCs w:val="18"/>
          <w:color w:val="auto"/>
        </w:rPr>
      </w:pPr>
    </w:p>
    <w:p>
      <w:pPr>
        <w:jc w:val="both"/>
        <w:ind w:left="2600" w:right="640" w:hanging="648"/>
        <w:spacing w:after="0" w:line="256" w:lineRule="auto"/>
        <w:tabs>
          <w:tab w:leader="none" w:pos="260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of the Participant’s Base Transaction Bonus shall become payable on the 18-month anniversary of the Exchange Transaction Closing Date, provided that the Participant is employed by the Company or one of its affiliates from the date hereof and ending on the 18-month anniversary of the Exchange Transaction Closing Date, and shall be paid to the Participant not more than thirty (30) days thereafter. Each portion of the Base Transaction Bonus referred to in this paragraph (D)(3)(B) or in paragraph (D)(3)(C), (D)(3)(D) or (D)(3)(E) is hereinafter referred to as a “</w:t>
      </w:r>
      <w:r>
        <w:rPr>
          <w:rFonts w:ascii="Times New Roman" w:cs="Times New Roman" w:eastAsia="Times New Roman" w:hAnsi="Times New Roman"/>
          <w:sz w:val="18"/>
          <w:szCs w:val="18"/>
          <w:u w:val="single" w:color="auto"/>
          <w:color w:val="auto"/>
        </w:rPr>
        <w:t>Semi-Annual Payment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2600" w:right="640" w:hanging="648"/>
        <w:spacing w:after="0" w:line="261" w:lineRule="auto"/>
        <w:tabs>
          <w:tab w:leader="none" w:pos="260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of the Participant’s Base Transaction Bonus shall become payable on the 24-month anniversary of the Exchange Transaction Closing Date, provided that the Participant is employed by the Company or one of its affiliates from the date hereof and ending on the 24-month anniversary of the Exchange Transaction Closing Date, and shall be paid to the Participant not more than thirty (30) days thereafter.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8" w:name="page449"/>
    <w:bookmarkEnd w:id="448"/>
    <w:p>
      <w:pPr>
        <w:jc w:val="both"/>
        <w:ind w:left="1940" w:hanging="648"/>
        <w:spacing w:after="0" w:line="261" w:lineRule="auto"/>
        <w:tabs>
          <w:tab w:leader="none" w:pos="194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of the Participant’s Base Transaction Bonus shall become payable on the 30-month anniversary of the Exchange Transaction Closing Date, provided that the Participant is employed by the Company or one of its affiliates from the date hereof and ending on the 30-month anniversary of the Exchange Transaction Closing Date, and shall be paid to the Participant not more than thirty (30) days thereafter.</w:t>
      </w:r>
    </w:p>
    <w:p>
      <w:pPr>
        <w:spacing w:after="0" w:line="179" w:lineRule="exact"/>
        <w:rPr>
          <w:rFonts w:ascii="Times New Roman" w:cs="Times New Roman" w:eastAsia="Times New Roman" w:hAnsi="Times New Roman"/>
          <w:sz w:val="18"/>
          <w:szCs w:val="18"/>
          <w:color w:val="auto"/>
        </w:rPr>
      </w:pPr>
    </w:p>
    <w:p>
      <w:pPr>
        <w:jc w:val="both"/>
        <w:ind w:left="1940" w:hanging="648"/>
        <w:spacing w:after="0" w:line="261" w:lineRule="auto"/>
        <w:tabs>
          <w:tab w:leader="none" w:pos="194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of the Participant’s Base Transaction Bonus shall become payable on the 36-month anniversary of the Exchange Transaction Closing Date, provided that the Participant is employed by the Company or one of its affiliates from the date hereof and ending on the 36-month anniversary of the Exchange Transaction Closing Date, and shall be paid to the Participant not more than thirty (30) days thereafter.</w:t>
      </w:r>
    </w:p>
    <w:p>
      <w:pPr>
        <w:spacing w:after="0" w:line="179" w:lineRule="exact"/>
        <w:rPr>
          <w:rFonts w:ascii="Times New Roman" w:cs="Times New Roman" w:eastAsia="Times New Roman" w:hAnsi="Times New Roman"/>
          <w:sz w:val="18"/>
          <w:szCs w:val="18"/>
          <w:color w:val="auto"/>
        </w:rPr>
      </w:pPr>
    </w:p>
    <w:p>
      <w:pPr>
        <w:jc w:val="both"/>
        <w:ind w:firstLine="644"/>
        <w:spacing w:after="0" w:line="254" w:lineRule="auto"/>
        <w:tabs>
          <w:tab w:leader="none" w:pos="1252"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Participant’s employment terminates, other than due to a Good Leaver Termination (as defined in paragraph (D)(5) below), prior to the four-year anniversary of the Exchange Transaction Closing Date, promptly following the date of termination, the Participant shall repay to the Company the portions of the Closing Payment and each Semi-Annual Payment (if any) for which the Vesting Date (as defined below) has not occurred as of the date of the Participant’s termination, provided that the amount so repaid shall be net of all federal, state, local and foreign income, payroll, employment and other taxes (including any interest, penalties and additions attributable thereto) withheld by the Company or otherwise paid by the Participant with respect thereto. The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shall occur with respect to the payments made pursuant to paragraph (D)(3), and such payments shall no longer be subject to repayment to the Company, as follows:</w:t>
      </w:r>
    </w:p>
    <w:p>
      <w:pPr>
        <w:spacing w:after="0" w:line="191" w:lineRule="exact"/>
        <w:rPr>
          <w:rFonts w:ascii="Times New Roman" w:cs="Times New Roman" w:eastAsia="Times New Roman" w:hAnsi="Times New Roman"/>
          <w:sz w:val="18"/>
          <w:szCs w:val="18"/>
          <w:color w:val="auto"/>
        </w:rPr>
      </w:pPr>
    </w:p>
    <w:p>
      <w:pPr>
        <w:ind w:left="1940" w:right="20" w:hanging="648"/>
        <w:spacing w:after="0" w:line="282" w:lineRule="auto"/>
        <w:tabs>
          <w:tab w:leader="none" w:pos="194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Closing Payment on each of the one-year, two-year, three-year and four-year anniversaries of the Exchange Transaction Closing Date;</w:t>
      </w:r>
    </w:p>
    <w:p>
      <w:pPr>
        <w:spacing w:after="0" w:line="161" w:lineRule="exact"/>
        <w:rPr>
          <w:rFonts w:ascii="Times New Roman" w:cs="Times New Roman" w:eastAsia="Times New Roman" w:hAnsi="Times New Roman"/>
          <w:sz w:val="18"/>
          <w:szCs w:val="18"/>
          <w:color w:val="auto"/>
        </w:rPr>
      </w:pPr>
    </w:p>
    <w:p>
      <w:pPr>
        <w:ind w:left="1940" w:right="20" w:hanging="648"/>
        <w:spacing w:after="0" w:line="282" w:lineRule="auto"/>
        <w:tabs>
          <w:tab w:leader="none" w:pos="194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first Semi-Annual Payment on each of the two-year, three-year and four-year anniversaries of the Exchange Transaction Date;</w:t>
      </w:r>
    </w:p>
    <w:p>
      <w:pPr>
        <w:spacing w:after="0" w:line="161" w:lineRule="exact"/>
        <w:rPr>
          <w:rFonts w:ascii="Times New Roman" w:cs="Times New Roman" w:eastAsia="Times New Roman" w:hAnsi="Times New Roman"/>
          <w:sz w:val="18"/>
          <w:szCs w:val="18"/>
          <w:color w:val="auto"/>
        </w:rPr>
      </w:pPr>
    </w:p>
    <w:p>
      <w:pPr>
        <w:ind w:left="1940" w:hanging="648"/>
        <w:spacing w:after="0" w:line="282" w:lineRule="auto"/>
        <w:tabs>
          <w:tab w:leader="none" w:pos="194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the second Semi-Annual Payment on each of the three-year and four-year anniversaries of the Exchange Transaction Closing Date;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40"/>
          </w:cols>
          <w:pgMar w:left="980" w:top="540" w:right="979" w:bottom="1440" w:gutter="0" w:footer="0" w:header="0"/>
        </w:sectPr>
      </w:pPr>
    </w:p>
    <w:bookmarkStart w:id="449" w:name="page450"/>
    <w:bookmarkEnd w:id="449"/>
    <w:p>
      <w:pPr>
        <w:ind w:left="1940" w:right="20" w:hanging="648"/>
        <w:spacing w:after="0" w:line="282" w:lineRule="auto"/>
        <w:tabs>
          <w:tab w:leader="none" w:pos="194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the third Semi-Annual Payment on each of the three-year and four-year anniversaries of the Exchange Transaction Closing Date; and</w:t>
      </w:r>
    </w:p>
    <w:p>
      <w:pPr>
        <w:spacing w:after="0" w:line="161" w:lineRule="exact"/>
        <w:rPr>
          <w:rFonts w:ascii="Times New Roman" w:cs="Times New Roman" w:eastAsia="Times New Roman" w:hAnsi="Times New Roman"/>
          <w:sz w:val="18"/>
          <w:szCs w:val="18"/>
          <w:color w:val="auto"/>
        </w:rPr>
      </w:pPr>
    </w:p>
    <w:p>
      <w:pPr>
        <w:ind w:left="1940" w:hanging="648"/>
        <w:spacing w:after="0" w:line="282" w:lineRule="auto"/>
        <w:tabs>
          <w:tab w:leader="none" w:pos="194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amount of the fourth Semi-Annual Payment on the four-year anniversary of the Exchange Transaction Closing Date.</w:t>
      </w:r>
    </w:p>
    <w:p>
      <w:pPr>
        <w:spacing w:after="0" w:line="161" w:lineRule="exact"/>
        <w:rPr>
          <w:rFonts w:ascii="Times New Roman" w:cs="Times New Roman" w:eastAsia="Times New Roman" w:hAnsi="Times New Roman"/>
          <w:sz w:val="18"/>
          <w:szCs w:val="18"/>
          <w:color w:val="auto"/>
        </w:rPr>
      </w:pPr>
    </w:p>
    <w:p>
      <w:pPr>
        <w:jc w:val="both"/>
        <w:ind w:firstLine="644"/>
        <w:spacing w:after="0" w:line="253" w:lineRule="auto"/>
        <w:tabs>
          <w:tab w:leader="none" w:pos="1335"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the Participant’s employment by the Company or any of its affiliates without Cause, by the Participant for Good Reason or due to the Participant’s death or Disability (within the meaning of the 2021 Plan) (each, a “</w:t>
      </w:r>
      <w:r>
        <w:rPr>
          <w:rFonts w:ascii="Times New Roman" w:cs="Times New Roman" w:eastAsia="Times New Roman" w:hAnsi="Times New Roman"/>
          <w:sz w:val="18"/>
          <w:szCs w:val="18"/>
          <w:u w:val="single" w:color="auto"/>
          <w:color w:val="auto"/>
        </w:rPr>
        <w:t>Good Leaver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each Vesting Date shall be deemed to have occurred on the date of the Participant’s Good Leaver Termination, and the applicable payments shall no longer be subject to repayment to the Company, in respect of (A) the previously paid portions of the Closing Payment and each Semi-Annual Payment and (B) any portions of the Closing Payment or Semi-Annual Payment that became payable prior to the date of the Participant’s Good Leaver Termination pursuant to paragraph (D)(3) but were not yet paid as of such date, in each case, subject to the Participant’s execution and non-revocation of a release of claims in favor of the Company, its affiliates and related persons, substantially in accordance with the Company’s standard form with any changes deemed necessary or advisable by the Company to reflect any changes in applicable law. For the avoidance of doubt, in the event that the Participant’s employment terminates for any reason, including due to a Good Leaver Termination, prior to the four-year anniversary of the Exchange Transaction Closing Date, any portion of the Participant’s Base Transaction Bonus that did not become payable prior to the date of such termination shall be forfeited without consideration.</w:t>
      </w:r>
    </w:p>
    <w:p>
      <w:pPr>
        <w:spacing w:after="0" w:line="189" w:lineRule="exact"/>
        <w:rPr>
          <w:rFonts w:ascii="Times New Roman" w:cs="Times New Roman" w:eastAsia="Times New Roman" w:hAnsi="Times New Roman"/>
          <w:sz w:val="18"/>
          <w:szCs w:val="18"/>
          <w:color w:val="auto"/>
        </w:rPr>
      </w:pPr>
    </w:p>
    <w:p>
      <w:pPr>
        <w:jc w:val="both"/>
        <w:ind w:right="20" w:firstLine="644"/>
        <w:spacing w:after="0" w:line="253" w:lineRule="auto"/>
        <w:tabs>
          <w:tab w:leader="none" w:pos="120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50% of the Participant’s Base Transaction Bonus that is not eligible to be paid as a Closing Payment or a Semi-Annual Payment (the “</w:t>
      </w:r>
      <w:r>
        <w:rPr>
          <w:rFonts w:ascii="Times New Roman" w:cs="Times New Roman" w:eastAsia="Times New Roman" w:hAnsi="Times New Roman"/>
          <w:sz w:val="18"/>
          <w:szCs w:val="18"/>
          <w:u w:val="single" w:color="auto"/>
          <w:color w:val="auto"/>
        </w:rPr>
        <w:t>Performance Payment</w:t>
      </w:r>
      <w:r>
        <w:rPr>
          <w:rFonts w:ascii="Times New Roman" w:cs="Times New Roman" w:eastAsia="Times New Roman" w:hAnsi="Times New Roman"/>
          <w:sz w:val="18"/>
          <w:szCs w:val="18"/>
          <w:color w:val="auto"/>
        </w:rPr>
        <w:t>”) shall become payable on the earlier of (A) January 31, 2030 and (B) a Change in Control (each, an “</w:t>
      </w:r>
      <w:r>
        <w:rPr>
          <w:rFonts w:ascii="Times New Roman" w:cs="Times New Roman" w:eastAsia="Times New Roman" w:hAnsi="Times New Roman"/>
          <w:sz w:val="18"/>
          <w:szCs w:val="18"/>
          <w:u w:val="single" w:color="auto"/>
          <w:color w:val="auto"/>
        </w:rPr>
        <w:t>Assessment Event</w:t>
      </w:r>
      <w:r>
        <w:rPr>
          <w:rFonts w:ascii="Times New Roman" w:cs="Times New Roman" w:eastAsia="Times New Roman" w:hAnsi="Times New Roman"/>
          <w:sz w:val="18"/>
          <w:szCs w:val="18"/>
          <w:color w:val="auto"/>
        </w:rPr>
        <w:t>”), provided that (I) the Participant is employed by the Company or one of its affiliates from the date hereof and ending on the date of the applicable Assessment Event, and (II) the Relevant Performance Goal (as defined below) is achieved. In such event, the Performance Payment shall be paid to the Participant not more than thirty (30) days after the applicable Assessment Event. “</w:t>
      </w:r>
      <w:r>
        <w:rPr>
          <w:rFonts w:ascii="Times New Roman" w:cs="Times New Roman" w:eastAsia="Times New Roman" w:hAnsi="Times New Roman"/>
          <w:sz w:val="18"/>
          <w:szCs w:val="18"/>
          <w:u w:val="single" w:color="auto"/>
          <w:color w:val="auto"/>
        </w:rPr>
        <w:t>Relevant Performance Goal</w:t>
      </w:r>
      <w:r>
        <w:rPr>
          <w:rFonts w:ascii="Times New Roman" w:cs="Times New Roman" w:eastAsia="Times New Roman" w:hAnsi="Times New Roman"/>
          <w:sz w:val="18"/>
          <w:szCs w:val="18"/>
          <w:color w:val="auto"/>
        </w:rPr>
        <w:t>” means (i) if the Assessment Event is January 31, 2030, the Company’s achievement of the performance metrics applicable to the performance stock units granted to the Participant in connection with the Exchange Transaction for the performance period comprising the Company’s fiscal year 2029 at a level that equals or exceeds 150% of target, provided that if more than one performance goal is set with respect to such performance period, then each performance metric shall be tested individually with a commensurate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40"/>
          </w:cols>
          <w:pgMar w:left="980" w:top="540" w:right="979" w:bottom="1440" w:gutter="0" w:footer="0" w:header="0"/>
        </w:sectPr>
      </w:pPr>
    </w:p>
    <w:bookmarkStart w:id="450" w:name="page451"/>
    <w:bookmarkEnd w:id="450"/>
    <w:p>
      <w:pPr>
        <w:jc w:val="both"/>
        <w:ind w:left="660" w:right="640"/>
        <w:spacing w:after="0" w:line="253" w:lineRule="auto"/>
        <w:rPr>
          <w:sz w:val="20"/>
          <w:szCs w:val="20"/>
          <w:color w:val="auto"/>
        </w:rPr>
      </w:pPr>
      <w:r>
        <w:rPr>
          <w:rFonts w:ascii="Times New Roman" w:cs="Times New Roman" w:eastAsia="Times New Roman" w:hAnsi="Times New Roman"/>
          <w:sz w:val="18"/>
          <w:szCs w:val="18"/>
          <w:color w:val="auto"/>
        </w:rPr>
        <w:t>proportion of the Performance Payment becoming payable, with the remaining proportion being forfeited, and (ii) if the Assessment Event is a Change in Control, then the fair market value per share of the Company’s common stock as of the Change in Control is at least $20.76 (as equitably adjusted by the Administrator in good faith to reflect any adjustments to the terms of the PSUs as a result of any stock splits, stock dividends, combination or exchange of shares, consolidation, recapitalization or other change affecting the shares of the Company’s common stock or share price of the Company’s common stock), based on the per share price in the Change in Control transaction; provided, that if the consideration in such transaction is not comprised entirely of cash, then the fair market value shall be determined by the Administrator in good faith, taking into account the 60-day VWAP immediately prior to the Change in Control. For the avoidance of doubt, except as required by applicable law (including the listing rules of any national securities exchange or association on which the Company’s securities are then listed), the Performance Payment shall not be subject to repayment to the Company or any of its affiliates for any reason.”</w:t>
      </w:r>
    </w:p>
    <w:p>
      <w:pPr>
        <w:spacing w:after="0" w:line="194" w:lineRule="exact"/>
        <w:rPr>
          <w:sz w:val="20"/>
          <w:szCs w:val="20"/>
          <w:color w:val="auto"/>
        </w:rPr>
      </w:pPr>
    </w:p>
    <w:p>
      <w:pPr>
        <w:jc w:val="both"/>
        <w:ind w:firstLine="656"/>
        <w:spacing w:after="0" w:line="258" w:lineRule="auto"/>
        <w:tabs>
          <w:tab w:leader="none" w:pos="111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for in this Letter Agreement, the Transaction Bonus Plan and its terms and conditions remain in full force and effect and unchanged by this Letter Agreement. This Letter Agreement is to be governed by and construed in accordance with the laws of the State of Delaware without regard to the choice of law principles thereof. For the avoidance of doubt, in accordance with paragraph (G)(10) of the Plan, following the date that the Company enters into the Exchange Agreement, no amendment to the Plan shall impair the then-existing rights of a Participant with regard to the Plan absent his or her consent.</w:t>
      </w:r>
    </w:p>
    <w:p>
      <w:pPr>
        <w:spacing w:after="0" w:line="183"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acknowledge your agreement to the terms and conditions set forth in this letter by signing and dating this letter in the space provided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51" w:name="page452"/>
    <w:bookmarkEnd w:id="451"/>
    <w:p>
      <w:pPr>
        <w:ind w:left="6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24765</wp:posOffset>
            </wp:positionV>
            <wp:extent cx="292290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Cara Schembri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Co-Founder, Chair, Chief Executive Officer &amp; President</w:t>
      </w:r>
    </w:p>
    <w:p>
      <w:pPr>
        <w:spacing w:after="0" w:line="3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82"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Rent the Runway Announces Growth Recapitalization and Strategy Expansion</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Transformative capital transaction will strengthen RTR’s balance sheet, inject primary capital into the business and empower a compelling</w:t>
      </w:r>
    </w:p>
    <w:p>
      <w:pPr>
        <w:spacing w:after="0" w:line="12" w:lineRule="exact"/>
        <w:rPr>
          <w:sz w:val="20"/>
          <w:szCs w:val="20"/>
          <w:color w:val="auto"/>
        </w:rPr>
      </w:pPr>
    </w:p>
    <w:p>
      <w:pPr>
        <w:ind w:left="4280"/>
        <w:spacing w:after="0"/>
        <w:rPr>
          <w:sz w:val="20"/>
          <w:szCs w:val="20"/>
          <w:color w:val="auto"/>
        </w:rPr>
      </w:pPr>
      <w:r>
        <w:rPr>
          <w:rFonts w:ascii="Arial" w:cs="Arial" w:eastAsia="Arial" w:hAnsi="Arial"/>
          <w:sz w:val="18"/>
          <w:szCs w:val="18"/>
          <w:i w:val="1"/>
          <w:iCs w:val="1"/>
          <w:color w:val="auto"/>
        </w:rPr>
        <w:t>customer and product experience</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STORY3 Capital Partners (“STORY3”) and Nexus Capital Management (“Nexus”) partner with Aranda Principal Strategies (“APS”)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enhance Rent the Runway’s capital structure and support the execution of its value creation plan</w:t>
      </w:r>
    </w:p>
    <w:p>
      <w:pPr>
        <w:spacing w:after="0" w:line="18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NEW YORK, August 21, 2025 (GLOBE NEWSWIRE) (Nasdaq: RENT) – Rent the Runway, Inc. (the “Company” or “RTR”), the disruptor that created the fashion rental category and forever changed the fashion ecosystem, today announces a growth recapitalization.</w:t>
      </w:r>
    </w:p>
    <w:p>
      <w:pPr>
        <w:spacing w:after="0" w:line="14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This recapitalization is expected to dramatically enhance the Company’s balance sheet and financial flexibility through a large reduction in balance sheet debt, a meaningful reduction in interest expense, and a favorable maturity extension on its remaining debt balance. APS will convert a substantial portion of its original debt investment into common equity ownership, and APS, STORY3 and Nexus will contribute new capital to further support the business and its growth initiatives. Rent the Runway will continue to operate as a public company and trade under the ticker symbol RENT on Nasdaq.</w:t>
      </w:r>
    </w:p>
    <w:p>
      <w:pPr>
        <w:spacing w:after="0" w:line="163" w:lineRule="exact"/>
        <w:rPr>
          <w:sz w:val="20"/>
          <w:szCs w:val="20"/>
          <w:color w:val="auto"/>
        </w:rPr>
      </w:pPr>
    </w:p>
    <w:p>
      <w:pPr>
        <w:ind w:right="360"/>
        <w:spacing w:after="0" w:line="242" w:lineRule="auto"/>
        <w:rPr>
          <w:sz w:val="20"/>
          <w:szCs w:val="20"/>
          <w:color w:val="auto"/>
        </w:rPr>
      </w:pPr>
      <w:r>
        <w:rPr>
          <w:rFonts w:ascii="Arial" w:cs="Arial" w:eastAsia="Arial" w:hAnsi="Arial"/>
          <w:sz w:val="18"/>
          <w:szCs w:val="18"/>
          <w:color w:val="auto"/>
        </w:rPr>
        <w:t>"Rent the Runway has executed a significant and successful strengthening of the business over the past 18 months. We brought the business to nearly free cash flow breakeven in 2024, continued to transform the way we acquire inventory with an asset-light model, and returned to a culture of customer obsession, which is driving meaningful customer growth,” said Jennifer Hyman, CEO and Co-founder of Rent the Runway. “I'm proud that APS, STORY3 and Nexus see tremendous upside potential and are partnering with us to improve our balance sheet. Their partnership will allow us to grow in a more sustainable, healthy way and take advantage of the significant market for rental that continues to expand across the U.S.”</w:t>
      </w:r>
    </w:p>
    <w:p>
      <w:pPr>
        <w:spacing w:after="0" w:line="16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Nicolas Debetencourt, CEO of APS, commented, “We’ve been impressed by Jenn’s determination and leadership over the years. Jenn and her experienced management team have made great progress towards a differentiated strategy paired with financial discipline. By recapitalizing Rent the Runway’s balance sheet in partnership with STORY3 and Nexus – who each bring deep sector expertise – we believe the Company is well positioned to drive long-term value as the category-defining leader.”</w:t>
      </w:r>
    </w:p>
    <w:p>
      <w:pPr>
        <w:spacing w:after="0" w:line="16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Peter Comisar, former Goldman Sachs Partner and Managing Partner of STORY3, commented, “We believe public investors dramatically underappreciate the value, power and potential of this platform that has been built and perfected on the back of extraordinary financial and human capital investment. The consumer is stretched, and subscription rental opens the door to weekly fashion newness at a low cost and with ultimate convenience. Apparel brands need to find new cost-effective channels to encourage testing and adoption in a world where traditional online customer acquisition costs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3" w:name="page454"/>
    <w:bookmarkEnd w:id="453"/>
    <w:p>
      <w:pPr>
        <w:ind w:right="380"/>
        <w:spacing w:after="0" w:line="271" w:lineRule="auto"/>
        <w:rPr>
          <w:sz w:val="20"/>
          <w:szCs w:val="20"/>
          <w:color w:val="auto"/>
        </w:rPr>
      </w:pPr>
      <w:r>
        <w:rPr>
          <w:rFonts w:ascii="Arial" w:cs="Arial" w:eastAsia="Arial" w:hAnsi="Arial"/>
          <w:sz w:val="18"/>
          <w:szCs w:val="18"/>
          <w:color w:val="auto"/>
        </w:rPr>
        <w:t>spiraling. Rental provides fashion brands a disruptive approach to monetizing inventory at a compelling margin and driving discovery in a crowded market.”</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Damian Giangiacomo, Managing Partner of Nexus Capital Management, commented, “We are excited to partner with Rent the Runway. Over the course of our diligence, we have had the opportunity to work closely with Jenn and her team and have been deeply impressed by their vision and execution. We look forward to working with the Company and actively supporting the management team as they drive the next phase of growth.”</w:t>
      </w:r>
    </w:p>
    <w:p>
      <w:pPr>
        <w:spacing w:after="0" w:line="160"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color w:val="auto"/>
        </w:rPr>
        <w:t>Scott Friend, Partner at Bain Capital Ventures and Rent the Runway’s Lead Independent Director, commented, “This transaction sets the company up with the financial flexibility it needs to lean into the growing demand in a massive market it pioneered 15 years ago. The only thing that’s been holding Rent the Runway back, since the impact of COVID, has been its capital structure. Thanks to our partners at APS and new co-investors Nexus and STORY3, we’ve now paved the way for value creation for all stockholders.”</w:t>
      </w:r>
    </w:p>
    <w:p>
      <w:pPr>
        <w:spacing w:after="0" w:line="16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Upon the consummation of the transaction, Peter Comisar of STORY3 and Damian Giangiacomo of Nexus will join Rent the Runway’s Board of Directors.</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Rent the Runway plans to continue to execute on its multi-year transformation plan, focused on growing its customer base, innovating on the powerful discovery platform it provides for brands, and driving momentum across the product and customer experience. The Company ended Q1 2025 with 147,000 active subscribers, a record high. Rent the Runway also saw its strongest quarterly customer retention in four years, with improved churn rates for both early-term and long-term subscribers.</w:t>
      </w:r>
    </w:p>
    <w:p>
      <w:pPr>
        <w:spacing w:after="0" w:line="16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Summary details of the transaction are outlined below. Such summary details do not purport to be complete and are qualified in their entirety by the Company’s disclosure on the Form 8-K filed today with the U.S. Securities and Exchange Commission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Recapitalization</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As part of this transaction, APS will be converting its accreted debt balance in excess of $100M into common equity in the Company. Assuming an estimated closing date of December 31, 2025, approximately $243M of its debt would be converted. The converted debt will be exchanged at an effective conversion price of $9.23 per share, or an 80.9% premium to the 30-day volume weighted average price as of August 20, 2025 of $5.10 per share.</w:t>
      </w:r>
    </w:p>
    <w:p>
      <w:pPr>
        <w:spacing w:after="0" w:line="16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APS, STORY3 and Nexus will also be contributing $20M of incremental cash to the Company’s balance sheet, in exchange for an equivalent increase in the loan balance.</w:t>
      </w:r>
    </w:p>
    <w:p>
      <w:pPr>
        <w:spacing w:after="0" w:line="14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Upon closing of this transaction, Rent the Runway’s outstanding debt balance will be reduced to $120M, and its maturity will be extended to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54" w:name="page455"/>
    <w:bookmarkEnd w:id="454"/>
    <w:p>
      <w:pPr>
        <w:spacing w:after="0"/>
        <w:rPr>
          <w:sz w:val="20"/>
          <w:szCs w:val="20"/>
          <w:color w:val="auto"/>
        </w:rPr>
      </w:pPr>
      <w:r>
        <w:rPr>
          <w:rFonts w:ascii="Arial" w:cs="Arial" w:eastAsia="Arial" w:hAnsi="Arial"/>
          <w:sz w:val="18"/>
          <w:szCs w:val="18"/>
          <w:color w:val="auto"/>
        </w:rPr>
        <w:t>In connection with the transaction, the Company will initiate a rights offering to give existing stockholders an opportunity to purchase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$12.5M of shares at a price of $4.08 per share, equal to a 20% discount to the 30-day volume weighted average price as of August 19, 2025.</w:t>
      </w:r>
    </w:p>
    <w:p>
      <w:pPr>
        <w:spacing w:after="0"/>
        <w:rPr>
          <w:sz w:val="20"/>
          <w:szCs w:val="20"/>
          <w:color w:val="auto"/>
        </w:rPr>
      </w:pPr>
      <w:r>
        <w:rPr>
          <w:rFonts w:ascii="Arial" w:cs="Arial" w:eastAsia="Arial" w:hAnsi="Arial"/>
          <w:sz w:val="18"/>
          <w:szCs w:val="18"/>
          <w:color w:val="auto"/>
        </w:rPr>
        <w:t>The rights offering will be fully backstopped by APS, STORY3 and Nexus.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 Details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closing of the transaction, all of the Company’s issued and outstanding shares of Class B Common Stock will be converted into shares of Class A Common Stock on a one-for-one basis. Ms. Hyman has agreed to grant the officers of the Company a proxy to vote all of her shares of Class A Common Stock and Class B Common Stock in favor of the transaction.</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transaction is expected to close by December 31, 2025, subject to customary closing conditions, including approval by the Company’s stockholders.</w:t>
      </w:r>
    </w:p>
    <w:p>
      <w:pPr>
        <w:spacing w:after="0" w:line="14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LionTree Advisors and BTIG LLC acted as lead financial advisors to the Company. Davis Polk &amp; Wardwell LLP advised the Company and Proskauer Rose LLP advised APS, STORY3 and Nexus.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will be submitted to the Company's stockholders for their consideration, and the Company will file a proxy statement with the SEC to be used to solicit stockholder approval of the transaction, as well as other relevant documents concerning the transaction. The Company's stockholders are urged to read the proxy statement regarding the transaction when it becomes available and any other relevant documents filed with the SEC, as well as any amendments or supplements to those documents, because they will contain important information. The proxy statement, as well as other filings containing information about the Company, will be available on the SEC's website at http://www.sec.gov. Copies of the proxy statement and any documents incorporated by reference therein will also be provided to the Company's stockholders, without charge, by directing a request to: Rent the Runway, Inc., 10 Jay Street, Brooklyn, New York 11201, Attention: Corporate Secretary, or investors@renttherunway.com.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and its directors, executive officers and other members of its management and employees may be deemed to be participants in the solicitation of proxies from the Company's stockholders in favor of the transaction. Information concerning persons who may be deemed participants in the solicitation of the Company's stockholders under the rules of the SEC will be set forth in the proxy statement when it is filed with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55" w:name="page456"/>
    <w:bookmarkEnd w:id="455"/>
    <w:p>
      <w:pPr>
        <w:spacing w:after="0" w:line="238" w:lineRule="auto"/>
        <w:rPr>
          <w:sz w:val="20"/>
          <w:szCs w:val="20"/>
          <w:color w:val="auto"/>
        </w:rPr>
      </w:pPr>
      <w:r>
        <w:rPr>
          <w:rFonts w:ascii="Arial" w:cs="Arial" w:eastAsia="Arial" w:hAnsi="Arial"/>
          <w:sz w:val="18"/>
          <w:szCs w:val="18"/>
          <w:color w:val="auto"/>
        </w:rPr>
        <w:t>but are not limited to, the timing, completion and anticipated benefits of the proposed recapitalization, debt reduction and rights offering, the ability to obtain stockholder approval, future investments in the Company’s business, statements regarding the Company’s business strategy and objectives, and the impact of the Company’s multi-year transformational plan.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are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the Company’s control, that could cause actual performance or results to differ materially from those expressed in or suggested by the forward-looking statements.</w:t>
      </w:r>
    </w:p>
    <w:p>
      <w:pPr>
        <w:spacing w:after="0" w:line="167"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Information regarding risks and uncertainties that could cause actual results to differ materially from the Company’s expectations is included in the Company’s Quarterly Report on Form 10-Q for the quarter ended April 30, 2025, and in the section entitled “Risk Factors” in the Company’s other periodic reports filed with the SEC. Except as required by law, the Company does not undertake any obligation to publicly update or revise any forward-looking statement, whether as a result of new information, future developments, or otherwise.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Rent the Runway, Inc.</w:t>
      </w:r>
    </w:p>
    <w:p>
      <w:pPr>
        <w:spacing w:after="0" w:line="19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rPr>
          <w:sz w:val="20"/>
          <w:szCs w:val="20"/>
          <w:color w:val="auto"/>
        </w:rPr>
      </w:pPr>
      <w:r>
        <w:rPr>
          <w:rFonts w:ascii="Arial" w:cs="Arial" w:eastAsia="Arial" w:hAnsi="Arial"/>
          <w:sz w:val="18"/>
          <w:szCs w:val="18"/>
          <w:u w:val="single" w:color="auto"/>
          <w:color w:val="212D3D"/>
        </w:rPr>
        <w:t>press@renttherunway.com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56" w:name="page457"/>
    <w:bookmarkEnd w:id="456"/>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To: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Jennifer Hyman</w:t>
      </w:r>
    </w:p>
    <w:p>
      <w:pPr>
        <w:spacing w:after="0"/>
        <w:rPr>
          <w:sz w:val="20"/>
          <w:szCs w:val="20"/>
          <w:color w:val="auto"/>
        </w:rPr>
      </w:pPr>
      <w:r>
        <w:rPr>
          <w:rFonts w:ascii="Arial" w:cs="Arial" w:eastAsia="Arial" w:hAnsi="Arial"/>
          <w:sz w:val="18"/>
          <w:szCs w:val="18"/>
          <w:color w:val="auto"/>
        </w:rPr>
        <w:t>Subject: Important Update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Hi team,</w:t>
      </w:r>
    </w:p>
    <w:p>
      <w:pPr>
        <w:spacing w:after="0" w:line="19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I wanted to make sure you all saw the important news about a significant recapitalization plan we just announced that will allow us to continue the business transformation we’ve been executing on for the past several years. The press release can be viewed here [LINK].</w:t>
      </w:r>
    </w:p>
    <w:p>
      <w:pPr>
        <w:spacing w:after="0" w:line="14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simple terms, with this recapitalization, our company will be in a much healthier financial position. As part of the plan, we’ll convert a significant portion of existing debt into company shares, reducing our total debt from over $340 million to $120 million. The debt will now mature in 2029 instead of 2026, giving us years of additional runway and opportunity for growth. Additionally, we’ll bring in $20 million of new cash to fund our operations and growth and will also offer current shareholders (employees included) the option to purchase additional shares at a discount. We will remain a public company, trading on NASDAQ.</w:t>
      </w:r>
    </w:p>
    <w:p>
      <w:pPr>
        <w:spacing w:after="0" w:line="16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This is a strategic move that strengthens our balance sheet and gives us much more financial stability and runway to execute the vision for RTR. With less debt burden and more cash, we can focus on growing the business.</w:t>
      </w:r>
    </w:p>
    <w:p>
      <w:pPr>
        <w:spacing w:after="0" w:line="140" w:lineRule="exact"/>
        <w:rPr>
          <w:sz w:val="20"/>
          <w:szCs w:val="20"/>
          <w:color w:val="auto"/>
        </w:rPr>
      </w:pPr>
    </w:p>
    <w:p>
      <w:pPr>
        <w:ind w:right="520"/>
        <w:spacing w:after="0" w:line="281" w:lineRule="auto"/>
        <w:rPr>
          <w:sz w:val="20"/>
          <w:szCs w:val="20"/>
          <w:color w:val="auto"/>
        </w:rPr>
      </w:pPr>
      <w:r>
        <w:rPr>
          <w:rFonts w:ascii="Arial" w:cs="Arial" w:eastAsia="Arial" w:hAnsi="Arial"/>
          <w:sz w:val="18"/>
          <w:szCs w:val="18"/>
          <w:b w:val="1"/>
          <w:bCs w:val="1"/>
          <w:color w:val="auto"/>
        </w:rPr>
        <w:t>For all of you, this will not change your day to day. The most important thing you can do is to continue to be laser focused on delivering on our OKRs and serving our customers.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We’ll be hosting All Hands today at 10 AM ET where we will answer any questions. The calendar invite will follow shortly.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is very positive news for our company's future. Thank you for your continued hard work and dedication to RTR. Onward!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Jenn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Stockholders</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recapitalization transaction will be submitted to RTR's stockholders for their consideration, and the company will file a proxy statement with the Securities and Exchange Commission (the "SEC") to be used to solicit stockholder approval of the transaction, as well as other relevant documents concerning the transaction. The company's stockholders are urged to read the proxy statement regarding the transaction when it becomes available and any other relevant documents filed with the SEC, as well as any amendments or supplements to those documents, because they will contain important information. The proxy statement, as well as other filings containing information about the company, will be available on the SEC's website at http://www.sec.gov. Copies of the proxy statement and any documents incorporated by reference therein will also be provided to the company's stockholders, without charge, by directing a request to: Rent the Runway, Inc., 10 Jay Street, Brooklyn, New York 11201, Attention: Corporate Secretary, or investors@renttherunway.com.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company and its directors, executive officers and other members of its management and employees may be deemed to be participants in the solicitation of proxies from the company's stockholders in favor of the transaction. Information concerning persons who may be deemed participants in the solicitation of the company's stockholders under the rules of the SEC will be set forth in the proxy statement when it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7" w:name="page458"/>
    <w:bookmarkEnd w:id="4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3916F2D"/>
    <w:multiLevelType w:val="hybridMultilevel"/>
    <w:lvl w:ilvl="0">
      <w:lvlJc w:val="left"/>
      <w:lvlText w:val="☐"/>
      <w:numFmt w:val="bullet"/>
      <w:start w:val="1"/>
    </w:lvl>
  </w:abstractNum>
  <w:abstractNum w:abstractNumId="1">
    <w:nsid w:val="435D38D"/>
    <w:multiLevelType w:val="hybridMultilevel"/>
    <w:lvl w:ilvl="0">
      <w:lvlJc w:val="left"/>
      <w:lvlText w:val="☒"/>
      <w:numFmt w:val="bullet"/>
      <w:start w:val="1"/>
    </w:lvl>
  </w:abstractNum>
  <w:abstractNum w:abstractNumId="2">
    <w:nsid w:val="822C0EF"/>
    <w:multiLevelType w:val="hybridMultilevel"/>
    <w:lvl w:ilvl="0">
      <w:lvlJc w:val="left"/>
      <w:lvlText w:val="☐"/>
      <w:numFmt w:val="bullet"/>
      <w:start w:val="1"/>
    </w:lvl>
  </w:abstractNum>
  <w:abstractNum w:abstractNumId="3">
    <w:nsid w:val="57C5BB4F"/>
    <w:multiLevelType w:val="hybridMultilevel"/>
    <w:lvl w:ilvl="0">
      <w:lvlJc w:val="left"/>
      <w:lvlText w:val="(%1)"/>
      <w:numFmt w:val="lowerRoman"/>
      <w:start w:val="3"/>
    </w:lvl>
  </w:abstractNum>
  <w:abstractNum w:abstractNumId="4">
    <w:nsid w:val="1803D089"/>
    <w:multiLevelType w:val="hybridMultilevel"/>
    <w:lvl w:ilvl="0">
      <w:lvlJc w:val="left"/>
      <w:lvlText w:val="(%1)"/>
      <w:numFmt w:val="lowerLetter"/>
      <w:start w:val="4"/>
    </w:lvl>
  </w:abstractNum>
  <w:abstractNum w:abstractNumId="5">
    <w:nsid w:val="4F3A06D4"/>
    <w:multiLevelType w:val="hybridMultilevel"/>
    <w:lvl w:ilvl="0">
      <w:lvlJc w:val="left"/>
      <w:lvlText w:val="(%1)"/>
      <w:numFmt w:val="upperLetter"/>
      <w:start w:val="1"/>
    </w:lvl>
  </w:abstractNum>
  <w:abstractNum w:abstractNumId="6">
    <w:nsid w:val="59A377B6"/>
    <w:multiLevelType w:val="hybridMultilevel"/>
    <w:lvl w:ilvl="0">
      <w:lvlJc w:val="left"/>
      <w:lvlText w:val="(%1)"/>
      <w:numFmt w:val="upperLetter"/>
      <w:start w:val="10"/>
    </w:lvl>
  </w:abstractNum>
  <w:abstractNum w:abstractNumId="7">
    <w:nsid w:val="48AEB063"/>
    <w:multiLevelType w:val="hybridMultilevel"/>
    <w:lvl w:ilvl="0">
      <w:lvlJc w:val="left"/>
      <w:lvlText w:val="(%1)"/>
      <w:numFmt w:val="lowerLetter"/>
      <w:start w:val="1"/>
    </w:lvl>
  </w:abstractNum>
  <w:abstractNum w:abstractNumId="8">
    <w:nsid w:val="24E135"/>
    <w:multiLevelType w:val="hybridMultilevel"/>
    <w:lvl w:ilvl="0">
      <w:lvlJc w:val="left"/>
      <w:lvlText w:val="(%1)"/>
      <w:numFmt w:val="lowerLetter"/>
      <w:start w:val="1"/>
    </w:lvl>
  </w:abstractNum>
  <w:abstractNum w:abstractNumId="9">
    <w:nsid w:val="BB13C1"/>
    <w:multiLevelType w:val="hybridMultilevel"/>
    <w:lvl w:ilvl="0">
      <w:lvlJc w:val="left"/>
      <w:lvlText w:val="(%1)"/>
      <w:numFmt w:val="lowerLetter"/>
      <w:start w:val="2"/>
    </w:lvl>
  </w:abstractNum>
  <w:abstractNum w:abstractNumId="10">
    <w:nsid w:val="271210C7"/>
    <w:multiLevelType w:val="hybridMultilevel"/>
    <w:lvl w:ilvl="0">
      <w:lvlJc w:val="left"/>
      <w:lvlText w:val="%1"/>
      <w:numFmt w:val="upperLetter"/>
      <w:start w:val="1"/>
    </w:lvl>
    <w:lvl w:ilvl="1">
      <w:lvlJc w:val="left"/>
      <w:lvlText w:val="(%2)"/>
      <w:numFmt w:val="lowerLetter"/>
      <w:start w:val="1"/>
    </w:lvl>
  </w:abstractNum>
  <w:abstractNum w:abstractNumId="11">
    <w:nsid w:val="217B22E4"/>
    <w:multiLevelType w:val="hybridMultilevel"/>
    <w:lvl w:ilvl="0">
      <w:lvlJc w:val="left"/>
      <w:lvlText w:val="(%1)"/>
      <w:numFmt w:val="decimal"/>
      <w:start w:val="2"/>
    </w:lvl>
  </w:abstractNum>
  <w:abstractNum w:abstractNumId="12">
    <w:nsid w:val="53E31A24"/>
    <w:multiLevelType w:val="hybridMultilevel"/>
    <w:lvl w:ilvl="0">
      <w:lvlJc w:val="left"/>
      <w:lvlText w:val="(%1)"/>
      <w:numFmt w:val="lowerLetter"/>
      <w:start w:val="1"/>
    </w:lvl>
  </w:abstractNum>
  <w:abstractNum w:abstractNumId="13">
    <w:nsid w:val="6DC45E83"/>
    <w:multiLevelType w:val="hybridMultilevel"/>
    <w:lvl w:ilvl="0">
      <w:lvlJc w:val="left"/>
      <w:lvlText w:val="(%1)"/>
      <w:numFmt w:val="lowerLetter"/>
      <w:start w:val="1"/>
    </w:lvl>
  </w:abstractNum>
  <w:abstractNum w:abstractNumId="14">
    <w:nsid w:val="17304A67"/>
    <w:multiLevelType w:val="hybridMultilevel"/>
    <w:lvl w:ilvl="0">
      <w:lvlJc w:val="left"/>
      <w:lvlText w:val="%1"/>
      <w:numFmt w:val="lowerLetter"/>
      <w:start w:val="1"/>
    </w:lvl>
    <w:lvl w:ilvl="1">
      <w:lvlJc w:val="left"/>
      <w:lvlText w:val="(%2)"/>
      <w:numFmt w:val="lowerLetter"/>
      <w:start w:val="3"/>
    </w:lvl>
  </w:abstractNum>
  <w:abstractNum w:abstractNumId="15">
    <w:nsid w:val="2BB180D8"/>
    <w:multiLevelType w:val="hybridMultilevel"/>
    <w:lvl w:ilvl="0">
      <w:lvlJc w:val="left"/>
      <w:lvlText w:val="(%1)"/>
      <w:numFmt w:val="lowerLetter"/>
      <w:start w:val="9"/>
    </w:lvl>
    <w:lvl w:ilvl="1">
      <w:lvlJc w:val="left"/>
      <w:lvlText w:val="(%2)"/>
      <w:numFmt w:val="lowerLetter"/>
      <w:start w:val="5"/>
    </w:lvl>
  </w:abstractNum>
  <w:abstractNum w:abstractNumId="16">
    <w:nsid w:val="556B69ED"/>
    <w:multiLevelType w:val="hybridMultilevel"/>
    <w:lvl w:ilvl="0">
      <w:lvlJc w:val="left"/>
      <w:lvlText w:val="(%1)"/>
      <w:numFmt w:val="lowerLetter"/>
      <w:start w:val="1"/>
    </w:lvl>
  </w:abstractNum>
  <w:abstractNum w:abstractNumId="17">
    <w:nsid w:val="70836196"/>
    <w:multiLevelType w:val="hybridMultilevel"/>
    <w:lvl w:ilvl="0">
      <w:lvlJc w:val="left"/>
      <w:lvlText w:val="(%1)"/>
      <w:numFmt w:val="lowerLetter"/>
      <w:start w:val="2"/>
    </w:lvl>
  </w:abstractNum>
  <w:abstractNum w:abstractNumId="18">
    <w:nsid w:val="539F7F12"/>
    <w:multiLevelType w:val="hybridMultilevel"/>
    <w:lvl w:ilvl="0">
      <w:lvlJc w:val="left"/>
      <w:lvlText w:val="(%1)"/>
      <w:numFmt w:val="lowerLetter"/>
      <w:start w:val="1"/>
    </w:lvl>
  </w:abstractNum>
  <w:abstractNum w:abstractNumId="19">
    <w:nsid w:val="2817E7EC"/>
    <w:multiLevelType w:val="hybridMultilevel"/>
    <w:lvl w:ilvl="0">
      <w:lvlJc w:val="left"/>
      <w:lvlText w:val="(%1)"/>
      <w:numFmt w:val="lowerLetter"/>
      <w:start w:val="1"/>
    </w:lvl>
  </w:abstractNum>
  <w:abstractNum w:abstractNumId="20">
    <w:nsid w:val="71482545"/>
    <w:multiLevelType w:val="hybridMultilevel"/>
    <w:lvl w:ilvl="0">
      <w:lvlJc w:val="left"/>
      <w:lvlText w:val="(%1)"/>
      <w:numFmt w:val="lowerLetter"/>
      <w:start w:val="2"/>
    </w:lvl>
  </w:abstractNum>
  <w:abstractNum w:abstractNumId="21">
    <w:nsid w:val="17D78639"/>
    <w:multiLevelType w:val="hybridMultilevel"/>
    <w:lvl w:ilvl="0">
      <w:lvlJc w:val="left"/>
      <w:lvlText w:val="(%1)"/>
      <w:numFmt w:val="lowerLetter"/>
      <w:start w:val="1"/>
    </w:lvl>
  </w:abstractNum>
  <w:abstractNum w:abstractNumId="22">
    <w:nsid w:val="141D2302"/>
    <w:multiLevelType w:val="hybridMultilevel"/>
    <w:lvl w:ilvl="0">
      <w:lvlJc w:val="left"/>
      <w:lvlText w:val="(%1)"/>
      <w:numFmt w:val="lowerLetter"/>
      <w:start w:val="1"/>
    </w:lvl>
  </w:abstractNum>
  <w:abstractNum w:abstractNumId="23">
    <w:nsid w:val="407168D8"/>
    <w:multiLevelType w:val="hybridMultilevel"/>
    <w:lvl w:ilvl="0">
      <w:lvlJc w:val="left"/>
      <w:lvlText w:val="(%1)"/>
      <w:numFmt w:val="lowerLetter"/>
      <w:start w:val="1"/>
    </w:lvl>
  </w:abstractNum>
  <w:abstractNum w:abstractNumId="24">
    <w:nsid w:val="6A1B45E5"/>
    <w:multiLevelType w:val="hybridMultilevel"/>
    <w:lvl w:ilvl="0">
      <w:lvlJc w:val="left"/>
      <w:lvlText w:val="(%1)"/>
      <w:numFmt w:val="lowerLetter"/>
      <w:start w:val="5"/>
    </w:lvl>
  </w:abstractNum>
  <w:abstractNum w:abstractNumId="25">
    <w:nsid w:val="567BD50A"/>
    <w:multiLevelType w:val="hybridMultilevel"/>
    <w:lvl w:ilvl="0">
      <w:lvlJc w:val="left"/>
      <w:lvlText w:val="(%1)"/>
      <w:numFmt w:val="lowerLetter"/>
      <w:start w:val="1"/>
    </w:lvl>
  </w:abstractNum>
  <w:abstractNum w:abstractNumId="26">
    <w:nsid w:val="73BBD7F8"/>
    <w:multiLevelType w:val="hybridMultilevel"/>
    <w:lvl w:ilvl="0">
      <w:lvlJc w:val="left"/>
      <w:lvlText w:val="(%1)"/>
      <w:numFmt w:val="lowerLetter"/>
      <w:start w:val="1"/>
    </w:lvl>
  </w:abstractNum>
  <w:abstractNum w:abstractNumId="27">
    <w:nsid w:val="1876589D"/>
    <w:multiLevelType w:val="hybridMultilevel"/>
    <w:lvl w:ilvl="0">
      <w:lvlJc w:val="left"/>
      <w:lvlText w:val="(%1)"/>
      <w:numFmt w:val="lowerLetter"/>
      <w:start w:val="3"/>
    </w:lvl>
  </w:abstractNum>
  <w:abstractNum w:abstractNumId="28">
    <w:nsid w:val="327FAC77"/>
    <w:multiLevelType w:val="hybridMultilevel"/>
    <w:lvl w:ilvl="0">
      <w:lvlJc w:val="left"/>
      <w:lvlText w:val="(%1)"/>
      <w:numFmt w:val="lowerLetter"/>
      <w:start w:val="1"/>
    </w:lvl>
  </w:abstractNum>
  <w:abstractNum w:abstractNumId="29">
    <w:nsid w:val="5A606509"/>
    <w:multiLevelType w:val="hybridMultilevel"/>
    <w:lvl w:ilvl="0">
      <w:lvlJc w:val="left"/>
      <w:lvlText w:val="%1"/>
      <w:numFmt w:val="lowerLetter"/>
      <w:start w:val="1"/>
    </w:lvl>
    <w:lvl w:ilvl="1">
      <w:lvlJc w:val="left"/>
      <w:lvlText w:val="(%2)"/>
      <w:numFmt w:val="lowerLetter"/>
      <w:start w:val="2"/>
    </w:lvl>
  </w:abstractNum>
  <w:abstractNum w:abstractNumId="30">
    <w:nsid w:val="6F38E6D1"/>
    <w:multiLevelType w:val="hybridMultilevel"/>
    <w:lvl w:ilvl="0">
      <w:lvlJc w:val="left"/>
      <w:lvlText w:val="(%1)"/>
      <w:numFmt w:val="lowerLetter"/>
      <w:start w:val="9"/>
    </w:lvl>
    <w:lvl w:ilvl="1">
      <w:lvlJc w:val="left"/>
      <w:lvlText w:val="%2"/>
      <w:numFmt w:val="lowerLetter"/>
      <w:start w:val="1"/>
    </w:lvl>
  </w:abstractNum>
  <w:abstractNum w:abstractNumId="31">
    <w:nsid w:val="46111BA5"/>
    <w:multiLevelType w:val="hybridMultilevel"/>
    <w:lvl w:ilvl="0">
      <w:lvlJc w:val="left"/>
      <w:lvlText w:val="(%1)"/>
      <w:numFmt w:val="lowerLetter"/>
      <w:start w:val="1"/>
    </w:lvl>
    <w:lvl w:ilvl="1">
      <w:lvlJc w:val="left"/>
      <w:lvlText w:val="(%2)"/>
      <w:numFmt w:val="lowerRoman"/>
      <w:start w:val="1"/>
    </w:lvl>
  </w:abstractNum>
  <w:abstractNum w:abstractNumId="32">
    <w:nsid w:val="5E963896"/>
    <w:multiLevelType w:val="hybridMultilevel"/>
    <w:lvl w:ilvl="0">
      <w:lvlJc w:val="left"/>
      <w:lvlText w:val="(%1)"/>
      <w:numFmt w:val="lowerRoman"/>
      <w:start w:val="3"/>
    </w:lvl>
  </w:abstractNum>
  <w:abstractNum w:abstractNumId="33">
    <w:nsid w:val="775BA7C1"/>
    <w:multiLevelType w:val="hybridMultilevel"/>
    <w:lvl w:ilvl="0">
      <w:lvlJc w:val="left"/>
      <w:lvlText w:val="%1"/>
      <w:numFmt w:val="lowerLetter"/>
      <w:start w:val="1"/>
    </w:lvl>
    <w:lvl w:ilvl="1">
      <w:lvlJc w:val="left"/>
      <w:lvlText w:val="(%2)"/>
      <w:numFmt w:val="lowerRoman"/>
      <w:start w:val="9"/>
    </w:lvl>
  </w:abstractNum>
  <w:abstractNum w:abstractNumId="34">
    <w:nsid w:val="1DD6D6F4"/>
    <w:multiLevelType w:val="hybridMultilevel"/>
    <w:lvl w:ilvl="0">
      <w:lvlJc w:val="left"/>
      <w:lvlText w:val="(%1)"/>
      <w:numFmt w:val="lowerLetter"/>
      <w:start w:val="2"/>
    </w:lvl>
    <w:lvl w:ilvl="1">
      <w:lvlJc w:val="left"/>
      <w:lvlText w:val="(%2)"/>
      <w:numFmt w:val="lowerRoman"/>
      <w:start w:val="1"/>
    </w:lvl>
  </w:abstractNum>
  <w:abstractNum w:abstractNumId="35">
    <w:nsid w:val="769A091F"/>
    <w:multiLevelType w:val="hybridMultilevel"/>
    <w:lvl w:ilvl="0">
      <w:lvlJc w:val="left"/>
      <w:lvlText w:val="%1"/>
      <w:numFmt w:val="lowerLetter"/>
      <w:start w:val="1"/>
    </w:lvl>
    <w:lvl w:ilvl="1">
      <w:lvlJc w:val="left"/>
      <w:lvlText w:val="(%2)"/>
      <w:numFmt w:val="lowerLetter"/>
      <w:start w:val="1"/>
    </w:lvl>
  </w:abstractNum>
  <w:abstractNum w:abstractNumId="36">
    <w:nsid w:val="4695AE95"/>
    <w:multiLevelType w:val="hybridMultilevel"/>
    <w:lvl w:ilvl="0">
      <w:lvlJc w:val="left"/>
      <w:lvlText w:val="(%1)"/>
      <w:numFmt w:val="lowerLetter"/>
      <w:start w:val="9"/>
    </w:lvl>
    <w:lvl w:ilvl="1">
      <w:lvlJc w:val="left"/>
      <w:lvlText w:val="%2"/>
      <w:numFmt w:val="lowerLetter"/>
      <w:start w:val="1"/>
    </w:lvl>
  </w:abstractNum>
  <w:abstractNum w:abstractNumId="37">
    <w:nsid w:val="777A4EAA"/>
    <w:multiLevelType w:val="hybridMultilevel"/>
    <w:lvl w:ilvl="0">
      <w:lvlJc w:val="left"/>
      <w:lvlText w:val="%1"/>
      <w:numFmt w:val="lowerLetter"/>
      <w:start w:val="1"/>
    </w:lvl>
    <w:lvl w:ilvl="1">
      <w:lvlJc w:val="left"/>
      <w:lvlText w:val="(%2)"/>
      <w:numFmt w:val="lowerLetter"/>
      <w:start w:val="3"/>
    </w:lvl>
  </w:abstractNum>
  <w:abstractNum w:abstractNumId="38">
    <w:nsid w:val="3F48B982"/>
    <w:multiLevelType w:val="hybridMultilevel"/>
    <w:lvl w:ilvl="0">
      <w:lvlJc w:val="left"/>
      <w:lvlText w:val="(%1)"/>
      <w:numFmt w:val="lowerLetter"/>
      <w:start w:val="9"/>
    </w:lvl>
    <w:lvl w:ilvl="1">
      <w:lvlJc w:val="left"/>
      <w:lvlText w:val="%2"/>
      <w:numFmt w:val="lowerLetter"/>
      <w:start w:val="1"/>
    </w:lvl>
  </w:abstractNum>
  <w:abstractNum w:abstractNumId="39">
    <w:nsid w:val="46BA8FCA"/>
    <w:multiLevelType w:val="hybridMultilevel"/>
    <w:lvl w:ilvl="0">
      <w:lvlJc w:val="left"/>
      <w:lvlText w:val="(%1)"/>
      <w:numFmt w:val="lowerLetter"/>
      <w:start w:val="9"/>
    </w:lvl>
    <w:lvl w:ilvl="1">
      <w:lvlJc w:val="left"/>
      <w:lvlText w:val="(%2)"/>
      <w:numFmt w:val="lowerLetter"/>
      <w:start w:val="5"/>
    </w:lvl>
  </w:abstractNum>
  <w:abstractNum w:abstractNumId="40">
    <w:nsid w:val="7835626C"/>
    <w:multiLevelType w:val="hybridMultilevel"/>
    <w:lvl w:ilvl="0">
      <w:lvlJc w:val="left"/>
      <w:lvlText w:val="(%1)"/>
      <w:numFmt w:val="lowerLetter"/>
      <w:start w:val="6"/>
    </w:lvl>
  </w:abstractNum>
  <w:abstractNum w:abstractNumId="41">
    <w:nsid w:val="665ACA49"/>
    <w:multiLevelType w:val="hybridMultilevel"/>
    <w:lvl w:ilvl="0">
      <w:lvlJc w:val="left"/>
      <w:lvlText w:val="(%1)"/>
      <w:numFmt w:val="lowerLetter"/>
      <w:start w:val="1"/>
    </w:lvl>
  </w:abstractNum>
  <w:abstractNum w:abstractNumId="42">
    <w:nsid w:val="6835B2AE"/>
    <w:multiLevelType w:val="hybridMultilevel"/>
    <w:lvl w:ilvl="0">
      <w:lvlJc w:val="left"/>
      <w:lvlText w:val="(%1)"/>
      <w:numFmt w:val="lowerLetter"/>
      <w:start w:val="2"/>
    </w:lvl>
  </w:abstractNum>
  <w:abstractNum w:abstractNumId="43">
    <w:nsid w:val="4C187C90"/>
    <w:multiLevelType w:val="hybridMultilevel"/>
    <w:lvl w:ilvl="0">
      <w:lvlJc w:val="left"/>
      <w:lvlText w:val="(%1)"/>
      <w:numFmt w:val="lowerLetter"/>
      <w:start w:val="4"/>
    </w:lvl>
  </w:abstractNum>
  <w:abstractNum w:abstractNumId="44">
    <w:nsid w:val="541F28CD"/>
    <w:multiLevelType w:val="hybridMultilevel"/>
    <w:lvl w:ilvl="0">
      <w:lvlJc w:val="left"/>
      <w:lvlText w:val="(%1)"/>
      <w:numFmt w:val="lowerLetter"/>
      <w:start w:val="1"/>
    </w:lvl>
  </w:abstractNum>
  <w:abstractNum w:abstractNumId="45">
    <w:nsid w:val="7F65FD16"/>
    <w:multiLevelType w:val="hybridMultilevel"/>
    <w:lvl w:ilvl="0">
      <w:lvlJc w:val="left"/>
      <w:lvlText w:val="(%1)"/>
      <w:numFmt w:val="lowerLetter"/>
      <w:start w:val="2"/>
    </w:lvl>
  </w:abstractNum>
  <w:abstractNum w:abstractNumId="46">
    <w:nsid w:val="77C9FD68"/>
    <w:multiLevelType w:val="hybridMultilevel"/>
    <w:lvl w:ilvl="0">
      <w:lvlJc w:val="left"/>
      <w:lvlText w:val="(%1)"/>
      <w:numFmt w:val="lowerLetter"/>
      <w:start w:val="1"/>
    </w:lvl>
  </w:abstractNum>
  <w:abstractNum w:abstractNumId="47">
    <w:nsid w:val="298A92BA"/>
    <w:multiLevelType w:val="hybridMultilevel"/>
    <w:lvl w:ilvl="0">
      <w:lvlJc w:val="left"/>
      <w:lvlText w:val="(%1)"/>
      <w:numFmt w:val="lowerLetter"/>
      <w:start w:val="2"/>
    </w:lvl>
  </w:abstractNum>
  <w:abstractNum w:abstractNumId="48">
    <w:nsid w:val="6FE95EAC"/>
    <w:multiLevelType w:val="hybridMultilevel"/>
    <w:lvl w:ilvl="0">
      <w:lvlJc w:val="left"/>
      <w:lvlText w:val="(%1)"/>
      <w:numFmt w:val="lowerLetter"/>
      <w:start w:val="5"/>
    </w:lvl>
  </w:abstractNum>
  <w:abstractNum w:abstractNumId="49">
    <w:nsid w:val="4B697C7A"/>
    <w:multiLevelType w:val="hybridMultilevel"/>
    <w:lvl w:ilvl="0">
      <w:lvlJc w:val="left"/>
      <w:lvlText w:val="(%1)"/>
      <w:numFmt w:val="lowerLetter"/>
      <w:start w:val="1"/>
    </w:lvl>
  </w:abstractNum>
  <w:abstractNum w:abstractNumId="50">
    <w:nsid w:val="51A27AA6"/>
    <w:multiLevelType w:val="hybridMultilevel"/>
    <w:lvl w:ilvl="0">
      <w:lvlJc w:val="left"/>
      <w:lvlText w:val="(%1)"/>
      <w:numFmt w:val="lowerLetter"/>
      <w:start w:val="3"/>
    </w:lvl>
  </w:abstractNum>
  <w:abstractNum w:abstractNumId="51">
    <w:nsid w:val="613183F2"/>
    <w:multiLevelType w:val="hybridMultilevel"/>
    <w:lvl w:ilvl="0">
      <w:lvlJc w:val="left"/>
      <w:lvlText w:val="(%1)"/>
      <w:numFmt w:val="lowerLetter"/>
      <w:start w:val="1"/>
    </w:lvl>
  </w:abstractNum>
  <w:abstractNum w:abstractNumId="52">
    <w:nsid w:val="634102B4"/>
    <w:multiLevelType w:val="hybridMultilevel"/>
    <w:lvl w:ilvl="0">
      <w:lvlJc w:val="left"/>
      <w:lvlText w:val="(%1)"/>
      <w:numFmt w:val="lowerLetter"/>
      <w:start w:val="1"/>
    </w:lvl>
  </w:abstractNum>
  <w:abstractNum w:abstractNumId="53">
    <w:nsid w:val="65BF9DA8"/>
    <w:multiLevelType w:val="hybridMultilevel"/>
    <w:lvl w:ilvl="0">
      <w:lvlJc w:val="left"/>
      <w:lvlText w:val="(%1)"/>
      <w:numFmt w:val="lowerLetter"/>
      <w:start w:val="1"/>
    </w:lvl>
    <w:lvl w:ilvl="1">
      <w:lvlJc w:val="left"/>
      <w:lvlText w:val="(%2)"/>
      <w:numFmt w:val="lowerRoman"/>
      <w:start w:val="1"/>
    </w:lvl>
  </w:abstractNum>
  <w:abstractNum w:abstractNumId="54">
    <w:nsid w:val="21A2ECCA"/>
    <w:multiLevelType w:val="hybridMultilevel"/>
    <w:lvl w:ilvl="0">
      <w:lvlJc w:val="left"/>
      <w:lvlText w:val="%1"/>
      <w:numFmt w:val="lowerLetter"/>
      <w:start w:val="1"/>
    </w:lvl>
    <w:lvl w:ilvl="1">
      <w:lvlJc w:val="left"/>
      <w:lvlText w:val="(%2)"/>
      <w:numFmt w:val="lowerLetter"/>
      <w:start w:val="61"/>
    </w:lvl>
  </w:abstractNum>
  <w:abstractNum w:abstractNumId="55">
    <w:nsid w:val="4D5C4899"/>
    <w:multiLevelType w:val="hybridMultilevel"/>
    <w:lvl w:ilvl="0">
      <w:lvlJc w:val="left"/>
      <w:lvlText w:val="(%1)"/>
      <w:numFmt w:val="lowerLetter"/>
      <w:start w:val="3"/>
    </w:lvl>
    <w:lvl w:ilvl="1">
      <w:lvlJc w:val="left"/>
      <w:lvlText w:val="%2"/>
      <w:numFmt w:val="lowerLetter"/>
      <w:start w:val="1"/>
    </w:lvl>
  </w:abstractNum>
  <w:abstractNum w:abstractNumId="56">
    <w:nsid w:val="3C3B72B2"/>
    <w:multiLevelType w:val="hybridMultilevel"/>
    <w:lvl w:ilvl="0">
      <w:lvlJc w:val="left"/>
      <w:lvlText w:val="(%1)"/>
      <w:numFmt w:val="lowerLetter"/>
      <w:start w:val="1"/>
    </w:lvl>
  </w:abstractNum>
  <w:abstractNum w:abstractNumId="57">
    <w:nsid w:val="155EC4C2"/>
    <w:multiLevelType w:val="hybridMultilevel"/>
    <w:lvl w:ilvl="0">
      <w:lvlJc w:val="left"/>
      <w:lvlText w:val="(%1)"/>
      <w:numFmt w:val="lowerLetter"/>
      <w:start w:val="2"/>
    </w:lvl>
    <w:lvl w:ilvl="1">
      <w:lvlJc w:val="left"/>
      <w:lvlText w:val="(%2)"/>
      <w:numFmt w:val="lowerRoman"/>
      <w:start w:val="1"/>
    </w:lvl>
  </w:abstractNum>
  <w:abstractNum w:abstractNumId="58">
    <w:nsid w:val="65D2A137"/>
    <w:multiLevelType w:val="hybridMultilevel"/>
    <w:lvl w:ilvl="0">
      <w:lvlJc w:val="left"/>
      <w:lvlText w:val="(%1)"/>
      <w:numFmt w:val="lowerRoman"/>
      <w:start w:val="5"/>
    </w:lvl>
  </w:abstractNum>
  <w:abstractNum w:abstractNumId="59">
    <w:nsid w:val="6EBB1F2A"/>
    <w:multiLevelType w:val="hybridMultilevel"/>
    <w:lvl w:ilvl="0">
      <w:lvlJc w:val="left"/>
      <w:lvlText w:val="(%1)"/>
      <w:numFmt w:val="lowerLetter"/>
      <w:start w:val="1"/>
    </w:lvl>
  </w:abstractNum>
  <w:abstractNum w:abstractNumId="60">
    <w:nsid w:val="6FBF29CB"/>
    <w:multiLevelType w:val="hybridMultilevel"/>
    <w:lvl w:ilvl="0">
      <w:lvlJc w:val="left"/>
      <w:lvlText w:val="(%1)"/>
      <w:numFmt w:val="lowerLetter"/>
      <w:start w:val="1"/>
    </w:lvl>
  </w:abstractNum>
  <w:abstractNum w:abstractNumId="61">
    <w:nsid w:val="550B8808"/>
    <w:multiLevelType w:val="hybridMultilevel"/>
    <w:lvl w:ilvl="0">
      <w:lvlJc w:val="left"/>
      <w:lvlText w:val="(%1)"/>
      <w:numFmt w:val="lowerLetter"/>
      <w:start w:val="2"/>
    </w:lvl>
  </w:abstractNum>
  <w:abstractNum w:abstractNumId="62">
    <w:nsid w:val="34CC3ACF"/>
    <w:multiLevelType w:val="hybridMultilevel"/>
    <w:lvl w:ilvl="0">
      <w:lvlJc w:val="left"/>
      <w:lvlText w:val="(%1)"/>
      <w:numFmt w:val="lowerLetter"/>
      <w:start w:val="1"/>
    </w:lvl>
  </w:abstractNum>
  <w:abstractNum w:abstractNumId="63">
    <w:nsid w:val="4E556261"/>
    <w:multiLevelType w:val="hybridMultilevel"/>
    <w:lvl w:ilvl="0">
      <w:lvlJc w:val="left"/>
      <w:lvlText w:val="(%1)"/>
      <w:numFmt w:val="lowerLetter"/>
      <w:start w:val="2"/>
    </w:lvl>
  </w:abstractNum>
  <w:abstractNum w:abstractNumId="64">
    <w:nsid w:val="4C672FC9"/>
    <w:multiLevelType w:val="hybridMultilevel"/>
    <w:lvl w:ilvl="0">
      <w:lvlJc w:val="left"/>
      <w:lvlText w:val="(%1)"/>
      <w:numFmt w:val="lowerLetter"/>
      <w:start w:val="1"/>
    </w:lvl>
  </w:abstractNum>
  <w:abstractNum w:abstractNumId="65">
    <w:nsid w:val="52A311C3"/>
    <w:multiLevelType w:val="hybridMultilevel"/>
    <w:lvl w:ilvl="0">
      <w:lvlJc w:val="left"/>
      <w:lvlText w:val="%1."/>
      <w:numFmt w:val="decimal"/>
      <w:start w:val="1"/>
    </w:lvl>
  </w:abstractNum>
  <w:abstractNum w:abstractNumId="66">
    <w:nsid w:val="44EF6B80"/>
    <w:multiLevelType w:val="hybridMultilevel"/>
    <w:lvl w:ilvl="0">
      <w:lvlJc w:val="left"/>
      <w:lvlText w:val="%1"/>
      <w:numFmt w:val="decimal"/>
      <w:start w:val="1"/>
    </w:lvl>
    <w:lvl w:ilvl="1">
      <w:lvlJc w:val="left"/>
      <w:lvlText w:val="%2."/>
      <w:numFmt w:val="decimal"/>
      <w:start w:val="2"/>
    </w:lvl>
  </w:abstractNum>
  <w:abstractNum w:abstractNumId="67">
    <w:nsid w:val="12FCDE5E"/>
    <w:multiLevelType w:val="hybridMultilevel"/>
    <w:lvl w:ilvl="0">
      <w:lvlJc w:val="left"/>
      <w:lvlText w:val="(%1)"/>
      <w:numFmt w:val="decimal"/>
      <w:start w:val="5"/>
    </w:lvl>
    <w:lvl w:ilvl="1">
      <w:lvlJc w:val="left"/>
      <w:lvlText w:val="%2"/>
      <w:numFmt w:val="decimal"/>
      <w:start w:val="1"/>
    </w:lvl>
  </w:abstractNum>
  <w:abstractNum w:abstractNumId="68">
    <w:nsid w:val="4A1D606E"/>
    <w:multiLevelType w:val="hybridMultilevel"/>
    <w:lvl w:ilvl="0">
      <w:lvlJc w:val="left"/>
      <w:lvlText w:val="(%1)"/>
      <w:numFmt w:val="upperLetter"/>
      <w:start w:val="1"/>
    </w:lvl>
  </w:abstractNum>
  <w:abstractNum w:abstractNumId="69">
    <w:nsid w:val="4382503"/>
    <w:multiLevelType w:val="hybridMultilevel"/>
    <w:lvl w:ilvl="0">
      <w:lvlJc w:val="left"/>
      <w:lvlText w:val="%1"/>
      <w:numFmt w:val="decimal"/>
      <w:start w:val="1"/>
    </w:lvl>
    <w:lvl w:ilvl="1">
      <w:lvlJc w:val="left"/>
      <w:lvlText w:val="(%2)"/>
      <w:numFmt w:val="upperLetter"/>
      <w:start w:val="4"/>
    </w:lvl>
  </w:abstractNum>
  <w:abstractNum w:abstractNumId="70">
    <w:nsid w:val="59B76E28"/>
    <w:multiLevelType w:val="hybridMultilevel"/>
    <w:lvl w:ilvl="0">
      <w:lvlJc w:val="left"/>
      <w:lvlText w:val="(%1)"/>
      <w:numFmt w:val="decimal"/>
      <w:start w:val="4"/>
    </w:lvl>
    <w:lvl w:ilvl="1">
      <w:lvlJc w:val="left"/>
      <w:lvlText w:val="(%2)"/>
      <w:numFmt w:val="upperLetter"/>
      <w:start w:val="1"/>
    </w:lvl>
  </w:abstractNum>
  <w:abstractNum w:abstractNumId="71">
    <w:nsid w:val="4252C2DA"/>
    <w:multiLevelType w:val="hybridMultilevel"/>
    <w:lvl w:ilvl="0">
      <w:lvlJc w:val="left"/>
      <w:lvlText w:val="%1"/>
      <w:numFmt w:val="decimal"/>
      <w:start w:val="1"/>
    </w:lvl>
    <w:lvl w:ilvl="1">
      <w:lvlJc w:val="left"/>
      <w:lvlText w:val="(%2)"/>
      <w:numFmt w:val="upperLetter"/>
      <w:start w:val="3"/>
    </w:lvl>
  </w:abstractNum>
  <w:abstractNum w:abstractNumId="72">
    <w:nsid w:val="6A92EF4C"/>
    <w:multiLevelType w:val="hybridMultilevel"/>
    <w:lvl w:ilvl="0">
      <w:lvlJc w:val="left"/>
      <w:lvlText w:val="(%1)"/>
      <w:numFmt w:val="decimal"/>
      <w:start w:val="5"/>
    </w:lvl>
    <w:lvl w:ilvl="1">
      <w:lvlJc w:val="left"/>
      <w:lvlText w:val="%2"/>
      <w:numFmt w:val="upperLetter"/>
      <w:start w:val="1"/>
    </w:lvl>
  </w:abstractNum>
  <w:abstractNum w:abstractNumId="73">
    <w:nsid w:val="41ED20D7"/>
    <w:multiLevelType w:val="hybridMultilevel"/>
    <w:lvl w:ilvl="0">
      <w:lvlJc w:val="left"/>
      <w:lvlText w:val="%1."/>
      <w:numFmt w:val="decimal"/>
      <w:start w:val="3"/>
    </w:lvl>
  </w:abstractNum>
  <w:abstractNum w:abstractNumId="74">
    <w:nsid w:val="E6B3F6A"/>
    <w:multiLevelType w:val="hybridMultilevel"/>
    <w:lvl w:ilvl="0">
      <w:lvlJc w:val="left"/>
      <w:lvlText w:val="(%1)"/>
      <w:numFmt w:val="lowerLetter"/>
      <w:start w:val="1"/>
    </w:lvl>
    <w:lvl w:ilvl="1">
      <w:lvlJc w:val="left"/>
      <w:lvlText w:val="(%2)"/>
      <w:numFmt w:val="lowerRoman"/>
      <w:start w:val="1"/>
    </w:lvl>
  </w:abstractNum>
  <w:abstractNum w:abstractNumId="75">
    <w:nsid w:val="3EB21819"/>
    <w:multiLevelType w:val="hybridMultilevel"/>
    <w:lvl w:ilvl="0">
      <w:lvlJc w:val="left"/>
      <w:lvlText w:val="(%1)"/>
      <w:numFmt w:val="lowerLetter"/>
      <w:start w:val="3"/>
    </w:lvl>
  </w:abstractNum>
  <w:abstractNum w:abstractNumId="76">
    <w:nsid w:val="41531DED"/>
    <w:multiLevelType w:val="hybridMultilevel"/>
    <w:lvl w:ilvl="0">
      <w:lvlJc w:val="left"/>
      <w:lvlText w:val="1"/>
      <w:numFmt w:val="bullet"/>
      <w:start w:val="1"/>
    </w:lvl>
  </w:abstractNum>
  <w:abstractNum w:abstractNumId="77">
    <w:nsid w:val="6353CD2"/>
    <w:multiLevelType w:val="hybridMultilevel"/>
    <w:lvl w:ilvl="0">
      <w:lvlJc w:val="left"/>
      <w:lvlText w:val="2"/>
      <w:numFmt w:val="bullet"/>
      <w:start w:val="1"/>
    </w:lvl>
  </w:abstractNum>
  <w:abstractNum w:abstractNumId="78">
    <w:nsid w:val="683CAAD3"/>
    <w:multiLevelType w:val="hybridMultilevel"/>
    <w:lvl w:ilvl="0">
      <w:lvlJc w:val="left"/>
      <w:lvlText w:val="(%1)"/>
      <w:numFmt w:val="lowerLetter"/>
      <w:start w:val="1"/>
    </w:lvl>
  </w:abstractNum>
  <w:abstractNum w:abstractNumId="79">
    <w:nsid w:val="313C7C99"/>
    <w:multiLevelType w:val="hybridMultilevel"/>
    <w:lvl w:ilvl="0">
      <w:lvlJc w:val="left"/>
      <w:lvlText w:val="(%1)"/>
      <w:numFmt w:val="lowerLetter"/>
      <w:start w:val="2"/>
    </w:lvl>
  </w:abstractNum>
  <w:abstractNum w:abstractNumId="80">
    <w:nsid w:val="519EB94C"/>
    <w:multiLevelType w:val="hybridMultilevel"/>
    <w:lvl w:ilvl="0">
      <w:lvlJc w:val="left"/>
      <w:lvlText w:val="%1"/>
      <w:numFmt w:val="decimal"/>
      <w:start w:val="1"/>
    </w:lvl>
    <w:lvl w:ilvl="1">
      <w:lvlJc w:val="left"/>
      <w:lvlText w:val="(%2)"/>
      <w:numFmt w:val="lowerLetter"/>
      <w:start w:val="1"/>
    </w:lvl>
  </w:abstractNum>
  <w:abstractNum w:abstractNumId="81">
    <w:nsid w:val="39DF2579"/>
    <w:multiLevelType w:val="hybridMultilevel"/>
    <w:lvl w:ilvl="0">
      <w:lvlJc w:val="left"/>
      <w:lvlText w:val="(%1)"/>
      <w:numFmt w:val="decimal"/>
      <w:start w:val="2"/>
    </w:lvl>
    <w:lvl w:ilvl="1">
      <w:lvlJc w:val="left"/>
      <w:lvlText w:val="%2"/>
      <w:numFmt w:val="lowerLetter"/>
      <w:start w:val="1"/>
    </w:lvl>
  </w:abstractNum>
  <w:abstractNum w:abstractNumId="82">
    <w:nsid w:val="126E008B"/>
    <w:multiLevelType w:val="hybridMultilevel"/>
    <w:lvl w:ilvl="0">
      <w:lvlJc w:val="left"/>
      <w:lvlText w:val="(%1)"/>
      <w:numFmt w:val="lowerLetter"/>
      <w:start w:val="2"/>
    </w:lvl>
    <w:lvl w:ilvl="1">
      <w:lvlJc w:val="left"/>
      <w:lvlText w:val="(%2)"/>
      <w:numFmt w:val="lowerRoman"/>
      <w:start w:val="1"/>
    </w:lvl>
  </w:abstractNum>
  <w:abstractNum w:abstractNumId="83">
    <w:nsid w:val="34DFBC00"/>
    <w:multiLevelType w:val="hybridMultilevel"/>
    <w:lvl w:ilvl="0">
      <w:lvlJc w:val="left"/>
      <w:lvlText w:val="(%1)"/>
      <w:numFmt w:val="lowerRoman"/>
      <w:start w:val="3"/>
    </w:lvl>
  </w:abstractNum>
  <w:abstractNum w:abstractNumId="84">
    <w:nsid w:val="1F9EC322"/>
    <w:multiLevelType w:val="hybridMultilevel"/>
    <w:lvl w:ilvl="0">
      <w:lvlJc w:val="left"/>
      <w:lvlText w:val="(%1)"/>
      <w:numFmt w:val="lowerLetter"/>
      <w:start w:val="4"/>
    </w:lvl>
  </w:abstractNum>
  <w:abstractNum w:abstractNumId="85">
    <w:nsid w:val="3410ED56"/>
    <w:multiLevelType w:val="hybridMultilevel"/>
    <w:lvl w:ilvl="0">
      <w:lvlJc w:val="left"/>
      <w:lvlText w:val="(%1)"/>
      <w:numFmt w:val="lowerLetter"/>
      <w:start w:val="7"/>
    </w:lvl>
  </w:abstractNum>
  <w:abstractNum w:abstractNumId="86">
    <w:nsid w:val="23C049A"/>
    <w:multiLevelType w:val="hybridMultilevel"/>
    <w:lvl w:ilvl="0">
      <w:lvlJc w:val="left"/>
      <w:lvlText w:val="(%1)"/>
      <w:numFmt w:val="lowerLetter"/>
      <w:start w:val="1"/>
    </w:lvl>
  </w:abstractNum>
  <w:abstractNum w:abstractNumId="87">
    <w:nsid w:val="5BDA35D4"/>
    <w:multiLevelType w:val="hybridMultilevel"/>
    <w:lvl w:ilvl="0">
      <w:lvlJc w:val="left"/>
      <w:lvlText w:val="(%1)"/>
      <w:numFmt w:val="lowerRoman"/>
      <w:start w:val="1"/>
    </w:lvl>
  </w:abstractNum>
  <w:abstractNum w:abstractNumId="88">
    <w:nsid w:val="496FB218"/>
    <w:multiLevelType w:val="hybridMultilevel"/>
    <w:lvl w:ilvl="0">
      <w:lvlJc w:val="left"/>
      <w:lvlText w:val="%1"/>
      <w:numFmt w:val="lowerLetter"/>
      <w:start w:val="1"/>
    </w:lvl>
    <w:lvl w:ilvl="1">
      <w:lvlJc w:val="left"/>
      <w:lvlText w:val="(%2)"/>
      <w:numFmt w:val="lowerRoman"/>
      <w:start w:val="3"/>
    </w:lvl>
  </w:abstractNum>
  <w:abstractNum w:abstractNumId="89">
    <w:nsid w:val="680EA5D1"/>
    <w:multiLevelType w:val="hybridMultilevel"/>
    <w:lvl w:ilvl="0">
      <w:lvlJc w:val="left"/>
      <w:lvlText w:val="(%1)"/>
      <w:numFmt w:val="lowerLetter"/>
      <w:start w:val="3"/>
    </w:lvl>
    <w:lvl w:ilvl="1">
      <w:lvlJc w:val="left"/>
      <w:lvlText w:val="(%2)"/>
      <w:numFmt w:val="lowerRoman"/>
      <w:start w:val="1"/>
    </w:lvl>
  </w:abstractNum>
  <w:abstractNum w:abstractNumId="90">
    <w:nsid w:val="4A9554FE"/>
    <w:multiLevelType w:val="hybridMultilevel"/>
    <w:lvl w:ilvl="0">
      <w:lvlJc w:val="left"/>
      <w:lvlText w:val="%1"/>
      <w:numFmt w:val="lowerLetter"/>
      <w:start w:val="1"/>
    </w:lvl>
    <w:lvl w:ilvl="1">
      <w:lvlJc w:val="left"/>
      <w:lvlText w:val="(%2)"/>
      <w:numFmt w:val="lowerLetter"/>
      <w:start w:val="61"/>
    </w:lvl>
  </w:abstractNum>
  <w:abstractNum w:abstractNumId="91">
    <w:nsid w:val="392EDBE4"/>
    <w:multiLevelType w:val="hybridMultilevel"/>
    <w:lvl w:ilvl="0">
      <w:lvlJc w:val="left"/>
      <w:lvlText w:val="(%1)"/>
      <w:numFmt w:val="lowerLetter"/>
      <w:start w:val="4"/>
    </w:lvl>
    <w:lvl w:ilvl="1">
      <w:lvlJc w:val="left"/>
      <w:lvlText w:val="%2"/>
      <w:numFmt w:val="lowerLetter"/>
      <w:start w:val="1"/>
    </w:lvl>
  </w:abstractNum>
  <w:abstractNum w:abstractNumId="92">
    <w:nsid w:val="3D1A2DD9"/>
    <w:multiLevelType w:val="hybridMultilevel"/>
    <w:lvl w:ilvl="0">
      <w:lvlJc w:val="left"/>
      <w:lvlText w:val="(%1)"/>
      <w:numFmt w:val="lowerLetter"/>
      <w:start w:val="7"/>
    </w:lvl>
  </w:abstractNum>
  <w:abstractNum w:abstractNumId="93">
    <w:nsid w:val="7F618FCD"/>
    <w:multiLevelType w:val="hybridMultilevel"/>
    <w:lvl w:ilvl="0">
      <w:lvlJc w:val="left"/>
      <w:lvlText w:val="(%1)"/>
      <w:numFmt w:val="lowerLetter"/>
      <w:start w:val="9"/>
    </w:lvl>
  </w:abstractNum>
  <w:abstractNum w:abstractNumId="94">
    <w:nsid w:val="7843E45"/>
    <w:multiLevelType w:val="hybridMultilevel"/>
    <w:lvl w:ilvl="0">
      <w:lvlJc w:val="left"/>
      <w:lvlText w:val="3"/>
      <w:numFmt w:val="bullet"/>
      <w:start w:val="1"/>
    </w:lvl>
  </w:abstractNum>
  <w:abstractNum w:abstractNumId="95">
    <w:nsid w:val="9815DA3"/>
    <w:multiLevelType w:val="hybridMultilevel"/>
    <w:lvl w:ilvl="0">
      <w:lvlJc w:val="left"/>
      <w:lvlText w:val="4"/>
      <w:numFmt w:val="bullet"/>
      <w:start w:val="1"/>
    </w:lvl>
  </w:abstractNum>
  <w:abstractNum w:abstractNumId="96">
    <w:nsid w:val="5204A191"/>
    <w:multiLevelType w:val="hybridMultilevel"/>
    <w:lvl w:ilvl="0">
      <w:lvlJc w:val="left"/>
      <w:lvlText w:val="(%1)"/>
      <w:numFmt w:val="lowerLetter"/>
      <w:start w:val="1"/>
    </w:lvl>
  </w:abstractNum>
  <w:abstractNum w:abstractNumId="97">
    <w:nsid w:val="4C73A9C6"/>
    <w:multiLevelType w:val="hybridMultilevel"/>
    <w:lvl w:ilvl="0">
      <w:lvlJc w:val="left"/>
      <w:lvlText w:val="(%1)"/>
      <w:numFmt w:val="lowerLetter"/>
      <w:start w:val="2"/>
    </w:lvl>
  </w:abstractNum>
  <w:abstractNum w:abstractNumId="98">
    <w:nsid w:val="1C7E3C01"/>
    <w:multiLevelType w:val="hybridMultilevel"/>
    <w:lvl w:ilvl="0">
      <w:lvlJc w:val="left"/>
      <w:lvlText w:val="%1."/>
      <w:numFmt w:val="decimal"/>
      <w:start w:val="1"/>
    </w:lvl>
  </w:abstractNum>
  <w:abstractNum w:abstractNumId="99">
    <w:nsid w:val="1C2201FF"/>
    <w:multiLevelType w:val="hybridMultilevel"/>
    <w:lvl w:ilvl="0">
      <w:lvlJc w:val="left"/>
      <w:lvlText w:val="(%1)"/>
      <w:numFmt w:val="lowerRoman"/>
      <w:start w:val="1"/>
    </w:lvl>
  </w:abstractNum>
  <w:abstractNum w:abstractNumId="100">
    <w:nsid w:val="50ABCEC9"/>
    <w:multiLevelType w:val="hybridMultilevel"/>
    <w:lvl w:ilvl="0">
      <w:lvlJc w:val="left"/>
      <w:lvlText w:val="(%1)"/>
      <w:numFmt w:val="lowerLetter"/>
      <w:start w:val="1"/>
    </w:lvl>
    <w:lvl w:ilvl="1">
      <w:lvlJc w:val="left"/>
      <w:lvlText w:val="(%2)"/>
      <w:numFmt w:val="lowerLetter"/>
      <w:start w:val="9"/>
    </w:lvl>
  </w:abstractNum>
  <w:abstractNum w:abstractNumId="101">
    <w:nsid w:val="7635AA2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02">
    <w:nsid w:val="5E74C4D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03">
    <w:nsid w:val="3B3EBE15"/>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104">
    <w:nsid w:val="3822CB01"/>
    <w:multiLevelType w:val="hybridMultilevel"/>
    <w:lvl w:ilvl="0">
      <w:lvlJc w:val="left"/>
      <w:lvlText w:val="(%1)"/>
      <w:numFmt w:val="lowerLetter"/>
      <w:start w:val="1"/>
    </w:lvl>
  </w:abstractNum>
  <w:abstractNum w:abstractNumId="105">
    <w:nsid w:val="6CE00443"/>
    <w:multiLevelType w:val="hybridMultilevel"/>
    <w:lvl w:ilvl="0">
      <w:lvlJc w:val="left"/>
      <w:lvlText w:val="(%1)"/>
      <w:numFmt w:val="lowerLetter"/>
      <w:start w:val="1"/>
    </w:lvl>
  </w:abstractNum>
  <w:abstractNum w:abstractNumId="106">
    <w:nsid w:val="79F0D62F"/>
    <w:multiLevelType w:val="hybridMultilevel"/>
    <w:lvl w:ilvl="0">
      <w:lvlJc w:val="left"/>
      <w:lvlText w:val="%1"/>
      <w:numFmt w:val="lowerRoman"/>
      <w:start w:val="1"/>
    </w:lvl>
    <w:lvl w:ilvl="1">
      <w:lvlJc w:val="left"/>
      <w:lvlText w:val="(%2)"/>
      <w:numFmt w:val="lowerLetter"/>
      <w:start w:val="1"/>
    </w:lvl>
  </w:abstractNum>
  <w:abstractNum w:abstractNumId="107">
    <w:nsid w:val="7975E8EE"/>
    <w:multiLevelType w:val="hybridMultilevel"/>
    <w:lvl w:ilvl="0">
      <w:lvlJc w:val="left"/>
      <w:lvlText w:val="(%1)"/>
      <w:numFmt w:val="lowerRoman"/>
      <w:start w:val="4"/>
    </w:lvl>
    <w:lvl w:ilvl="1">
      <w:lvlJc w:val="left"/>
      <w:lvlText w:val="%2"/>
      <w:numFmt w:val="lowerLetter"/>
      <w:start w:val="1"/>
    </w:lvl>
  </w:abstractNum>
  <w:abstractNum w:abstractNumId="108">
    <w:nsid w:val="73154115"/>
    <w:multiLevelType w:val="hybridMultilevel"/>
    <w:lvl w:ilvl="0">
      <w:lvlJc w:val="left"/>
      <w:lvlText w:val="(%1)"/>
      <w:numFmt w:val="lowerLetter"/>
      <w:start w:val="1"/>
    </w:lvl>
  </w:abstractNum>
  <w:abstractNum w:abstractNumId="109">
    <w:nsid w:val="622D8102"/>
    <w:multiLevelType w:val="hybridMultilevel"/>
    <w:lvl w:ilvl="0">
      <w:lvlJc w:val="left"/>
      <w:lvlText w:val="(%1)"/>
      <w:numFmt w:val="lowerLetter"/>
      <w:start w:val="8"/>
    </w:lvl>
  </w:abstractNum>
  <w:abstractNum w:abstractNumId="110">
    <w:nsid w:val="2AB26587"/>
    <w:multiLevelType w:val="hybridMultilevel"/>
    <w:lvl w:ilvl="0">
      <w:lvlJc w:val="left"/>
      <w:lvlText w:val="(%1)"/>
      <w:numFmt w:val="lowerLetter"/>
      <w:start w:val="1"/>
    </w:lvl>
  </w:abstractNum>
  <w:abstractNum w:abstractNumId="111">
    <w:nsid w:val="44B3FA61"/>
    <w:multiLevelType w:val="hybridMultilevel"/>
    <w:lvl w:ilvl="0">
      <w:lvlJc w:val="left"/>
      <w:lvlText w:val="(%1)"/>
      <w:numFmt w:val="lowerLetter"/>
      <w:start w:val="3"/>
    </w:lvl>
  </w:abstractNum>
  <w:abstractNum w:abstractNumId="112">
    <w:nsid w:val="1C0CA67C"/>
    <w:multiLevelType w:val="hybridMultilevel"/>
    <w:lvl w:ilvl="0">
      <w:lvlJc w:val="left"/>
      <w:lvlText w:val="(%1)"/>
      <w:numFmt w:val="lowerLetter"/>
      <w:start w:val="8"/>
    </w:lvl>
  </w:abstractNum>
  <w:abstractNum w:abstractNumId="113">
    <w:nsid w:val="3D206613"/>
    <w:multiLevelType w:val="hybridMultilevel"/>
    <w:lvl w:ilvl="0">
      <w:lvlJc w:val="left"/>
      <w:lvlText w:val="(%1)"/>
      <w:numFmt w:val="lowerLetter"/>
      <w:start w:val="1"/>
    </w:lvl>
  </w:abstractNum>
  <w:abstractNum w:abstractNumId="114">
    <w:nsid w:val="7993B662"/>
    <w:multiLevelType w:val="hybridMultilevel"/>
    <w:lvl w:ilvl="0">
      <w:lvlJc w:val="left"/>
      <w:lvlText w:val="(%1)"/>
      <w:numFmt w:val="lowerLetter"/>
      <w:start w:val="2"/>
    </w:lvl>
  </w:abstractNum>
  <w:abstractNum w:abstractNumId="115">
    <w:nsid w:val="3BAB699E"/>
    <w:multiLevelType w:val="hybridMultilevel"/>
    <w:lvl w:ilvl="0">
      <w:lvlJc w:val="left"/>
      <w:lvlText w:val="(%1)"/>
      <w:numFmt w:val="lowerLetter"/>
      <w:start w:val="1"/>
    </w:lvl>
  </w:abstractNum>
  <w:abstractNum w:abstractNumId="116">
    <w:nsid w:val="71315369"/>
    <w:multiLevelType w:val="hybridMultilevel"/>
    <w:lvl w:ilvl="0">
      <w:lvlJc w:val="left"/>
      <w:lvlText w:val="(%1)"/>
      <w:numFmt w:val="lowerLetter"/>
      <w:start w:val="1"/>
    </w:lvl>
  </w:abstractNum>
  <w:abstractNum w:abstractNumId="117">
    <w:nsid w:val="7BCFBAFC"/>
    <w:multiLevelType w:val="hybridMultilevel"/>
    <w:lvl w:ilvl="0">
      <w:lvlJc w:val="left"/>
      <w:lvlText w:val="(%1)"/>
      <w:numFmt w:val="lowerLetter"/>
      <w:start w:val="1"/>
    </w:lvl>
    <w:lvl w:ilvl="1">
      <w:lvlJc w:val="left"/>
      <w:lvlText w:val="(%2)"/>
      <w:numFmt w:val="lowerRoman"/>
      <w:start w:val="1"/>
    </w:lvl>
  </w:abstractNum>
  <w:abstractNum w:abstractNumId="118">
    <w:nsid w:val="17859F72"/>
    <w:multiLevelType w:val="hybridMultilevel"/>
    <w:lvl w:ilvl="0">
      <w:lvlJc w:val="left"/>
      <w:lvlText w:val="(%1)"/>
      <w:numFmt w:val="lowerLetter"/>
      <w:start w:val="2"/>
    </w:lvl>
  </w:abstractNum>
  <w:abstractNum w:abstractNumId="119">
    <w:nsid w:val="3AA10581"/>
    <w:multiLevelType w:val="hybridMultilevel"/>
    <w:lvl w:ilvl="0">
      <w:lvlJc w:val="left"/>
      <w:lvlText w:val="(%1)"/>
      <w:numFmt w:val="lowerLetter"/>
      <w:start w:val="1"/>
    </w:lvl>
  </w:abstractNum>
  <w:abstractNum w:abstractNumId="120">
    <w:nsid w:val="63DE60CD"/>
    <w:multiLevelType w:val="hybridMultilevel"/>
    <w:lvl w:ilvl="0">
      <w:lvlJc w:val="left"/>
      <w:lvlText w:val="(%1)"/>
      <w:numFmt w:val="lowerLetter"/>
      <w:start w:val="2"/>
    </w:lvl>
  </w:abstractNum>
  <w:abstractNum w:abstractNumId="121">
    <w:nsid w:val="621AF471"/>
    <w:multiLevelType w:val="hybridMultilevel"/>
    <w:lvl w:ilvl="0">
      <w:lvlJc w:val="left"/>
      <w:lvlText w:val="(%1)"/>
      <w:numFmt w:val="lowerLetter"/>
      <w:start w:val="1"/>
    </w:lvl>
  </w:abstractNum>
  <w:abstractNum w:abstractNumId="122">
    <w:nsid w:val="73CFE165"/>
    <w:multiLevelType w:val="hybridMultilevel"/>
    <w:lvl w:ilvl="0">
      <w:lvlJc w:val="left"/>
      <w:lvlText w:val="(%1)"/>
      <w:numFmt w:val="lowerLetter"/>
      <w:start w:val="6"/>
    </w:lvl>
  </w:abstractNum>
  <w:abstractNum w:abstractNumId="123">
    <w:nsid w:val="20F88EA6"/>
    <w:multiLevelType w:val="hybridMultilevel"/>
    <w:lvl w:ilvl="0">
      <w:lvlJc w:val="left"/>
      <w:lvlText w:val="%1"/>
      <w:numFmt w:val="lowerLetter"/>
      <w:start w:val="1"/>
    </w:lvl>
    <w:lvl w:ilvl="1">
      <w:lvlJc w:val="left"/>
      <w:lvlText w:val="(%2)"/>
      <w:numFmt w:val="lowerLetter"/>
      <w:start w:val="1"/>
    </w:lvl>
  </w:abstractNum>
  <w:abstractNum w:abstractNumId="124">
    <w:nsid w:val="617C843E"/>
    <w:multiLevelType w:val="hybridMultilevel"/>
    <w:lvl w:ilvl="0">
      <w:lvlJc w:val="left"/>
      <w:lvlText w:val="(%1)"/>
      <w:numFmt w:val="lowerLetter"/>
      <w:start w:val="9"/>
    </w:lvl>
    <w:lvl w:ilvl="1">
      <w:lvlJc w:val="left"/>
      <w:lvlText w:val="(%2)"/>
      <w:numFmt w:val="lowerLetter"/>
      <w:start w:val="2"/>
    </w:lvl>
  </w:abstractNum>
  <w:abstractNum w:abstractNumId="125">
    <w:nsid w:val="7B541FAB"/>
    <w:multiLevelType w:val="hybridMultilevel"/>
    <w:lvl w:ilvl="0">
      <w:lvlJc w:val="left"/>
      <w:lvlText w:val="(%1)"/>
      <w:numFmt w:val="lowerLetter"/>
      <w:start w:val="4"/>
    </w:lvl>
  </w:abstractNum>
  <w:abstractNum w:abstractNumId="126">
    <w:nsid w:val="2A79EC49"/>
    <w:multiLevelType w:val="hybridMultilevel"/>
    <w:lvl w:ilvl="0">
      <w:lvlJc w:val="left"/>
      <w:lvlText w:val="(%1)"/>
      <w:numFmt w:val="lowerLetter"/>
      <w:start w:val="1"/>
    </w:lvl>
  </w:abstractNum>
  <w:abstractNum w:abstractNumId="127">
    <w:nsid w:val="338125CF"/>
    <w:multiLevelType w:val="hybridMultilevel"/>
    <w:lvl w:ilvl="0">
      <w:lvlJc w:val="left"/>
      <w:lvlText w:val="(%1)"/>
      <w:numFmt w:val="lowerLetter"/>
      <w:start w:val="1"/>
    </w:lvl>
  </w:abstractNum>
  <w:abstractNum w:abstractNumId="128">
    <w:nsid w:val="47C7C971"/>
    <w:multiLevelType w:val="hybridMultilevel"/>
    <w:lvl w:ilvl="0">
      <w:lvlJc w:val="left"/>
      <w:lvlText w:val="(%1)"/>
      <w:numFmt w:val="lowerLetter"/>
      <w:start w:val="3"/>
    </w:lvl>
  </w:abstractNum>
  <w:abstractNum w:abstractNumId="129">
    <w:nsid w:val="46F8284B"/>
    <w:multiLevelType w:val="hybridMultilevel"/>
    <w:lvl w:ilvl="0">
      <w:lvlJc w:val="left"/>
      <w:lvlText w:val="(%1)"/>
      <w:numFmt w:val="lowerLetter"/>
      <w:start w:val="1"/>
    </w:lvl>
  </w:abstractNum>
  <w:abstractNum w:abstractNumId="130">
    <w:nsid w:val="4FA327CE"/>
    <w:multiLevelType w:val="hybridMultilevel"/>
    <w:lvl w:ilvl="0">
      <w:lvlJc w:val="left"/>
      <w:lvlText w:val="(%1)"/>
      <w:numFmt w:val="lowerLetter"/>
      <w:start w:val="2"/>
    </w:lvl>
  </w:abstractNum>
  <w:abstractNum w:abstractNumId="131">
    <w:nsid w:val="1873983A"/>
    <w:multiLevelType w:val="hybridMultilevel"/>
    <w:lvl w:ilvl="0">
      <w:lvlJc w:val="left"/>
      <w:lvlText w:val="(%1)"/>
      <w:numFmt w:val="lowerLetter"/>
      <w:start w:val="3"/>
    </w:lvl>
  </w:abstractNum>
  <w:abstractNum w:abstractNumId="132">
    <w:nsid w:val="3D2DD275"/>
    <w:multiLevelType w:val="hybridMultilevel"/>
    <w:lvl w:ilvl="0">
      <w:lvlJc w:val="left"/>
      <w:lvlText w:val="(%1)"/>
      <w:numFmt w:val="lowerLetter"/>
      <w:start w:val="1"/>
    </w:lvl>
  </w:abstractNum>
  <w:abstractNum w:abstractNumId="133">
    <w:nsid w:val="2E17ECA7"/>
    <w:multiLevelType w:val="hybridMultilevel"/>
    <w:lvl w:ilvl="0">
      <w:lvlJc w:val="left"/>
      <w:lvlText w:val="(%1)"/>
      <w:numFmt w:val="lowerLetter"/>
      <w:start w:val="1"/>
    </w:lvl>
  </w:abstractNum>
  <w:abstractNum w:abstractNumId="134">
    <w:nsid w:val="53B2564F"/>
    <w:multiLevelType w:val="hybridMultilevel"/>
    <w:lvl w:ilvl="0">
      <w:lvlJc w:val="left"/>
      <w:lvlText w:val="(%1)"/>
      <w:numFmt w:val="lowerLetter"/>
      <w:start w:val="3"/>
    </w:lvl>
  </w:abstractNum>
  <w:abstractNum w:abstractNumId="135">
    <w:nsid w:val="75509D76"/>
    <w:multiLevelType w:val="hybridMultilevel"/>
    <w:lvl w:ilvl="0">
      <w:lvlJc w:val="left"/>
      <w:lvlText w:val="(%1)"/>
      <w:numFmt w:val="lowerLetter"/>
      <w:start w:val="1"/>
    </w:lvl>
  </w:abstractNum>
  <w:abstractNum w:abstractNumId="136">
    <w:nsid w:val="1AF7F0EA"/>
    <w:multiLevelType w:val="hybridMultilevel"/>
    <w:lvl w:ilvl="0">
      <w:lvlJc w:val="left"/>
      <w:lvlText w:val="·"/>
      <w:numFmt w:val="bullet"/>
      <w:start w:val="1"/>
    </w:lvl>
  </w:abstractNum>
  <w:abstractNum w:abstractNumId="137">
    <w:nsid w:val="4DA32C7E"/>
    <w:multiLevelType w:val="hybridMultilevel"/>
    <w:lvl w:ilvl="0">
      <w:lvlJc w:val="left"/>
      <w:lvlText w:val="A"/>
      <w:numFmt w:val="bullet"/>
      <w:start w:val="1"/>
    </w:lvl>
  </w:abstractNum>
  <w:abstractNum w:abstractNumId="138">
    <w:nsid w:val="6EC68664"/>
    <w:multiLevelType w:val="hybridMultilevel"/>
    <w:lvl w:ilvl="0">
      <w:lvlJc w:val="left"/>
      <w:lvlText w:val="B"/>
      <w:numFmt w:val="bullet"/>
      <w:start w:val="1"/>
    </w:lvl>
  </w:abstractNum>
  <w:abstractNum w:abstractNumId="139">
    <w:nsid w:val="E0D31FF"/>
    <w:multiLevelType w:val="hybridMultilevel"/>
    <w:lvl w:ilvl="0">
      <w:lvlJc w:val="left"/>
      <w:lvlText w:val="C"/>
      <w:numFmt w:val="bullet"/>
      <w:start w:val="1"/>
    </w:lvl>
  </w:abstractNum>
  <w:abstractNum w:abstractNumId="140">
    <w:nsid w:val="2FD0AD81"/>
    <w:multiLevelType w:val="hybridMultilevel"/>
    <w:lvl w:ilvl="0">
      <w:lvlJc w:val="left"/>
      <w:lvlText w:val="D"/>
      <w:numFmt w:val="bullet"/>
      <w:start w:val="1"/>
    </w:lvl>
  </w:abstractNum>
  <w:abstractNum w:abstractNumId="141">
    <w:nsid w:val="1978EBEB"/>
    <w:multiLevelType w:val="hybridMultilevel"/>
    <w:lvl w:ilvl="0">
      <w:lvlJc w:val="left"/>
      <w:lvlText w:val="E"/>
      <w:numFmt w:val="bullet"/>
      <w:start w:val="1"/>
    </w:lvl>
  </w:abstractNum>
  <w:abstractNum w:abstractNumId="142">
    <w:nsid w:val="52C12C61"/>
    <w:multiLevelType w:val="hybridMultilevel"/>
    <w:lvl w:ilvl="0">
      <w:lvlJc w:val="left"/>
      <w:lvlText w:val="F"/>
      <w:numFmt w:val="bullet"/>
      <w:start w:val="1"/>
    </w:lvl>
  </w:abstractNum>
  <w:abstractNum w:abstractNumId="143">
    <w:nsid w:val="4BDD53FD"/>
    <w:multiLevelType w:val="hybridMultilevel"/>
    <w:lvl w:ilvl="0">
      <w:lvlJc w:val="left"/>
      <w:lvlText w:val="G"/>
      <w:numFmt w:val="bullet"/>
      <w:start w:val="1"/>
    </w:lvl>
  </w:abstractNum>
  <w:abstractNum w:abstractNumId="144">
    <w:nsid w:val="569951FE"/>
    <w:multiLevelType w:val="hybridMultilevel"/>
    <w:lvl w:ilvl="0">
      <w:lvlJc w:val="left"/>
      <w:lvlText w:val="I"/>
      <w:numFmt w:val="bullet"/>
      <w:start w:val="1"/>
    </w:lvl>
  </w:abstractNum>
  <w:abstractNum w:abstractNumId="145">
    <w:nsid w:val="4C54E2C3"/>
    <w:multiLevelType w:val="hybridMultilevel"/>
    <w:lvl w:ilvl="0">
      <w:lvlJc w:val="left"/>
      <w:lvlText w:val="(%1)"/>
      <w:numFmt w:val="lowerLetter"/>
      <w:start w:val="1"/>
    </w:lvl>
  </w:abstractNum>
  <w:abstractNum w:abstractNumId="146">
    <w:nsid w:val="788BD9B"/>
    <w:multiLevelType w:val="hybridMultilevel"/>
    <w:lvl w:ilvl="0">
      <w:lvlJc w:val="left"/>
      <w:lvlText w:val="(%1)"/>
      <w:numFmt w:val="lowerLetter"/>
      <w:start w:val="2"/>
    </w:lvl>
  </w:abstractNum>
  <w:abstractNum w:abstractNumId="147">
    <w:nsid w:val="47CAA567"/>
    <w:multiLevelType w:val="hybridMultilevel"/>
    <w:lvl w:ilvl="0">
      <w:lvlJc w:val="left"/>
      <w:lvlText w:val="(%1)"/>
      <w:numFmt w:val="lowerLetter"/>
      <w:start w:val="1"/>
    </w:lvl>
  </w:abstractNum>
  <w:abstractNum w:abstractNumId="148">
    <w:nsid w:val="48249DBF"/>
    <w:multiLevelType w:val="hybridMultilevel"/>
    <w:lvl w:ilvl="0">
      <w:lvlJc w:val="left"/>
      <w:lvlText w:val="(%1)"/>
      <w:numFmt w:val="lowerRoman"/>
      <w:start w:val="10"/>
    </w:lvl>
  </w:abstractNum>
  <w:abstractNum w:abstractNumId="149">
    <w:nsid w:val="1F0E5D0D"/>
    <w:multiLevelType w:val="hybridMultilevel"/>
    <w:lvl w:ilvl="0">
      <w:lvlJc w:val="left"/>
      <w:lvlText w:val="(%1)"/>
      <w:numFmt w:val="lowerLetter"/>
      <w:start w:val="1"/>
    </w:lvl>
  </w:abstractNum>
  <w:abstractNum w:abstractNumId="150">
    <w:nsid w:val="26BAAE9"/>
    <w:multiLevelType w:val="hybridMultilevel"/>
    <w:lvl w:ilvl="0">
      <w:lvlJc w:val="left"/>
      <w:lvlText w:val="(%1)"/>
      <w:numFmt w:val="lowerRoman"/>
      <w:start w:val="1"/>
    </w:lvl>
  </w:abstractNum>
  <w:abstractNum w:abstractNumId="151">
    <w:nsid w:val="2C02FE8C"/>
    <w:multiLevelType w:val="hybridMultilevel"/>
    <w:lvl w:ilvl="0">
      <w:lvlJc w:val="left"/>
      <w:lvlText w:val="1"/>
      <w:numFmt w:val="bullet"/>
      <w:start w:val="1"/>
    </w:lvl>
  </w:abstractNum>
  <w:abstractNum w:abstractNumId="152">
    <w:nsid w:val="129517E"/>
    <w:multiLevelType w:val="hybridMultilevel"/>
    <w:lvl w:ilvl="0">
      <w:lvlJc w:val="left"/>
      <w:lvlText w:val="(%1)"/>
      <w:numFmt w:val="lowerLetter"/>
      <w:start w:val="2"/>
    </w:lvl>
  </w:abstractNum>
  <w:abstractNum w:abstractNumId="153">
    <w:nsid w:val="763B8C4E"/>
    <w:multiLevelType w:val="hybridMultilevel"/>
    <w:lvl w:ilvl="0">
      <w:lvlJc w:val="left"/>
      <w:lvlText w:val="(%1)"/>
      <w:numFmt w:val="lowerLetter"/>
      <w:start w:val="1"/>
    </w:lvl>
  </w:abstractNum>
  <w:abstractNum w:abstractNumId="154">
    <w:nsid w:val="4CFB8D32"/>
    <w:multiLevelType w:val="hybridMultilevel"/>
    <w:lvl w:ilvl="0">
      <w:lvlJc w:val="left"/>
      <w:lvlText w:val="(%1)"/>
      <w:numFmt w:val="lowerLetter"/>
      <w:start w:val="2"/>
    </w:lvl>
  </w:abstractNum>
  <w:abstractNum w:abstractNumId="155">
    <w:nsid w:val="62A5D5BD"/>
    <w:multiLevelType w:val="hybridMultilevel"/>
    <w:lvl w:ilvl="0">
      <w:lvlJc w:val="left"/>
      <w:lvlText w:val="(%1)"/>
      <w:numFmt w:val="lowerLetter"/>
      <w:start w:val="9"/>
    </w:lvl>
  </w:abstractNum>
  <w:abstractNum w:abstractNumId="156">
    <w:nsid w:val="718FABF9"/>
    <w:multiLevelType w:val="hybridMultilevel"/>
    <w:lvl w:ilvl="0">
      <w:lvlJc w:val="left"/>
      <w:lvlText w:val="(%1)"/>
      <w:numFmt w:val="lowerLetter"/>
      <w:start w:val="1"/>
    </w:lvl>
  </w:abstractNum>
  <w:abstractNum w:abstractNumId="157">
    <w:nsid w:val="7775797C"/>
    <w:multiLevelType w:val="hybridMultilevel"/>
    <w:lvl w:ilvl="0">
      <w:lvlJc w:val="left"/>
      <w:lvlText w:val="(%1)"/>
      <w:numFmt w:val="lowerLetter"/>
      <w:start w:val="4"/>
    </w:lvl>
  </w:abstractNum>
  <w:abstractNum w:abstractNumId="158">
    <w:nsid w:val="1626FB8C"/>
    <w:multiLevelType w:val="hybridMultilevel"/>
    <w:lvl w:ilvl="0">
      <w:lvlJc w:val="left"/>
      <w:lvlText w:val="(%1)"/>
      <w:numFmt w:val="lowerLetter"/>
      <w:start w:val="1"/>
    </w:lvl>
  </w:abstractNum>
  <w:abstractNum w:abstractNumId="159">
    <w:nsid w:val="3957756A"/>
    <w:multiLevelType w:val="hybridMultilevel"/>
    <w:lvl w:ilvl="0">
      <w:lvlJc w:val="left"/>
      <w:lvlText w:val="(%1)"/>
      <w:numFmt w:val="lowerLetter"/>
      <w:start w:val="6"/>
    </w:lvl>
  </w:abstractNum>
  <w:abstractNum w:abstractNumId="160">
    <w:nsid w:val="3E6DA1C7"/>
    <w:multiLevelType w:val="hybridMultilevel"/>
    <w:lvl w:ilvl="0">
      <w:lvlJc w:val="left"/>
      <w:lvlText w:val="(%1)"/>
      <w:numFmt w:val="lowerLetter"/>
      <w:start w:val="1"/>
    </w:lvl>
  </w:abstractNum>
  <w:abstractNum w:abstractNumId="161">
    <w:nsid w:val="65CA235B"/>
    <w:multiLevelType w:val="hybridMultilevel"/>
    <w:lvl w:ilvl="0">
      <w:lvlJc w:val="left"/>
      <w:lvlText w:val="(%1)"/>
      <w:numFmt w:val="lowerRoman"/>
      <w:start w:val="1"/>
    </w:lvl>
  </w:abstractNum>
  <w:abstractNum w:abstractNumId="162">
    <w:nsid w:val="51CB0DA4"/>
    <w:multiLevelType w:val="hybridMultilevel"/>
    <w:lvl w:ilvl="0">
      <w:lvlJc w:val="left"/>
      <w:lvlText w:val="(%1)"/>
      <w:numFmt w:val="lowerLetter"/>
      <w:start w:val="1"/>
    </w:lvl>
  </w:abstractNum>
  <w:abstractNum w:abstractNumId="163">
    <w:nsid w:val="7B9B743C"/>
    <w:multiLevelType w:val="hybridMultilevel"/>
    <w:lvl w:ilvl="0">
      <w:lvlJc w:val="left"/>
      <w:lvlText w:val="(%1)"/>
      <w:numFmt w:val="lowerLetter"/>
      <w:start w:val="1"/>
    </w:lvl>
  </w:abstractNum>
  <w:abstractNum w:abstractNumId="164">
    <w:nsid w:val="13E21002"/>
    <w:multiLevelType w:val="hybridMultilevel"/>
    <w:lvl w:ilvl="0">
      <w:lvlJc w:val="left"/>
      <w:lvlText w:val="%1"/>
      <w:numFmt w:val="lowerLetter"/>
      <w:start w:val="1"/>
    </w:lvl>
    <w:lvl w:ilvl="1">
      <w:lvlJc w:val="left"/>
      <w:lvlText w:val="(%2)"/>
      <w:numFmt w:val="lowerLetter"/>
      <w:start w:val="2"/>
    </w:lvl>
  </w:abstractNum>
  <w:abstractNum w:abstractNumId="165">
    <w:nsid w:val="257D63F4"/>
    <w:multiLevelType w:val="hybridMultilevel"/>
    <w:lvl w:ilvl="0">
      <w:lvlJc w:val="left"/>
      <w:lvlText w:val="(%1)"/>
      <w:numFmt w:val="lowerLetter"/>
      <w:start w:val="35"/>
    </w:lvl>
    <w:lvl w:ilvl="1">
      <w:lvlJc w:val="left"/>
      <w:lvlText w:val="%2"/>
      <w:numFmt w:val="lowerLetter"/>
      <w:start w:val="1"/>
    </w:lvl>
  </w:abstractNum>
  <w:abstractNum w:abstractNumId="166">
    <w:nsid w:val="70EC11B2"/>
    <w:multiLevelType w:val="hybridMultilevel"/>
    <w:lvl w:ilvl="0">
      <w:lvlJc w:val="left"/>
      <w:lvlText w:val="(%1)"/>
      <w:numFmt w:val="lowerLetter"/>
      <w:start w:val="1"/>
    </w:lvl>
  </w:abstractNum>
  <w:abstractNum w:abstractNumId="167">
    <w:nsid w:val="2EDA00ED"/>
    <w:multiLevelType w:val="hybridMultilevel"/>
    <w:lvl w:ilvl="0">
      <w:lvlJc w:val="left"/>
      <w:lvlText w:val="(%1)"/>
      <w:numFmt w:val="lowerLetter"/>
      <w:start w:val="2"/>
    </w:lvl>
  </w:abstractNum>
  <w:abstractNum w:abstractNumId="168">
    <w:nsid w:val="73209072"/>
    <w:multiLevelType w:val="hybridMultilevel"/>
    <w:lvl w:ilvl="0">
      <w:lvlJc w:val="left"/>
      <w:lvlText w:val="(%1)"/>
      <w:numFmt w:val="lowerLetter"/>
      <w:start w:val="1"/>
    </w:lvl>
  </w:abstractNum>
  <w:abstractNum w:abstractNumId="169">
    <w:nsid w:val="5FB29816"/>
    <w:multiLevelType w:val="hybridMultilevel"/>
    <w:lvl w:ilvl="0">
      <w:lvlJc w:val="left"/>
      <w:lvlText w:val="(%1)"/>
      <w:numFmt w:val="lowerLetter"/>
      <w:start w:val="1"/>
    </w:lvl>
  </w:abstractNum>
  <w:abstractNum w:abstractNumId="170">
    <w:nsid w:val="3CE732EC"/>
    <w:multiLevelType w:val="hybridMultilevel"/>
    <w:lvl w:ilvl="0">
      <w:lvlJc w:val="left"/>
      <w:lvlText w:val="(%1)"/>
      <w:numFmt w:val="lowerLetter"/>
      <w:start w:val="3"/>
    </w:lvl>
  </w:abstractNum>
  <w:abstractNum w:abstractNumId="171">
    <w:nsid w:val="22F13DF3"/>
    <w:multiLevelType w:val="hybridMultilevel"/>
    <w:lvl w:ilvl="0">
      <w:lvlJc w:val="left"/>
      <w:lvlText w:val="(%1)"/>
      <w:numFmt w:val="lowerLetter"/>
      <w:start w:val="1"/>
    </w:lvl>
  </w:abstractNum>
  <w:abstractNum w:abstractNumId="172">
    <w:nsid w:val="792B8401"/>
    <w:multiLevelType w:val="hybridMultilevel"/>
    <w:lvl w:ilvl="0">
      <w:lvlJc w:val="left"/>
      <w:lvlText w:val="(%1)"/>
      <w:numFmt w:val="lowerLetter"/>
      <w:start w:val="5"/>
    </w:lvl>
  </w:abstractNum>
  <w:abstractNum w:abstractNumId="173">
    <w:nsid w:val="FA85F4D"/>
    <w:multiLevelType w:val="hybridMultilevel"/>
    <w:lvl w:ilvl="0">
      <w:lvlJc w:val="left"/>
      <w:lvlText w:val="(%1)"/>
      <w:numFmt w:val="lowerLetter"/>
      <w:start w:val="1"/>
    </w:lvl>
    <w:lvl w:ilvl="1">
      <w:lvlJc w:val="left"/>
      <w:lvlText w:val="(%2)"/>
      <w:numFmt w:val="lowerRoman"/>
      <w:start w:val="1"/>
    </w:lvl>
  </w:abstractNum>
  <w:abstractNum w:abstractNumId="174">
    <w:nsid w:val="6ECE91F0"/>
    <w:multiLevelType w:val="hybridMultilevel"/>
    <w:lvl w:ilvl="0">
      <w:lvlJc w:val="left"/>
      <w:lvlText w:val="(%1)"/>
      <w:numFmt w:val="lowerLetter"/>
      <w:start w:val="1"/>
    </w:lvl>
    <w:lvl w:ilvl="1">
      <w:lvlJc w:val="left"/>
      <w:lvlText w:val="(%2)"/>
      <w:numFmt w:val="lowerRoman"/>
      <w:start w:val="1"/>
    </w:lvl>
  </w:abstractNum>
  <w:abstractNum w:abstractNumId="175">
    <w:nsid w:val="4FC4D600"/>
    <w:multiLevelType w:val="hybridMultilevel"/>
    <w:lvl w:ilvl="0">
      <w:lvlJc w:val="left"/>
      <w:lvlText w:val="(%1)"/>
      <w:numFmt w:val="lowerLetter"/>
      <w:start w:val="4"/>
    </w:lvl>
  </w:abstractNum>
  <w:abstractNum w:abstractNumId="176">
    <w:nsid w:val="5BFD4210"/>
    <w:multiLevelType w:val="hybridMultilevel"/>
    <w:lvl w:ilvl="0">
      <w:lvlJc w:val="left"/>
      <w:lvlText w:val="(%1)"/>
      <w:numFmt w:val="lowerLetter"/>
      <w:start w:val="1"/>
    </w:lvl>
  </w:abstractNum>
  <w:abstractNum w:abstractNumId="177">
    <w:nsid w:val="76574F8B"/>
    <w:multiLevelType w:val="hybridMultilevel"/>
    <w:lvl w:ilvl="0">
      <w:lvlJc w:val="left"/>
      <w:lvlText w:val="(%1)"/>
      <w:numFmt w:val="lowerLetter"/>
      <w:start w:val="1"/>
    </w:lvl>
  </w:abstractNum>
  <w:abstractNum w:abstractNumId="178">
    <w:nsid w:val="178F7B67"/>
    <w:multiLevelType w:val="hybridMultilevel"/>
    <w:lvl w:ilvl="0">
      <w:lvlJc w:val="left"/>
      <w:lvlText w:val="(%1)"/>
      <w:numFmt w:val="lowerLetter"/>
      <w:start w:val="2"/>
    </w:lvl>
    <w:lvl w:ilvl="1">
      <w:lvlJc w:val="left"/>
      <w:lvlText w:val="(%2)"/>
      <w:numFmt w:val="lowerRoman"/>
      <w:start w:val="1"/>
    </w:lvl>
  </w:abstractNum>
  <w:abstractNum w:abstractNumId="179">
    <w:nsid w:val="2421DFCF"/>
    <w:multiLevelType w:val="hybridMultilevel"/>
    <w:lvl w:ilvl="0">
      <w:lvlJc w:val="left"/>
      <w:lvlText w:val="(%1)"/>
      <w:numFmt w:val="lowerLetter"/>
      <w:start w:val="1"/>
    </w:lvl>
  </w:abstractNum>
  <w:abstractNum w:abstractNumId="180">
    <w:nsid w:val="1565AC99"/>
    <w:multiLevelType w:val="hybridMultilevel"/>
    <w:lvl w:ilvl="0">
      <w:lvlJc w:val="left"/>
      <w:lvlText w:val="(%1)"/>
      <w:numFmt w:val="lowerLetter"/>
      <w:start w:val="3"/>
    </w:lvl>
  </w:abstractNum>
  <w:abstractNum w:abstractNumId="181">
    <w:nsid w:val="19FB2650"/>
    <w:multiLevelType w:val="hybridMultilevel"/>
    <w:lvl w:ilvl="0">
      <w:lvlJc w:val="left"/>
      <w:lvlText w:val="(%1)"/>
      <w:numFmt w:val="lowerLetter"/>
      <w:start w:val="1"/>
    </w:lvl>
  </w:abstractNum>
  <w:abstractNum w:abstractNumId="182">
    <w:nsid w:val="5024DE5B"/>
    <w:multiLevelType w:val="hybridMultilevel"/>
    <w:lvl w:ilvl="0">
      <w:lvlJc w:val="left"/>
      <w:lvlText w:val="%1"/>
      <w:numFmt w:val="lowerLetter"/>
      <w:start w:val="1"/>
    </w:lvl>
    <w:lvl w:ilvl="1">
      <w:lvlJc w:val="left"/>
      <w:lvlText w:val="(%2)"/>
      <w:numFmt w:val="lowerRoman"/>
      <w:start w:val="1"/>
    </w:lvl>
  </w:abstractNum>
  <w:abstractNum w:abstractNumId="183">
    <w:nsid w:val="168EFE17"/>
    <w:multiLevelType w:val="hybridMultilevel"/>
    <w:lvl w:ilvl="0">
      <w:lvlJc w:val="left"/>
      <w:lvlText w:val="(%1)"/>
      <w:numFmt w:val="lowerLetter"/>
      <w:start w:val="3"/>
    </w:lvl>
    <w:lvl w:ilvl="1">
      <w:lvlJc w:val="left"/>
      <w:lvlText w:val="(%2)"/>
      <w:numFmt w:val="lowerRoman"/>
      <w:start w:val="1"/>
    </w:lvl>
  </w:abstractNum>
  <w:abstractNum w:abstractNumId="184">
    <w:nsid w:val="1036B29F"/>
    <w:multiLevelType w:val="hybridMultilevel"/>
    <w:lvl w:ilvl="0">
      <w:lvlJc w:val="left"/>
      <w:lvlText w:val="(%1)"/>
      <w:numFmt w:val="lowerLetter"/>
      <w:start w:val="4"/>
    </w:lvl>
  </w:abstractNum>
  <w:abstractNum w:abstractNumId="185">
    <w:nsid w:val="1D206B8E"/>
    <w:multiLevelType w:val="hybridMultilevel"/>
    <w:lvl w:ilvl="0">
      <w:lvlJc w:val="left"/>
      <w:lvlText w:val="%1"/>
      <w:numFmt w:val="lowerLetter"/>
      <w:start w:val="1"/>
    </w:lvl>
    <w:lvl w:ilvl="1">
      <w:lvlJc w:val="left"/>
      <w:lvlText w:val="(%2)"/>
      <w:numFmt w:val="lowerLetter"/>
      <w:start w:val="1"/>
    </w:lvl>
  </w:abstractNum>
  <w:abstractNum w:abstractNumId="186">
    <w:nsid w:val="7934D3D4"/>
    <w:multiLevelType w:val="hybridMultilevel"/>
    <w:lvl w:ilvl="0">
      <w:lvlJc w:val="left"/>
      <w:lvlText w:val="(%1)"/>
      <w:numFmt w:val="lowerLetter"/>
      <w:start w:val="35"/>
    </w:lvl>
    <w:lvl w:ilvl="1">
      <w:lvlJc w:val="left"/>
      <w:lvlText w:val="(%2)"/>
      <w:numFmt w:val="lowerLetter"/>
      <w:start w:val="2"/>
    </w:lvl>
  </w:abstractNum>
  <w:abstractNum w:abstractNumId="187">
    <w:nsid w:val="1C65E98"/>
    <w:multiLevelType w:val="hybridMultilevel"/>
    <w:lvl w:ilvl="0">
      <w:lvlJc w:val="left"/>
      <w:lvlText w:val="(%1)"/>
      <w:numFmt w:val="lowerLetter"/>
      <w:start w:val="4"/>
    </w:lvl>
    <w:lvl w:ilvl="1">
      <w:lvlJc w:val="left"/>
      <w:lvlText w:val="(%2)"/>
      <w:numFmt w:val="lowerRoman"/>
      <w:start w:val="1"/>
    </w:lvl>
  </w:abstractNum>
  <w:abstractNum w:abstractNumId="188">
    <w:nsid w:val="1495E50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89">
    <w:nsid w:val="F5BCF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90">
    <w:nsid w:val="3B1DD403"/>
    <w:multiLevelType w:val="hybridMultilevel"/>
    <w:lvl w:ilvl="0">
      <w:lvlJc w:val="left"/>
      <w:lvlText w:val="(%1)"/>
      <w:numFmt w:val="lowerLetter"/>
      <w:start w:val="3"/>
    </w:lvl>
  </w:abstractNum>
  <w:abstractNum w:abstractNumId="191">
    <w:nsid w:val="530386D1"/>
    <w:multiLevelType w:val="hybridMultilevel"/>
    <w:lvl w:ilvl="0">
      <w:lvlJc w:val="left"/>
      <w:lvlText w:val="(%1)"/>
      <w:numFmt w:val="lowerLetter"/>
      <w:start w:val="1"/>
    </w:lvl>
  </w:abstractNum>
  <w:abstractNum w:abstractNumId="192">
    <w:nsid w:val="7525F2BC"/>
    <w:multiLevelType w:val="hybridMultilevel"/>
    <w:lvl w:ilvl="0">
      <w:lvlJc w:val="left"/>
      <w:lvlText w:val="%1."/>
      <w:numFmt w:val="decimal"/>
      <w:start w:val="3"/>
    </w:lvl>
  </w:abstractNum>
  <w:abstractNum w:abstractNumId="193">
    <w:nsid w:val="CE8E1A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4">
    <w:nsid w:val="4E9EFB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95">
    <w:nsid w:val="90802B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96">
    <w:nsid w:val="3266459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97">
    <w:nsid w:val="3F8B0CBF"/>
    <w:multiLevelType w:val="hybridMultilevel"/>
    <w:lvl w:ilvl="0">
      <w:lvlJc w:val="left"/>
      <w:lvlText w:val="(%1)"/>
      <w:numFmt w:val="lowerLetter"/>
      <w:start w:val="7"/>
    </w:lvl>
  </w:abstractNum>
  <w:abstractNum w:abstractNumId="198">
    <w:nsid w:val="37E203AB"/>
    <w:multiLevelType w:val="hybridMultilevel"/>
    <w:lvl w:ilvl="0">
      <w:lvlJc w:val="left"/>
      <w:lvlText w:val="(%1)"/>
      <w:numFmt w:val="decimal"/>
      <w:start w:val="1"/>
    </w:lvl>
  </w:abstractNum>
  <w:abstractNum w:abstractNumId="199">
    <w:nsid w:val="2586D60E"/>
    <w:multiLevelType w:val="hybridMultilevel"/>
    <w:lvl w:ilvl="0">
      <w:lvlJc w:val="left"/>
      <w:lvlText w:val="(%1)"/>
      <w:numFmt w:val="lowerLetter"/>
      <w:start w:val="1"/>
    </w:lvl>
  </w:abstractNum>
  <w:abstractNum w:abstractNumId="200">
    <w:nsid w:val="1F3DA4D5"/>
    <w:multiLevelType w:val="hybridMultilevel"/>
    <w:lvl w:ilvl="0">
      <w:lvlJc w:val="left"/>
      <w:lvlText w:val="%1"/>
      <w:numFmt w:val="decimal"/>
      <w:start w:val="1"/>
    </w:lvl>
    <w:lvl w:ilvl="1">
      <w:lvlJc w:val="left"/>
      <w:lvlText w:val="(%2)"/>
      <w:numFmt w:val="lowerLetter"/>
      <w:start w:val="1"/>
    </w:lvl>
  </w:abstractNum>
  <w:abstractNum w:abstractNumId="201">
    <w:nsid w:val="74C93698"/>
    <w:multiLevelType w:val="hybridMultilevel"/>
    <w:lvl w:ilvl="0">
      <w:lvlJc w:val="left"/>
      <w:lvlText w:val="%1."/>
      <w:numFmt w:val="decimal"/>
      <w:start w:val="5"/>
    </w:lvl>
    <w:lvl w:ilvl="1">
      <w:lvlJc w:val="left"/>
      <w:lvlText w:val="%2"/>
      <w:numFmt w:val="lowerLetter"/>
      <w:start w:val="1"/>
    </w:lvl>
  </w:abstractNum>
  <w:abstractNum w:abstractNumId="202">
    <w:nsid w:val="48781401"/>
    <w:multiLevelType w:val="hybridMultilevel"/>
    <w:lvl w:ilvl="0">
      <w:lvlJc w:val="left"/>
      <w:lvlText w:val="(%1)"/>
      <w:numFmt w:val="lowerLetter"/>
      <w:start w:val="1"/>
    </w:lvl>
  </w:abstractNum>
  <w:abstractNum w:abstractNumId="203">
    <w:nsid w:val="186928D6"/>
    <w:multiLevelType w:val="hybridMultilevel"/>
    <w:lvl w:ilvl="0">
      <w:lvlJc w:val="left"/>
      <w:lvlText w:val="(%1)"/>
      <w:numFmt w:val="lowerLetter"/>
      <w:start w:val="2"/>
    </w:lvl>
  </w:abstractNum>
  <w:abstractNum w:abstractNumId="204">
    <w:nsid w:val="47195E5"/>
    <w:multiLevelType w:val="hybridMultilevel"/>
    <w:lvl w:ilvl="0">
      <w:lvlJc w:val="left"/>
      <w:lvlText w:val="(%1)"/>
      <w:numFmt w:val="lowerLetter"/>
      <w:start w:val="1"/>
    </w:lvl>
    <w:lvl w:ilvl="1">
      <w:lvlJc w:val="left"/>
      <w:lvlText w:val="(%2)"/>
      <w:numFmt w:val="lowerRoman"/>
      <w:start w:val="1"/>
    </w:lvl>
  </w:abstractNum>
  <w:abstractNum w:abstractNumId="205">
    <w:nsid w:val="3746A5F2"/>
    <w:multiLevelType w:val="hybridMultilevel"/>
    <w:lvl w:ilvl="0">
      <w:lvlJc w:val="left"/>
      <w:lvlText w:val="(%1)"/>
      <w:numFmt w:val="lowerLetter"/>
      <w:start w:val="1"/>
    </w:lvl>
  </w:abstractNum>
  <w:abstractNum w:abstractNumId="206">
    <w:nsid w:val="682DFED6"/>
    <w:multiLevelType w:val="hybridMultilevel"/>
    <w:lvl w:ilvl="0">
      <w:lvlJc w:val="left"/>
      <w:lvlText w:val="(%1)"/>
      <w:numFmt w:val="lowerLetter"/>
      <w:start w:val="1"/>
    </w:lvl>
  </w:abstractNum>
  <w:abstractNum w:abstractNumId="207">
    <w:nsid w:val="606ED7F6"/>
    <w:multiLevelType w:val="hybridMultilevel"/>
    <w:lvl w:ilvl="0">
      <w:lvlJc w:val="left"/>
      <w:lvlText w:val="(%1)"/>
      <w:numFmt w:val="lowerLetter"/>
      <w:start w:val="1"/>
    </w:lvl>
  </w:abstractNum>
  <w:abstractNum w:abstractNumId="208">
    <w:nsid w:val="2D9DF57D"/>
    <w:multiLevelType w:val="hybridMultilevel"/>
    <w:lvl w:ilvl="0">
      <w:lvlJc w:val="left"/>
      <w:lvlText w:val="%1"/>
      <w:numFmt w:val="decimal"/>
      <w:start w:val="1"/>
    </w:lvl>
    <w:lvl w:ilvl="1">
      <w:lvlJc w:val="left"/>
      <w:lvlText w:val="(%2)"/>
      <w:numFmt w:val="lowerLetter"/>
      <w:start w:val="2"/>
    </w:lvl>
  </w:abstractNum>
  <w:abstractNum w:abstractNumId="209">
    <w:nsid w:val="7FBD7A3E"/>
    <w:multiLevelType w:val="hybridMultilevel"/>
    <w:lvl w:ilvl="0">
      <w:lvlJc w:val="left"/>
      <w:lvlText w:val="%1."/>
      <w:numFmt w:val="decimal"/>
      <w:start w:val="6"/>
    </w:lvl>
    <w:lvl w:ilvl="1">
      <w:lvlJc w:val="left"/>
      <w:lvlText w:val="%2"/>
      <w:numFmt w:val="lowerLetter"/>
      <w:start w:val="1"/>
    </w:lvl>
  </w:abstractNum>
  <w:abstractNum w:abstractNumId="210">
    <w:nsid w:val="490B7C5"/>
    <w:multiLevelType w:val="hybridMultilevel"/>
    <w:lvl w:ilvl="0">
      <w:lvlJc w:val="left"/>
      <w:lvlText w:val="%1"/>
      <w:numFmt w:val="lowerLetter"/>
      <w:start w:val="1"/>
    </w:lvl>
    <w:lvl w:ilvl="1">
      <w:lvlJc w:val="left"/>
      <w:lvlText w:val="(%2)"/>
      <w:numFmt w:val="lowerLetter"/>
      <w:start w:val="1"/>
    </w:lvl>
  </w:abstractNum>
  <w:abstractNum w:abstractNumId="211">
    <w:nsid w:val="4303A216"/>
    <w:multiLevelType w:val="hybridMultilevel"/>
    <w:lvl w:ilvl="0">
      <w:lvlJc w:val="left"/>
      <w:lvlText w:val="(%1)"/>
      <w:numFmt w:val="lowerLetter"/>
      <w:start w:val="24"/>
    </w:lvl>
    <w:lvl w:ilvl="1">
      <w:lvlJc w:val="left"/>
      <w:lvlText w:val="%2"/>
      <w:numFmt w:val="lowerLetter"/>
      <w:start w:val="1"/>
    </w:lvl>
  </w:abstractNum>
  <w:abstractNum w:abstractNumId="212">
    <w:nsid w:val="19B8A08E"/>
    <w:multiLevelType w:val="hybridMultilevel"/>
    <w:lvl w:ilvl="0">
      <w:lvlJc w:val="left"/>
      <w:lvlText w:val="(%1)"/>
      <w:numFmt w:val="lowerLetter"/>
      <w:start w:val="2"/>
    </w:lvl>
  </w:abstractNum>
  <w:abstractNum w:abstractNumId="213">
    <w:nsid w:val="54B59621"/>
    <w:multiLevelType w:val="hybridMultilevel"/>
    <w:lvl w:ilvl="0">
      <w:lvlJc w:val="left"/>
      <w:lvlText w:val="(%1)"/>
      <w:numFmt w:val="lowerLetter"/>
      <w:start w:val="1"/>
    </w:lvl>
  </w:abstractNum>
  <w:abstractNum w:abstractNumId="214">
    <w:nsid w:val="5992A02E"/>
    <w:multiLevelType w:val="hybridMultilevel"/>
    <w:lvl w:ilvl="0">
      <w:lvlJc w:val="left"/>
      <w:lvlText w:val="(%1)"/>
      <w:numFmt w:val="lowerLetter"/>
      <w:start w:val="2"/>
    </w:lvl>
  </w:abstractNum>
  <w:abstractNum w:abstractNumId="215">
    <w:nsid w:val="29EF532D"/>
    <w:multiLevelType w:val="hybridMultilevel"/>
    <w:lvl w:ilvl="0">
      <w:lvlJc w:val="left"/>
      <w:lvlText w:val="(%1)"/>
      <w:numFmt w:val="lowerLetter"/>
      <w:start w:val="1"/>
    </w:lvl>
  </w:abstractNum>
  <w:abstractNum w:abstractNumId="216">
    <w:nsid w:val="71D601AF"/>
    <w:multiLevelType w:val="hybridMultilevel"/>
    <w:lvl w:ilvl="0">
      <w:lvlJc w:val="left"/>
      <w:lvlText w:val="(%1)"/>
      <w:numFmt w:val="lowerLetter"/>
      <w:start w:val="1"/>
    </w:lvl>
  </w:abstractNum>
  <w:abstractNum w:abstractNumId="217">
    <w:nsid w:val="52C77402"/>
    <w:multiLevelType w:val="hybridMultilevel"/>
    <w:lvl w:ilvl="0">
      <w:lvlJc w:val="left"/>
      <w:lvlText w:val="(%1)"/>
      <w:numFmt w:val="lowerLetter"/>
      <w:start w:val="1"/>
    </w:lvl>
  </w:abstractNum>
  <w:abstractNum w:abstractNumId="218">
    <w:nsid w:val="2BB5B1C6"/>
    <w:multiLevelType w:val="hybridMultilevel"/>
    <w:lvl w:ilvl="0">
      <w:lvlJc w:val="left"/>
      <w:lvlText w:val="(%1)"/>
      <w:numFmt w:val="lowerLetter"/>
      <w:start w:val="1"/>
    </w:lvl>
  </w:abstractNum>
  <w:abstractNum w:abstractNumId="219">
    <w:nsid w:val="66BE6B9"/>
    <w:multiLevelType w:val="hybridMultilevel"/>
    <w:lvl w:ilvl="0">
      <w:lvlJc w:val="left"/>
      <w:lvlText w:val="(%1)"/>
      <w:numFmt w:val="lowerLetter"/>
      <w:start w:val="3"/>
    </w:lvl>
  </w:abstractNum>
  <w:abstractNum w:abstractNumId="220">
    <w:nsid w:val="62234363"/>
    <w:multiLevelType w:val="hybridMultilevel"/>
    <w:lvl w:ilvl="0">
      <w:lvlJc w:val="left"/>
      <w:lvlText w:val="(%1)"/>
      <w:numFmt w:val="lowerLetter"/>
      <w:start w:val="1"/>
    </w:lvl>
  </w:abstractNum>
  <w:abstractNum w:abstractNumId="221">
    <w:nsid w:val="66D385C9"/>
    <w:multiLevelType w:val="hybridMultilevel"/>
    <w:lvl w:ilvl="0">
      <w:lvlJc w:val="left"/>
      <w:lvlText w:val="(%1)"/>
      <w:numFmt w:val="lowerLetter"/>
      <w:start w:val="1"/>
    </w:lvl>
  </w:abstractNum>
  <w:abstractNum w:abstractNumId="222">
    <w:nsid w:val="596F6D8A"/>
    <w:multiLevelType w:val="hybridMultilevel"/>
    <w:lvl w:ilvl="0">
      <w:lvlJc w:val="left"/>
      <w:lvlText w:val="(%1)"/>
      <w:numFmt w:val="lowerLetter"/>
      <w:start w:val="1"/>
    </w:lvl>
    <w:lvl w:ilvl="1">
      <w:lvlJc w:val="left"/>
      <w:lvlText w:val="(%2)"/>
      <w:numFmt w:val="lowerRoman"/>
      <w:start w:val="1"/>
    </w:lvl>
  </w:abstractNum>
  <w:abstractNum w:abstractNumId="223">
    <w:nsid w:val="5749361F"/>
    <w:multiLevelType w:val="hybridMultilevel"/>
    <w:lvl w:ilvl="0">
      <w:lvlJc w:val="left"/>
      <w:lvlText w:val="(%1)"/>
      <w:numFmt w:val="lowerLetter"/>
      <w:start w:val="3"/>
    </w:lvl>
  </w:abstractNum>
  <w:abstractNum w:abstractNumId="224">
    <w:nsid w:val="73BC6770"/>
    <w:multiLevelType w:val="hybridMultilevel"/>
    <w:lvl w:ilvl="0">
      <w:lvlJc w:val="left"/>
      <w:lvlText w:val="(%1)"/>
      <w:numFmt w:val="upperLetter"/>
      <w:start w:val="4"/>
    </w:lvl>
  </w:abstractNum>
  <w:abstractNum w:abstractNumId="225">
    <w:nsid w:val="280E6897"/>
    <w:multiLevelType w:val="hybridMultilevel"/>
    <w:lvl w:ilvl="0">
      <w:lvlJc w:val="left"/>
      <w:lvlText w:val="%1"/>
      <w:numFmt w:val="decimal"/>
      <w:start w:val="1"/>
    </w:lvl>
    <w:lvl w:ilvl="1">
      <w:lvlJc w:val="left"/>
      <w:lvlText w:val="(%2)"/>
      <w:numFmt w:val="lowerLetter"/>
      <w:start w:val="1"/>
    </w:lvl>
  </w:abstractNum>
  <w:abstractNum w:abstractNumId="226">
    <w:nsid w:val="605138DE"/>
    <w:multiLevelType w:val="hybridMultilevel"/>
    <w:lvl w:ilvl="0">
      <w:lvlJc w:val="left"/>
      <w:lvlText w:val="%1."/>
      <w:numFmt w:val="decimal"/>
      <w:start w:val="7"/>
    </w:lvl>
    <w:lvl w:ilvl="1">
      <w:lvlJc w:val="left"/>
      <w:lvlText w:val="%2"/>
      <w:numFmt w:val="lowerLetter"/>
      <w:start w:val="1"/>
    </w:lvl>
  </w:abstractNum>
  <w:abstractNum w:abstractNumId="227">
    <w:nsid w:val="2622AD0C"/>
    <w:multiLevelType w:val="hybridMultilevel"/>
    <w:lvl w:ilvl="0">
      <w:lvlJc w:val="left"/>
      <w:lvlText w:val="(%1)"/>
      <w:numFmt w:val="lowerLetter"/>
      <w:start w:val="1"/>
    </w:lvl>
  </w:abstractNum>
  <w:abstractNum w:abstractNumId="228">
    <w:nsid w:val="67997556"/>
    <w:multiLevelType w:val="hybridMultilevel"/>
    <w:lvl w:ilvl="0">
      <w:lvlJc w:val="left"/>
      <w:lvlText w:val="(%1)"/>
      <w:numFmt w:val="lowerLetter"/>
      <w:start w:val="3"/>
    </w:lvl>
  </w:abstractNum>
  <w:abstractNum w:abstractNumId="229">
    <w:nsid w:val="18333C89"/>
    <w:multiLevelType w:val="hybridMultilevel"/>
    <w:lvl w:ilvl="0">
      <w:lvlJc w:val="left"/>
      <w:lvlText w:val="%1"/>
      <w:numFmt w:val="lowerLetter"/>
      <w:start w:val="1"/>
    </w:lvl>
    <w:lvl w:ilvl="1">
      <w:lvlJc w:val="left"/>
      <w:lvlText w:val="(%2)"/>
      <w:numFmt w:val="lowerLetter"/>
      <w:start w:val="1"/>
    </w:lvl>
  </w:abstractNum>
  <w:abstractNum w:abstractNumId="230">
    <w:nsid w:val="4BA9831A"/>
    <w:multiLevelType w:val="hybridMultilevel"/>
    <w:lvl w:ilvl="0">
      <w:lvlJc w:val="left"/>
      <w:lvlText w:val="(%1)"/>
      <w:numFmt w:val="lowerLetter"/>
      <w:start w:val="61"/>
    </w:lvl>
    <w:lvl w:ilvl="1">
      <w:lvlJc w:val="left"/>
      <w:lvlText w:val="%2"/>
      <w:numFmt w:val="lowerLetter"/>
      <w:start w:val="1"/>
    </w:lvl>
  </w:abstractNum>
  <w:abstractNum w:abstractNumId="231">
    <w:nsid w:val="6D71A2B"/>
    <w:multiLevelType w:val="hybridMultilevel"/>
    <w:lvl w:ilvl="0">
      <w:lvlJc w:val="left"/>
      <w:lvlText w:val="(%1)"/>
      <w:numFmt w:val="lowerLetter"/>
      <w:start w:val="3"/>
    </w:lvl>
  </w:abstractNum>
  <w:abstractNum w:abstractNumId="232">
    <w:nsid w:val="CFC7321"/>
    <w:multiLevelType w:val="hybridMultilevel"/>
    <w:lvl w:ilvl="0">
      <w:lvlJc w:val="left"/>
      <w:lvlText w:val="(%1)"/>
      <w:numFmt w:val="lowerLetter"/>
      <w:start w:val="1"/>
    </w:lvl>
  </w:abstractNum>
  <w:abstractNum w:abstractNumId="233">
    <w:nsid w:val="1421971B"/>
    <w:multiLevelType w:val="hybridMultilevel"/>
    <w:lvl w:ilvl="0">
      <w:lvlJc w:val="left"/>
      <w:lvlText w:val="(%1)"/>
      <w:numFmt w:val="lowerLetter"/>
      <w:start w:val="3"/>
    </w:lvl>
  </w:abstractNum>
  <w:abstractNum w:abstractNumId="234">
    <w:nsid w:val="1F404301"/>
    <w:multiLevelType w:val="hybridMultilevel"/>
    <w:lvl w:ilvl="0">
      <w:lvlJc w:val="left"/>
      <w:lvlText w:val="(%1)"/>
      <w:numFmt w:val="lowerLetter"/>
      <w:start w:val="1"/>
    </w:lvl>
  </w:abstractNum>
  <w:abstractNum w:abstractNumId="235">
    <w:nsid w:val="116E0907"/>
    <w:multiLevelType w:val="hybridMultilevel"/>
    <w:lvl w:ilvl="0">
      <w:lvlJc w:val="left"/>
      <w:lvlText w:val="(%1)"/>
      <w:numFmt w:val="lowerLetter"/>
      <w:start w:val="1"/>
    </w:lvl>
  </w:abstractNum>
  <w:abstractNum w:abstractNumId="236">
    <w:nsid w:val="4B683D0D"/>
    <w:multiLevelType w:val="hybridMultilevel"/>
    <w:lvl w:ilvl="0">
      <w:lvlJc w:val="left"/>
      <w:lvlText w:val="(%1)"/>
      <w:numFmt w:val="lowerLetter"/>
      <w:start w:val="3"/>
    </w:lvl>
  </w:abstractNum>
  <w:abstractNum w:abstractNumId="237">
    <w:nsid w:val="76E41D8"/>
    <w:multiLevelType w:val="hybridMultilevel"/>
    <w:lvl w:ilvl="0">
      <w:lvlJc w:val="left"/>
      <w:lvlText w:val="(%1)"/>
      <w:numFmt w:val="lowerLetter"/>
      <w:start w:val="25"/>
    </w:lvl>
  </w:abstractNum>
  <w:abstractNum w:abstractNumId="238">
    <w:nsid w:val="71DCE0FD"/>
    <w:multiLevelType w:val="hybridMultilevel"/>
    <w:lvl w:ilvl="0">
      <w:lvlJc w:val="left"/>
      <w:lvlText w:val="(%1)"/>
      <w:numFmt w:val="lowerRoman"/>
      <w:start w:val="2"/>
    </w:lvl>
  </w:abstractNum>
  <w:abstractNum w:abstractNumId="239">
    <w:nsid w:val="7906328B"/>
    <w:multiLevelType w:val="hybridMultilevel"/>
    <w:lvl w:ilvl="0">
      <w:lvlJc w:val="left"/>
      <w:lvlText w:val="(%1)"/>
      <w:numFmt w:val="lowerLetter"/>
      <w:start w:val="1"/>
    </w:lvl>
  </w:abstractNum>
  <w:abstractNum w:abstractNumId="240">
    <w:nsid w:val="72BBC16"/>
    <w:multiLevelType w:val="hybridMultilevel"/>
    <w:lvl w:ilvl="0">
      <w:lvlJc w:val="left"/>
      <w:lvlText w:val="%1"/>
      <w:numFmt w:val="decimal"/>
      <w:start w:val="1"/>
    </w:lvl>
    <w:lvl w:ilvl="1">
      <w:lvlJc w:val="left"/>
      <w:lvlText w:val="(%2)"/>
      <w:numFmt w:val="lowerLetter"/>
      <w:start w:val="1"/>
    </w:lvl>
  </w:abstractNum>
  <w:abstractNum w:abstractNumId="241">
    <w:nsid w:val="766D98C2"/>
    <w:multiLevelType w:val="hybridMultilevel"/>
    <w:lvl w:ilvl="0">
      <w:lvlJc w:val="left"/>
      <w:lvlText w:val="(%1)"/>
      <w:numFmt w:val="decimal"/>
      <w:start w:val="3"/>
    </w:lvl>
    <w:lvl w:ilvl="1">
      <w:lvlJc w:val="left"/>
      <w:lvlText w:val="(%2)"/>
      <w:numFmt w:val="lowerLetter"/>
      <w:start w:val="3"/>
    </w:lvl>
  </w:abstractNum>
  <w:abstractNum w:abstractNumId="242">
    <w:nsid w:val="3C09D4A1"/>
    <w:multiLevelType w:val="hybridMultilevel"/>
    <w:lvl w:ilvl="0">
      <w:lvlJc w:val="left"/>
      <w:lvlText w:val="%1"/>
      <w:numFmt w:val="lowerRoman"/>
      <w:start w:val="1"/>
    </w:lvl>
    <w:lvl w:ilvl="1">
      <w:lvlJc w:val="left"/>
      <w:lvlText w:val="(%2)"/>
      <w:numFmt w:val="lowerLetter"/>
      <w:start w:val="7"/>
    </w:lvl>
  </w:abstractNum>
  <w:abstractNum w:abstractNumId="243">
    <w:nsid w:val="20E45CA4"/>
    <w:multiLevelType w:val="hybridMultilevel"/>
    <w:lvl w:ilvl="0">
      <w:lvlJc w:val="left"/>
      <w:lvlText w:val="(%1)"/>
      <w:numFmt w:val="lowerRoman"/>
      <w:start w:val="4"/>
    </w:lvl>
    <w:lvl w:ilvl="1">
      <w:lvlJc w:val="left"/>
      <w:lvlText w:val="%2"/>
      <w:numFmt w:val="lowerLetter"/>
      <w:start w:val="1"/>
    </w:lvl>
  </w:abstractNum>
  <w:abstractNum w:abstractNumId="244">
    <w:nsid w:val="4B232EE3"/>
    <w:multiLevelType w:val="hybridMultilevel"/>
    <w:lvl w:ilvl="0">
      <w:lvlJc w:val="left"/>
      <w:lvlText w:val="(%1)"/>
      <w:numFmt w:val="lowerLetter"/>
      <w:start w:val="13"/>
    </w:lvl>
  </w:abstractNum>
  <w:abstractNum w:abstractNumId="245">
    <w:nsid w:val="159C74CF"/>
    <w:multiLevelType w:val="hybridMultilevel"/>
    <w:lvl w:ilvl="0">
      <w:lvlJc w:val="left"/>
      <w:lvlText w:val="%1."/>
      <w:numFmt w:val="decimal"/>
      <w:start w:val="9"/>
    </w:lvl>
    <w:lvl w:ilvl="1">
      <w:lvlJc w:val="left"/>
      <w:lvlText w:val="(%2)"/>
      <w:numFmt w:val="lowerLetter"/>
      <w:start w:val="1"/>
    </w:lvl>
  </w:abstractNum>
  <w:abstractNum w:abstractNumId="246">
    <w:nsid w:val="4AD3AFD2"/>
    <w:multiLevelType w:val="hybridMultilevel"/>
    <w:lvl w:ilvl="0">
      <w:lvlJc w:val="left"/>
      <w:lvlText w:val="(%1)"/>
      <w:numFmt w:val="lowerLetter"/>
      <w:start w:val="1"/>
    </w:lvl>
  </w:abstractNum>
  <w:abstractNum w:abstractNumId="247">
    <w:nsid w:val="3CF93092"/>
    <w:multiLevelType w:val="hybridMultilevel"/>
    <w:lvl w:ilvl="0">
      <w:lvlJc w:val="left"/>
      <w:lvlText w:val="(%1)"/>
      <w:numFmt w:val="lowerLetter"/>
      <w:start w:val="2"/>
    </w:lvl>
  </w:abstractNum>
  <w:abstractNum w:abstractNumId="248">
    <w:nsid w:val="6863E8D2"/>
    <w:multiLevelType w:val="hybridMultilevel"/>
    <w:lvl w:ilvl="0">
      <w:lvlJc w:val="left"/>
      <w:lvlText w:val="%1"/>
      <w:numFmt w:val="decimal"/>
      <w:start w:val="1"/>
    </w:lvl>
    <w:lvl w:ilvl="1">
      <w:lvlJc w:val="left"/>
      <w:lvlText w:val="(%2)"/>
      <w:numFmt w:val="lowerLetter"/>
      <w:start w:val="1"/>
    </w:lvl>
  </w:abstractNum>
  <w:abstractNum w:abstractNumId="249">
    <w:nsid w:val="76896198"/>
    <w:multiLevelType w:val="hybridMultilevel"/>
    <w:lvl w:ilvl="0">
      <w:lvlJc w:val="left"/>
      <w:lvlText w:val="%1."/>
      <w:numFmt w:val="decimal"/>
      <w:start w:val="10"/>
    </w:lvl>
    <w:lvl w:ilvl="1">
      <w:lvlJc w:val="left"/>
      <w:lvlText w:val="%2"/>
      <w:numFmt w:val="lowerLetter"/>
      <w:start w:val="1"/>
    </w:lvl>
  </w:abstractNum>
  <w:abstractNum w:abstractNumId="250">
    <w:nsid w:val="4365174B"/>
    <w:multiLevelType w:val="hybridMultilevel"/>
    <w:lvl w:ilvl="0">
      <w:lvlJc w:val="left"/>
      <w:lvlText w:val="(%1)"/>
      <w:numFmt w:val="lowerLetter"/>
      <w:start w:val="1"/>
    </w:lvl>
  </w:abstractNum>
  <w:abstractNum w:abstractNumId="251">
    <w:nsid w:val="4A872C35"/>
    <w:multiLevelType w:val="hybridMultilevel"/>
    <w:lvl w:ilvl="0">
      <w:lvlJc w:val="left"/>
      <w:lvlText w:val="(%1)"/>
      <w:numFmt w:val="lowerLetter"/>
      <w:start w:val="4"/>
    </w:lvl>
  </w:abstractNum>
  <w:abstractNum w:abstractNumId="252">
    <w:nsid w:val="5D5CE761"/>
    <w:multiLevelType w:val="hybridMultilevel"/>
    <w:lvl w:ilvl="0">
      <w:lvlJc w:val="left"/>
      <w:lvlText w:val="(%1)"/>
      <w:numFmt w:val="lowerRoman"/>
      <w:start w:val="1"/>
    </w:lvl>
  </w:abstractNum>
  <w:abstractNum w:abstractNumId="253">
    <w:nsid w:val="1CD484D5"/>
    <w:multiLevelType w:val="hybridMultilevel"/>
    <w:lvl w:ilvl="0">
      <w:lvlJc w:val="left"/>
      <w:lvlText w:val="(%1)"/>
      <w:numFmt w:val="lowerLetter"/>
      <w:start w:val="1"/>
    </w:lvl>
  </w:abstractNum>
  <w:abstractNum w:abstractNumId="254">
    <w:nsid w:val="21D06255"/>
    <w:multiLevelType w:val="hybridMultilevel"/>
    <w:lvl w:ilvl="0">
      <w:lvlJc w:val="left"/>
      <w:lvlText w:val="%1"/>
      <w:numFmt w:val="lowerLetter"/>
      <w:start w:val="1"/>
    </w:lvl>
    <w:lvl w:ilvl="1">
      <w:lvlJc w:val="left"/>
      <w:lvlText w:val="(%2)"/>
      <w:numFmt w:val="lowerLetter"/>
      <w:start w:val="1"/>
    </w:lvl>
  </w:abstractNum>
  <w:abstractNum w:abstractNumId="255">
    <w:nsid w:val="51194ED1"/>
    <w:multiLevelType w:val="hybridMultilevel"/>
    <w:lvl w:ilvl="0">
      <w:lvlJc w:val="left"/>
      <w:lvlText w:val="(%1)"/>
      <w:numFmt w:val="lowerLetter"/>
      <w:start w:val="4"/>
    </w:lvl>
    <w:lvl w:ilvl="1">
      <w:lvlJc w:val="left"/>
      <w:lvlText w:val="%2"/>
      <w:numFmt w:val="lowerLetter"/>
      <w:start w:val="1"/>
    </w:lvl>
  </w:abstractNum>
  <w:abstractNum w:abstractNumId="256">
    <w:nsid w:val="44E2ED6C"/>
    <w:multiLevelType w:val="hybridMultilevel"/>
    <w:lvl w:ilvl="0">
      <w:lvlJc w:val="left"/>
      <w:lvlText w:val="(%1)"/>
      <w:numFmt w:val="lowerLetter"/>
      <w:start w:val="1"/>
    </w:lvl>
  </w:abstractNum>
  <w:abstractNum w:abstractNumId="257">
    <w:nsid w:val="2219B33"/>
    <w:multiLevelType w:val="hybridMultilevel"/>
    <w:lvl w:ilvl="0">
      <w:lvlJc w:val="left"/>
      <w:lvlText w:val="%1."/>
      <w:numFmt w:val="decimal"/>
      <w:start w:val="12"/>
    </w:lvl>
  </w:abstractNum>
  <w:abstractNum w:abstractNumId="258">
    <w:nsid w:val="773BFBDD"/>
    <w:multiLevelType w:val="hybridMultilevel"/>
    <w:lvl w:ilvl="0">
      <w:lvlJc w:val="left"/>
      <w:lvlText w:val="(%1)"/>
      <w:numFmt w:val="lowerLetter"/>
      <w:start w:val="1"/>
    </w:lvl>
  </w:abstractNum>
  <w:abstractNum w:abstractNumId="259">
    <w:nsid w:val="2C7C62C2"/>
    <w:multiLevelType w:val="hybridMultilevel"/>
    <w:lvl w:ilvl="0">
      <w:lvlJc w:val="left"/>
      <w:lvlText w:val="(%1)"/>
      <w:numFmt w:val="lowerLetter"/>
      <w:start w:val="2"/>
    </w:lvl>
  </w:abstractNum>
  <w:abstractNum w:abstractNumId="260">
    <w:nsid w:val="1A54D7BC"/>
    <w:multiLevelType w:val="hybridMultilevel"/>
    <w:lvl w:ilvl="0">
      <w:lvlJc w:val="left"/>
      <w:lvlText w:val="(%1)"/>
      <w:numFmt w:val="lowerLetter"/>
      <w:start w:val="1"/>
    </w:lvl>
  </w:abstractNum>
  <w:abstractNum w:abstractNumId="261">
    <w:nsid w:val="42E57EF7"/>
    <w:multiLevelType w:val="hybridMultilevel"/>
    <w:lvl w:ilvl="0">
      <w:lvlJc w:val="left"/>
      <w:lvlText w:val="(%1)"/>
      <w:numFmt w:val="lowerLetter"/>
      <w:start w:val="2"/>
    </w:lvl>
    <w:lvl w:ilvl="1">
      <w:lvlJc w:val="left"/>
      <w:lvlText w:val="(%2)"/>
      <w:numFmt w:val="lowerRoman"/>
      <w:start w:val="1"/>
    </w:lvl>
  </w:abstractNum>
  <w:abstractNum w:abstractNumId="262">
    <w:nsid w:val="33537CED"/>
    <w:multiLevelType w:val="hybridMultilevel"/>
    <w:lvl w:ilvl="0">
      <w:lvlJc w:val="left"/>
      <w:lvlText w:val="(%1)"/>
      <w:numFmt w:val="lowerLetter"/>
      <w:start w:val="5"/>
    </w:lvl>
    <w:lvl w:ilvl="1">
      <w:lvlJc w:val="left"/>
      <w:lvlText w:val="(%2)"/>
      <w:numFmt w:val="lowerRoman"/>
      <w:start w:val="1"/>
    </w:lvl>
  </w:abstractNum>
  <w:abstractNum w:abstractNumId="263">
    <w:nsid w:val="27514ADE"/>
    <w:multiLevelType w:val="hybridMultilevel"/>
    <w:lvl w:ilvl="0">
      <w:lvlJc w:val="left"/>
      <w:lvlText w:val="(%1)"/>
      <w:numFmt w:val="lowerLetter"/>
      <w:start w:val="7"/>
    </w:lvl>
  </w:abstractNum>
  <w:abstractNum w:abstractNumId="264">
    <w:nsid w:val="5707161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5">
    <w:nsid w:val="5293BFE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266">
    <w:nsid w:val="38BF53E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67">
    <w:nsid w:val="226F5320"/>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268">
    <w:nsid w:val="5A0201C7"/>
    <w:multiLevelType w:val="hybridMultilevel"/>
    <w:lvl w:ilvl="0">
      <w:lvlJc w:val="left"/>
      <w:lvlText w:val="(%1)"/>
      <w:numFmt w:val="lowerLetter"/>
      <w:start w:val="5"/>
    </w:lvl>
  </w:abstractNum>
  <w:abstractNum w:abstractNumId="269">
    <w:nsid w:val="2A9C34E2"/>
    <w:multiLevelType w:val="hybridMultilevel"/>
    <w:lvl w:ilvl="0">
      <w:lvlJc w:val="left"/>
      <w:lvlText w:val="(%1)"/>
      <w:numFmt w:val="lowerLetter"/>
      <w:start w:val="1"/>
    </w:lvl>
  </w:abstractNum>
  <w:abstractNum w:abstractNumId="270">
    <w:nsid w:val="1B7585AB"/>
    <w:multiLevelType w:val="hybridMultilevel"/>
    <w:lvl w:ilvl="0">
      <w:lvlJc w:val="left"/>
      <w:lvlText w:val="(%1)"/>
      <w:numFmt w:val="upperLetter"/>
      <w:start w:val="1"/>
    </w:lvl>
    <w:lvl w:ilvl="1">
      <w:lvlJc w:val="left"/>
      <w:lvlText w:val="(%2)"/>
      <w:numFmt w:val="lowerRoman"/>
      <w:start w:val="1"/>
    </w:lvl>
  </w:abstractNum>
  <w:abstractNum w:abstractNumId="271">
    <w:nsid w:val="612DBDDD"/>
    <w:multiLevelType w:val="hybridMultilevel"/>
    <w:lvl w:ilvl="0">
      <w:lvlJc w:val="left"/>
      <w:lvlText w:val="(%1)"/>
      <w:numFmt w:val="upperLetter"/>
      <w:start w:val="4"/>
    </w:lvl>
  </w:abstractNum>
  <w:abstractNum w:abstractNumId="272">
    <w:nsid w:val="2109CDA4"/>
    <w:multiLevelType w:val="hybridMultilevel"/>
    <w:lvl w:ilvl="0">
      <w:lvlJc w:val="left"/>
      <w:lvlText w:val="(%1)"/>
      <w:numFmt w:val="lowerLetter"/>
      <w:start w:val="1"/>
    </w:lvl>
  </w:abstractNum>
  <w:abstractNum w:abstractNumId="273">
    <w:nsid w:val="577F5A4D"/>
    <w:multiLevelType w:val="hybridMultilevel"/>
    <w:lvl w:ilvl="0">
      <w:lvlJc w:val="left"/>
      <w:lvlText w:val="(%1)"/>
      <w:numFmt w:val="lowerLetter"/>
      <w:start w:val="2"/>
    </w:lvl>
  </w:abstractNum>
  <w:abstractNum w:abstractNumId="274">
    <w:nsid w:val="2121A81"/>
    <w:multiLevelType w:val="hybridMultilevel"/>
    <w:lvl w:ilvl="0">
      <w:lvlJc w:val="left"/>
      <w:lvlText w:val="(%1)"/>
      <w:numFmt w:val="lowerLetter"/>
      <w:start w:val="1"/>
    </w:lvl>
    <w:lvl w:ilvl="1">
      <w:lvlJc w:val="left"/>
      <w:lvlText w:val="(%2)"/>
      <w:numFmt w:val="lowerRoman"/>
      <w:start w:val="1"/>
    </w:lvl>
  </w:abstractNum>
  <w:abstractNum w:abstractNumId="275">
    <w:nsid w:val="6C2CFC88"/>
    <w:multiLevelType w:val="hybridMultilevel"/>
    <w:lvl w:ilvl="0">
      <w:lvlJc w:val="left"/>
      <w:lvlText w:val="(%1)"/>
      <w:numFmt w:val="lowerLetter"/>
      <w:start w:val="1"/>
    </w:lvl>
  </w:abstractNum>
  <w:abstractNum w:abstractNumId="276">
    <w:nsid w:val="6D1BCF1C"/>
    <w:multiLevelType w:val="hybridMultilevel"/>
    <w:lvl w:ilvl="0">
      <w:lvlJc w:val="left"/>
      <w:lvlText w:val="%1."/>
      <w:numFmt w:val="decimal"/>
      <w:start w:val="1"/>
    </w:lvl>
  </w:abstractNum>
  <w:abstractNum w:abstractNumId="277">
    <w:nsid w:val="4CE5CA53"/>
    <w:multiLevelType w:val="hybridMultilevel"/>
    <w:lvl w:ilvl="0">
      <w:lvlJc w:val="left"/>
      <w:lvlText w:val="%1."/>
      <w:numFmt w:val="decimal"/>
      <w:start w:val="2"/>
    </w:lvl>
  </w:abstractNum>
  <w:abstractNum w:abstractNumId="278">
    <w:nsid w:val="29262D1A"/>
    <w:multiLevelType w:val="hybridMultilevel"/>
    <w:lvl w:ilvl="0">
      <w:lvlJc w:val="left"/>
      <w:lvlText w:val="%1."/>
      <w:numFmt w:val="decimal"/>
      <w:start w:val="3"/>
    </w:lvl>
  </w:abstractNum>
  <w:abstractNum w:abstractNumId="279">
    <w:nsid w:val="557FB7EE"/>
    <w:multiLevelType w:val="hybridMultilevel"/>
    <w:lvl w:ilvl="0">
      <w:lvlJc w:val="left"/>
      <w:lvlText w:val="(%1)"/>
      <w:numFmt w:val="lowerLetter"/>
      <w:start w:val="1"/>
    </w:lvl>
  </w:abstractNum>
  <w:abstractNum w:abstractNumId="280">
    <w:nsid w:val="436F2BEB"/>
    <w:multiLevelType w:val="hybridMultilevel"/>
    <w:lvl w:ilvl="0">
      <w:lvlJc w:val="left"/>
      <w:lvlText w:val="(%1)"/>
      <w:numFmt w:val="lowerLetter"/>
      <w:start w:val="3"/>
    </w:lvl>
  </w:abstractNum>
  <w:abstractNum w:abstractNumId="281">
    <w:nsid w:val="6C8B4466"/>
    <w:multiLevelType w:val="hybridMultilevel"/>
    <w:lvl w:ilvl="0">
      <w:lvlJc w:val="left"/>
      <w:lvlText w:val="(%1)"/>
      <w:numFmt w:val="lowerLetter"/>
      <w:start w:val="1"/>
    </w:lvl>
  </w:abstractNum>
  <w:abstractNum w:abstractNumId="282">
    <w:nsid w:val="2006E424"/>
    <w:multiLevelType w:val="hybridMultilevel"/>
    <w:lvl w:ilvl="0">
      <w:lvlJc w:val="left"/>
      <w:lvlText w:val="(%1)"/>
      <w:numFmt w:val="lowerLetter"/>
      <w:start w:val="3"/>
    </w:lvl>
    <w:lvl w:ilvl="1">
      <w:lvlJc w:val="left"/>
      <w:lvlText w:val="(%2)"/>
      <w:numFmt w:val="lowerRoman"/>
      <w:start w:val="1"/>
    </w:lvl>
  </w:abstractNum>
  <w:abstractNum w:abstractNumId="283">
    <w:nsid w:val="20CC134C"/>
    <w:multiLevelType w:val="hybridMultilevel"/>
    <w:lvl w:ilvl="0">
      <w:lvlJc w:val="left"/>
      <w:lvlText w:val="(%1)"/>
      <w:numFmt w:val="lowerLetter"/>
      <w:start w:val="6"/>
    </w:lvl>
  </w:abstractNum>
  <w:abstractNum w:abstractNumId="284">
    <w:nsid w:val="95FC93B"/>
    <w:multiLevelType w:val="hybridMultilevel"/>
    <w:lvl w:ilvl="0">
      <w:lvlJc w:val="left"/>
      <w:lvlText w:val="(%1)"/>
      <w:numFmt w:val="lowerLetter"/>
      <w:start w:val="11"/>
    </w:lvl>
  </w:abstractNum>
  <w:abstractNum w:abstractNumId="285">
    <w:nsid w:val="41D74679"/>
    <w:multiLevelType w:val="hybridMultilevel"/>
    <w:lvl w:ilvl="0">
      <w:lvlJc w:val="left"/>
      <w:lvlText w:val="(%1)"/>
      <w:numFmt w:val="lowerLetter"/>
      <w:start w:val="1"/>
    </w:lvl>
    <w:lvl w:ilvl="1">
      <w:lvlJc w:val="left"/>
      <w:lvlText w:val="(%2)"/>
      <w:numFmt w:val="lowerLetter"/>
      <w:start w:val="9"/>
    </w:lvl>
  </w:abstractNum>
  <w:abstractNum w:abstractNumId="286">
    <w:nsid w:val="71E5621E"/>
    <w:multiLevelType w:val="hybridMultilevel"/>
    <w:lvl w:ilvl="0">
      <w:lvlJc w:val="left"/>
      <w:lvlText w:val="%1"/>
      <w:numFmt w:val="lowerLetter"/>
      <w:start w:val="1"/>
    </w:lvl>
    <w:lvl w:ilvl="1">
      <w:lvlJc w:val="left"/>
      <w:lvlText w:val="(%2)"/>
      <w:numFmt w:val="lowerLetter"/>
      <w:start w:val="35"/>
    </w:lvl>
  </w:abstractNum>
  <w:abstractNum w:abstractNumId="287">
    <w:nsid w:val="4E42B6A8"/>
    <w:multiLevelType w:val="hybridMultilevel"/>
    <w:lvl w:ilvl="0">
      <w:lvlJc w:val="left"/>
      <w:lvlText w:val="(%1)"/>
      <w:numFmt w:val="lowerLetter"/>
      <w:start w:val="6"/>
    </w:lvl>
    <w:lvl w:ilvl="1">
      <w:lvlJc w:val="left"/>
      <w:lvlText w:val="%2"/>
      <w:numFmt w:val="lowerLetter"/>
      <w:start w:val="1"/>
    </w:lvl>
  </w:abstractNum>
  <w:abstractNum w:abstractNumId="288">
    <w:nsid w:val="43F8E1AC"/>
    <w:multiLevelType w:val="hybridMultilevel"/>
    <w:lvl w:ilvl="0">
      <w:lvlJc w:val="left"/>
      <w:lvlText w:val="(%1)"/>
      <w:numFmt w:val="lowerLetter"/>
      <w:start w:val="1"/>
    </w:lvl>
  </w:abstractNum>
  <w:abstractNum w:abstractNumId="289">
    <w:nsid w:val="69215DFB"/>
    <w:multiLevelType w:val="hybridMultilevel"/>
    <w:lvl w:ilvl="0">
      <w:lvlJc w:val="left"/>
      <w:lvlText w:val="(%1)"/>
      <w:numFmt w:val="lowerLetter"/>
      <w:start w:val="3"/>
    </w:lvl>
  </w:abstractNum>
  <w:abstractNum w:abstractNumId="290">
    <w:nsid w:val="7ABF196A"/>
    <w:multiLevelType w:val="hybridMultilevel"/>
    <w:lvl w:ilvl="0">
      <w:lvlJc w:val="left"/>
      <w:lvlText w:val="(%1)"/>
      <w:numFmt w:val="lowerLetter"/>
      <w:start w:val="1"/>
    </w:lvl>
  </w:abstractNum>
  <w:abstractNum w:abstractNumId="291">
    <w:nsid w:val="5E4DB968"/>
    <w:multiLevelType w:val="hybridMultilevel"/>
    <w:lvl w:ilvl="0">
      <w:lvlJc w:val="left"/>
      <w:lvlText w:val="%1"/>
      <w:numFmt w:val="lowerLetter"/>
      <w:start w:val="1"/>
    </w:lvl>
    <w:lvl w:ilvl="1">
      <w:lvlJc w:val="left"/>
      <w:lvlText w:val="(%2)"/>
      <w:numFmt w:val="lowerLetter"/>
      <w:start w:val="35"/>
    </w:lvl>
  </w:abstractNum>
  <w:abstractNum w:abstractNumId="292">
    <w:nsid w:val="2C06DCF3"/>
    <w:multiLevelType w:val="hybridMultilevel"/>
    <w:lvl w:ilvl="0">
      <w:lvlJc w:val="left"/>
      <w:lvlText w:val="(%1)"/>
      <w:numFmt w:val="lowerLetter"/>
      <w:start w:val="1"/>
    </w:lvl>
    <w:lvl w:ilvl="1">
      <w:lvlJc w:val="left"/>
      <w:lvlText w:val="%2"/>
      <w:numFmt w:val="lowerLetter"/>
      <w:start w:val="1"/>
    </w:lvl>
  </w:abstractNum>
  <w:abstractNum w:abstractNumId="293">
    <w:nsid w:val="2E129658"/>
    <w:multiLevelType w:val="hybridMultilevel"/>
    <w:lvl w:ilvl="0">
      <w:lvlJc w:val="left"/>
      <w:lvlText w:val="(%1)"/>
      <w:numFmt w:val="lowerLetter"/>
      <w:start w:val="3"/>
    </w:lvl>
  </w:abstractNum>
  <w:abstractNum w:abstractNumId="294">
    <w:nsid w:val="59F0446"/>
    <w:multiLevelType w:val="hybridMultilevel"/>
    <w:lvl w:ilvl="0">
      <w:lvlJc w:val="left"/>
      <w:lvlText w:val="(%1)"/>
      <w:numFmt w:val="lowerLetter"/>
      <w:start w:val="1"/>
    </w:lvl>
  </w:abstractNum>
  <w:abstractNum w:abstractNumId="295">
    <w:nsid w:val="30DF306"/>
    <w:multiLevelType w:val="hybridMultilevel"/>
    <w:lvl w:ilvl="0">
      <w:lvlJc w:val="left"/>
      <w:lvlText w:val="(%1)"/>
      <w:numFmt w:val="lowerLetter"/>
      <w:start w:val="3"/>
    </w:lvl>
  </w:abstractNum>
  <w:abstractNum w:abstractNumId="296">
    <w:nsid w:val="A65647"/>
    <w:multiLevelType w:val="hybridMultilevel"/>
    <w:lvl w:ilvl="0">
      <w:lvlJc w:val="left"/>
      <w:lvlText w:val="(%1)"/>
      <w:numFmt w:val="lowerLetter"/>
      <w:start w:val="8"/>
    </w:lvl>
  </w:abstractNum>
  <w:abstractNum w:abstractNumId="297">
    <w:nsid w:val="3E5E582B"/>
    <w:multiLevelType w:val="hybridMultilevel"/>
    <w:lvl w:ilvl="0">
      <w:lvlJc w:val="left"/>
      <w:lvlText w:val="(%1)"/>
      <w:numFmt w:val="lowerLetter"/>
      <w:start w:val="1"/>
    </w:lvl>
  </w:abstractNum>
  <w:abstractNum w:abstractNumId="298">
    <w:nsid w:val="257D4626"/>
    <w:multiLevelType w:val="hybridMultilevel"/>
    <w:lvl w:ilvl="0">
      <w:lvlJc w:val="left"/>
      <w:lvlText w:val="(%1)"/>
      <w:numFmt w:val="lowerLetter"/>
      <w:start w:val="2"/>
    </w:lvl>
  </w:abstractNum>
  <w:abstractNum w:abstractNumId="299">
    <w:nsid w:val="5AA8580E"/>
    <w:multiLevelType w:val="hybridMultilevel"/>
    <w:lvl w:ilvl="0">
      <w:lvlJc w:val="left"/>
      <w:lvlText w:val="(%1)"/>
      <w:numFmt w:val="lowerLetter"/>
      <w:start w:val="1"/>
    </w:lvl>
  </w:abstractNum>
  <w:abstractNum w:abstractNumId="300">
    <w:nsid w:val="68FA8D0D"/>
    <w:multiLevelType w:val="hybridMultilevel"/>
    <w:lvl w:ilvl="0">
      <w:lvlJc w:val="left"/>
      <w:lvlText w:val="(%1)"/>
      <w:numFmt w:val="lowerLetter"/>
      <w:start w:val="1"/>
    </w:lvl>
  </w:abstractNum>
  <w:abstractNum w:abstractNumId="301">
    <w:nsid w:val="40F2CBD2"/>
    <w:multiLevelType w:val="hybridMultilevel"/>
    <w:lvl w:ilvl="0">
      <w:lvlJc w:val="left"/>
      <w:lvlText w:val="(%1)"/>
      <w:numFmt w:val="lowerLetter"/>
      <w:start w:val="1"/>
    </w:lvl>
    <w:lvl w:ilvl="1">
      <w:lvlJc w:val="left"/>
      <w:lvlText w:val="(%2)"/>
      <w:numFmt w:val="lowerRoman"/>
      <w:start w:val="1"/>
    </w:lvl>
  </w:abstractNum>
  <w:abstractNum w:abstractNumId="302">
    <w:nsid w:val="3BD615EB"/>
    <w:multiLevelType w:val="hybridMultilevel"/>
    <w:lvl w:ilvl="0">
      <w:lvlJc w:val="left"/>
      <w:lvlText w:val="(%1)"/>
      <w:numFmt w:val="lowerLetter"/>
      <w:start w:val="2"/>
    </w:lvl>
  </w:abstractNum>
  <w:abstractNum w:abstractNumId="303">
    <w:nsid w:val="A045AB2"/>
    <w:multiLevelType w:val="hybridMultilevel"/>
    <w:lvl w:ilvl="0">
      <w:lvlJc w:val="left"/>
      <w:lvlText w:val="(%1)"/>
      <w:numFmt w:val="lowerLetter"/>
      <w:start w:val="1"/>
    </w:lvl>
  </w:abstractNum>
  <w:abstractNum w:abstractNumId="304">
    <w:nsid w:val="1872261F"/>
    <w:multiLevelType w:val="hybridMultilevel"/>
    <w:lvl w:ilvl="0">
      <w:lvlJc w:val="left"/>
      <w:lvlText w:val="(%1)"/>
      <w:numFmt w:val="lowerLetter"/>
      <w:start w:val="2"/>
    </w:lvl>
  </w:abstractNum>
  <w:abstractNum w:abstractNumId="305">
    <w:nsid w:val="3DE8306C"/>
    <w:multiLevelType w:val="hybridMultilevel"/>
    <w:lvl w:ilvl="0">
      <w:lvlJc w:val="left"/>
      <w:lvlText w:val="(%1)"/>
      <w:numFmt w:val="lowerLetter"/>
      <w:start w:val="1"/>
    </w:lvl>
  </w:abstractNum>
  <w:abstractNum w:abstractNumId="306">
    <w:nsid w:val="7631573A"/>
    <w:multiLevelType w:val="hybridMultilevel"/>
    <w:lvl w:ilvl="0">
      <w:lvlJc w:val="left"/>
      <w:lvlText w:val="(%1)"/>
      <w:numFmt w:val="lowerLetter"/>
      <w:start w:val="6"/>
    </w:lvl>
  </w:abstractNum>
  <w:abstractNum w:abstractNumId="307">
    <w:nsid w:val="58DF53B"/>
    <w:multiLevelType w:val="hybridMultilevel"/>
    <w:lvl w:ilvl="0">
      <w:lvlJc w:val="left"/>
      <w:lvlText w:val="%1"/>
      <w:numFmt w:val="lowerLetter"/>
      <w:start w:val="1"/>
    </w:lvl>
    <w:lvl w:ilvl="1">
      <w:lvlJc w:val="left"/>
      <w:lvlText w:val="(%2)"/>
      <w:numFmt w:val="lowerLetter"/>
      <w:start w:val="1"/>
    </w:lvl>
  </w:abstractNum>
  <w:abstractNum w:abstractNumId="308">
    <w:nsid w:val="ACDFAC0"/>
    <w:multiLevelType w:val="hybridMultilevel"/>
    <w:lvl w:ilvl="0">
      <w:lvlJc w:val="left"/>
      <w:lvlText w:val="(%1)"/>
      <w:numFmt w:val="lowerLetter"/>
      <w:start w:val="9"/>
    </w:lvl>
    <w:lvl w:ilvl="1">
      <w:lvlJc w:val="left"/>
      <w:lvlText w:val="(%2)"/>
      <w:numFmt w:val="lowerLetter"/>
      <w:start w:val="2"/>
    </w:lvl>
  </w:abstractNum>
  <w:abstractNum w:abstractNumId="309">
    <w:nsid w:val="1F578454"/>
    <w:multiLevelType w:val="hybridMultilevel"/>
    <w:lvl w:ilvl="0">
      <w:lvlJc w:val="left"/>
      <w:lvlText w:val="(%1)"/>
      <w:numFmt w:val="lowerLetter"/>
      <w:start w:val="4"/>
    </w:lvl>
  </w:abstractNum>
  <w:abstractNum w:abstractNumId="310">
    <w:nsid w:val="5B0DAD2A"/>
    <w:multiLevelType w:val="hybridMultilevel"/>
    <w:lvl w:ilvl="0">
      <w:lvlJc w:val="left"/>
      <w:lvlText w:val="(%1)"/>
      <w:numFmt w:val="lowerLetter"/>
      <w:start w:val="1"/>
    </w:lvl>
  </w:abstractNum>
  <w:abstractNum w:abstractNumId="311">
    <w:nsid w:val="4E3D26AB"/>
    <w:multiLevelType w:val="hybridMultilevel"/>
    <w:lvl w:ilvl="0">
      <w:lvlJc w:val="left"/>
      <w:lvlText w:val="(%1)"/>
      <w:numFmt w:val="lowerLetter"/>
      <w:start w:val="1"/>
    </w:lvl>
  </w:abstractNum>
  <w:abstractNum w:abstractNumId="312">
    <w:nsid w:val="BE2C8BA"/>
    <w:multiLevelType w:val="hybridMultilevel"/>
    <w:lvl w:ilvl="0">
      <w:lvlJc w:val="left"/>
      <w:lvlText w:val="(%1)"/>
      <w:numFmt w:val="lowerLetter"/>
      <w:start w:val="3"/>
    </w:lvl>
  </w:abstractNum>
  <w:abstractNum w:abstractNumId="313">
    <w:nsid w:val="7B14914E"/>
    <w:multiLevelType w:val="hybridMultilevel"/>
    <w:lvl w:ilvl="0">
      <w:lvlJc w:val="left"/>
      <w:lvlText w:val="(%1)"/>
      <w:numFmt w:val="lowerLetter"/>
      <w:start w:val="1"/>
    </w:lvl>
  </w:abstractNum>
  <w:abstractNum w:abstractNumId="314">
    <w:nsid w:val="6F0939F8"/>
    <w:multiLevelType w:val="hybridMultilevel"/>
    <w:lvl w:ilvl="0">
      <w:lvlJc w:val="left"/>
      <w:lvlText w:val="(%1)"/>
      <w:numFmt w:val="lowerLetter"/>
      <w:start w:val="2"/>
    </w:lvl>
  </w:abstractNum>
  <w:abstractNum w:abstractNumId="315">
    <w:nsid w:val="154291F6"/>
    <w:multiLevelType w:val="hybridMultilevel"/>
    <w:lvl w:ilvl="0">
      <w:lvlJc w:val="left"/>
      <w:lvlText w:val="(%1)"/>
      <w:numFmt w:val="lowerLetter"/>
      <w:start w:val="3"/>
    </w:lvl>
  </w:abstractNum>
  <w:abstractNum w:abstractNumId="316">
    <w:nsid w:val="3CEBD7C7"/>
    <w:multiLevelType w:val="hybridMultilevel"/>
    <w:lvl w:ilvl="0">
      <w:lvlJc w:val="left"/>
      <w:lvlText w:val="(%1)"/>
      <w:numFmt w:val="lowerLetter"/>
      <w:start w:val="1"/>
    </w:lvl>
  </w:abstractNum>
  <w:abstractNum w:abstractNumId="317">
    <w:nsid w:val="60EE9C16"/>
    <w:multiLevelType w:val="hybridMultilevel"/>
    <w:lvl w:ilvl="0">
      <w:lvlJc w:val="left"/>
      <w:lvlText w:val="(%1)"/>
      <w:numFmt w:val="lowerLetter"/>
      <w:start w:val="1"/>
    </w:lvl>
  </w:abstractNum>
  <w:abstractNum w:abstractNumId="318">
    <w:nsid w:val="6385489E"/>
    <w:multiLevelType w:val="hybridMultilevel"/>
    <w:lvl w:ilvl="0">
      <w:lvlJc w:val="left"/>
      <w:lvlText w:val="(%1)"/>
      <w:numFmt w:val="lowerLetter"/>
      <w:start w:val="3"/>
    </w:lvl>
  </w:abstractNum>
  <w:abstractNum w:abstractNumId="319">
    <w:nsid w:val="E4B973"/>
    <w:multiLevelType w:val="hybridMultilevel"/>
    <w:lvl w:ilvl="0">
      <w:lvlJc w:val="left"/>
      <w:lvlText w:val="(%1)"/>
      <w:numFmt w:val="lowerLetter"/>
      <w:start w:val="1"/>
    </w:lvl>
  </w:abstractNum>
  <w:abstractNum w:abstractNumId="320">
    <w:nsid w:val="4A0FFA11"/>
    <w:multiLevelType w:val="hybridMultilevel"/>
    <w:lvl w:ilvl="0">
      <w:lvlJc w:val="left"/>
      <w:lvlText w:val="·"/>
      <w:numFmt w:val="bullet"/>
      <w:start w:val="1"/>
    </w:lvl>
  </w:abstractNum>
  <w:abstractNum w:abstractNumId="321">
    <w:nsid w:val="5E446208"/>
    <w:multiLevelType w:val="hybridMultilevel"/>
    <w:lvl w:ilvl="0">
      <w:lvlJc w:val="left"/>
      <w:lvlText w:val="(%1)"/>
      <w:numFmt w:val="lowerLetter"/>
      <w:start w:val="1"/>
    </w:lvl>
  </w:abstractNum>
  <w:abstractNum w:abstractNumId="322">
    <w:nsid w:val="5F3272DB"/>
    <w:multiLevelType w:val="hybridMultilevel"/>
    <w:lvl w:ilvl="0">
      <w:lvlJc w:val="left"/>
      <w:lvlText w:val="(%1)"/>
      <w:numFmt w:val="lowerLetter"/>
      <w:start w:val="3"/>
    </w:lvl>
  </w:abstractNum>
  <w:abstractNum w:abstractNumId="323">
    <w:nsid w:val="7616D704"/>
    <w:multiLevelType w:val="hybridMultilevel"/>
    <w:lvl w:ilvl="0">
      <w:lvlJc w:val="left"/>
      <w:lvlText w:val="(%1)"/>
      <w:numFmt w:val="lowerLetter"/>
      <w:start w:val="1"/>
    </w:lvl>
  </w:abstractNum>
  <w:abstractNum w:abstractNumId="324">
    <w:nsid w:val="C56F860"/>
    <w:multiLevelType w:val="hybridMultilevel"/>
    <w:lvl w:ilvl="0">
      <w:lvlJc w:val="left"/>
      <w:lvlText w:val="(%1)"/>
      <w:numFmt w:val="lowerLetter"/>
      <w:start w:val="3"/>
    </w:lvl>
    <w:lvl w:ilvl="1">
      <w:lvlJc w:val="left"/>
      <w:lvlText w:val="(%2)"/>
      <w:numFmt w:val="lowerRoman"/>
      <w:start w:val="1"/>
    </w:lvl>
  </w:abstractNum>
  <w:abstractNum w:abstractNumId="325">
    <w:nsid w:val="64D17722"/>
    <w:multiLevelType w:val="hybridMultilevel"/>
    <w:lvl w:ilvl="0">
      <w:lvlJc w:val="left"/>
      <w:lvlText w:val="(%1)"/>
      <w:numFmt w:val="lowerLetter"/>
      <w:start w:val="6"/>
    </w:lvl>
  </w:abstractNum>
  <w:abstractNum w:abstractNumId="326">
    <w:nsid w:val="7924CA0A"/>
    <w:multiLevelType w:val="hybridMultilevel"/>
    <w:lvl w:ilvl="0">
      <w:lvlJc w:val="left"/>
      <w:lvlText w:val="(%1)"/>
      <w:numFmt w:val="lowerLetter"/>
      <w:start w:val="11"/>
    </w:lvl>
  </w:abstractNum>
  <w:abstractNum w:abstractNumId="327">
    <w:nsid w:val="CFD4EA7"/>
    <w:multiLevelType w:val="hybridMultilevel"/>
    <w:lvl w:ilvl="0">
      <w:lvlJc w:val="left"/>
      <w:lvlText w:val="(%1)"/>
      <w:numFmt w:val="lowerLetter"/>
      <w:start w:val="1"/>
    </w:lvl>
    <w:lvl w:ilvl="1">
      <w:lvlJc w:val="left"/>
      <w:lvlText w:val="(%2)"/>
      <w:numFmt w:val="lowerLetter"/>
      <w:start w:val="9"/>
    </w:lvl>
  </w:abstractNum>
  <w:abstractNum w:abstractNumId="328">
    <w:nsid w:val="232FCF4D"/>
    <w:multiLevelType w:val="hybridMultilevel"/>
    <w:lvl w:ilvl="0">
      <w:lvlJc w:val="left"/>
      <w:lvlText w:val="%1"/>
      <w:numFmt w:val="lowerLetter"/>
      <w:start w:val="1"/>
    </w:lvl>
    <w:lvl w:ilvl="1">
      <w:lvlJc w:val="left"/>
      <w:lvlText w:val="(%2)"/>
      <w:numFmt w:val="lowerLetter"/>
      <w:start w:val="35"/>
    </w:lvl>
  </w:abstractNum>
  <w:abstractNum w:abstractNumId="329">
    <w:nsid w:val="1EA21031"/>
    <w:multiLevelType w:val="hybridMultilevel"/>
    <w:lvl w:ilvl="0">
      <w:lvlJc w:val="left"/>
      <w:lvlText w:val="(%1)"/>
      <w:numFmt w:val="lowerLetter"/>
      <w:start w:val="6"/>
    </w:lvl>
    <w:lvl w:ilvl="1">
      <w:lvlJc w:val="left"/>
      <w:lvlText w:val="%2"/>
      <w:numFmt w:val="lowerLetter"/>
      <w:start w:val="1"/>
    </w:lvl>
  </w:abstractNum>
  <w:abstractNum w:abstractNumId="330">
    <w:nsid w:val="67A5A6B5"/>
    <w:multiLevelType w:val="hybridMultilevel"/>
    <w:lvl w:ilvl="0">
      <w:lvlJc w:val="left"/>
      <w:lvlText w:val="(%1)"/>
      <w:numFmt w:val="lowerLetter"/>
      <w:start w:val="1"/>
    </w:lvl>
  </w:abstractNum>
  <w:abstractNum w:abstractNumId="331">
    <w:nsid w:val="C2A5C5B"/>
    <w:multiLevelType w:val="hybridMultilevel"/>
    <w:lvl w:ilvl="0">
      <w:lvlJc w:val="left"/>
      <w:lvlText w:val="(%1)"/>
      <w:numFmt w:val="lowerLetter"/>
      <w:start w:val="3"/>
    </w:lvl>
  </w:abstractNum>
  <w:abstractNum w:abstractNumId="332">
    <w:nsid w:val="5F94DC03"/>
    <w:multiLevelType w:val="hybridMultilevel"/>
    <w:lvl w:ilvl="0">
      <w:lvlJc w:val="left"/>
      <w:lvlText w:val="(%1)"/>
      <w:numFmt w:val="lowerLetter"/>
      <w:start w:val="1"/>
    </w:lvl>
  </w:abstractNum>
  <w:abstractNum w:abstractNumId="333">
    <w:nsid w:val="237BBCA0"/>
    <w:multiLevelType w:val="hybridMultilevel"/>
    <w:lvl w:ilvl="0">
      <w:lvlJc w:val="left"/>
      <w:lvlText w:val="%1"/>
      <w:numFmt w:val="lowerLetter"/>
      <w:start w:val="1"/>
    </w:lvl>
    <w:lvl w:ilvl="1">
      <w:lvlJc w:val="left"/>
      <w:lvlText w:val="(%2)"/>
      <w:numFmt w:val="lowerLetter"/>
      <w:start w:val="35"/>
    </w:lvl>
  </w:abstractNum>
  <w:abstractNum w:abstractNumId="334">
    <w:nsid w:val="162EB70D"/>
    <w:multiLevelType w:val="hybridMultilevel"/>
    <w:lvl w:ilvl="0">
      <w:lvlJc w:val="left"/>
      <w:lvlText w:val="(%1)"/>
      <w:numFmt w:val="lowerLetter"/>
      <w:start w:val="1"/>
    </w:lvl>
    <w:lvl w:ilvl="1">
      <w:lvlJc w:val="left"/>
      <w:lvlText w:val="%2"/>
      <w:numFmt w:val="lowerLetter"/>
      <w:start w:val="1"/>
    </w:lvl>
  </w:abstractNum>
  <w:abstractNum w:abstractNumId="335">
    <w:nsid w:val="78070222"/>
    <w:multiLevelType w:val="hybridMultilevel"/>
    <w:lvl w:ilvl="0">
      <w:lvlJc w:val="left"/>
      <w:lvlText w:val="(%1)"/>
      <w:numFmt w:val="lowerLetter"/>
      <w:start w:val="3"/>
    </w:lvl>
  </w:abstractNum>
  <w:abstractNum w:abstractNumId="336">
    <w:nsid w:val="6163ED0D"/>
    <w:multiLevelType w:val="hybridMultilevel"/>
    <w:lvl w:ilvl="0">
      <w:lvlJc w:val="left"/>
      <w:lvlText w:val="(%1)"/>
      <w:numFmt w:val="lowerRoman"/>
      <w:start w:val="1"/>
    </w:lvl>
  </w:abstractNum>
  <w:abstractNum w:abstractNumId="337">
    <w:nsid w:val="C600E47"/>
    <w:multiLevelType w:val="hybridMultilevel"/>
    <w:lvl w:ilvl="0">
      <w:lvlJc w:val="left"/>
      <w:lvlText w:val="A"/>
      <w:numFmt w:val="bullet"/>
      <w:start w:val="1"/>
    </w:lvl>
  </w:abstractNum>
  <w:abstractNum w:abstractNumId="338">
    <w:nsid w:val="7D94F75D"/>
    <w:multiLevelType w:val="hybridMultilevel"/>
    <w:lvl w:ilvl="0">
      <w:lvlJc w:val="left"/>
      <w:lvlText w:val="B"/>
      <w:numFmt w:val="bullet"/>
      <w:start w:val="1"/>
    </w:lvl>
  </w:abstractNum>
  <w:abstractNum w:abstractNumId="339">
    <w:nsid w:val="6C31E7CD"/>
    <w:multiLevelType w:val="hybridMultilevel"/>
    <w:lvl w:ilvl="0">
      <w:lvlJc w:val="left"/>
      <w:lvlText w:val="E"/>
      <w:numFmt w:val="bullet"/>
      <w:start w:val="1"/>
    </w:lvl>
  </w:abstractNum>
  <w:abstractNum w:abstractNumId="340">
    <w:nsid w:val="2BB7929B"/>
    <w:multiLevelType w:val="hybridMultilevel"/>
    <w:lvl w:ilvl="0">
      <w:lvlJc w:val="left"/>
      <w:lvlText w:val="I"/>
      <w:numFmt w:val="bullet"/>
      <w:start w:val="1"/>
    </w:lvl>
  </w:abstractNum>
  <w:abstractNum w:abstractNumId="341">
    <w:nsid w:val="58A2A487"/>
    <w:multiLevelType w:val="hybridMultilevel"/>
    <w:lvl w:ilvl="0">
      <w:lvlJc w:val="left"/>
      <w:lvlText w:val="(%1)"/>
      <w:numFmt w:val="lowerLetter"/>
      <w:start w:val="1"/>
    </w:lvl>
  </w:abstractNum>
  <w:abstractNum w:abstractNumId="342">
    <w:nsid w:val="3A6F0E78"/>
    <w:multiLevelType w:val="hybridMultilevel"/>
    <w:lvl w:ilvl="0">
      <w:lvlJc w:val="left"/>
      <w:lvlText w:val="(%1)"/>
      <w:numFmt w:val="lowerLetter"/>
      <w:start w:val="26"/>
    </w:lvl>
  </w:abstractNum>
  <w:abstractNum w:abstractNumId="343">
    <w:nsid w:val="379A5B56"/>
    <w:multiLevelType w:val="hybridMultilevel"/>
    <w:lvl w:ilvl="0">
      <w:lvlJc w:val="left"/>
      <w:lvlText w:val="(%1)"/>
      <w:numFmt w:val="lowerRoman"/>
      <w:start w:val="10"/>
    </w:lvl>
  </w:abstractNum>
  <w:abstractNum w:abstractNumId="344">
    <w:nsid w:val="53B735D5"/>
    <w:multiLevelType w:val="hybridMultilevel"/>
    <w:lvl w:ilvl="0">
      <w:lvlJc w:val="left"/>
      <w:lvlText w:val="(%1)"/>
      <w:numFmt w:val="lowerRoman"/>
      <w:start w:val="1"/>
    </w:lvl>
  </w:abstractNum>
  <w:abstractNum w:abstractNumId="345">
    <w:nsid w:val="29784870"/>
    <w:multiLevelType w:val="hybridMultilevel"/>
    <w:lvl w:ilvl="0">
      <w:lvlJc w:val="left"/>
      <w:lvlText w:val="(%1)"/>
      <w:numFmt w:val="upperLetter"/>
      <w:start w:val="2"/>
    </w:lvl>
  </w:abstractNum>
  <w:abstractNum w:abstractNumId="346">
    <w:nsid w:val="4CDCED4C"/>
    <w:multiLevelType w:val="hybridMultilevel"/>
    <w:lvl w:ilvl="0">
      <w:lvlJc w:val="left"/>
      <w:lvlText w:val="(%1)"/>
      <w:numFmt w:val="lowerLetter"/>
      <w:start w:val="1"/>
    </w:lvl>
  </w:abstractNum>
  <w:abstractNum w:abstractNumId="347">
    <w:nsid w:val="10A30D9C"/>
    <w:multiLevelType w:val="hybridMultilevel"/>
    <w:lvl w:ilvl="0">
      <w:lvlJc w:val="left"/>
      <w:lvlText w:val="(%1)"/>
      <w:numFmt w:val="lowerLetter"/>
      <w:start w:val="7"/>
    </w:lvl>
  </w:abstractNum>
  <w:abstractNum w:abstractNumId="348">
    <w:nsid w:val="A66E486"/>
    <w:multiLevelType w:val="hybridMultilevel"/>
    <w:lvl w:ilvl="0">
      <w:lvlJc w:val="left"/>
      <w:lvlText w:val="(%1)"/>
      <w:numFmt w:val="lowerLetter"/>
      <w:start w:val="1"/>
    </w:lvl>
  </w:abstractNum>
  <w:abstractNum w:abstractNumId="349">
    <w:nsid w:val="306235EA"/>
    <w:multiLevelType w:val="hybridMultilevel"/>
    <w:lvl w:ilvl="0">
      <w:lvlJc w:val="left"/>
      <w:lvlText w:val="(%1)"/>
      <w:numFmt w:val="lowerLetter"/>
      <w:start w:val="1"/>
    </w:lvl>
  </w:abstractNum>
  <w:abstractNum w:abstractNumId="350">
    <w:nsid w:val="1187C70F"/>
    <w:multiLevelType w:val="hybridMultilevel"/>
    <w:lvl w:ilvl="0">
      <w:lvlJc w:val="left"/>
      <w:lvlText w:val="(%1)"/>
      <w:numFmt w:val="lowerLetter"/>
      <w:start w:val="3"/>
    </w:lvl>
  </w:abstractNum>
  <w:abstractNum w:abstractNumId="351">
    <w:nsid w:val="5476DE98"/>
    <w:multiLevelType w:val="hybridMultilevel"/>
    <w:lvl w:ilvl="0">
      <w:lvlJc w:val="left"/>
      <w:lvlText w:val="(%1)"/>
      <w:numFmt w:val="lowerLetter"/>
      <w:start w:val="1"/>
    </w:lvl>
  </w:abstractNum>
  <w:abstractNum w:abstractNumId="352">
    <w:nsid w:val="EA697F2"/>
    <w:multiLevelType w:val="hybridMultilevel"/>
    <w:lvl w:ilvl="0">
      <w:lvlJc w:val="left"/>
      <w:lvlText w:val="(%1)"/>
      <w:numFmt w:val="lowerLetter"/>
      <w:start w:val="3"/>
    </w:lvl>
  </w:abstractNum>
  <w:abstractNum w:abstractNumId="353">
    <w:nsid w:val="70BA39EB"/>
    <w:multiLevelType w:val="hybridMultilevel"/>
    <w:lvl w:ilvl="0">
      <w:lvlJc w:val="left"/>
      <w:lvlText w:val="(%1)"/>
      <w:numFmt w:val="lowerLetter"/>
      <w:start w:val="1"/>
    </w:lvl>
  </w:abstractNum>
  <w:abstractNum w:abstractNumId="354">
    <w:nsid w:val="4A8DB59C"/>
    <w:multiLevelType w:val="hybridMultilevel"/>
    <w:lvl w:ilvl="0">
      <w:lvlJc w:val="left"/>
      <w:lvlText w:val="(%1)"/>
      <w:numFmt w:val="lowerLetter"/>
      <w:start w:val="2"/>
    </w:lvl>
  </w:abstractNum>
  <w:abstractNum w:abstractNumId="355">
    <w:nsid w:val="1AFD9053"/>
    <w:multiLevelType w:val="hybridMultilevel"/>
    <w:lvl w:ilvl="0">
      <w:lvlJc w:val="left"/>
      <w:lvlText w:val="%1"/>
      <w:numFmt w:val="lowerLetter"/>
      <w:start w:val="1"/>
    </w:lvl>
    <w:lvl w:ilvl="1">
      <w:lvlJc w:val="left"/>
      <w:lvlText w:val="(%2)"/>
      <w:numFmt w:val="lowerLetter"/>
      <w:start w:val="1"/>
    </w:lvl>
  </w:abstractNum>
  <w:abstractNum w:abstractNumId="356">
    <w:nsid w:val="558BB10D"/>
    <w:multiLevelType w:val="hybridMultilevel"/>
    <w:lvl w:ilvl="0">
      <w:lvlJc w:val="left"/>
      <w:lvlText w:val="(%1)"/>
      <w:numFmt w:val="lowerLetter"/>
      <w:start w:val="9"/>
    </w:lvl>
    <w:lvl w:ilvl="1">
      <w:lvlJc w:val="left"/>
      <w:lvlText w:val="(%2)"/>
      <w:numFmt w:val="lowerLetter"/>
      <w:start w:val="2"/>
    </w:lvl>
  </w:abstractNum>
  <w:abstractNum w:abstractNumId="357">
    <w:nsid w:val="43B27FA7"/>
    <w:multiLevelType w:val="hybridMultilevel"/>
    <w:lvl w:ilvl="0">
      <w:lvlJc w:val="left"/>
      <w:lvlText w:val="(%1)"/>
      <w:numFmt w:val="lowerLetter"/>
      <w:start w:val="1"/>
    </w:lvl>
    <w:lvl w:ilvl="1">
      <w:lvlJc w:val="left"/>
      <w:lvlText w:val="(%2)"/>
      <w:numFmt w:val="lowerRoman"/>
      <w:start w:val="1"/>
    </w:lvl>
  </w:abstractNum>
  <w:abstractNum w:abstractNumId="358">
    <w:nsid w:val="27FADEFA"/>
    <w:multiLevelType w:val="hybridMultilevel"/>
    <w:lvl w:ilvl="0">
      <w:lvlJc w:val="left"/>
      <w:lvlText w:val="(%1)"/>
      <w:numFmt w:val="lowerRoman"/>
      <w:start w:val="2"/>
    </w:lvl>
  </w:abstractNum>
  <w:abstractNum w:abstractNumId="359">
    <w:nsid w:val="78BB805A"/>
    <w:multiLevelType w:val="hybridMultilevel"/>
    <w:lvl w:ilvl="0">
      <w:lvlJc w:val="left"/>
      <w:lvlText w:val="(%1)"/>
      <w:numFmt w:val="lowerLetter"/>
      <w:start w:val="1"/>
    </w:lvl>
  </w:abstractNum>
  <w:abstractNum w:abstractNumId="360">
    <w:nsid w:val="62548FD8"/>
    <w:multiLevelType w:val="hybridMultilevel"/>
    <w:lvl w:ilvl="0">
      <w:lvlJc w:val="left"/>
      <w:lvlText w:val="(%1)"/>
      <w:numFmt w:val="lowerLetter"/>
      <w:start w:val="1"/>
    </w:lvl>
    <w:lvl w:ilvl="1">
      <w:lvlJc w:val="left"/>
      <w:lvlText w:val="(%2)"/>
      <w:numFmt w:val="lowerRoman"/>
      <w:start w:val="1"/>
    </w:lvl>
  </w:abstractNum>
  <w:abstractNum w:abstractNumId="361">
    <w:nsid w:val="FA085B0"/>
    <w:multiLevelType w:val="hybridMultilevel"/>
    <w:lvl w:ilvl="0">
      <w:lvlJc w:val="left"/>
      <w:lvlText w:val="(%1)"/>
      <w:numFmt w:val="lowerLetter"/>
      <w:start w:val="1"/>
    </w:lvl>
    <w:lvl w:ilvl="1">
      <w:lvlJc w:val="left"/>
      <w:lvlText w:val="(%2)"/>
      <w:numFmt w:val="lowerLetter"/>
      <w:start w:val="9"/>
    </w:lvl>
  </w:abstractNum>
  <w:abstractNum w:abstractNumId="362">
    <w:nsid w:val="4E5DCB5"/>
    <w:multiLevelType w:val="hybridMultilevel"/>
    <w:lvl w:ilvl="0">
      <w:lvlJc w:val="left"/>
      <w:lvlText w:val="%1"/>
      <w:numFmt w:val="lowerLetter"/>
      <w:start w:val="1"/>
    </w:lvl>
    <w:lvl w:ilvl="1">
      <w:lvlJc w:val="left"/>
      <w:lvlText w:val="(%2)"/>
      <w:numFmt w:val="lowerLetter"/>
      <w:start w:val="35"/>
    </w:lvl>
  </w:abstractNum>
  <w:abstractNum w:abstractNumId="363">
    <w:nsid w:val="41E96BDB"/>
    <w:multiLevelType w:val="hybridMultilevel"/>
    <w:lvl w:ilvl="0">
      <w:lvlJc w:val="left"/>
      <w:lvlText w:val="(%1)"/>
      <w:numFmt w:val="lowerLetter"/>
      <w:start w:val="2"/>
    </w:lvl>
    <w:lvl w:ilvl="1">
      <w:lvlJc w:val="left"/>
      <w:lvlText w:val="%2"/>
      <w:numFmt w:val="lowerLetter"/>
      <w:start w:val="1"/>
    </w:lvl>
  </w:abstractNum>
  <w:abstractNum w:abstractNumId="364">
    <w:nsid w:val="331C4250"/>
    <w:multiLevelType w:val="hybridMultilevel"/>
    <w:lvl w:ilvl="0">
      <w:lvlJc w:val="left"/>
      <w:lvlText w:val="(%1)"/>
      <w:numFmt w:val="lowerLetter"/>
      <w:start w:val="1"/>
    </w:lvl>
  </w:abstractNum>
  <w:abstractNum w:abstractNumId="365">
    <w:nsid w:val="1B1493C2"/>
    <w:multiLevelType w:val="hybridMultilevel"/>
    <w:lvl w:ilvl="0">
      <w:lvlJc w:val="left"/>
      <w:lvlText w:val="(%1)"/>
      <w:numFmt w:val="lowerLetter"/>
      <w:start w:val="1"/>
    </w:lvl>
  </w:abstractNum>
  <w:abstractNum w:abstractNumId="366">
    <w:nsid w:val="39F06DFD"/>
    <w:multiLevelType w:val="hybridMultilevel"/>
    <w:lvl w:ilvl="0">
      <w:lvlJc w:val="left"/>
      <w:lvlText w:val="(%1)"/>
      <w:numFmt w:val="lowerLetter"/>
      <w:start w:val="2"/>
    </w:lvl>
    <w:lvl w:ilvl="1">
      <w:lvlJc w:val="left"/>
      <w:lvlText w:val="(%2)"/>
      <w:numFmt w:val="lowerRoman"/>
      <w:start w:val="1"/>
    </w:lvl>
  </w:abstractNum>
  <w:abstractNum w:abstractNumId="367">
    <w:nsid w:val="14802F5D"/>
    <w:multiLevelType w:val="hybridMultilevel"/>
    <w:lvl w:ilvl="0">
      <w:lvlJc w:val="left"/>
      <w:lvlText w:val="(%1)"/>
      <w:numFmt w:val="lowerLetter"/>
      <w:start w:val="1"/>
    </w:lvl>
  </w:abstractNum>
  <w:abstractNum w:abstractNumId="368">
    <w:nsid w:val="2774A209"/>
    <w:multiLevelType w:val="hybridMultilevel"/>
    <w:lvl w:ilvl="0">
      <w:lvlJc w:val="left"/>
      <w:lvlText w:val="(%1)"/>
      <w:numFmt w:val="lowerLetter"/>
      <w:start w:val="2"/>
    </w:lvl>
  </w:abstractNum>
  <w:abstractNum w:abstractNumId="369">
    <w:nsid w:val="3785655A"/>
    <w:multiLevelType w:val="hybridMultilevel"/>
    <w:lvl w:ilvl="0">
      <w:lvlJc w:val="left"/>
      <w:lvlText w:val="(%1)"/>
      <w:numFmt w:val="lowerLetter"/>
      <w:start w:val="1"/>
    </w:lvl>
  </w:abstractNum>
  <w:abstractNum w:abstractNumId="370">
    <w:nsid w:val="B2172A"/>
    <w:multiLevelType w:val="hybridMultilevel"/>
    <w:lvl w:ilvl="0">
      <w:lvlJc w:val="left"/>
      <w:lvlText w:val="(%1)"/>
      <w:numFmt w:val="lowerLetter"/>
      <w:start w:val="2"/>
    </w:lvl>
    <w:lvl w:ilvl="1">
      <w:lvlJc w:val="left"/>
      <w:lvlText w:val="(%2)"/>
      <w:numFmt w:val="lowerRoman"/>
      <w:start w:val="1"/>
    </w:lvl>
  </w:abstractNum>
  <w:abstractNum w:abstractNumId="371">
    <w:nsid w:val="532C34A5"/>
    <w:multiLevelType w:val="hybridMultilevel"/>
    <w:lvl w:ilvl="0">
      <w:lvlJc w:val="left"/>
      <w:lvlText w:val="(%1)"/>
      <w:numFmt w:val="lowerLetter"/>
      <w:start w:val="3"/>
    </w:lvl>
  </w:abstractNum>
  <w:abstractNum w:abstractNumId="372">
    <w:nsid w:val="102809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3">
    <w:nsid w:val="3B2125A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4">
    <w:nsid w:val="AC68F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75">
    <w:nsid w:val="63DF3FB7"/>
    <w:multiLevelType w:val="hybridMultilevel"/>
    <w:lvl w:ilvl="0">
      <w:lvlJc w:val="left"/>
      <w:lvlText w:val="(%1)"/>
      <w:numFmt w:val="lowerLetter"/>
      <w:start w:val="1"/>
    </w:lvl>
  </w:abstractNum>
  <w:abstractNum w:abstractNumId="376">
    <w:nsid w:val="64996E1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7">
    <w:nsid w:val="57A37D47"/>
    <w:multiLevelType w:val="hybridMultilevel"/>
    <w:lvl w:ilvl="0">
      <w:lvlJc w:val="left"/>
      <w:lvlText w:val="%1"/>
      <w:numFmt w:val="lowerLetter"/>
      <w:start w:val="1"/>
    </w:lvl>
    <w:lvl w:ilvl="1">
      <w:lvlJc w:val="left"/>
      <w:lvlText w:val="(%2)"/>
      <w:numFmt w:val="lowerLetter"/>
      <w:start w:val="61"/>
    </w:lvl>
  </w:abstractNum>
  <w:abstractNum w:abstractNumId="378">
    <w:nsid w:val="74824D54"/>
    <w:multiLevelType w:val="hybridMultilevel"/>
    <w:lvl w:ilvl="0">
      <w:lvlJc w:val="left"/>
      <w:lvlText w:val="(%1)"/>
      <w:numFmt w:val="lowerLetter"/>
      <w:start w:val="4"/>
    </w:lvl>
    <w:lvl w:ilvl="1">
      <w:lvlJc w:val="left"/>
      <w:lvlText w:val="%2"/>
      <w:numFmt w:val="lowerLetter"/>
      <w:start w:val="1"/>
    </w:lvl>
  </w:abstractNum>
  <w:abstractNum w:abstractNumId="379">
    <w:nsid w:val="6F00529A"/>
    <w:multiLevelType w:val="hybridMultilevel"/>
    <w:lvl w:ilvl="0">
      <w:lvlJc w:val="left"/>
      <w:lvlText w:val="(%1)"/>
      <w:numFmt w:val="lowerLetter"/>
      <w:start w:val="11"/>
    </w:lvl>
  </w:abstractNum>
  <w:abstractNum w:abstractNumId="380">
    <w:nsid w:val="805B331"/>
    <w:multiLevelType w:val="hybridMultilevel"/>
    <w:lvl w:ilvl="0">
      <w:lvlJc w:val="left"/>
      <w:lvlText w:val="(%1)"/>
      <w:numFmt w:val="lowerLetter"/>
      <w:start w:val="1"/>
    </w:lvl>
  </w:abstractNum>
  <w:abstractNum w:abstractNumId="381">
    <w:nsid w:val="60A1463"/>
    <w:multiLevelType w:val="hybridMultilevel"/>
    <w:lvl w:ilvl="0">
      <w:lvlJc w:val="left"/>
      <w:lvlText w:val="%1"/>
      <w:numFmt w:val="lowerLetter"/>
      <w:start w:val="1"/>
    </w:lvl>
    <w:lvl w:ilvl="1">
      <w:lvlJc w:val="left"/>
      <w:lvlText w:val="(%2)"/>
      <w:numFmt w:val="lowerLetter"/>
      <w:start w:val="1"/>
    </w:lvl>
  </w:abstractNum>
  <w:abstractNum w:abstractNumId="382">
    <w:nsid w:val="43773132"/>
    <w:multiLevelType w:val="hybridMultilevel"/>
    <w:lvl w:ilvl="0">
      <w:lvlJc w:val="left"/>
      <w:lvlText w:val="(%1)"/>
      <w:numFmt w:val="lowerLetter"/>
      <w:start w:val="35"/>
    </w:lvl>
    <w:lvl w:ilvl="1">
      <w:lvlJc w:val="left"/>
      <w:lvlText w:val="%2"/>
      <w:numFmt w:val="lowerLetter"/>
      <w:start w:val="1"/>
    </w:lvl>
  </w:abstractNum>
  <w:abstractNum w:abstractNumId="383">
    <w:nsid w:val="16AC4B23"/>
    <w:multiLevelType w:val="hybridMultilevel"/>
    <w:lvl w:ilvl="0">
      <w:lvlJc w:val="left"/>
      <w:lvlText w:val="(%1)"/>
      <w:numFmt w:val="lowerLetter"/>
      <w:start w:val="1"/>
    </w:lvl>
  </w:abstractNum>
  <w:abstractNum w:abstractNumId="384">
    <w:nsid w:val="76C44E4E"/>
    <w:multiLevelType w:val="hybridMultilevel"/>
    <w:lvl w:ilvl="0">
      <w:lvlJc w:val="left"/>
      <w:lvlText w:val="(%1)"/>
      <w:numFmt w:val="lowerLetter"/>
      <w:start w:val="1"/>
    </w:lvl>
    <w:lvl w:ilvl="1">
      <w:lvlJc w:val="left"/>
      <w:lvlText w:val="(%2)"/>
      <w:numFmt w:val="lowerRoman"/>
      <w:start w:val="1"/>
    </w:lvl>
  </w:abstractNum>
  <w:abstractNum w:abstractNumId="385">
    <w:nsid w:val="E04E6CE"/>
    <w:multiLevelType w:val="hybridMultilevel"/>
    <w:lvl w:ilvl="0">
      <w:lvlJc w:val="left"/>
      <w:lvlText w:val="(%1)"/>
      <w:numFmt w:val="lowerLetter"/>
      <w:start w:val="1"/>
    </w:lvl>
  </w:abstractNum>
  <w:abstractNum w:abstractNumId="386">
    <w:nsid w:val="31A9DB76"/>
    <w:multiLevelType w:val="hybridMultilevel"/>
    <w:lvl w:ilvl="0">
      <w:lvlJc w:val="left"/>
      <w:lvlText w:val="(%1)"/>
      <w:numFmt w:val="lowerLetter"/>
      <w:start w:val="1"/>
    </w:lvl>
  </w:abstractNum>
  <w:abstractNum w:abstractNumId="387">
    <w:nsid w:val="4C4FFF5B"/>
    <w:multiLevelType w:val="hybridMultilevel"/>
    <w:lvl w:ilvl="0">
      <w:lvlJc w:val="left"/>
      <w:lvlText w:val="(%1)"/>
      <w:numFmt w:val="lowerLetter"/>
      <w:start w:val="2"/>
    </w:lvl>
  </w:abstractNum>
  <w:abstractNum w:abstractNumId="388">
    <w:nsid w:val="51B76675"/>
    <w:multiLevelType w:val="hybridMultilevel"/>
    <w:lvl w:ilvl="0">
      <w:lvlJc w:val="left"/>
      <w:lvlText w:val="%1"/>
      <w:numFmt w:val="lowerLetter"/>
      <w:start w:val="1"/>
    </w:lvl>
    <w:lvl w:ilvl="1">
      <w:lvlJc w:val="left"/>
      <w:lvlText w:val="(%2)"/>
      <w:numFmt w:val="lowerLetter"/>
      <w:start w:val="1"/>
    </w:lvl>
  </w:abstractNum>
  <w:abstractNum w:abstractNumId="389">
    <w:nsid w:val="59A4BA71"/>
    <w:multiLevelType w:val="hybridMultilevel"/>
    <w:lvl w:ilvl="0">
      <w:lvlJc w:val="left"/>
      <w:lvlText w:val="(%1)"/>
      <w:numFmt w:val="lowerLetter"/>
      <w:start w:val="24"/>
    </w:lvl>
    <w:lvl w:ilvl="1">
      <w:lvlJc w:val="left"/>
      <w:lvlText w:val="(%2)"/>
      <w:numFmt w:val="lowerLetter"/>
      <w:start w:val="2"/>
    </w:lvl>
  </w:abstractNum>
  <w:abstractNum w:abstractNumId="390">
    <w:nsid w:val="450B7FB6"/>
    <w:multiLevelType w:val="hybridMultilevel"/>
    <w:lvl w:ilvl="0">
      <w:lvlJc w:val="left"/>
      <w:lvlText w:val="(%1)"/>
      <w:numFmt w:val="lowerLetter"/>
      <w:start w:val="3"/>
    </w:lvl>
  </w:abstractNum>
  <w:abstractNum w:abstractNumId="391">
    <w:nsid w:val="340BF64D"/>
    <w:multiLevelType w:val="hybridMultilevel"/>
    <w:lvl w:ilvl="0">
      <w:lvlJc w:val="left"/>
      <w:lvlText w:val="(%1)"/>
      <w:numFmt w:val="lowerLetter"/>
      <w:start w:val="1"/>
    </w:lvl>
  </w:abstractNum>
  <w:abstractNum w:abstractNumId="392">
    <w:nsid w:val="69454021"/>
    <w:multiLevelType w:val="hybridMultilevel"/>
    <w:lvl w:ilvl="0">
      <w:lvlJc w:val="left"/>
      <w:lvlText w:val="(%1)"/>
      <w:numFmt w:val="lowerLetter"/>
      <w:start w:val="3"/>
    </w:lvl>
  </w:abstractNum>
  <w:abstractNum w:abstractNumId="393">
    <w:nsid w:val="49F15C6B"/>
    <w:multiLevelType w:val="hybridMultilevel"/>
    <w:lvl w:ilvl="0">
      <w:lvlJc w:val="left"/>
      <w:lvlText w:val="(%1)"/>
      <w:numFmt w:val="lowerLetter"/>
      <w:start w:val="1"/>
    </w:lvl>
  </w:abstractNum>
  <w:abstractNum w:abstractNumId="394">
    <w:nsid w:val="75F56228"/>
    <w:multiLevelType w:val="hybridMultilevel"/>
    <w:lvl w:ilvl="0">
      <w:lvlJc w:val="left"/>
      <w:lvlText w:val="(%1)"/>
      <w:numFmt w:val="lowerLetter"/>
      <w:start w:val="1"/>
    </w:lvl>
  </w:abstractNum>
  <w:abstractNum w:abstractNumId="395">
    <w:nsid w:val="1C618271"/>
    <w:multiLevelType w:val="hybridMultilevel"/>
    <w:lvl w:ilvl="0">
      <w:lvlJc w:val="left"/>
      <w:lvlText w:val="(%1)"/>
      <w:numFmt w:val="lowerLetter"/>
      <w:start w:val="2"/>
    </w:lvl>
  </w:abstractNum>
  <w:abstractNum w:abstractNumId="396">
    <w:nsid w:val="6505F02E"/>
    <w:multiLevelType w:val="hybridMultilevel"/>
    <w:lvl w:ilvl="0">
      <w:lvlJc w:val="left"/>
      <w:lvlText w:val="(%1)"/>
      <w:numFmt w:val="lowerRoman"/>
      <w:start w:val="2"/>
    </w:lvl>
  </w:abstractNum>
  <w:abstractNum w:abstractNumId="397">
    <w:nsid w:val="2FE5D025"/>
    <w:multiLevelType w:val="hybridMultilevel"/>
    <w:lvl w:ilvl="0">
      <w:lvlJc w:val="left"/>
      <w:lvlText w:val="(%1)"/>
      <w:numFmt w:val="lowerLetter"/>
      <w:start w:val="1"/>
    </w:lvl>
  </w:abstractNum>
  <w:abstractNum w:abstractNumId="398">
    <w:nsid w:val="30E1B1CF"/>
    <w:multiLevelType w:val="hybridMultilevel"/>
    <w:lvl w:ilvl="0">
      <w:lvlJc w:val="left"/>
      <w:lvlText w:val="(%1)"/>
      <w:numFmt w:val="lowerLetter"/>
      <w:start w:val="5"/>
    </w:lvl>
  </w:abstractNum>
  <w:abstractNum w:abstractNumId="399">
    <w:nsid w:val="C7A9237"/>
    <w:multiLevelType w:val="hybridMultilevel"/>
    <w:lvl w:ilvl="0">
      <w:lvlJc w:val="left"/>
      <w:lvlText w:val="(%1)"/>
      <w:numFmt w:val="lowerLetter"/>
      <w:start w:val="1"/>
    </w:lvl>
  </w:abstractNum>
  <w:abstractNum w:abstractNumId="400">
    <w:nsid w:val="676B3580"/>
    <w:multiLevelType w:val="hybridMultilevel"/>
    <w:lvl w:ilvl="0">
      <w:lvlJc w:val="left"/>
      <w:lvlText w:val="(%1)"/>
      <w:numFmt w:val="lowerLetter"/>
      <w:start w:val="4"/>
    </w:lvl>
  </w:abstractNum>
  <w:abstractNum w:abstractNumId="401">
    <w:nsid w:val="3193C8F9"/>
    <w:multiLevelType w:val="hybridMultilevel"/>
    <w:lvl w:ilvl="0">
      <w:lvlJc w:val="left"/>
      <w:lvlText w:val="(%1)"/>
      <w:numFmt w:val="lowerLetter"/>
      <w:start w:val="1"/>
    </w:lvl>
  </w:abstractNum>
  <w:abstractNum w:abstractNumId="402">
    <w:nsid w:val="5FA6C6DC"/>
    <w:multiLevelType w:val="hybridMultilevel"/>
    <w:lvl w:ilvl="0">
      <w:lvlJc w:val="left"/>
      <w:lvlText w:val="(%1)"/>
      <w:numFmt w:val="lowerLetter"/>
      <w:start w:val="1"/>
    </w:lvl>
    <w:lvl w:ilvl="1">
      <w:lvlJc w:val="left"/>
      <w:lvlText w:val="(%2)"/>
      <w:numFmt w:val="lowerRoman"/>
      <w:start w:val="1"/>
    </w:lvl>
  </w:abstractNum>
  <w:abstractNum w:abstractNumId="403">
    <w:nsid w:val="77933F62"/>
    <w:multiLevelType w:val="hybridMultilevel"/>
    <w:lvl w:ilvl="0">
      <w:lvlJc w:val="left"/>
      <w:lvlText w:val="%1"/>
      <w:numFmt w:val="lowerLetter"/>
      <w:start w:val="1"/>
    </w:lvl>
    <w:lvl w:ilvl="1">
      <w:lvlJc w:val="left"/>
      <w:lvlText w:val="(%2)"/>
      <w:numFmt w:val="lowerLetter"/>
      <w:start w:val="61"/>
    </w:lvl>
  </w:abstractNum>
  <w:abstractNum w:abstractNumId="404">
    <w:nsid w:val="6CB4EE9C"/>
    <w:multiLevelType w:val="hybridMultilevel"/>
    <w:lvl w:ilvl="0">
      <w:lvlJc w:val="left"/>
      <w:lvlText w:val="(%1)"/>
      <w:numFmt w:val="lowerLetter"/>
      <w:start w:val="2"/>
    </w:lvl>
    <w:lvl w:ilvl="1">
      <w:lvlJc w:val="left"/>
      <w:lvlText w:val="%2"/>
      <w:numFmt w:val="lowerLetter"/>
      <w:start w:val="1"/>
    </w:lvl>
  </w:abstractNum>
  <w:abstractNum w:abstractNumId="405">
    <w:nsid w:val="6A6D56D7"/>
    <w:multiLevelType w:val="hybridMultilevel"/>
    <w:lvl w:ilvl="0">
      <w:lvlJc w:val="left"/>
      <w:lvlText w:val="(%1)"/>
      <w:numFmt w:val="lowerLetter"/>
      <w:start w:val="1"/>
    </w:lvl>
  </w:abstractNum>
  <w:abstractNum w:abstractNumId="406">
    <w:nsid w:val="5B727F19"/>
    <w:multiLevelType w:val="hybridMultilevel"/>
    <w:lvl w:ilvl="0">
      <w:lvlJc w:val="left"/>
      <w:lvlText w:val="(%1)"/>
      <w:numFmt w:val="lowerLetter"/>
      <w:start w:val="3"/>
    </w:lvl>
  </w:abstractNum>
  <w:abstractNum w:abstractNumId="407">
    <w:nsid w:val="514E5CB0"/>
    <w:multiLevelType w:val="hybridMultilevel"/>
    <w:lvl w:ilvl="0">
      <w:lvlJc w:val="left"/>
      <w:lvlText w:val="(%1)"/>
      <w:numFmt w:val="lowerLetter"/>
      <w:start w:val="1"/>
    </w:lvl>
  </w:abstractNum>
  <w:abstractNum w:abstractNumId="408">
    <w:nsid w:val="4210D41E"/>
    <w:multiLevelType w:val="hybridMultilevel"/>
    <w:lvl w:ilvl="0">
      <w:lvlJc w:val="left"/>
      <w:lvlText w:val="(%1)"/>
      <w:numFmt w:val="lowerLetter"/>
      <w:start w:val="1"/>
    </w:lvl>
  </w:abstractNum>
  <w:abstractNum w:abstractNumId="409">
    <w:nsid w:val="4FF4CC6D"/>
    <w:multiLevelType w:val="hybridMultilevel"/>
    <w:lvl w:ilvl="0">
      <w:lvlJc w:val="left"/>
      <w:lvlText w:val="(%1)"/>
      <w:numFmt w:val="lowerLetter"/>
      <w:start w:val="10"/>
    </w:lvl>
  </w:abstractNum>
  <w:abstractNum w:abstractNumId="410">
    <w:nsid w:val="404EAF4A"/>
    <w:multiLevelType w:val="hybridMultilevel"/>
    <w:lvl w:ilvl="0">
      <w:lvlJc w:val="left"/>
      <w:lvlText w:val="%1"/>
      <w:numFmt w:val="lowerLetter"/>
      <w:start w:val="1"/>
    </w:lvl>
    <w:lvl w:ilvl="1">
      <w:lvlJc w:val="left"/>
      <w:lvlText w:val="(%2)"/>
      <w:numFmt w:val="lowerLetter"/>
      <w:start w:val="1"/>
    </w:lvl>
  </w:abstractNum>
  <w:abstractNum w:abstractNumId="411">
    <w:nsid w:val="4A16874F"/>
    <w:multiLevelType w:val="hybridMultilevel"/>
    <w:lvl w:ilvl="0">
      <w:lvlJc w:val="left"/>
      <w:lvlText w:val="(%1)"/>
      <w:numFmt w:val="lowerLetter"/>
      <w:start w:val="61"/>
    </w:lvl>
    <w:lvl w:ilvl="1">
      <w:lvlJc w:val="left"/>
      <w:lvlText w:val="(%2)"/>
      <w:numFmt w:val="lowerLetter"/>
      <w:start w:val="3"/>
    </w:lvl>
  </w:abstractNum>
  <w:abstractNum w:abstractNumId="412">
    <w:nsid w:val="55FEE0D1"/>
    <w:multiLevelType w:val="hybridMultilevel"/>
    <w:lvl w:ilvl="0">
      <w:lvlJc w:val="left"/>
      <w:lvlText w:val="(%1)"/>
      <w:numFmt w:val="lowerLetter"/>
      <w:start w:val="1"/>
    </w:lvl>
  </w:abstractNum>
  <w:abstractNum w:abstractNumId="413">
    <w:nsid w:val="3C5E07C"/>
    <w:multiLevelType w:val="hybridMultilevel"/>
    <w:lvl w:ilvl="0">
      <w:lvlJc w:val="left"/>
      <w:lvlText w:val="(%1)"/>
      <w:numFmt w:val="lowerLetter"/>
      <w:start w:val="7"/>
    </w:lvl>
  </w:abstractNum>
  <w:abstractNum w:abstractNumId="414">
    <w:nsid w:val="60C2D273"/>
    <w:multiLevelType w:val="hybridMultilevel"/>
    <w:lvl w:ilvl="0">
      <w:lvlJc w:val="left"/>
      <w:lvlText w:val="(%1)"/>
      <w:numFmt w:val="lowerLetter"/>
      <w:start w:val="1"/>
    </w:lvl>
  </w:abstractNum>
  <w:abstractNum w:abstractNumId="415">
    <w:nsid w:val="4CC32F1F"/>
    <w:multiLevelType w:val="hybridMultilevel"/>
    <w:lvl w:ilvl="0">
      <w:lvlJc w:val="left"/>
      <w:lvlText w:val="(%1)"/>
      <w:numFmt w:val="lowerLetter"/>
      <w:start w:val="1"/>
    </w:lvl>
  </w:abstractNum>
  <w:abstractNum w:abstractNumId="416">
    <w:nsid w:val="11CAC74A"/>
    <w:multiLevelType w:val="hybridMultilevel"/>
    <w:lvl w:ilvl="0">
      <w:lvlJc w:val="left"/>
      <w:lvlText w:val="(%1)"/>
      <w:numFmt w:val="lowerLetter"/>
      <w:start w:val="11"/>
    </w:lvl>
  </w:abstractNum>
  <w:abstractNum w:abstractNumId="417">
    <w:nsid w:val="126CADE9"/>
    <w:multiLevelType w:val="hybridMultilevel"/>
    <w:lvl w:ilvl="0">
      <w:lvlJc w:val="left"/>
      <w:lvlText w:val="(%1)"/>
      <w:numFmt w:val="lowerLetter"/>
      <w:start w:val="25"/>
    </w:lvl>
  </w:abstractNum>
  <w:abstractNum w:abstractNumId="418">
    <w:nsid w:val="19132E7B"/>
    <w:multiLevelType w:val="hybridMultilevel"/>
    <w:lvl w:ilvl="0">
      <w:lvlJc w:val="left"/>
      <w:lvlText w:val="(%1)"/>
      <w:numFmt w:val="lowerRoman"/>
      <w:start w:val="2"/>
    </w:lvl>
  </w:abstractNum>
  <w:abstractNum w:abstractNumId="419">
    <w:nsid w:val="63822DC0"/>
    <w:multiLevelType w:val="hybridMultilevel"/>
    <w:lvl w:ilvl="0">
      <w:lvlJc w:val="left"/>
      <w:lvlText w:val="(%1)"/>
      <w:numFmt w:val="lowerLetter"/>
      <w:start w:val="1"/>
    </w:lvl>
  </w:abstractNum>
  <w:abstractNum w:abstractNumId="420">
    <w:nsid w:val="6C11685A"/>
    <w:multiLevelType w:val="hybridMultilevel"/>
    <w:lvl w:ilvl="0">
      <w:lvlJc w:val="left"/>
      <w:lvlText w:val="%1"/>
      <w:numFmt w:val="lowerLetter"/>
      <w:start w:val="1"/>
    </w:lvl>
    <w:lvl w:ilvl="1">
      <w:lvlJc w:val="left"/>
      <w:lvlText w:val="(%2)"/>
      <w:numFmt w:val="lowerRoman"/>
      <w:start w:val="1"/>
    </w:lvl>
  </w:abstractNum>
  <w:abstractNum w:abstractNumId="421">
    <w:nsid w:val="5E1EAE31"/>
    <w:multiLevelType w:val="hybridMultilevel"/>
    <w:lvl w:ilvl="0">
      <w:lvlJc w:val="left"/>
      <w:lvlText w:val="(%1)"/>
      <w:numFmt w:val="lowerLetter"/>
      <w:start w:val="2"/>
    </w:lvl>
    <w:lvl w:ilvl="1">
      <w:lvlJc w:val="left"/>
      <w:lvlText w:val="(%2)"/>
      <w:numFmt w:val="lowerRoman"/>
      <w:start w:val="1"/>
    </w:lvl>
  </w:abstractNum>
  <w:abstractNum w:abstractNumId="422">
    <w:nsid w:val="178E240D"/>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423">
    <w:nsid w:val="5556A87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424">
    <w:nsid w:val="28100A9C"/>
    <w:multiLevelType w:val="hybridMultilevel"/>
    <w:lvl w:ilvl="0">
      <w:lvlJc w:val="left"/>
      <w:lvlText w:val="(%1)"/>
      <w:numFmt w:val="lowerLetter"/>
      <w:start w:val="1"/>
    </w:lvl>
  </w:abstractNum>
  <w:abstractNum w:abstractNumId="425">
    <w:nsid w:val="D838636"/>
    <w:multiLevelType w:val="hybridMultilevel"/>
    <w:lvl w:ilvl="0">
      <w:lvlJc w:val="left"/>
      <w:lvlText w:val="(%1)"/>
      <w:numFmt w:val="lowerLetter"/>
      <w:start w:val="4"/>
    </w:lvl>
  </w:abstractNum>
  <w:abstractNum w:abstractNumId="426">
    <w:nsid w:val="71B82AED"/>
    <w:multiLevelType w:val="hybridMultilevel"/>
    <w:lvl w:ilvl="0">
      <w:lvlJc w:val="left"/>
      <w:lvlText w:val="%1"/>
      <w:numFmt w:val="lowerRoman"/>
      <w:start w:val="1"/>
    </w:lvl>
    <w:lvl w:ilvl="1">
      <w:lvlJc w:val="left"/>
      <w:lvlText w:val="(%2)"/>
      <w:numFmt w:val="lowerLetter"/>
      <w:start w:val="11"/>
    </w:lvl>
  </w:abstractNum>
  <w:abstractNum w:abstractNumId="427">
    <w:nsid w:val="D15FACA"/>
    <w:multiLevelType w:val="hybridMultilevel"/>
    <w:lvl w:ilvl="0">
      <w:lvlJc w:val="left"/>
      <w:lvlText w:val="(%1)"/>
      <w:numFmt w:val="lowerRoman"/>
      <w:start w:val="4"/>
    </w:lvl>
    <w:lvl w:ilvl="1">
      <w:lvlJc w:val="left"/>
      <w:lvlText w:val="(%2)"/>
      <w:numFmt w:val="lowerLetter"/>
      <w:start w:val="13"/>
    </w:lvl>
  </w:abstractNum>
  <w:abstractNum w:abstractNumId="428">
    <w:nsid w:val="3D69565B"/>
    <w:multiLevelType w:val="hybridMultilevel"/>
    <w:lvl w:ilvl="0">
      <w:lvlJc w:val="left"/>
      <w:lvlText w:val="%1."/>
      <w:numFmt w:val="decimal"/>
      <w:start w:val="9"/>
    </w:lvl>
    <w:lvl w:ilvl="1">
      <w:lvlJc w:val="left"/>
      <w:lvlText w:val="(%2)"/>
      <w:numFmt w:val="lowerLetter"/>
      <w:start w:val="1"/>
    </w:lvl>
  </w:abstractNum>
  <w:abstractNum w:abstractNumId="429">
    <w:nsid w:val="2299DCBC"/>
    <w:multiLevelType w:val="hybridMultilevel"/>
    <w:lvl w:ilvl="0">
      <w:lvlJc w:val="left"/>
      <w:lvlText w:val="(%1)"/>
      <w:numFmt w:val="lowerLetter"/>
      <w:start w:val="2"/>
    </w:lvl>
  </w:abstractNum>
  <w:abstractNum w:abstractNumId="430">
    <w:nsid w:val="19908D02"/>
    <w:multiLevelType w:val="hybridMultilevel"/>
    <w:lvl w:ilvl="0">
      <w:lvlJc w:val="left"/>
      <w:lvlText w:val="(%1)"/>
      <w:numFmt w:val="lowerLetter"/>
      <w:start w:val="2"/>
    </w:lvl>
  </w:abstractNum>
  <w:abstractNum w:abstractNumId="431">
    <w:nsid w:val="24D48BDB"/>
    <w:multiLevelType w:val="hybridMultilevel"/>
    <w:lvl w:ilvl="0">
      <w:lvlJc w:val="left"/>
      <w:lvlText w:val="(%1)"/>
      <w:numFmt w:val="lowerLetter"/>
      <w:start w:val="1"/>
    </w:lvl>
  </w:abstractNum>
  <w:abstractNum w:abstractNumId="432">
    <w:nsid w:val="542DA5B5"/>
    <w:multiLevelType w:val="hybridMultilevel"/>
    <w:lvl w:ilvl="0">
      <w:lvlJc w:val="left"/>
      <w:lvlText w:val="%1"/>
      <w:numFmt w:val="decimal"/>
      <w:start w:val="1"/>
    </w:lvl>
    <w:lvl w:ilvl="1">
      <w:lvlJc w:val="left"/>
      <w:lvlText w:val="(%2)"/>
      <w:numFmt w:val="lowerLetter"/>
      <w:start w:val="2"/>
    </w:lvl>
  </w:abstractNum>
  <w:abstractNum w:abstractNumId="433">
    <w:nsid w:val="793753DE"/>
    <w:multiLevelType w:val="hybridMultilevel"/>
    <w:lvl w:ilvl="0">
      <w:lvlJc w:val="left"/>
      <w:lvlText w:val="%1."/>
      <w:numFmt w:val="decimal"/>
      <w:start w:val="10"/>
    </w:lvl>
    <w:lvl w:ilvl="1">
      <w:lvlJc w:val="left"/>
      <w:lvlText w:val="%2"/>
      <w:numFmt w:val="lowerLetter"/>
      <w:start w:val="1"/>
    </w:lvl>
  </w:abstractNum>
  <w:abstractNum w:abstractNumId="434">
    <w:nsid w:val="1C67CB3D"/>
    <w:multiLevelType w:val="hybridMultilevel"/>
    <w:lvl w:ilvl="0">
      <w:lvlJc w:val="left"/>
      <w:lvlText w:val="(%1)"/>
      <w:numFmt w:val="lowerLetter"/>
      <w:start w:val="1"/>
    </w:lvl>
  </w:abstractNum>
  <w:abstractNum w:abstractNumId="435">
    <w:nsid w:val="40E29452"/>
    <w:multiLevelType w:val="hybridMultilevel"/>
    <w:lvl w:ilvl="0">
      <w:lvlJc w:val="left"/>
      <w:lvlText w:val="%1"/>
      <w:numFmt w:val="lowerLetter"/>
      <w:start w:val="1"/>
    </w:lvl>
    <w:lvl w:ilvl="1">
      <w:lvlJc w:val="left"/>
      <w:lvlText w:val="(%2)"/>
      <w:numFmt w:val="lowerLetter"/>
      <w:start w:val="5"/>
    </w:lvl>
  </w:abstractNum>
  <w:abstractNum w:abstractNumId="436">
    <w:nsid w:val="63A4AAB6"/>
    <w:multiLevelType w:val="hybridMultilevel"/>
    <w:lvl w:ilvl="0">
      <w:lvlJc w:val="left"/>
      <w:lvlText w:val="(%1)"/>
      <w:numFmt w:val="lowerLetter"/>
      <w:start w:val="61"/>
    </w:lvl>
    <w:lvl w:ilvl="1">
      <w:lvlJc w:val="left"/>
      <w:lvlText w:val="(%2)"/>
      <w:numFmt w:val="lowerLetter"/>
      <w:start w:val="7"/>
    </w:lvl>
  </w:abstractNum>
  <w:abstractNum w:abstractNumId="437">
    <w:nsid w:val="77DA4A57"/>
    <w:multiLevelType w:val="hybridMultilevel"/>
    <w:lvl w:ilvl="0">
      <w:lvlJc w:val="left"/>
      <w:lvlText w:val="(%1)"/>
      <w:numFmt w:val="lowerRoman"/>
      <w:start w:val="1"/>
    </w:lvl>
  </w:abstractNum>
  <w:abstractNum w:abstractNumId="438">
    <w:nsid w:val="1230F102"/>
    <w:multiLevelType w:val="hybridMultilevel"/>
    <w:lvl w:ilvl="0">
      <w:lvlJc w:val="left"/>
      <w:lvlText w:val="(%1)"/>
      <w:numFmt w:val="lowerLetter"/>
      <w:start w:val="1"/>
    </w:lvl>
  </w:abstractNum>
  <w:abstractNum w:abstractNumId="439">
    <w:nsid w:val="25B57ED4"/>
    <w:multiLevelType w:val="hybridMultilevel"/>
    <w:lvl w:ilvl="0">
      <w:lvlJc w:val="left"/>
      <w:lvlText w:val="(%1)"/>
      <w:numFmt w:val="lowerLetter"/>
      <w:start w:val="1"/>
    </w:lvl>
  </w:abstractNum>
  <w:abstractNum w:abstractNumId="440">
    <w:nsid w:val="47CF16C4"/>
    <w:multiLevelType w:val="hybridMultilevel"/>
    <w:lvl w:ilvl="0">
      <w:lvlJc w:val="left"/>
      <w:lvlText w:val="%1"/>
      <w:numFmt w:val="decimal"/>
      <w:start w:val="1"/>
    </w:lvl>
    <w:lvl w:ilvl="1">
      <w:lvlJc w:val="left"/>
      <w:lvlText w:val="(%2)"/>
      <w:numFmt w:val="lowerLetter"/>
      <w:start w:val="1"/>
    </w:lvl>
  </w:abstractNum>
  <w:abstractNum w:abstractNumId="441">
    <w:nsid w:val="527FA04C"/>
    <w:multiLevelType w:val="hybridMultilevel"/>
    <w:lvl w:ilvl="0">
      <w:lvlJc w:val="left"/>
      <w:lvlText w:val="%1."/>
      <w:numFmt w:val="decimal"/>
      <w:start w:val="12"/>
    </w:lvl>
    <w:lvl w:ilvl="1">
      <w:lvlJc w:val="left"/>
      <w:lvlText w:val="%2"/>
      <w:numFmt w:val="lowerLetter"/>
      <w:start w:val="1"/>
    </w:lvl>
  </w:abstractNum>
  <w:abstractNum w:abstractNumId="442">
    <w:nsid w:val="6FCC0624"/>
    <w:multiLevelType w:val="hybridMultilevel"/>
    <w:lvl w:ilvl="0">
      <w:lvlJc w:val="left"/>
      <w:lvlText w:val="(%1)"/>
      <w:numFmt w:val="lowerLetter"/>
      <w:start w:val="1"/>
    </w:lvl>
  </w:abstractNum>
  <w:abstractNum w:abstractNumId="443">
    <w:nsid w:val="1DCDF795"/>
    <w:multiLevelType w:val="hybridMultilevel"/>
    <w:lvl w:ilvl="0">
      <w:lvlJc w:val="left"/>
      <w:lvlText w:val="(%1)"/>
      <w:numFmt w:val="lowerLetter"/>
      <w:start w:val="2"/>
    </w:lvl>
  </w:abstractNum>
  <w:abstractNum w:abstractNumId="444">
    <w:nsid w:val="564580C8"/>
    <w:multiLevelType w:val="hybridMultilevel"/>
    <w:lvl w:ilvl="0">
      <w:lvlJc w:val="left"/>
      <w:lvlText w:val="(%1)"/>
      <w:numFmt w:val="lowerLetter"/>
      <w:start w:val="1"/>
    </w:lvl>
  </w:abstractNum>
  <w:abstractNum w:abstractNumId="445">
    <w:nsid w:val="508ED897"/>
    <w:multiLevelType w:val="hybridMultilevel"/>
    <w:lvl w:ilvl="0">
      <w:lvlJc w:val="left"/>
      <w:lvlText w:val="(%1)"/>
      <w:numFmt w:val="lowerLetter"/>
      <w:start w:val="2"/>
    </w:lvl>
  </w:abstractNum>
  <w:abstractNum w:abstractNumId="446">
    <w:nsid w:val="6A9126B5"/>
    <w:multiLevelType w:val="hybridMultilevel"/>
    <w:lvl w:ilvl="0">
      <w:lvlJc w:val="left"/>
      <w:lvlText w:val="(%1)"/>
      <w:numFmt w:val="lowerLetter"/>
      <w:start w:val="2"/>
    </w:lvl>
  </w:abstractNum>
  <w:abstractNum w:abstractNumId="447">
    <w:nsid w:val="68104812"/>
    <w:multiLevelType w:val="hybridMultilevel"/>
    <w:lvl w:ilvl="0">
      <w:lvlJc w:val="left"/>
      <w:lvlText w:val="(%1)"/>
      <w:numFmt w:val="lowerRoman"/>
      <w:start w:val="1"/>
    </w:lvl>
  </w:abstractNum>
  <w:abstractNum w:abstractNumId="448">
    <w:nsid w:val="62FB8680"/>
    <w:multiLevelType w:val="hybridMultilevel"/>
    <w:lvl w:ilvl="0">
      <w:lvlJc w:val="left"/>
      <w:lvlText w:val="(%1)"/>
      <w:numFmt w:val="lowerLetter"/>
      <w:start w:val="5"/>
    </w:lvl>
    <w:lvl w:ilvl="1">
      <w:lvlJc w:val="left"/>
      <w:lvlText w:val="(%2)"/>
      <w:numFmt w:val="lowerRoman"/>
      <w:start w:val="1"/>
    </w:lvl>
  </w:abstractNum>
  <w:abstractNum w:abstractNumId="449">
    <w:nsid w:val="3A45530"/>
    <w:multiLevelType w:val="hybridMultilevel"/>
    <w:lvl w:ilvl="0">
      <w:lvlJc w:val="left"/>
      <w:lvlText w:val="%1"/>
      <w:numFmt w:val="lowerLetter"/>
      <w:start w:val="1"/>
    </w:lvl>
    <w:lvl w:ilvl="1">
      <w:lvlJc w:val="left"/>
      <w:lvlText w:val="(%2)"/>
      <w:numFmt w:val="lowerRoman"/>
      <w:start w:val="4"/>
    </w:lvl>
  </w:abstractNum>
  <w:abstractNum w:abstractNumId="450">
    <w:nsid w:val="4B9275D2"/>
    <w:multiLevelType w:val="hybridMultilevel"/>
    <w:lvl w:ilvl="0">
      <w:lvlJc w:val="left"/>
      <w:lvlText w:val="(%1)"/>
      <w:numFmt w:val="lowerLetter"/>
      <w:start w:val="6"/>
    </w:lvl>
    <w:lvl w:ilvl="1">
      <w:lvlJc w:val="left"/>
      <w:lvlText w:val="%2"/>
      <w:numFmt w:val="lowerRoman"/>
      <w:start w:val="1"/>
    </w:lvl>
  </w:abstractNum>
  <w:abstractNum w:abstractNumId="451">
    <w:nsid w:val="4F0CEEDB"/>
    <w:multiLevelType w:val="hybridMultilevel"/>
    <w:lvl w:ilvl="0">
      <w:lvlJc w:val="left"/>
      <w:lvlText w:val="(%1)"/>
      <w:numFmt w:val="lowerLetter"/>
      <w:start w:val="8"/>
    </w:lvl>
  </w:abstractNum>
  <w:abstractNum w:abstractNumId="452">
    <w:nsid w:val="61C30361"/>
    <w:multiLevelType w:val="hybridMultilevel"/>
    <w:lvl w:ilvl="0">
      <w:lvlJc w:val="left"/>
      <w:lvlText w:val="(%1)"/>
      <w:numFmt w:val="lowerLetter"/>
      <w:start w:val="9"/>
    </w:lvl>
  </w:abstractNum>
  <w:abstractNum w:abstractNumId="453">
    <w:nsid w:val="632099E0"/>
    <w:multiLevelType w:val="hybridMultilevel"/>
    <w:lvl w:ilvl="0">
      <w:lvlJc w:val="left"/>
      <w:lvlText w:val="(%1)"/>
      <w:numFmt w:val="lowerLetter"/>
      <w:start w:val="1"/>
    </w:lvl>
  </w:abstractNum>
  <w:abstractNum w:abstractNumId="454">
    <w:nsid w:val="24639756"/>
    <w:multiLevelType w:val="hybridMultilevel"/>
    <w:lvl w:ilvl="0">
      <w:lvlJc w:val="left"/>
      <w:lvlText w:val="(%1)"/>
      <w:numFmt w:val="lowerLetter"/>
      <w:start w:val="2"/>
    </w:lvl>
    <w:lvl w:ilvl="1">
      <w:lvlJc w:val="left"/>
      <w:lvlText w:val="(%2)"/>
      <w:numFmt w:val="lowerLetter"/>
      <w:start w:val="9"/>
    </w:lvl>
  </w:abstractNum>
  <w:abstractNum w:abstractNumId="455">
    <w:nsid w:val="9D30DFD"/>
    <w:multiLevelType w:val="hybridMultilevel"/>
    <w:lvl w:ilvl="0">
      <w:lvlJc w:val="left"/>
      <w:lvlText w:val="(%1)"/>
      <w:numFmt w:val="lowerRoman"/>
      <w:start w:val="2"/>
    </w:lvl>
    <w:lvl w:ilvl="1">
      <w:lvlJc w:val="left"/>
      <w:lvlText w:val="(%2)"/>
      <w:numFmt w:val="upperLetter"/>
      <w:start w:val="1"/>
    </w:lvl>
  </w:abstractNum>
  <w:abstractNum w:abstractNumId="456">
    <w:nsid w:val="70A4201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457">
    <w:nsid w:val="161BC24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58">
    <w:nsid w:val="16E908C8"/>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459">
    <w:nsid w:val="2E0D7671"/>
    <w:multiLevelType w:val="hybridMultilevel"/>
    <w:lvl w:ilvl="0">
      <w:lvlJc w:val="left"/>
      <w:lvlText w:val="(%1)"/>
      <w:numFmt w:val="lowerLetter"/>
      <w:start w:val="6"/>
    </w:lvl>
  </w:abstractNum>
  <w:abstractNum w:abstractNumId="460">
    <w:nsid w:val="38B59EFF"/>
    <w:multiLevelType w:val="hybridMultilevel"/>
    <w:lvl w:ilvl="0">
      <w:lvlJc w:val="left"/>
      <w:lvlText w:val="(%1)"/>
      <w:numFmt w:val="lowerLetter"/>
      <w:start w:val="1"/>
    </w:lvl>
  </w:abstractNum>
  <w:abstractNum w:abstractNumId="461">
    <w:nsid w:val="307995CA"/>
    <w:multiLevelType w:val="hybridMultilevel"/>
    <w:lvl w:ilvl="0">
      <w:lvlJc w:val="left"/>
      <w:lvlText w:val="(%1)"/>
      <w:numFmt w:val="upperLetter"/>
      <w:start w:val="1"/>
    </w:lvl>
    <w:lvl w:ilvl="1">
      <w:lvlJc w:val="left"/>
      <w:lvlText w:val="(%2)"/>
      <w:numFmt w:val="lowerRoman"/>
      <w:start w:val="1"/>
    </w:lvl>
  </w:abstractNum>
  <w:abstractNum w:abstractNumId="462">
    <w:nsid w:val="52E2024D"/>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5"/>
    </w:lvl>
  </w:abstractNum>
  <w:abstractNum w:abstractNumId="463">
    <w:nsid w:val="CE344B5"/>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abstractNum>
  <w:abstractNum w:abstractNumId="464">
    <w:nsid w:val="29B0E9A8"/>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465">
    <w:nsid w:val="6F49CD8A"/>
    <w:multiLevelType w:val="hybridMultilevel"/>
    <w:lvl w:ilvl="0">
      <w:lvlJc w:val="left"/>
      <w:lvlText w:val="(%1)"/>
      <w:numFmt w:val="lowerLetter"/>
      <w:start w:val="1"/>
    </w:lvl>
  </w:abstractNum>
  <w:abstractNum w:abstractNumId="466">
    <w:nsid w:val="4DC5D907"/>
    <w:multiLevelType w:val="hybridMultilevel"/>
    <w:lvl w:ilvl="0">
      <w:lvlJc w:val="left"/>
      <w:lvlText w:val="(%1)"/>
      <w:numFmt w:val="lowerLetter"/>
      <w:start w:val="1"/>
    </w:lvl>
    <w:lvl w:ilvl="1">
      <w:lvlJc w:val="left"/>
      <w:lvlText w:val="(%2)"/>
      <w:numFmt w:val="lowerRoman"/>
      <w:start w:val="1"/>
    </w:lvl>
  </w:abstractNum>
  <w:abstractNum w:abstractNumId="467">
    <w:nsid w:val="D55945E"/>
    <w:multiLevelType w:val="hybridMultilevel"/>
    <w:lvl w:ilvl="0">
      <w:lvlJc w:val="left"/>
      <w:lvlText w:val="%1."/>
      <w:numFmt w:val="decimal"/>
      <w:start w:val="1"/>
    </w:lvl>
  </w:abstractNum>
  <w:abstractNum w:abstractNumId="468">
    <w:nsid w:val="672417E1"/>
    <w:multiLevelType w:val="hybridMultilevel"/>
    <w:lvl w:ilvl="0">
      <w:lvlJc w:val="left"/>
      <w:lvlText w:val="%1"/>
      <w:numFmt w:val="decimal"/>
      <w:start w:val="1"/>
    </w:lvl>
    <w:lvl w:ilvl="1">
      <w:lvlJc w:val="left"/>
      <w:lvlText w:val="%2."/>
      <w:numFmt w:val="decimal"/>
      <w:start w:val="2"/>
    </w:lvl>
  </w:abstractNum>
  <w:abstractNum w:abstractNumId="469">
    <w:nsid w:val="5FF6CA09"/>
    <w:multiLevelType w:val="hybridMultilevel"/>
    <w:lvl w:ilvl="0">
      <w:lvlJc w:val="left"/>
      <w:lvlText w:val="(%1)"/>
      <w:numFmt w:val="decimal"/>
      <w:start w:val="5"/>
    </w:lvl>
    <w:lvl w:ilvl="1">
      <w:lvlJc w:val="left"/>
      <w:lvlText w:val="%2"/>
      <w:numFmt w:val="decimal"/>
      <w:start w:val="1"/>
    </w:lvl>
  </w:abstractNum>
  <w:abstractNum w:abstractNumId="470">
    <w:nsid w:val="330B1333"/>
    <w:multiLevelType w:val="hybridMultilevel"/>
    <w:lvl w:ilvl="0">
      <w:lvlJc w:val="left"/>
      <w:lvlText w:val="(%1)"/>
      <w:numFmt w:val="upperLetter"/>
      <w:start w:val="1"/>
    </w:lvl>
  </w:abstractNum>
  <w:abstractNum w:abstractNumId="471">
    <w:nsid w:val="2EF32EA6"/>
    <w:multiLevelType w:val="hybridMultilevel"/>
    <w:lvl w:ilvl="0">
      <w:lvlJc w:val="left"/>
      <w:lvlText w:val="%1"/>
      <w:numFmt w:val="decimal"/>
      <w:start w:val="1"/>
    </w:lvl>
    <w:lvl w:ilvl="1">
      <w:lvlJc w:val="left"/>
      <w:lvlText w:val="(%2)"/>
      <w:numFmt w:val="upperLetter"/>
      <w:start w:val="4"/>
    </w:lvl>
  </w:abstractNum>
  <w:abstractNum w:abstractNumId="472">
    <w:nsid w:val="32766A55"/>
    <w:multiLevelType w:val="hybridMultilevel"/>
    <w:lvl w:ilvl="0">
      <w:lvlJc w:val="left"/>
      <w:lvlText w:val="(%1)"/>
      <w:numFmt w:val="decimal"/>
      <w:start w:val="4"/>
    </w:lvl>
    <w:lvl w:ilvl="1">
      <w:lvlJc w:val="left"/>
      <w:lvlText w:val="(%2)"/>
      <w:numFmt w:val="upperLetter"/>
      <w:start w:val="1"/>
    </w:lvl>
  </w:abstractNum>
  <w:abstractNum w:abstractNumId="473">
    <w:nsid w:val="22D71957"/>
    <w:multiLevelType w:val="hybridMultilevel"/>
    <w:lvl w:ilvl="0">
      <w:lvlJc w:val="left"/>
      <w:lvlText w:val="%1"/>
      <w:numFmt w:val="decimal"/>
      <w:start w:val="1"/>
    </w:lvl>
    <w:lvl w:ilvl="1">
      <w:lvlJc w:val="left"/>
      <w:lvlText w:val="(%2)"/>
      <w:numFmt w:val="upperLetter"/>
      <w:start w:val="4"/>
    </w:lvl>
  </w:abstractNum>
  <w:abstractNum w:abstractNumId="474">
    <w:nsid w:val="4CC1263B"/>
    <w:multiLevelType w:val="hybridMultilevel"/>
    <w:lvl w:ilvl="0">
      <w:lvlJc w:val="left"/>
      <w:lvlText w:val="(%1)"/>
      <w:numFmt w:val="decimal"/>
      <w:start w:val="5"/>
    </w:lvl>
    <w:lvl w:ilvl="1">
      <w:lvlJc w:val="left"/>
      <w:lvlText w:val="%2"/>
      <w:numFmt w:val="upperLetter"/>
      <w:start w:val="1"/>
    </w:lvl>
  </w:abstractNum>
  <w:abstractNum w:abstractNumId="475">
    <w:nsid w:val="8BBEB1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2025-08-21T07:30:49Z</dcterms:created>
  <dcterms:modified xsi:type="dcterms:W3CDTF">2025-08-21T07:30:49Z</dcterms:modified>
</cp:coreProperties>
</file>