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64770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001-40958</w:t>
            </w:r>
          </w:p>
        </w:tc>
        <w:tc>
          <w:tcPr>
            <w:tcW w:w="900" w:type="dxa"/>
            <w:vAlign w:val="bottom"/>
          </w:tcPr>
          <w:p>
            <w:pPr>
              <w:spacing w:after="0"/>
              <w:rPr>
                <w:sz w:val="20"/>
                <w:szCs w:val="20"/>
                <w:color w:val="auto"/>
              </w:rPr>
            </w:pP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8"/>
                <w:szCs w:val="18"/>
                <w:b w:val="1"/>
                <w:bCs w:val="1"/>
                <w:color w:val="auto"/>
                <w:w w:val="98"/>
              </w:rPr>
              <w:t>80-0376379</w:t>
            </w:r>
          </w:p>
        </w:tc>
      </w:tr>
      <w:tr>
        <w:trPr>
          <w:trHeight w:val="17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900" w:type="dxa"/>
            <w:vAlign w:val="bottom"/>
          </w:tcPr>
          <w:p>
            <w:pPr>
              <w:spacing w:after="0"/>
              <w:rPr>
                <w:sz w:val="15"/>
                <w:szCs w:val="15"/>
                <w:color w:val="auto"/>
              </w:rPr>
            </w:pPr>
          </w:p>
        </w:tc>
        <w:tc>
          <w:tcPr>
            <w:tcW w:w="470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900" w:type="dxa"/>
            <w:vAlign w:val="bottom"/>
          </w:tcPr>
          <w:p>
            <w:pPr>
              <w:spacing w:after="0"/>
              <w:rPr>
                <w:sz w:val="16"/>
                <w:szCs w:val="16"/>
                <w:color w:val="auto"/>
              </w:rPr>
            </w:pPr>
          </w:p>
        </w:tc>
        <w:tc>
          <w:tcPr>
            <w:tcW w:w="470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20"/>
        </w:trPr>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16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7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10 Jay Street</w:t>
            </w:r>
          </w:p>
        </w:tc>
        <w:tc>
          <w:tcPr>
            <w:tcW w:w="1660" w:type="dxa"/>
            <w:vAlign w:val="bottom"/>
          </w:tcPr>
          <w:p>
            <w:pPr>
              <w:spacing w:after="0"/>
              <w:rPr>
                <w:sz w:val="18"/>
                <w:szCs w:val="18"/>
                <w:color w:val="auto"/>
              </w:rPr>
            </w:pPr>
          </w:p>
        </w:tc>
      </w:tr>
      <w:tr>
        <w:trPr>
          <w:trHeight w:val="200"/>
        </w:trPr>
        <w:tc>
          <w:tcPr>
            <w:tcW w:w="1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700" w:type="dxa"/>
            <w:vAlign w:val="bottom"/>
            <w:gridSpan w:val="2"/>
          </w:tcPr>
          <w:p>
            <w:pPr>
              <w:jc w:val="center"/>
              <w:ind w:right="9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Brooklyn, New York 11201</w:t>
            </w:r>
          </w:p>
        </w:tc>
        <w:tc>
          <w:tcPr>
            <w:tcW w:w="166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70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60" w:type="dxa"/>
            <w:vAlign w:val="bottom"/>
          </w:tcPr>
          <w:p>
            <w:pPr>
              <w:spacing w:after="0"/>
              <w:rPr>
                <w:sz w:val="16"/>
                <w:szCs w:val="16"/>
                <w:color w:val="auto"/>
              </w:rPr>
            </w:pPr>
          </w:p>
        </w:tc>
      </w:tr>
      <w:tr>
        <w:trPr>
          <w:trHeight w:val="320"/>
        </w:trPr>
        <w:tc>
          <w:tcPr>
            <w:tcW w:w="1840" w:type="dxa"/>
            <w:vAlign w:val="bottom"/>
          </w:tcPr>
          <w:p>
            <w:pPr>
              <w:spacing w:after="0"/>
              <w:rPr>
                <w:sz w:val="24"/>
                <w:szCs w:val="24"/>
                <w:color w:val="auto"/>
              </w:rPr>
            </w:pPr>
          </w:p>
        </w:tc>
        <w:tc>
          <w:tcPr>
            <w:tcW w:w="56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524-6860</w:t>
            </w:r>
          </w:p>
        </w:tc>
        <w:tc>
          <w:tcPr>
            <w:tcW w:w="1660" w:type="dxa"/>
            <w:vAlign w:val="bottom"/>
          </w:tcPr>
          <w:p>
            <w:pPr>
              <w:spacing w:after="0"/>
              <w:rPr>
                <w:sz w:val="24"/>
                <w:szCs w:val="24"/>
                <w:color w:val="auto"/>
              </w:rPr>
            </w:pPr>
          </w:p>
        </w:tc>
      </w:tr>
      <w:tr>
        <w:trPr>
          <w:trHeight w:val="437"/>
        </w:trPr>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N/A</w:t>
            </w:r>
          </w:p>
        </w:tc>
        <w:tc>
          <w:tcPr>
            <w:tcW w:w="1660" w:type="dxa"/>
            <w:vAlign w:val="bottom"/>
          </w:tcPr>
          <w:p>
            <w:pPr>
              <w:spacing w:after="0"/>
              <w:rPr>
                <w:sz w:val="24"/>
                <w:szCs w:val="24"/>
                <w:color w:val="auto"/>
              </w:rPr>
            </w:pPr>
          </w:p>
        </w:tc>
      </w:tr>
      <w:tr>
        <w:trPr>
          <w:trHeight w:val="238"/>
        </w:trPr>
        <w:tc>
          <w:tcPr>
            <w:tcW w:w="1840" w:type="dxa"/>
            <w:vAlign w:val="bottom"/>
          </w:tcPr>
          <w:p>
            <w:pPr>
              <w:spacing w:after="0"/>
              <w:rPr>
                <w:sz w:val="20"/>
                <w:szCs w:val="20"/>
                <w:color w:val="auto"/>
              </w:rPr>
            </w:pPr>
          </w:p>
        </w:tc>
        <w:tc>
          <w:tcPr>
            <w:tcW w:w="56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60" w:type="dxa"/>
            <w:vAlign w:val="bottom"/>
          </w:tcPr>
          <w:p>
            <w:pPr>
              <w:spacing w:after="0"/>
              <w:rPr>
                <w:sz w:val="20"/>
                <w:szCs w:val="20"/>
                <w:color w:val="auto"/>
              </w:rPr>
            </w:pPr>
          </w:p>
        </w:tc>
      </w:tr>
      <w:tr>
        <w:trPr>
          <w:trHeight w:val="81"/>
        </w:trPr>
        <w:tc>
          <w:tcPr>
            <w:tcW w:w="1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80" w:type="dxa"/>
            <w:vAlign w:val="bottom"/>
          </w:tcPr>
          <w:p>
            <w:pPr>
              <w:spacing w:after="0"/>
              <w:rPr>
                <w:sz w:val="15"/>
                <w:szCs w:val="15"/>
                <w:color w:val="auto"/>
              </w:rPr>
            </w:pPr>
          </w:p>
        </w:tc>
      </w:tr>
      <w:tr>
        <w:trPr>
          <w:trHeight w:val="204"/>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74"/>
        </w:trPr>
        <w:tc>
          <w:tcPr>
            <w:tcW w:w="37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Class A common stock, $0.001 par value per</w:t>
            </w:r>
          </w:p>
        </w:tc>
        <w:tc>
          <w:tcPr>
            <w:tcW w:w="16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RENT</w:t>
            </w:r>
          </w:p>
        </w:tc>
        <w:tc>
          <w:tcPr>
            <w:tcW w:w="14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NASDAQ</w:t>
            </w:r>
          </w:p>
        </w:tc>
      </w:tr>
      <w:tr>
        <w:trPr>
          <w:trHeight w:val="238"/>
        </w:trPr>
        <w:tc>
          <w:tcPr>
            <w:tcW w:w="3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84"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877" w:right="499" w:bottom="1440" w:gutter="0" w:footer="0" w:header="0"/>
        </w:sectPr>
      </w:pPr>
    </w:p>
    <w:bookmarkStart w:id="2" w:name="page3"/>
    <w:bookmarkEnd w:id="2"/>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9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On July 11, 2024, Rent the Runway, Inc. (the “Company”) held its 2024 Annual Meeting of Stockholders. A total of 2,056,026 shares of Class A common stock and 155,333 shares of Class B common stock (collectively, the “Common Stock”) were present in person or represented by proxy at the meeting, representing 5,162,686 votes or approximately 77.36% of the combined voting power of the Company’s outstanding Common Stock as of the May 16, 2024 record date. The following are the voting results for the proposals considered and voted upon at the meeting, each of which were described in the Company’s Definitive Proxy Statement filed with the Securities and Exchange Commission on May 23, 2024.</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Item 1 - Election of four Class III Directors to serve until the Company’s 2027 Annual Meeting of Stockholders, and until their respective successors have been duly elected and qualified.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8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5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Jennifer Y. Hyman</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4,314,895</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12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834,076</w:t>
            </w:r>
          </w:p>
        </w:tc>
      </w:tr>
      <w:tr>
        <w:trPr>
          <w:trHeight w:val="229"/>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Beth Kaplan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4,186,386</w:t>
            </w:r>
          </w:p>
        </w:tc>
        <w:tc>
          <w:tcPr>
            <w:tcW w:w="1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142,224</w:t>
            </w:r>
          </w:p>
        </w:tc>
        <w:tc>
          <w:tcPr>
            <w:tcW w:w="12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834,076</w:t>
            </w:r>
          </w:p>
        </w:tc>
      </w:tr>
      <w:tr>
        <w:trPr>
          <w:trHeight w:val="229"/>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Emil Michael</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4,301,453</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27,157</w:t>
            </w: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834,076</w:t>
            </w:r>
          </w:p>
        </w:tc>
      </w:tr>
      <w:tr>
        <w:trPr>
          <w:trHeight w:val="234"/>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Gwyneth Paltrow</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4,251,498</w:t>
            </w:r>
          </w:p>
        </w:tc>
        <w:tc>
          <w:tcPr>
            <w:tcW w:w="1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77,112</w:t>
            </w:r>
          </w:p>
        </w:tc>
        <w:tc>
          <w:tcPr>
            <w:tcW w:w="12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834,076</w:t>
            </w:r>
          </w:p>
        </w:tc>
      </w:tr>
    </w:tbl>
    <w:p>
      <w:pPr>
        <w:spacing w:after="0" w:line="31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Item 2 - Ratification of the appointment of PricewaterhouseCoopers LLP as the Company’s independent registered public accounting firm for the fiscal year ending January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3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4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Votes ABSTAINED</w:t>
            </w:r>
          </w:p>
        </w:tc>
      </w:tr>
      <w:tr>
        <w:trPr>
          <w:trHeight w:val="223"/>
        </w:trPr>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5,153,495</w:t>
            </w:r>
          </w:p>
        </w:tc>
        <w:tc>
          <w:tcPr>
            <w:tcW w:w="12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2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w:t>
            </w:r>
          </w:p>
        </w:tc>
      </w:tr>
    </w:tbl>
    <w:p>
      <w:pPr>
        <w:spacing w:after="0" w:line="3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Based on the foregoing votes, Jennifer Y. Hyman, Beth Kaplan, Emil Michael and Gwyneth Paltrow were elected as Class III Directors and Item 2 was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06" w:right="45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135" w:lineRule="exact"/>
        <w:rPr>
          <w:sz w:val="20"/>
          <w:szCs w:val="20"/>
          <w:color w:val="auto"/>
        </w:rPr>
      </w:pPr>
    </w:p>
    <w:p>
      <w:pPr>
        <w:ind w:left="440"/>
        <w:spacing w:after="0"/>
        <w:tabs>
          <w:tab w:leader="none" w:pos="5560" w:val="left"/>
          <w:tab w:leader="none" w:pos="6180" w:val="left"/>
        </w:tabs>
        <w:rPr>
          <w:sz w:val="20"/>
          <w:szCs w:val="20"/>
          <w:color w:val="auto"/>
        </w:rPr>
      </w:pPr>
      <w:r>
        <w:rPr>
          <w:rFonts w:ascii="Times New Roman" w:cs="Times New Roman" w:eastAsia="Times New Roman" w:hAnsi="Times New Roman"/>
          <w:sz w:val="18"/>
          <w:szCs w:val="18"/>
          <w:color w:val="auto"/>
        </w:rPr>
        <w:t>Date: July 16,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Cara Schembri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8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Cara Schembri</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Legal &amp; Administrative Officer; Secretary</w:t>
      </w:r>
    </w:p>
    <w:sectPr>
      <w:pgSz w:w="11900" w:h="16838" w:orient="portrait"/>
      <w:cols w:equalWidth="0" w:num="1">
        <w:col w:w="11160"/>
      </w:cols>
      <w:pgMar w:left="320" w:top="76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2024-07-16T15:20:29Z</dcterms:created>
  <dcterms:modified xsi:type="dcterms:W3CDTF">2024-07-16T15:20:29Z</dcterms:modified>
</cp:coreProperties>
</file>