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0001976540</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17287</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15516.81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4"/>
              </w:rPr>
              <w:t>Shares acquired</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Arial" w:cs="Arial" w:eastAsia="Arial" w:hAnsi="Arial"/>
                <w:sz w:val="22"/>
                <w:szCs w:val="22"/>
                <w:color w:val="auto"/>
              </w:rPr>
              <w:t>09/15/2023 under Issuers</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35417</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04/13/2023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15011</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34942.61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34475</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57362.95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06/09/2023</w:t>
      </w:r>
    </w:p>
    <w:p>
      <w:pPr>
        <w:spacing w:after="0" w:line="618" w:lineRule="exact"/>
        <w:rPr>
          <w:sz w:val="20"/>
          <w:szCs w:val="20"/>
          <w:color w:val="auto"/>
        </w:rPr>
      </w:pPr>
    </w:p>
    <w:p>
      <w:pPr>
        <w:sectPr>
          <w:pgSz w:w="11900" w:h="16838" w:orient="portrait"/>
          <w:cols w:equalWidth="0" w:num="2">
            <w:col w:w="3380" w:space="440"/>
            <w:col w:w="74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Siddharth Thacker</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2023-09-15T08:14:31Z</dcterms:created>
  <dcterms:modified xsi:type="dcterms:W3CDTF">2023-09-15T08:14:31Z</dcterms:modified>
</cp:coreProperties>
</file>