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76010Y103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00" w:hanging="795"/>
        <w:spacing w:after="0"/>
        <w:tabs>
          <w:tab w:leader="none" w:pos="9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13d-1(b)</w:t>
      </w:r>
    </w:p>
    <w:p>
      <w:pPr>
        <w:spacing w:after="0" w:line="27" w:lineRule="exact"/>
        <w:rPr>
          <w:sz w:val="24"/>
          <w:szCs w:val="24"/>
          <w:color w:val="auto"/>
        </w:rPr>
      </w:pPr>
    </w:p>
    <w:p>
      <w:pPr>
        <w:ind w:left="900" w:hanging="795"/>
        <w:spacing w:after="0"/>
        <w:tabs>
          <w:tab w:leader="none" w:pos="90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13d-1(c)</w:t>
      </w:r>
    </w:p>
    <w:p>
      <w:pPr>
        <w:spacing w:after="0" w:line="9" w:lineRule="exact"/>
        <w:rPr>
          <w:rFonts w:ascii="Wingdings" w:cs="Wingdings" w:eastAsia="Wingdings" w:hAnsi="Wingdings"/>
          <w:sz w:val="18"/>
          <w:szCs w:val="18"/>
          <w:b w:val="1"/>
          <w:bCs w:val="1"/>
          <w:color w:val="auto"/>
        </w:rPr>
      </w:pPr>
    </w:p>
    <w:p>
      <w:pPr>
        <w:ind w:left="900" w:hanging="795"/>
        <w:spacing w:after="0"/>
        <w:tabs>
          <w:tab w:leader="none" w:pos="90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07"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76010Y103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1 of 7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427"/>
        </w:trPr>
        <w:tc>
          <w:tcPr>
            <w:tcW w:w="620" w:type="dxa"/>
            <w:vAlign w:val="bottom"/>
            <w:tcBorders>
              <w:top w:val="single" w:sz="8" w:color="auto"/>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88"/>
              </w:rPr>
              <w:t>1.</w:t>
            </w:r>
          </w:p>
        </w:tc>
        <w:tc>
          <w:tcPr>
            <w:tcW w:w="300" w:type="dxa"/>
            <w:vAlign w:val="bottom"/>
            <w:tcBorders>
              <w:top w:val="single" w:sz="8" w:color="auto"/>
              <w:right w:val="single" w:sz="8" w:color="auto"/>
            </w:tcBorders>
          </w:tcPr>
          <w:p>
            <w:pPr>
              <w:spacing w:after="0"/>
              <w:rPr>
                <w:sz w:val="24"/>
                <w:szCs w:val="24"/>
                <w:color w:val="auto"/>
              </w:rPr>
            </w:pPr>
          </w:p>
        </w:tc>
        <w:tc>
          <w:tcPr>
            <w:tcW w:w="526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50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Divisar Partners QP, L.P.</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tcBorders>
            <w:gridSpan w:val="4"/>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88"/>
              </w:rPr>
              <w:t>2.</w:t>
            </w:r>
          </w:p>
        </w:tc>
        <w:tc>
          <w:tcPr>
            <w:tcW w:w="300" w:type="dxa"/>
            <w:vAlign w:val="bottom"/>
            <w:tcBorders>
              <w:right w:val="single" w:sz="8" w:color="auto"/>
            </w:tcBorders>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00" w:type="dxa"/>
            <w:vAlign w:val="bottom"/>
          </w:tcPr>
          <w:p>
            <w:pPr>
              <w:spacing w:after="0"/>
              <w:rPr>
                <w:sz w:val="20"/>
                <w:szCs w:val="20"/>
                <w:color w:val="auto"/>
              </w:rPr>
            </w:pPr>
          </w:p>
        </w:tc>
        <w:tc>
          <w:tcPr>
            <w:tcW w:w="2840" w:type="dxa"/>
            <w:vAlign w:val="bottom"/>
            <w:vMerge w:val="restart"/>
          </w:tcPr>
          <w:p>
            <w:pPr>
              <w:ind w:left="2440"/>
              <w:spacing w:after="0"/>
              <w:rPr>
                <w:sz w:val="20"/>
                <w:szCs w:val="20"/>
                <w:color w:val="auto"/>
              </w:rPr>
            </w:pPr>
            <w:r>
              <w:rPr>
                <w:rFonts w:ascii="Times New Roman" w:cs="Times New Roman" w:eastAsia="Times New Roman" w:hAnsi="Times New Roman"/>
                <w:sz w:val="18"/>
                <w:szCs w:val="18"/>
                <w:color w:val="auto"/>
              </w:rPr>
              <w:t>(a)</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20" w:type="dxa"/>
            <w:vAlign w:val="bottom"/>
            <w:tcBorders>
              <w:left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40" w:type="dxa"/>
            <w:vAlign w:val="bottom"/>
            <w:vMerge w:val="continue"/>
          </w:tcPr>
          <w:p>
            <w:pPr>
              <w:spacing w:after="0"/>
              <w:rPr>
                <w:sz w:val="17"/>
                <w:szCs w:val="17"/>
                <w:color w:val="auto"/>
              </w:rPr>
            </w:pPr>
          </w:p>
        </w:tc>
        <w:tc>
          <w:tcPr>
            <w:tcW w:w="5060" w:type="dxa"/>
            <w:vAlign w:val="bottom"/>
            <w:tcBorders>
              <w:right w:val="single" w:sz="8" w:color="auto"/>
            </w:tcBorders>
          </w:tcPr>
          <w:p>
            <w:pPr>
              <w:ind w:left="20"/>
              <w:spacing w:after="0" w:line="198" w:lineRule="exact"/>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w:t>
            </w:r>
          </w:p>
        </w:tc>
        <w:tc>
          <w:tcPr>
            <w:tcW w:w="5060" w:type="dxa"/>
            <w:vAlign w:val="bottom"/>
            <w:tcBorders>
              <w:right w:val="single" w:sz="8" w:color="auto"/>
            </w:tcBorders>
          </w:tcPr>
          <w:p>
            <w:pPr>
              <w:ind w:left="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2"/>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2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88"/>
              </w:rPr>
              <w:t>3.</w:t>
            </w:r>
          </w:p>
        </w:tc>
        <w:tc>
          <w:tcPr>
            <w:tcW w:w="300" w:type="dxa"/>
            <w:vAlign w:val="bottom"/>
            <w:tcBorders>
              <w:right w:val="single" w:sz="8" w:color="auto"/>
            </w:tcBorders>
          </w:tcPr>
          <w:p>
            <w:pPr>
              <w:spacing w:after="0"/>
              <w:rPr>
                <w:sz w:val="24"/>
                <w:szCs w:val="24"/>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tcBorders>
            <w:gridSpan w:val="4"/>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88"/>
              </w:rPr>
              <w:t>4.</w:t>
            </w:r>
          </w:p>
        </w:tc>
        <w:tc>
          <w:tcPr>
            <w:tcW w:w="300" w:type="dxa"/>
            <w:vAlign w:val="bottom"/>
            <w:tcBorders>
              <w:right w:val="single" w:sz="8" w:color="auto"/>
            </w:tcBorders>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NUMBER OF</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620" w:type="dxa"/>
            <w:vAlign w:val="bottom"/>
            <w:tcBorders>
              <w:left w:val="single" w:sz="8" w:color="auto"/>
            </w:tcBorders>
          </w:tcPr>
          <w:p>
            <w:pPr>
              <w:spacing w:after="0"/>
              <w:rPr>
                <w:sz w:val="15"/>
                <w:szCs w:val="15"/>
                <w:color w:val="auto"/>
              </w:rPr>
            </w:pPr>
          </w:p>
        </w:tc>
        <w:tc>
          <w:tcPr>
            <w:tcW w:w="1940" w:type="dxa"/>
            <w:vAlign w:val="bottom"/>
            <w:tcBorders>
              <w:right w:val="single" w:sz="8" w:color="auto"/>
            </w:tcBorders>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2840" w:type="dxa"/>
            <w:vAlign w:val="bottom"/>
          </w:tcPr>
          <w:p>
            <w:pPr>
              <w:spacing w:after="0"/>
              <w:rPr>
                <w:sz w:val="15"/>
                <w:szCs w:val="15"/>
                <w:color w:val="auto"/>
              </w:rPr>
            </w:pPr>
          </w:p>
        </w:tc>
        <w:tc>
          <w:tcPr>
            <w:tcW w:w="5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SHARES</w:t>
            </w:r>
          </w:p>
        </w:tc>
        <w:tc>
          <w:tcPr>
            <w:tcW w:w="280" w:type="dxa"/>
            <w:vAlign w:val="bottom"/>
          </w:tcPr>
          <w:p>
            <w:pPr>
              <w:spacing w:after="0"/>
              <w:rPr>
                <w:sz w:val="18"/>
                <w:szCs w:val="18"/>
                <w:color w:val="auto"/>
              </w:rPr>
            </w:pPr>
          </w:p>
        </w:tc>
        <w:tc>
          <w:tcPr>
            <w:tcW w:w="50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9"/>
              </w:rPr>
              <w:t>BENEFICIALLY</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 (See Note 2)</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9"/>
              </w:rPr>
              <w:t>OWNED BY</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62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20" w:type="dxa"/>
            <w:vAlign w:val="bottom"/>
            <w:tcBorders>
              <w:lef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Borders>
              <w:right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840" w:type="dxa"/>
            <w:vAlign w:val="bottom"/>
          </w:tcPr>
          <w:p>
            <w:pPr>
              <w:spacing w:after="0"/>
              <w:rPr>
                <w:sz w:val="14"/>
                <w:szCs w:val="14"/>
                <w:color w:val="auto"/>
              </w:rPr>
            </w:pPr>
          </w:p>
        </w:tc>
        <w:tc>
          <w:tcPr>
            <w:tcW w:w="5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8"/>
              </w:rPr>
              <w:t>REPORTING</w:t>
            </w:r>
          </w:p>
        </w:tc>
        <w:tc>
          <w:tcPr>
            <w:tcW w:w="280" w:type="dxa"/>
            <w:vAlign w:val="bottom"/>
          </w:tcPr>
          <w:p>
            <w:pPr>
              <w:spacing w:after="0"/>
              <w:rPr>
                <w:sz w:val="18"/>
                <w:szCs w:val="18"/>
                <w:color w:val="auto"/>
              </w:rPr>
            </w:pPr>
          </w:p>
        </w:tc>
        <w:tc>
          <w:tcPr>
            <w:tcW w:w="50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PERSON</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WITH</w:t>
            </w:r>
          </w:p>
        </w:tc>
        <w:tc>
          <w:tcPr>
            <w:tcW w:w="2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Borders>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 (See Note 2)</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2"/>
          </w:tcPr>
          <w:p>
            <w:pPr>
              <w:spacing w:after="0"/>
              <w:rPr>
                <w:sz w:val="18"/>
                <w:szCs w:val="18"/>
                <w:color w:val="auto"/>
              </w:rPr>
            </w:pPr>
          </w:p>
        </w:tc>
        <w:tc>
          <w:tcPr>
            <w:tcW w:w="79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88"/>
              </w:rPr>
              <w:t>9.</w:t>
            </w:r>
          </w:p>
        </w:tc>
        <w:tc>
          <w:tcPr>
            <w:tcW w:w="300" w:type="dxa"/>
            <w:vAlign w:val="bottom"/>
            <w:tcBorders>
              <w:right w:val="single" w:sz="8" w:color="auto"/>
            </w:tcBorders>
          </w:tcPr>
          <w:p>
            <w:pPr>
              <w:spacing w:after="0"/>
              <w:rPr>
                <w:sz w:val="24"/>
                <w:szCs w:val="24"/>
                <w:color w:val="auto"/>
              </w:rPr>
            </w:pPr>
          </w:p>
        </w:tc>
        <w:tc>
          <w:tcPr>
            <w:tcW w:w="103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 (See Note 2)</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79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right w:val="single" w:sz="8" w:color="auto"/>
            </w:tcBorders>
          </w:tcPr>
          <w:p>
            <w:pPr>
              <w:spacing w:after="0"/>
              <w:rPr>
                <w:sz w:val="24"/>
                <w:szCs w:val="24"/>
                <w:color w:val="auto"/>
              </w:rPr>
            </w:pPr>
          </w:p>
        </w:tc>
        <w:tc>
          <w:tcPr>
            <w:tcW w:w="103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20" w:type="dxa"/>
            <w:vAlign w:val="bottom"/>
            <w:tcBorders>
              <w:left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40" w:type="dxa"/>
            <w:vAlign w:val="bottom"/>
          </w:tcPr>
          <w:p>
            <w:pPr>
              <w:ind w:left="2640"/>
              <w:spacing w:after="0" w:line="198" w:lineRule="exact"/>
              <w:rPr>
                <w:sz w:val="20"/>
                <w:szCs w:val="20"/>
                <w:color w:val="auto"/>
              </w:rPr>
            </w:pPr>
            <w:r>
              <w:rPr>
                <w:rFonts w:ascii="Wingdings" w:cs="Wingdings" w:eastAsia="Wingdings" w:hAnsi="Wingdings"/>
                <w:sz w:val="18"/>
                <w:szCs w:val="18"/>
                <w:b w:val="1"/>
                <w:bCs w:val="1"/>
                <w:color w:val="auto"/>
              </w:rPr>
              <w:t>o</w:t>
            </w:r>
          </w:p>
        </w:tc>
        <w:tc>
          <w:tcPr>
            <w:tcW w:w="5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20" w:type="dxa"/>
            <w:vAlign w:val="bottom"/>
            <w:tcBorders>
              <w:left w:val="single" w:sz="8" w:color="auto"/>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88"/>
              </w:rPr>
              <w:t>11.</w:t>
            </w:r>
          </w:p>
        </w:tc>
        <w:tc>
          <w:tcPr>
            <w:tcW w:w="300" w:type="dxa"/>
            <w:vAlign w:val="bottom"/>
            <w:tcBorders>
              <w:right w:val="single" w:sz="8" w:color="auto"/>
            </w:tcBorders>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 (See Note 1)</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right w:val="single" w:sz="8" w:color="auto"/>
            </w:tcBorders>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PN</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0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67,223,096 outstanding shares of Class A Common Stock as of November 30, 2023 as represented by the Issuer in the Form 10-Q filed with the Securities and Exchange Commission on December 6, 2023.</w:t>
      </w:r>
    </w:p>
    <w:p>
      <w:pPr>
        <w:spacing w:after="0" w:line="161" w:lineRule="exact"/>
        <w:rPr>
          <w:rFonts w:ascii="Times New Roman" w:cs="Times New Roman" w:eastAsia="Times New Roman" w:hAnsi="Times New Roman"/>
          <w:sz w:val="18"/>
          <w:szCs w:val="18"/>
          <w:color w:val="auto"/>
        </w:rPr>
      </w:pPr>
    </w:p>
    <w:p>
      <w:pPr>
        <w:jc w:val="both"/>
        <w:ind w:left="340" w:right="30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13d-4 under the Securities Exchange Act of 1934, as amended, Divisar Partners QP, L.P. expressly disclaims beneficial ownership over any of the securities reported in this statement, and the filing of this statement shall not be construed as an admission that Divisar Partners QP, L.P. is the beneficial owner of any of the securities reported herein.</w:t>
      </w:r>
    </w:p>
    <w:p>
      <w:pPr>
        <w:spacing w:after="0" w:line="200" w:lineRule="exact"/>
        <w:rPr>
          <w:sz w:val="20"/>
          <w:szCs w:val="20"/>
          <w:color w:val="auto"/>
        </w:rPr>
      </w:pPr>
    </w:p>
    <w:p>
      <w:pPr>
        <w:spacing w:after="0" w:line="215" w:lineRule="exact"/>
        <w:rPr>
          <w:sz w:val="20"/>
          <w:szCs w:val="20"/>
          <w:color w:val="auto"/>
        </w:rPr>
      </w:pPr>
    </w:p>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76010Y103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427"/>
        </w:trPr>
        <w:tc>
          <w:tcPr>
            <w:tcW w:w="620" w:type="dxa"/>
            <w:vAlign w:val="bottom"/>
            <w:tcBorders>
              <w:top w:val="single" w:sz="8" w:color="auto"/>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88"/>
              </w:rPr>
              <w:t>1.</w:t>
            </w:r>
          </w:p>
        </w:tc>
        <w:tc>
          <w:tcPr>
            <w:tcW w:w="300" w:type="dxa"/>
            <w:vAlign w:val="bottom"/>
            <w:tcBorders>
              <w:top w:val="single" w:sz="8" w:color="auto"/>
              <w:right w:val="single" w:sz="8" w:color="auto"/>
            </w:tcBorders>
          </w:tcPr>
          <w:p>
            <w:pPr>
              <w:spacing w:after="0"/>
              <w:rPr>
                <w:sz w:val="24"/>
                <w:szCs w:val="24"/>
                <w:color w:val="auto"/>
              </w:rPr>
            </w:pPr>
          </w:p>
        </w:tc>
        <w:tc>
          <w:tcPr>
            <w:tcW w:w="526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50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Divisar Capital Management, LLC</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tcBorders>
            <w:gridSpan w:val="4"/>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88"/>
              </w:rPr>
              <w:t>2.</w:t>
            </w:r>
          </w:p>
        </w:tc>
        <w:tc>
          <w:tcPr>
            <w:tcW w:w="300" w:type="dxa"/>
            <w:vAlign w:val="bottom"/>
            <w:tcBorders>
              <w:right w:val="single" w:sz="8" w:color="auto"/>
            </w:tcBorders>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00" w:type="dxa"/>
            <w:vAlign w:val="bottom"/>
          </w:tcPr>
          <w:p>
            <w:pPr>
              <w:spacing w:after="0"/>
              <w:rPr>
                <w:sz w:val="20"/>
                <w:szCs w:val="20"/>
                <w:color w:val="auto"/>
              </w:rPr>
            </w:pPr>
          </w:p>
        </w:tc>
        <w:tc>
          <w:tcPr>
            <w:tcW w:w="2840" w:type="dxa"/>
            <w:vAlign w:val="bottom"/>
            <w:vMerge w:val="restart"/>
          </w:tcPr>
          <w:p>
            <w:pPr>
              <w:ind w:left="2440"/>
              <w:spacing w:after="0"/>
              <w:rPr>
                <w:sz w:val="20"/>
                <w:szCs w:val="20"/>
                <w:color w:val="auto"/>
              </w:rPr>
            </w:pPr>
            <w:r>
              <w:rPr>
                <w:rFonts w:ascii="Times New Roman" w:cs="Times New Roman" w:eastAsia="Times New Roman" w:hAnsi="Times New Roman"/>
                <w:sz w:val="18"/>
                <w:szCs w:val="18"/>
                <w:color w:val="auto"/>
              </w:rPr>
              <w:t>(a)</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20" w:type="dxa"/>
            <w:vAlign w:val="bottom"/>
            <w:tcBorders>
              <w:left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40" w:type="dxa"/>
            <w:vAlign w:val="bottom"/>
            <w:vMerge w:val="continue"/>
          </w:tcPr>
          <w:p>
            <w:pPr>
              <w:spacing w:after="0"/>
              <w:rPr>
                <w:sz w:val="17"/>
                <w:szCs w:val="17"/>
                <w:color w:val="auto"/>
              </w:rPr>
            </w:pPr>
          </w:p>
        </w:tc>
        <w:tc>
          <w:tcPr>
            <w:tcW w:w="5060" w:type="dxa"/>
            <w:vAlign w:val="bottom"/>
            <w:tcBorders>
              <w:right w:val="single" w:sz="8" w:color="auto"/>
            </w:tcBorders>
          </w:tcPr>
          <w:p>
            <w:pPr>
              <w:ind w:left="20"/>
              <w:spacing w:after="0" w:line="198" w:lineRule="exact"/>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w:t>
            </w:r>
          </w:p>
        </w:tc>
        <w:tc>
          <w:tcPr>
            <w:tcW w:w="5060" w:type="dxa"/>
            <w:vAlign w:val="bottom"/>
            <w:tcBorders>
              <w:right w:val="single" w:sz="8" w:color="auto"/>
            </w:tcBorders>
          </w:tcPr>
          <w:p>
            <w:pPr>
              <w:ind w:left="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2"/>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2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88"/>
              </w:rPr>
              <w:t>3.</w:t>
            </w:r>
          </w:p>
        </w:tc>
        <w:tc>
          <w:tcPr>
            <w:tcW w:w="300" w:type="dxa"/>
            <w:vAlign w:val="bottom"/>
            <w:tcBorders>
              <w:right w:val="single" w:sz="8" w:color="auto"/>
            </w:tcBorders>
          </w:tcPr>
          <w:p>
            <w:pPr>
              <w:spacing w:after="0"/>
              <w:rPr>
                <w:sz w:val="24"/>
                <w:szCs w:val="24"/>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tcBorders>
            <w:gridSpan w:val="4"/>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88"/>
              </w:rPr>
              <w:t>4.</w:t>
            </w:r>
          </w:p>
        </w:tc>
        <w:tc>
          <w:tcPr>
            <w:tcW w:w="300" w:type="dxa"/>
            <w:vAlign w:val="bottom"/>
            <w:tcBorders>
              <w:right w:val="single" w:sz="8" w:color="auto"/>
            </w:tcBorders>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NUMBER OF</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620" w:type="dxa"/>
            <w:vAlign w:val="bottom"/>
            <w:tcBorders>
              <w:left w:val="single" w:sz="8" w:color="auto"/>
            </w:tcBorders>
          </w:tcPr>
          <w:p>
            <w:pPr>
              <w:spacing w:after="0"/>
              <w:rPr>
                <w:sz w:val="15"/>
                <w:szCs w:val="15"/>
                <w:color w:val="auto"/>
              </w:rPr>
            </w:pPr>
          </w:p>
        </w:tc>
        <w:tc>
          <w:tcPr>
            <w:tcW w:w="1940" w:type="dxa"/>
            <w:vAlign w:val="bottom"/>
            <w:tcBorders>
              <w:right w:val="single" w:sz="8" w:color="auto"/>
            </w:tcBorders>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2840" w:type="dxa"/>
            <w:vAlign w:val="bottom"/>
          </w:tcPr>
          <w:p>
            <w:pPr>
              <w:spacing w:after="0"/>
              <w:rPr>
                <w:sz w:val="15"/>
                <w:szCs w:val="15"/>
                <w:color w:val="auto"/>
              </w:rPr>
            </w:pPr>
          </w:p>
        </w:tc>
        <w:tc>
          <w:tcPr>
            <w:tcW w:w="5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SHARES</w:t>
            </w:r>
          </w:p>
        </w:tc>
        <w:tc>
          <w:tcPr>
            <w:tcW w:w="280" w:type="dxa"/>
            <w:vAlign w:val="bottom"/>
          </w:tcPr>
          <w:p>
            <w:pPr>
              <w:spacing w:after="0"/>
              <w:rPr>
                <w:sz w:val="18"/>
                <w:szCs w:val="18"/>
                <w:color w:val="auto"/>
              </w:rPr>
            </w:pPr>
          </w:p>
        </w:tc>
        <w:tc>
          <w:tcPr>
            <w:tcW w:w="50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9"/>
              </w:rPr>
              <w:t>BENEFICIALLY</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9"/>
              </w:rPr>
              <w:t>OWNED BY</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62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20" w:type="dxa"/>
            <w:vAlign w:val="bottom"/>
            <w:tcBorders>
              <w:lef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Borders>
              <w:right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840" w:type="dxa"/>
            <w:vAlign w:val="bottom"/>
          </w:tcPr>
          <w:p>
            <w:pPr>
              <w:spacing w:after="0"/>
              <w:rPr>
                <w:sz w:val="14"/>
                <w:szCs w:val="14"/>
                <w:color w:val="auto"/>
              </w:rPr>
            </w:pPr>
          </w:p>
        </w:tc>
        <w:tc>
          <w:tcPr>
            <w:tcW w:w="5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8"/>
              </w:rPr>
              <w:t>REPORTING</w:t>
            </w:r>
          </w:p>
        </w:tc>
        <w:tc>
          <w:tcPr>
            <w:tcW w:w="280" w:type="dxa"/>
            <w:vAlign w:val="bottom"/>
          </w:tcPr>
          <w:p>
            <w:pPr>
              <w:spacing w:after="0"/>
              <w:rPr>
                <w:sz w:val="18"/>
                <w:szCs w:val="18"/>
                <w:color w:val="auto"/>
              </w:rPr>
            </w:pPr>
          </w:p>
        </w:tc>
        <w:tc>
          <w:tcPr>
            <w:tcW w:w="50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PERSON</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WITH</w:t>
            </w:r>
          </w:p>
        </w:tc>
        <w:tc>
          <w:tcPr>
            <w:tcW w:w="2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Borders>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2"/>
          </w:tcPr>
          <w:p>
            <w:pPr>
              <w:spacing w:after="0"/>
              <w:rPr>
                <w:sz w:val="18"/>
                <w:szCs w:val="18"/>
                <w:color w:val="auto"/>
              </w:rPr>
            </w:pPr>
          </w:p>
        </w:tc>
        <w:tc>
          <w:tcPr>
            <w:tcW w:w="79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88"/>
              </w:rPr>
              <w:t>9.</w:t>
            </w:r>
          </w:p>
        </w:tc>
        <w:tc>
          <w:tcPr>
            <w:tcW w:w="300" w:type="dxa"/>
            <w:vAlign w:val="bottom"/>
            <w:tcBorders>
              <w:right w:val="single" w:sz="8" w:color="auto"/>
            </w:tcBorders>
          </w:tcPr>
          <w:p>
            <w:pPr>
              <w:spacing w:after="0"/>
              <w:rPr>
                <w:sz w:val="24"/>
                <w:szCs w:val="24"/>
                <w:color w:val="auto"/>
              </w:rPr>
            </w:pPr>
          </w:p>
        </w:tc>
        <w:tc>
          <w:tcPr>
            <w:tcW w:w="103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79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right w:val="single" w:sz="8" w:color="auto"/>
            </w:tcBorders>
          </w:tcPr>
          <w:p>
            <w:pPr>
              <w:spacing w:after="0"/>
              <w:rPr>
                <w:sz w:val="24"/>
                <w:szCs w:val="24"/>
                <w:color w:val="auto"/>
              </w:rPr>
            </w:pPr>
          </w:p>
        </w:tc>
        <w:tc>
          <w:tcPr>
            <w:tcW w:w="103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20" w:type="dxa"/>
            <w:vAlign w:val="bottom"/>
            <w:tcBorders>
              <w:left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40" w:type="dxa"/>
            <w:vAlign w:val="bottom"/>
          </w:tcPr>
          <w:p>
            <w:pPr>
              <w:ind w:left="2640"/>
              <w:spacing w:after="0" w:line="198" w:lineRule="exact"/>
              <w:rPr>
                <w:sz w:val="20"/>
                <w:szCs w:val="20"/>
                <w:color w:val="auto"/>
              </w:rPr>
            </w:pPr>
            <w:r>
              <w:rPr>
                <w:rFonts w:ascii="Wingdings" w:cs="Wingdings" w:eastAsia="Wingdings" w:hAnsi="Wingdings"/>
                <w:sz w:val="18"/>
                <w:szCs w:val="18"/>
                <w:b w:val="1"/>
                <w:bCs w:val="1"/>
                <w:color w:val="auto"/>
              </w:rPr>
              <w:t>o</w:t>
            </w:r>
          </w:p>
        </w:tc>
        <w:tc>
          <w:tcPr>
            <w:tcW w:w="5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20" w:type="dxa"/>
            <w:vAlign w:val="bottom"/>
            <w:tcBorders>
              <w:left w:val="single" w:sz="8" w:color="auto"/>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88"/>
              </w:rPr>
              <w:t>11.</w:t>
            </w:r>
          </w:p>
        </w:tc>
        <w:tc>
          <w:tcPr>
            <w:tcW w:w="300" w:type="dxa"/>
            <w:vAlign w:val="bottom"/>
            <w:tcBorders>
              <w:right w:val="single" w:sz="8" w:color="auto"/>
            </w:tcBorders>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 (See Note 3)</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right w:val="single" w:sz="8" w:color="auto"/>
            </w:tcBorders>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IA, OO, HC</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gridSpan w:val="2"/>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 See Note (1) Above</w:t>
            </w: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8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CUSIP No. 76010Y103</w:t>
            </w:r>
          </w:p>
        </w:tc>
        <w:tc>
          <w:tcPr>
            <w:tcW w:w="5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13G/A</w:t>
            </w:r>
          </w:p>
        </w:tc>
        <w:tc>
          <w:tcPr>
            <w:tcW w:w="5060" w:type="dxa"/>
            <w:vAlign w:val="bottom"/>
            <w:tcBorders>
              <w:bottom w:val="single" w:sz="8" w:color="auto"/>
            </w:tcBorders>
          </w:tcPr>
          <w:p>
            <w:pPr>
              <w:ind w:left="3740"/>
              <w:spacing w:after="0"/>
              <w:rPr>
                <w:sz w:val="20"/>
                <w:szCs w:val="20"/>
                <w:color w:val="auto"/>
              </w:rPr>
            </w:pPr>
            <w:r>
              <w:rPr>
                <w:rFonts w:ascii="Times New Roman" w:cs="Times New Roman" w:eastAsia="Times New Roman" w:hAnsi="Times New Roman"/>
                <w:sz w:val="18"/>
                <w:szCs w:val="18"/>
                <w:b w:val="1"/>
                <w:bCs w:val="1"/>
                <w:color w:val="auto"/>
                <w:w w:val="96"/>
              </w:rPr>
              <w:t>Page 3 of 7 Pages</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27"/>
        </w:trPr>
        <w:tc>
          <w:tcPr>
            <w:tcW w:w="9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8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52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50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Steven Baughman</w:t>
            </w:r>
          </w:p>
        </w:tc>
        <w:tc>
          <w:tcPr>
            <w:tcW w:w="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5260" w:type="dxa"/>
            <w:vAlign w:val="bottom"/>
            <w:tcBorders>
              <w:bottom w:val="single" w:sz="8" w:color="auto"/>
            </w:tcBorders>
            <w:gridSpan w:val="4"/>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0"/>
                <w:szCs w:val="20"/>
                <w:color w:val="auto"/>
              </w:rPr>
            </w:pPr>
          </w:p>
        </w:tc>
        <w:tc>
          <w:tcPr>
            <w:tcW w:w="1920" w:type="dxa"/>
            <w:vAlign w:val="bottom"/>
            <w:vMerge w:val="restart"/>
          </w:tcPr>
          <w:p>
            <w:pPr>
              <w:ind w:left="1520"/>
              <w:spacing w:after="0"/>
              <w:rPr>
                <w:sz w:val="20"/>
                <w:szCs w:val="20"/>
                <w:color w:val="auto"/>
              </w:rPr>
            </w:pPr>
            <w:r>
              <w:rPr>
                <w:rFonts w:ascii="Times New Roman" w:cs="Times New Roman" w:eastAsia="Times New Roman" w:hAnsi="Times New Roman"/>
                <w:sz w:val="18"/>
                <w:szCs w:val="18"/>
                <w:color w:val="auto"/>
              </w:rPr>
              <w:t>(a)</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20" w:type="dxa"/>
            <w:vAlign w:val="bottom"/>
            <w:tcBorders>
              <w:left w:val="single" w:sz="8" w:color="auto"/>
              <w:right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20" w:type="dxa"/>
            <w:vAlign w:val="bottom"/>
            <w:vMerge w:val="continue"/>
          </w:tcPr>
          <w:p>
            <w:pPr>
              <w:spacing w:after="0"/>
              <w:rPr>
                <w:sz w:val="17"/>
                <w:szCs w:val="17"/>
                <w:color w:val="auto"/>
              </w:rPr>
            </w:pPr>
          </w:p>
        </w:tc>
        <w:tc>
          <w:tcPr>
            <w:tcW w:w="5060" w:type="dxa"/>
            <w:vAlign w:val="bottom"/>
            <w:tcBorders>
              <w:right w:val="single" w:sz="8" w:color="auto"/>
            </w:tcBorders>
          </w:tcPr>
          <w:p>
            <w:pPr>
              <w:ind w:left="20"/>
              <w:spacing w:after="0" w:line="198" w:lineRule="exact"/>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spacing w:after="0"/>
              <w:rPr>
                <w:sz w:val="20"/>
                <w:szCs w:val="20"/>
                <w:color w:val="auto"/>
              </w:rPr>
            </w:pPr>
          </w:p>
        </w:tc>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w:t>
            </w:r>
          </w:p>
        </w:tc>
        <w:tc>
          <w:tcPr>
            <w:tcW w:w="5060" w:type="dxa"/>
            <w:vAlign w:val="bottom"/>
            <w:tcBorders>
              <w:right w:val="single" w:sz="8" w:color="auto"/>
            </w:tcBorders>
          </w:tcPr>
          <w:p>
            <w:pPr>
              <w:ind w:left="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5260" w:type="dxa"/>
            <w:vAlign w:val="bottom"/>
            <w:tcBorders>
              <w:bottom w:val="single" w:sz="8" w:color="auto"/>
            </w:tcBorders>
            <w:gridSpan w:val="4"/>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9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6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920" w:type="dxa"/>
            <w:vAlign w:val="bottom"/>
            <w:tcBorders>
              <w:left w:val="single" w:sz="8" w:color="auto"/>
            </w:tcBorders>
          </w:tcPr>
          <w:p>
            <w:pPr>
              <w:spacing w:after="0"/>
              <w:rPr>
                <w:sz w:val="15"/>
                <w:szCs w:val="15"/>
                <w:color w:val="auto"/>
              </w:rPr>
            </w:pPr>
          </w:p>
        </w:tc>
        <w:tc>
          <w:tcPr>
            <w:tcW w:w="2560" w:type="dxa"/>
            <w:vAlign w:val="bottom"/>
            <w:tcBorders>
              <w:right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1920" w:type="dxa"/>
            <w:vAlign w:val="bottom"/>
          </w:tcPr>
          <w:p>
            <w:pPr>
              <w:spacing w:after="0"/>
              <w:rPr>
                <w:sz w:val="15"/>
                <w:szCs w:val="15"/>
                <w:color w:val="auto"/>
              </w:rPr>
            </w:pPr>
          </w:p>
        </w:tc>
        <w:tc>
          <w:tcPr>
            <w:tcW w:w="5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6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9"/>
              </w:rPr>
              <w:t>BENEFICIALLY</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920" w:type="dxa"/>
            <w:vAlign w:val="bottom"/>
            <w:tcBorders>
              <w:left w:val="single" w:sz="8" w:color="auto"/>
            </w:tcBorders>
          </w:tcPr>
          <w:p>
            <w:pPr>
              <w:spacing w:after="0"/>
              <w:rPr>
                <w:sz w:val="2"/>
                <w:szCs w:val="2"/>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920" w:type="dxa"/>
            <w:vAlign w:val="bottom"/>
            <w:tcBorders>
              <w:left w:val="single" w:sz="8" w:color="auto"/>
            </w:tcBorders>
          </w:tcPr>
          <w:p>
            <w:pPr>
              <w:spacing w:after="0"/>
              <w:rPr>
                <w:sz w:val="14"/>
                <w:szCs w:val="14"/>
                <w:color w:val="auto"/>
              </w:rPr>
            </w:pPr>
          </w:p>
        </w:tc>
        <w:tc>
          <w:tcPr>
            <w:tcW w:w="2560" w:type="dxa"/>
            <w:vAlign w:val="bottom"/>
            <w:tcBorders>
              <w:right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920" w:type="dxa"/>
            <w:vAlign w:val="bottom"/>
          </w:tcPr>
          <w:p>
            <w:pPr>
              <w:spacing w:after="0"/>
              <w:rPr>
                <w:sz w:val="14"/>
                <w:szCs w:val="14"/>
                <w:color w:val="auto"/>
              </w:rPr>
            </w:pPr>
          </w:p>
        </w:tc>
        <w:tc>
          <w:tcPr>
            <w:tcW w:w="5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6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rPr>
              <w:t>WITH</w:t>
            </w: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92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tcBorders>
          </w:tcPr>
          <w:p>
            <w:pPr>
              <w:spacing w:after="0"/>
              <w:rPr>
                <w:sz w:val="2"/>
                <w:szCs w:val="2"/>
                <w:color w:val="auto"/>
              </w:rPr>
            </w:pPr>
          </w:p>
        </w:tc>
        <w:tc>
          <w:tcPr>
            <w:tcW w:w="2560" w:type="dxa"/>
            <w:vAlign w:val="bottom"/>
            <w:tcBorders>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69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07"/>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6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tcBorders>
          </w:tcPr>
          <w:p>
            <w:pPr>
              <w:spacing w:after="0"/>
              <w:rPr>
                <w:sz w:val="18"/>
                <w:szCs w:val="18"/>
                <w:color w:val="auto"/>
              </w:rPr>
            </w:pPr>
          </w:p>
        </w:tc>
        <w:tc>
          <w:tcPr>
            <w:tcW w:w="256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2"/>
          </w:tcPr>
          <w:p>
            <w:pPr>
              <w:spacing w:after="0"/>
              <w:rPr>
                <w:sz w:val="18"/>
                <w:szCs w:val="18"/>
                <w:color w:val="auto"/>
              </w:rPr>
            </w:pPr>
          </w:p>
        </w:tc>
        <w:tc>
          <w:tcPr>
            <w:tcW w:w="69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03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spacing w:after="0"/>
              <w:rPr>
                <w:sz w:val="20"/>
                <w:szCs w:val="20"/>
                <w:color w:val="auto"/>
              </w:rPr>
            </w:pPr>
          </w:p>
        </w:tc>
        <w:tc>
          <w:tcPr>
            <w:tcW w:w="2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69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3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20" w:type="dxa"/>
            <w:vAlign w:val="bottom"/>
            <w:tcBorders>
              <w:left w:val="single" w:sz="8" w:color="auto"/>
              <w:right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20" w:type="dxa"/>
            <w:vAlign w:val="bottom"/>
          </w:tcPr>
          <w:p>
            <w:pPr>
              <w:ind w:left="1720"/>
              <w:spacing w:after="0" w:line="198" w:lineRule="exact"/>
              <w:rPr>
                <w:sz w:val="20"/>
                <w:szCs w:val="20"/>
                <w:color w:val="auto"/>
              </w:rPr>
            </w:pPr>
            <w:r>
              <w:rPr>
                <w:rFonts w:ascii="Wingdings" w:cs="Wingdings" w:eastAsia="Wingdings" w:hAnsi="Wingdings"/>
                <w:sz w:val="18"/>
                <w:szCs w:val="18"/>
                <w:b w:val="1"/>
                <w:bCs w:val="1"/>
                <w:color w:val="auto"/>
              </w:rPr>
              <w:t>o</w:t>
            </w:r>
          </w:p>
        </w:tc>
        <w:tc>
          <w:tcPr>
            <w:tcW w:w="5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920" w:type="dxa"/>
            <w:vAlign w:val="bottom"/>
            <w:tcBorders>
              <w:left w:val="single" w:sz="8" w:color="auto"/>
              <w:bottom w:val="single" w:sz="8" w:color="auto"/>
              <w:right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 (See Note 4)</w:t>
            </w:r>
          </w:p>
        </w:tc>
        <w:tc>
          <w:tcPr>
            <w:tcW w:w="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 HC</w:t>
            </w:r>
          </w:p>
        </w:tc>
        <w:tc>
          <w:tcPr>
            <w:tcW w:w="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 See Note (1) Above</w:t>
            </w: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76010Y103</w:t>
            </w:r>
          </w:p>
        </w:tc>
        <w:tc>
          <w:tcPr>
            <w:tcW w:w="5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13G/A</w:t>
            </w:r>
          </w:p>
        </w:tc>
        <w:tc>
          <w:tcPr>
            <w:tcW w:w="5060" w:type="dxa"/>
            <w:vAlign w:val="bottom"/>
            <w:tcBorders>
              <w:bottom w:val="single" w:sz="8" w:color="auto"/>
            </w:tcBorders>
          </w:tcPr>
          <w:p>
            <w:pPr>
              <w:ind w:left="3740"/>
              <w:spacing w:after="0"/>
              <w:rPr>
                <w:sz w:val="20"/>
                <w:szCs w:val="20"/>
                <w:color w:val="auto"/>
              </w:rPr>
            </w:pPr>
            <w:r>
              <w:rPr>
                <w:rFonts w:ascii="Times New Roman" w:cs="Times New Roman" w:eastAsia="Times New Roman" w:hAnsi="Times New Roman"/>
                <w:sz w:val="18"/>
                <w:szCs w:val="18"/>
                <w:b w:val="1"/>
                <w:bCs w:val="1"/>
                <w:color w:val="auto"/>
                <w:w w:val="96"/>
              </w:rPr>
              <w:t>Page 4 of 7 Pages</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AMENDMENT NO. 2 TO SCHEDULE 13G</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statement on Schedule 13G filed with the Securities and Exchange Commission by the Reporting Persons with respect to the Common Stock of the Issuer on December 2, 2022, and Amendment No. 1 thereto filed on February 14, 2023 (as so amended, the "Schedule 13G"). Terms defined in the Schedule 13G are used herein as so defined.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of the Schedule 13G are amended and restated to read in their entirety as follows: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94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w w:val="99"/>
              </w:rPr>
              <w:t>If this statement is filed pursuant to §§ 240.13d-1(b), or 240.13d-2(b) or (c), check whether the person filing is a:</w:t>
            </w:r>
          </w:p>
        </w:tc>
      </w:tr>
      <w:tr>
        <w:trPr>
          <w:trHeight w:val="216"/>
        </w:trPr>
        <w:tc>
          <w:tcPr>
            <w:tcW w:w="920" w:type="dxa"/>
            <w:vAlign w:val="bottom"/>
          </w:tcPr>
          <w:p>
            <w:pPr>
              <w:spacing w:after="0"/>
              <w:rPr>
                <w:sz w:val="18"/>
                <w:szCs w:val="18"/>
                <w:color w:val="auto"/>
              </w:rPr>
            </w:pPr>
          </w:p>
        </w:tc>
        <w:tc>
          <w:tcPr>
            <w:tcW w:w="89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(e) [x] Investment Adviser registered under Section 203 of the Investment Advisers Act of 1940</w:t>
            </w:r>
          </w:p>
        </w:tc>
      </w:tr>
      <w:tr>
        <w:trPr>
          <w:trHeight w:val="234"/>
        </w:trPr>
        <w:tc>
          <w:tcPr>
            <w:tcW w:w="920" w:type="dxa"/>
            <w:vAlign w:val="bottom"/>
          </w:tcPr>
          <w:p>
            <w:pPr>
              <w:spacing w:after="0"/>
              <w:rPr>
                <w:sz w:val="20"/>
                <w:szCs w:val="20"/>
                <w:color w:val="auto"/>
              </w:rPr>
            </w:pPr>
          </w:p>
        </w:tc>
        <w:tc>
          <w:tcPr>
            <w:tcW w:w="89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(g) [x] Parent Holding Company or control person in accordance with Rule 13d-1(b)(1)(ii)(G)</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30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764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w:t>
            </w: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Divisar Partners QP, LP</w:t>
            </w:r>
          </w:p>
        </w:tc>
      </w:tr>
      <w:tr>
        <w:trPr>
          <w:trHeight w:val="432"/>
        </w:trPr>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7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Amount beneficially owned: 0 (See Note 5)</w:t>
            </w:r>
          </w:p>
        </w:tc>
      </w:tr>
      <w:tr>
        <w:trPr>
          <w:trHeight w:val="432"/>
        </w:trPr>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7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Percent of class: 0% (See Note 6)</w:t>
            </w:r>
          </w:p>
        </w:tc>
      </w:tr>
      <w:tr>
        <w:trPr>
          <w:trHeight w:val="432"/>
        </w:trPr>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7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Number of shares as to which the person has:</w:t>
            </w:r>
          </w:p>
        </w:tc>
      </w:tr>
      <w:tr>
        <w:trPr>
          <w:trHeight w:val="432"/>
        </w:trPr>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w:t>
            </w:r>
          </w:p>
        </w:tc>
        <w:tc>
          <w:tcPr>
            <w:tcW w:w="7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power to vote or to direct the vote: 0</w:t>
            </w:r>
          </w:p>
        </w:tc>
      </w:tr>
      <w:tr>
        <w:trPr>
          <w:trHeight w:val="432"/>
        </w:trPr>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w:t>
            </w:r>
          </w:p>
        </w:tc>
        <w:tc>
          <w:tcPr>
            <w:tcW w:w="7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power to vote or to direct the vote: 0 (See Note 5)</w:t>
            </w:r>
          </w:p>
        </w:tc>
      </w:tr>
      <w:tr>
        <w:trPr>
          <w:trHeight w:val="432"/>
        </w:trPr>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 0</w:t>
            </w:r>
          </w:p>
        </w:tc>
      </w:tr>
      <w:tr>
        <w:trPr>
          <w:trHeight w:val="432"/>
        </w:trPr>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 0 (See Note 5)</w:t>
            </w:r>
          </w:p>
        </w:tc>
      </w:tr>
      <w:tr>
        <w:trPr>
          <w:trHeight w:val="432"/>
        </w:trPr>
        <w:tc>
          <w:tcPr>
            <w:tcW w:w="920" w:type="dxa"/>
            <w:vAlign w:val="bottom"/>
          </w:tcPr>
          <w:p>
            <w:pPr>
              <w:spacing w:after="0"/>
              <w:rPr>
                <w:sz w:val="24"/>
                <w:szCs w:val="24"/>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(ii)</w:t>
            </w: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Divisar Capital Management, LLC</w:t>
            </w:r>
          </w:p>
        </w:tc>
      </w:tr>
    </w:tbl>
    <w:p>
      <w:pPr>
        <w:spacing w:after="0" w:line="198" w:lineRule="exact"/>
        <w:rPr>
          <w:sz w:val="20"/>
          <w:szCs w:val="20"/>
          <w:color w:val="auto"/>
        </w:rPr>
      </w:pPr>
    </w:p>
    <w:p>
      <w:pPr>
        <w:ind w:left="1960" w:hanging="332"/>
        <w:spacing w:after="0"/>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0 (See Note 5)</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0% (See Note 6)</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 (See Note 5)</w:t>
      </w:r>
    </w:p>
    <w:p>
      <w:pPr>
        <w:spacing w:after="0" w:line="22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 (See Note 5)</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Baughman</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0 (See Note 5)</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0% (See Note 6)</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 (See Note 5)</w:t>
      </w:r>
    </w:p>
    <w:p>
      <w:pPr>
        <w:spacing w:after="0" w:line="22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 (See Note 5)</w:t>
      </w:r>
    </w:p>
    <w:p>
      <w:pPr>
        <w:spacing w:after="0" w:line="221" w:lineRule="exact"/>
        <w:rPr>
          <w:sz w:val="20"/>
          <w:szCs w:val="20"/>
          <w:color w:val="auto"/>
        </w:rPr>
      </w:pPr>
    </w:p>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76010Y103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Note 5:</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Divisar Capital Management, LLC is an investment advisor that is registered under the Investment Advisors Act of 1940. Divisar Capital Management, LLC, which serves as the general partner and investment manager to each of Divisar Partners QP, L.P. and Divisar Partners, L.P., (collectively "the Funds"), may be deemed to be the beneficial owner of all shares of Common Stock held by the Funds. Mr. Steven Baughman, as CEO of Divisar Capital Management, LLC, with the power to exercise investment and voting discretion, may be deemed to be the beneficial owner of all shares of Common Stock held by the Funds. Pursuant to Rule 13d-4 under the Securities Exchange Act of 1934, as amended, each of the Funds expressly disclaims beneficial ownership over any of the securities reported in this statement, and the filing of this statement shall not be construed as an admission that either of the Funds are the beneficial owner of any of the securities reported 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Based on 67,223,096 outstanding shares of Class A Common Stock as of November 30, 2023 as represented by the Issuer in the Form 10-Q filed with the Securities and Exchange Commission on December 6, 2023.</w:t>
      </w:r>
    </w:p>
    <w:p>
      <w:pPr>
        <w:sectPr>
          <w:pgSz w:w="11900" w:h="16838" w:orient="portrait"/>
          <w:cols w:equalWidth="0" w:num="1">
            <w:col w:w="11240"/>
          </w:cols>
          <w:pgMar w:left="320" w:top="688" w:right="339" w:bottom="478" w:gutter="0" w:footer="0" w:header="0"/>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200" w:lineRule="exact"/>
        <w:rPr>
          <w:sz w:val="20"/>
          <w:szCs w:val="20"/>
          <w:color w:val="auto"/>
        </w:rPr>
      </w:pPr>
    </w:p>
    <w:p>
      <w:pPr>
        <w:sectPr>
          <w:pgSz w:w="11900" w:h="16838" w:orient="portrait"/>
          <w:cols w:equalWidth="0" w:num="2">
            <w:col w:w="1540" w:space="720"/>
            <w:col w:w="8980"/>
          </w:cols>
          <w:pgMar w:left="320" w:top="688" w:right="339" w:bottom="478" w:gutter="0" w:footer="0" w:header="0"/>
          <w:type w:val="continuous"/>
        </w:sectPr>
      </w:pPr>
    </w:p>
    <w:p>
      <w:pPr>
        <w:spacing w:after="0" w:line="41" w:lineRule="exact"/>
        <w:rPr>
          <w:sz w:val="20"/>
          <w:szCs w:val="20"/>
          <w:color w:val="auto"/>
        </w:rPr>
      </w:pPr>
    </w:p>
    <w:p>
      <w:pPr>
        <w:ind w:left="2260" w:right="10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5 percent of the class of securities, check the following [ X ].</w:t>
      </w:r>
    </w:p>
    <w:p>
      <w:pPr>
        <w:sectPr>
          <w:pgSz w:w="11900" w:h="16838" w:orient="portrait"/>
          <w:cols w:equalWidth="0" w:num="1">
            <w:col w:w="11240"/>
          </w:cols>
          <w:pgMar w:left="320" w:top="688" w:right="339" w:bottom="478" w:gutter="0" w:footer="0" w:header="0"/>
          <w:type w:val="continuous"/>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1540" w:space="720"/>
            <w:col w:w="8980"/>
          </w:cols>
          <w:pgMar w:left="320" w:top="688" w:right="339" w:bottom="478" w:gutter="0" w:footer="0" w:header="0"/>
          <w:type w:val="continuous"/>
        </w:sectPr>
      </w:pPr>
    </w:p>
    <w:p>
      <w:pPr>
        <w:spacing w:after="0" w:line="4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688" w:right="339" w:bottom="478"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sectPr>
          <w:pgSz w:w="11900" w:h="16838" w:orient="portrait"/>
          <w:cols w:equalWidth="0" w:num="2">
            <w:col w:w="1540" w:space="720"/>
            <w:col w:w="8980"/>
          </w:cols>
          <w:pgMar w:left="320" w:top="688" w:right="339" w:bottom="478" w:gutter="0" w:footer="0" w:header="0"/>
          <w:type w:val="continuous"/>
        </w:sectPr>
      </w:pPr>
    </w:p>
    <w:p>
      <w:pPr>
        <w:ind w:left="226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688" w:right="339" w:bottom="478"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540" w:space="720"/>
            <w:col w:w="8980"/>
          </w:cols>
          <w:pgMar w:left="320" w:top="688" w:right="339" w:bottom="478" w:gutter="0" w:footer="0" w:header="0"/>
          <w:type w:val="continuous"/>
        </w:sectPr>
      </w:pPr>
    </w:p>
    <w:p>
      <w:pPr>
        <w:spacing w:after="0" w:line="4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688" w:right="339" w:bottom="478"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200" w:lineRule="exact"/>
        <w:rPr>
          <w:sz w:val="20"/>
          <w:szCs w:val="20"/>
          <w:color w:val="auto"/>
        </w:rPr>
      </w:pPr>
    </w:p>
    <w:p>
      <w:pPr>
        <w:sectPr>
          <w:pgSz w:w="11900" w:h="16838" w:orient="portrait"/>
          <w:cols w:equalWidth="0" w:num="2">
            <w:col w:w="1540" w:space="720"/>
            <w:col w:w="8980"/>
          </w:cols>
          <w:pgMar w:left="320" w:top="688" w:right="339" w:bottom="478" w:gutter="0" w:footer="0" w:header="0"/>
          <w:type w:val="continuous"/>
        </w:sectPr>
      </w:pPr>
    </w:p>
    <w:p>
      <w:pPr>
        <w:spacing w:after="0" w:line="4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688" w:right="339" w:bottom="478"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ectPr>
          <w:pgSz w:w="11900" w:h="16838" w:orient="portrait"/>
          <w:cols w:equalWidth="0" w:num="2">
            <w:col w:w="640" w:space="660"/>
            <w:col w:w="9940"/>
          </w:cols>
          <w:pgMar w:left="320" w:top="688" w:right="339" w:bottom="478" w:gutter="0" w:footer="0" w:header="0"/>
          <w:type w:val="continuous"/>
        </w:sectPr>
      </w:pP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Each of the Reporting Persons makes the following certification:</w:t>
      </w:r>
    </w:p>
    <w:p>
      <w:pPr>
        <w:spacing w:after="0" w:line="225" w:lineRule="exact"/>
        <w:rPr>
          <w:sz w:val="20"/>
          <w:szCs w:val="20"/>
          <w:color w:val="auto"/>
        </w:rPr>
      </w:pPr>
    </w:p>
    <w:p>
      <w:pPr>
        <w:ind w:left="1300" w:right="20"/>
        <w:spacing w:after="0" w:line="258" w:lineRule="auto"/>
        <w:rPr>
          <w:sz w:val="20"/>
          <w:szCs w:val="20"/>
          <w:color w:val="auto"/>
        </w:rPr>
      </w:pPr>
      <w:r>
        <w:rPr>
          <w:rFonts w:ascii="Times New Roman" w:cs="Times New Roman" w:eastAsia="Times New Roman" w:hAnsi="Times New Roman"/>
          <w:sz w:val="18"/>
          <w:szCs w:val="18"/>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After reasonable inquiry and to the best of my knowledge and belief, the undersigned certify that the information set forth in this statement is true, complete and correct.</w:t>
      </w:r>
    </w:p>
    <w:p>
      <w:pPr>
        <w:sectPr>
          <w:pgSz w:w="11900" w:h="16838" w:orient="portrait"/>
          <w:cols w:equalWidth="0" w:num="1">
            <w:col w:w="11240"/>
          </w:cols>
          <w:pgMar w:left="320" w:top="688" w:right="339" w:bottom="478" w:gutter="0" w:footer="0" w:header="0"/>
          <w:type w:val="continuous"/>
        </w:sect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DIVISAR PARTNERS QP,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Divisar Capital Management, LLC,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/s/ Steven Baughman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Steven Baughman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DIVISAR CAPITAL MANAGEMENT,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/s/ Steven Baughman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Steven Baughman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STEVEN BAUGHMAN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/s/ Steven Baughman</w:t>
      </w:r>
    </w:p>
    <w:p>
      <w:pPr>
        <w:spacing w:after="0" w:line="200" w:lineRule="exact"/>
        <w:rPr>
          <w:sz w:val="20"/>
          <w:szCs w:val="20"/>
          <w:color w:val="auto"/>
        </w:rPr>
      </w:pPr>
    </w:p>
    <w:p>
      <w:pPr>
        <w:spacing w:after="0" w:line="219" w:lineRule="exact"/>
        <w:rPr>
          <w:sz w:val="20"/>
          <w:szCs w:val="20"/>
          <w:color w:val="auto"/>
        </w:rPr>
      </w:pPr>
    </w:p>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76010Y103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478"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Filing Agreement Pursuant to Rule 13d-1</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This agreement is made pursuant to Rule 13d-l(k)(1) under the Securities Exchange Act of 1934, as amended (the "Act") by and among the parties listed below, each referenced to herein as a "Joint Filer". The Joint Filers agree that a statement of beneficial ownership as required by Sections 13(g) or 13(d) of the Act and the rules thereunder may be filed on each of his, her or its behalf on Schedule 13G or Schedule 13D, as appropriate, and that said joint filing may thereafter be amended by further joint filings. The Joint Filers state that they each satisfy the requirements for making a joint filing under Rule 13d-1(k).</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DIVISAR PARTNERS QP,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Divisar Capital Management, LLC,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/s/ Steven Baughman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Steven Baughman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DIVISAR CAPITAL MANAGEMENT,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/s/ Steven Baughman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Steven Baughman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STEVEN BAUGHMAN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/s/ Steven Baughman</w:t>
      </w:r>
    </w:p>
    <w:p>
      <w:pPr>
        <w:spacing w:after="0" w:line="200" w:lineRule="exact"/>
        <w:rPr>
          <w:sz w:val="20"/>
          <w:szCs w:val="20"/>
          <w:color w:val="auto"/>
        </w:rPr>
      </w:pPr>
    </w:p>
    <w:p>
      <w:pPr>
        <w:spacing w:after="0" w:line="219" w:lineRule="exact"/>
        <w:rPr>
          <w:sz w:val="20"/>
          <w:szCs w:val="20"/>
          <w:color w:val="auto"/>
        </w:rPr>
      </w:pPr>
    </w:p>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76010Y103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
    <w:nsid w:val="46E87CCD"/>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2024-02-14T13:01:45Z</dcterms:created>
  <dcterms:modified xsi:type="dcterms:W3CDTF">2024-02-14T13:01:45Z</dcterms:modified>
</cp:coreProperties>
</file>