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0260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02602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Thacker Siddharth</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RENT THE RUNWAY,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10 JAY STREET</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BROOKLYN</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11201</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Rent the Runway,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RENT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760" w:type="dxa"/>
            <w:vAlign w:val="bottom"/>
          </w:tcPr>
          <w:p>
            <w:pPr>
              <w:spacing w:after="0"/>
              <w:rPr>
                <w:sz w:val="3"/>
                <w:szCs w:val="3"/>
                <w:color w:val="auto"/>
              </w:rPr>
            </w:pPr>
          </w:p>
        </w:tc>
        <w:tc>
          <w:tcPr>
            <w:tcW w:w="1860" w:type="dxa"/>
            <w:vAlign w:val="bottom"/>
          </w:tcPr>
          <w:p>
            <w:pPr>
              <w:spacing w:after="0"/>
              <w:rPr>
                <w:sz w:val="3"/>
                <w:szCs w:val="3"/>
                <w:color w:val="auto"/>
              </w:rPr>
            </w:pPr>
          </w:p>
        </w:tc>
        <w:tc>
          <w:tcPr>
            <w:tcW w:w="186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760" w:type="dxa"/>
            <w:vAlign w:val="bottom"/>
            <w:tcBorders>
              <w:bottom w:val="single" w:sz="8" w:color="0000EE"/>
            </w:tcBorders>
          </w:tcPr>
          <w:p>
            <w:pPr>
              <w:spacing w:after="0"/>
              <w:rPr>
                <w:sz w:val="3"/>
                <w:szCs w:val="3"/>
                <w:color w:val="auto"/>
              </w:rPr>
            </w:pPr>
          </w:p>
        </w:tc>
        <w:tc>
          <w:tcPr>
            <w:tcW w:w="186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760" w:type="dxa"/>
            <w:vAlign w:val="bottom"/>
            <w:tcBorders>
              <w:bottom w:val="single" w:sz="8" w:color="2C2C2C"/>
            </w:tcBorders>
          </w:tcPr>
          <w:p>
            <w:pPr>
              <w:spacing w:after="0"/>
              <w:rPr>
                <w:sz w:val="6"/>
                <w:szCs w:val="6"/>
                <w:color w:val="auto"/>
              </w:rPr>
            </w:pPr>
          </w:p>
        </w:tc>
        <w:tc>
          <w:tcPr>
            <w:tcW w:w="186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13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tcPr>
          <w:p>
            <w:pPr>
              <w:ind w:left="100"/>
              <w:spacing w:after="0" w:line="125"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5"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196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02/05/2024</w:t>
            </w:r>
          </w:p>
        </w:tc>
        <w:tc>
          <w:tcPr>
            <w:tcW w:w="1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0" w:type="dxa"/>
            <w:vAlign w:val="bottom"/>
            <w:gridSpan w:val="2"/>
            <w:vMerge w:val="restart"/>
          </w:tcPr>
          <w:p>
            <w:pPr>
              <w:ind w:left="340"/>
              <w:spacing w:after="0"/>
              <w:rPr>
                <w:sz w:val="20"/>
                <w:szCs w:val="20"/>
                <w:color w:val="auto"/>
              </w:rPr>
            </w:pPr>
            <w:r>
              <w:rPr>
                <w:rFonts w:ascii="Times New Roman" w:cs="Times New Roman" w:eastAsia="Times New Roman" w:hAnsi="Times New Roman"/>
                <w:sz w:val="17"/>
                <w:szCs w:val="17"/>
                <w:color w:val="0000FF"/>
              </w:rPr>
              <w:t>Chief Financial Officer</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760" w:type="dxa"/>
            <w:vAlign w:val="bottom"/>
          </w:tcPr>
          <w:p>
            <w:pPr>
              <w:spacing w:after="0"/>
              <w:rPr>
                <w:sz w:val="6"/>
                <w:szCs w:val="6"/>
                <w:color w:val="auto"/>
              </w:rPr>
            </w:pPr>
          </w:p>
        </w:tc>
        <w:tc>
          <w:tcPr>
            <w:tcW w:w="186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760" w:type="dxa"/>
            <w:vAlign w:val="bottom"/>
            <w:tcBorders>
              <w:bottom w:val="single" w:sz="8" w:color="2C2C2C"/>
            </w:tcBorders>
          </w:tcPr>
          <w:p>
            <w:pPr>
              <w:spacing w:after="0"/>
              <w:rPr>
                <w:sz w:val="8"/>
                <w:szCs w:val="8"/>
                <w:color w:val="auto"/>
              </w:rPr>
            </w:pPr>
          </w:p>
        </w:tc>
        <w:tc>
          <w:tcPr>
            <w:tcW w:w="186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80" w:type="dxa"/>
            <w:vAlign w:val="bottom"/>
            <w:gridSpan w:val="2"/>
          </w:tcPr>
          <w:p>
            <w:pPr>
              <w:ind w:left="360"/>
              <w:spacing w:after="0"/>
              <w:rPr>
                <w:sz w:val="20"/>
                <w:szCs w:val="20"/>
                <w:color w:val="auto"/>
              </w:rPr>
            </w:pPr>
            <w:r>
              <w:rPr>
                <w:rFonts w:ascii="Arial" w:cs="Arial" w:eastAsia="Arial" w:hAnsi="Arial"/>
                <w:sz w:val="12"/>
                <w:szCs w:val="12"/>
                <w:b w:val="1"/>
                <w:bCs w:val="1"/>
                <w:color w:val="auto"/>
                <w:w w:val="98"/>
              </w:rPr>
              <w:t>2.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740" w:type="dxa"/>
            <w:vAlign w:val="bottom"/>
          </w:tcPr>
          <w:p>
            <w:pPr>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80" w:type="dxa"/>
            <w:vAlign w:val="bottom"/>
            <w:gridSpan w:val="2"/>
          </w:tcPr>
          <w:p>
            <w:pPr>
              <w:ind w:left="36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214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360"/>
              <w:spacing w:after="0" w:line="133" w:lineRule="exact"/>
              <w:rPr>
                <w:sz w:val="20"/>
                <w:szCs w:val="20"/>
                <w:color w:val="auto"/>
              </w:rPr>
            </w:pPr>
            <w:r>
              <w:rPr>
                <w:rFonts w:ascii="Arial" w:cs="Arial" w:eastAsia="Arial" w:hAnsi="Arial"/>
                <w:sz w:val="12"/>
                <w:szCs w:val="12"/>
                <w:b w:val="1"/>
                <w:bCs w:val="1"/>
                <w:color w:val="auto"/>
              </w:rPr>
              <w:t>(Month/Day/Year)  if any</w:t>
            </w: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8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940" w:type="dxa"/>
            <w:vAlign w:val="bottom"/>
            <w:tcBorders>
              <w:bottom w:val="single" w:sz="8" w:color="2C2C2C"/>
            </w:tcBorders>
            <w:gridSpan w:val="3"/>
          </w:tcPr>
          <w:p>
            <w:pPr>
              <w:ind w:left="460"/>
              <w:spacing w:after="0"/>
              <w:rPr>
                <w:sz w:val="20"/>
                <w:szCs w:val="20"/>
                <w:color w:val="auto"/>
              </w:rPr>
            </w:pPr>
            <w:r>
              <w:rPr>
                <w:rFonts w:ascii="Times New Roman" w:cs="Times New Roman" w:eastAsia="Times New Roman" w:hAnsi="Times New Roman"/>
                <w:sz w:val="17"/>
                <w:szCs w:val="17"/>
                <w:color w:val="0000FF"/>
              </w:rPr>
              <w:t>02/05/2024</w:t>
            </w:r>
          </w:p>
        </w:tc>
        <w:tc>
          <w:tcPr>
            <w:tcW w:w="6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12,022</w:t>
            </w:r>
            <w:r>
              <w:rPr>
                <w:rFonts w:ascii="Times New Roman" w:cs="Times New Roman" w:eastAsia="Times New Roman" w:hAnsi="Times New Roman"/>
                <w:sz w:val="22"/>
                <w:szCs w:val="22"/>
                <w:color w:val="008000"/>
                <w:vertAlign w:val="superscript"/>
              </w:rPr>
              <w:t>(2)</w:t>
            </w:r>
          </w:p>
        </w:tc>
        <w:tc>
          <w:tcPr>
            <w:tcW w:w="4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ind w:lef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0.4867</w:t>
            </w:r>
            <w:r>
              <w:rPr>
                <w:rFonts w:ascii="Times New Roman" w:cs="Times New Roman" w:eastAsia="Times New Roman" w:hAnsi="Times New Roman"/>
                <w:sz w:val="22"/>
                <w:szCs w:val="22"/>
                <w:color w:val="008000"/>
                <w:vertAlign w:val="superscript"/>
              </w:rPr>
              <w:t>(3)</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666,687</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240" w:type="dxa"/>
            <w:vAlign w:val="bottom"/>
            <w:tcBorders>
              <w:bottom w:val="single" w:sz="8" w:color="2C2C2C"/>
            </w:tcBorders>
            <w:gridSpan w:val="4"/>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4.</w:t>
            </w:r>
          </w:p>
        </w:tc>
        <w:tc>
          <w:tcPr>
            <w:tcW w:w="2240" w:type="dxa"/>
            <w:vAlign w:val="bottom"/>
            <w:gridSpan w:val="4"/>
          </w:tcPr>
          <w:p>
            <w:pPr>
              <w:ind w:left="80"/>
              <w:spacing w:after="0"/>
              <w:rPr>
                <w:sz w:val="20"/>
                <w:szCs w:val="20"/>
                <w:color w:val="auto"/>
              </w:rPr>
            </w:pPr>
            <w:r>
              <w:rPr>
                <w:rFonts w:ascii="Arial" w:cs="Arial" w:eastAsia="Arial" w:hAnsi="Arial"/>
                <w:sz w:val="12"/>
                <w:szCs w:val="12"/>
                <w:b w:val="1"/>
                <w:bCs w:val="1"/>
                <w:color w:val="auto"/>
              </w:rPr>
              <w:t>5. Number  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7"/>
              </w:rPr>
              <w:t>Derivative</w:t>
            </w:r>
          </w:p>
        </w:tc>
        <w:tc>
          <w:tcPr>
            <w:tcW w:w="158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7"/>
              </w:rPr>
              <w:t>Securities</w:t>
            </w: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8"/>
              </w:rPr>
              <w:t>(Instr. 3, 4</w:t>
            </w: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580" w:type="dxa"/>
            <w:vAlign w:val="bottom"/>
            <w:gridSpan w:val="2"/>
          </w:tcPr>
          <w:p>
            <w:pPr>
              <w:ind w:left="140"/>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were sold solely to cover taxes upon the vesting of restricted stock units pursuant to a standing Rule 10b5-1 instruction dated June 9, 2023.</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Reporting Person's pro rata portion of the total shares sold on the transaction date to cover taxes upon vesting of restricted stock units for certain employees of the Issuer.</w:t>
      </w:r>
    </w:p>
    <w:p>
      <w:pPr>
        <w:spacing w:after="0" w:line="50" w:lineRule="exact"/>
        <w:rPr>
          <w:rFonts w:ascii="Times New Roman" w:cs="Times New Roman" w:eastAsia="Times New Roman" w:hAnsi="Times New Roman"/>
          <w:sz w:val="13"/>
          <w:szCs w:val="13"/>
          <w:color w:val="008000"/>
        </w:rPr>
      </w:pPr>
    </w:p>
    <w:p>
      <w:pPr>
        <w:ind w:left="40" w:right="24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of all shares sold on the transaction date by the Issuer's broker to cover taxes upon the vesting of restricted stock units for certain employees of the Issuer. These shares were sold in multiple transactions at prices ranging from $0.475 to $0.4938,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ectPr>
          <w:pgSz w:w="11900" w:h="16838" w:orient="portrait"/>
          <w:cols w:equalWidth="0" w:num="1">
            <w:col w:w="11080"/>
          </w:cols>
          <w:pgMar w:left="460" w:top="219" w:right="359" w:bottom="1440" w:gutter="0" w:footer="0" w:header="0"/>
          <w:type w:val="continuous"/>
        </w:sectPr>
      </w:pP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Cara Schembri as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3258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25880" cy="8255"/>
                    </a:xfrm>
                    <a:prstGeom prst="rect">
                      <a:avLst/>
                    </a:prstGeom>
                    <a:noFill/>
                  </pic:spPr>
                </pic:pic>
              </a:graphicData>
            </a:graphic>
          </wp:anchor>
        </w:drawing>
      </w:r>
    </w:p>
    <w:p>
      <w:pPr>
        <w:spacing w:after="0" w:line="11"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in-fact for Siddharth Thacker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2858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285875" cy="8255"/>
                    </a:xfrm>
                    <a:prstGeom prst="rect">
                      <a:avLst/>
                    </a:prstGeom>
                    <a:noFill/>
                  </pic:spPr>
                </pic:pic>
              </a:graphicData>
            </a:graphic>
          </wp:anchor>
        </w:drawing>
      </w:r>
    </w:p>
    <w:p>
      <w:pPr>
        <w:spacing w:after="0" w:line="40" w:lineRule="exact"/>
        <w:rPr>
          <w:sz w:val="24"/>
          <w:szCs w:val="24"/>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3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02/07/2024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59"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4"/>
          <w:szCs w:val="24"/>
          <w:color w:val="auto"/>
        </w:rPr>
      </w:pPr>
    </w:p>
    <w:p>
      <w:pPr>
        <w:sectPr>
          <w:pgSz w:w="11900" w:h="16838" w:orient="portrait"/>
          <w:cols w:equalWidth="0" w:num="2">
            <w:col w:w="8680" w:space="100"/>
            <w:col w:w="2300"/>
          </w:cols>
          <w:pgMar w:left="460" w:top="219" w:right="35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976540" TargetMode="External"/><Relationship Id="rId13" Type="http://schemas.openxmlformats.org/officeDocument/2006/relationships/hyperlink" Target="http://www.sec.gov/cgi-bin/browse-edgar?action=getcompany&amp;CIK=000146832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2024-02-07T20:19:07Z</dcterms:created>
  <dcterms:modified xsi:type="dcterms:W3CDTF">2024-02-07T20:19:07Z</dcterms:modified>
</cp:coreProperties>
</file>