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76010Y103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79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3" w:lineRule="exact"/>
        <w:rPr>
          <w:sz w:val="24"/>
          <w:szCs w:val="24"/>
          <w:color w:val="auto"/>
        </w:rPr>
      </w:pPr>
    </w:p>
    <w:p>
      <w:pPr>
        <w:ind w:left="900" w:hanging="7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9" w:lineRule="exact"/>
        <w:rPr>
          <w:sz w:val="24"/>
          <w:szCs w:val="24"/>
          <w:color w:val="auto"/>
        </w:rPr>
      </w:pPr>
    </w:p>
    <w:p>
      <w:pPr>
        <w:ind w:left="900" w:hanging="7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76010Y103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31"/>
        </w:trPr>
        <w:tc>
          <w:tcPr>
            <w:tcW w:w="620" w:type="dxa"/>
            <w:vAlign w:val="bottom"/>
            <w:tcBorders>
              <w:top w:val="single" w:sz="8" w:color="auto"/>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1.</w:t>
            </w:r>
          </w:p>
        </w:tc>
        <w:tc>
          <w:tcPr>
            <w:tcW w:w="300" w:type="dxa"/>
            <w:vAlign w:val="bottom"/>
            <w:tcBorders>
              <w:top w:val="single" w:sz="8" w:color="auto"/>
              <w:right w:val="single" w:sz="8" w:color="auto"/>
            </w:tcBorders>
          </w:tcPr>
          <w:p>
            <w:pPr>
              <w:spacing w:after="0"/>
              <w:rPr>
                <w:sz w:val="24"/>
                <w:szCs w:val="24"/>
                <w:color w:val="auto"/>
              </w:rPr>
            </w:pPr>
          </w:p>
        </w:tc>
        <w:tc>
          <w:tcPr>
            <w:tcW w:w="52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5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89"/>
              </w:rPr>
              <w:t>Divisar Partners QP, L.P.</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w w:val="98"/>
              </w:rPr>
              <w:t>CHECK THE APPROPRIATE BOX IF A MEMBER OF A GROUP</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5"/>
              </w:rPr>
              <w:t>(SEE INSTRUCTIONS)</w:t>
            </w:r>
          </w:p>
        </w:tc>
        <w:tc>
          <w:tcPr>
            <w:tcW w:w="500" w:type="dxa"/>
            <w:vAlign w:val="bottom"/>
          </w:tcPr>
          <w:p>
            <w:pPr>
              <w:spacing w:after="0"/>
              <w:rPr>
                <w:sz w:val="20"/>
                <w:szCs w:val="20"/>
                <w:color w:val="auto"/>
              </w:rPr>
            </w:pPr>
          </w:p>
        </w:tc>
        <w:tc>
          <w:tcPr>
            <w:tcW w:w="2840" w:type="dxa"/>
            <w:vAlign w:val="bottom"/>
            <w:vMerge w:val="restart"/>
          </w:tcPr>
          <w:p>
            <w:pPr>
              <w:ind w:left="2480"/>
              <w:spacing w:after="0"/>
              <w:rPr>
                <w:sz w:val="20"/>
                <w:szCs w:val="20"/>
                <w:color w:val="auto"/>
              </w:rPr>
            </w:pPr>
            <w:r>
              <w:rPr>
                <w:rFonts w:ascii="Arial" w:cs="Arial" w:eastAsia="Arial" w:hAnsi="Arial"/>
                <w:sz w:val="18"/>
                <w:szCs w:val="18"/>
                <w:color w:val="auto"/>
              </w:rPr>
              <w:t>(a)</w:t>
            </w:r>
          </w:p>
        </w:tc>
        <w:tc>
          <w:tcPr>
            <w:tcW w:w="5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50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ind w:left="2460"/>
              <w:spacing w:after="0"/>
              <w:rPr>
                <w:sz w:val="20"/>
                <w:szCs w:val="20"/>
                <w:color w:val="auto"/>
              </w:rPr>
            </w:pPr>
            <w:r>
              <w:rPr>
                <w:rFonts w:ascii="Arial" w:cs="Arial" w:eastAsia="Arial" w:hAnsi="Arial"/>
                <w:sz w:val="18"/>
                <w:szCs w:val="18"/>
                <w:color w:val="auto"/>
              </w:rPr>
              <w:t>(b)</w:t>
            </w:r>
          </w:p>
        </w:tc>
        <w:tc>
          <w:tcPr>
            <w:tcW w:w="5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5.</w:t>
            </w:r>
          </w:p>
        </w:tc>
        <w:tc>
          <w:tcPr>
            <w:tcW w:w="28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1940" w:type="dxa"/>
            <w:vAlign w:val="bottom"/>
            <w:tcBorders>
              <w:right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5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6.</w:t>
            </w:r>
          </w:p>
        </w:tc>
        <w:tc>
          <w:tcPr>
            <w:tcW w:w="28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3,814,464 (See Note 2)</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EACH</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7.</w:t>
            </w:r>
          </w:p>
        </w:tc>
        <w:tc>
          <w:tcPr>
            <w:tcW w:w="28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w:t>
            </w: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8.</w:t>
            </w:r>
          </w:p>
        </w:tc>
        <w:tc>
          <w:tcPr>
            <w:tcW w:w="28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3,814,464 (See Note 2)</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9.</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6"/>
              </w:rPr>
              <w:t>3,814,464 (See Note 2)</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5"/>
              </w:rPr>
              <w:t>10.</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5"/>
              </w:rPr>
              <w:t>(SEE INSTRUCTIONS)</w:t>
            </w:r>
          </w:p>
        </w:tc>
        <w:tc>
          <w:tcPr>
            <w:tcW w:w="500" w:type="dxa"/>
            <w:vAlign w:val="bottom"/>
          </w:tcPr>
          <w:p>
            <w:pPr>
              <w:spacing w:after="0"/>
              <w:rPr>
                <w:sz w:val="20"/>
                <w:szCs w:val="20"/>
                <w:color w:val="auto"/>
              </w:rPr>
            </w:pPr>
          </w:p>
        </w:tc>
        <w:tc>
          <w:tcPr>
            <w:tcW w:w="2840" w:type="dxa"/>
            <w:vAlign w:val="bottom"/>
            <w:vMerge w:val="restart"/>
          </w:tcPr>
          <w:p>
            <w:pPr>
              <w:ind w:left="2680"/>
              <w:spacing w:after="0"/>
              <w:rPr>
                <w:sz w:val="20"/>
                <w:szCs w:val="20"/>
                <w:color w:val="auto"/>
              </w:rPr>
            </w:pPr>
            <w:r>
              <w:rPr>
                <w:rFonts w:ascii="Arial" w:cs="Arial" w:eastAsia="Arial" w:hAnsi="Arial"/>
                <w:sz w:val="18"/>
                <w:szCs w:val="18"/>
                <w:color w:val="auto"/>
              </w:rPr>
              <w:t>o</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w w:val="96"/>
              </w:rPr>
              <w:t>PERCENT OF CLASS REPRESENTED BY AMOUNT IN ROW (9)</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6.2% (See Note 1)</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5"/>
              </w:rPr>
              <w:t>12.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61,956,536 outstanding shares of Common Stock (as defined below) as of December 5, 2022 as represented by the Issuer in the Form 10-Q filed with the Securities and Exchange Commission on December 9, 2022.</w:t>
      </w:r>
    </w:p>
    <w:p>
      <w:pPr>
        <w:spacing w:after="0" w:line="170" w:lineRule="exact"/>
        <w:rPr>
          <w:rFonts w:ascii="Arial" w:cs="Arial" w:eastAsia="Arial" w:hAnsi="Arial"/>
          <w:sz w:val="18"/>
          <w:szCs w:val="18"/>
          <w:color w:val="auto"/>
        </w:rPr>
      </w:pPr>
    </w:p>
    <w:p>
      <w:pPr>
        <w:jc w:val="both"/>
        <w:ind w:left="340" w:right="30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13d-4 under the Securities Exchange Act of 1934, as amended, Divisar Partners QP, L.P. expressly disclaims beneficial ownership over any of the securities reported in this statement, and the filing of this statement shall not be construed as an admission that Divisar Partners QP, L.P. is the beneficial owner of any of the securities reported herein.</w:t>
      </w:r>
    </w:p>
    <w:p>
      <w:pPr>
        <w:spacing w:after="0" w:line="200" w:lineRule="exact"/>
        <w:rPr>
          <w:sz w:val="20"/>
          <w:szCs w:val="20"/>
          <w:color w:val="auto"/>
        </w:rPr>
      </w:pPr>
    </w:p>
    <w:p>
      <w:pPr>
        <w:spacing w:after="0" w:line="223" w:lineRule="exact"/>
        <w:rPr>
          <w:sz w:val="20"/>
          <w:szCs w:val="20"/>
          <w:color w:val="auto"/>
        </w:rPr>
      </w:pPr>
    </w:p>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76010Y103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431"/>
        </w:trPr>
        <w:tc>
          <w:tcPr>
            <w:tcW w:w="620" w:type="dxa"/>
            <w:vAlign w:val="bottom"/>
            <w:tcBorders>
              <w:top w:val="single" w:sz="8" w:color="auto"/>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1.</w:t>
            </w:r>
          </w:p>
        </w:tc>
        <w:tc>
          <w:tcPr>
            <w:tcW w:w="300" w:type="dxa"/>
            <w:vAlign w:val="bottom"/>
            <w:tcBorders>
              <w:top w:val="single" w:sz="8" w:color="auto"/>
              <w:right w:val="single" w:sz="8" w:color="auto"/>
            </w:tcBorders>
          </w:tcPr>
          <w:p>
            <w:pPr>
              <w:spacing w:after="0"/>
              <w:rPr>
                <w:sz w:val="24"/>
                <w:szCs w:val="24"/>
                <w:color w:val="auto"/>
              </w:rPr>
            </w:pPr>
          </w:p>
        </w:tc>
        <w:tc>
          <w:tcPr>
            <w:tcW w:w="52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50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Divisar Capital Management LLC</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w w:val="98"/>
              </w:rPr>
              <w:t>CHECK THE APPROPRIATE BOX IF A MEMBER OF A GROUP</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5"/>
              </w:rPr>
              <w:t>(SEE INSTRUCTIONS)</w:t>
            </w:r>
          </w:p>
        </w:tc>
        <w:tc>
          <w:tcPr>
            <w:tcW w:w="500" w:type="dxa"/>
            <w:vAlign w:val="bottom"/>
          </w:tcPr>
          <w:p>
            <w:pPr>
              <w:spacing w:after="0"/>
              <w:rPr>
                <w:sz w:val="20"/>
                <w:szCs w:val="20"/>
                <w:color w:val="auto"/>
              </w:rPr>
            </w:pPr>
          </w:p>
        </w:tc>
        <w:tc>
          <w:tcPr>
            <w:tcW w:w="2840" w:type="dxa"/>
            <w:vAlign w:val="bottom"/>
            <w:vMerge w:val="restart"/>
          </w:tcPr>
          <w:p>
            <w:pPr>
              <w:ind w:left="2480"/>
              <w:spacing w:after="0"/>
              <w:rPr>
                <w:sz w:val="20"/>
                <w:szCs w:val="20"/>
                <w:color w:val="auto"/>
              </w:rPr>
            </w:pPr>
            <w:r>
              <w:rPr>
                <w:rFonts w:ascii="Arial" w:cs="Arial" w:eastAsia="Arial" w:hAnsi="Arial"/>
                <w:sz w:val="18"/>
                <w:szCs w:val="18"/>
                <w:color w:val="auto"/>
              </w:rPr>
              <w:t>(a)</w:t>
            </w:r>
          </w:p>
        </w:tc>
        <w:tc>
          <w:tcPr>
            <w:tcW w:w="5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620" w:type="dxa"/>
            <w:vAlign w:val="bottom"/>
            <w:tcBorders>
              <w:lef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vMerge w:val="continue"/>
          </w:tcPr>
          <w:p>
            <w:pPr>
              <w:spacing w:after="0"/>
              <w:rPr>
                <w:sz w:val="17"/>
                <w:szCs w:val="17"/>
                <w:color w:val="auto"/>
              </w:rPr>
            </w:pPr>
          </w:p>
        </w:tc>
        <w:tc>
          <w:tcPr>
            <w:tcW w:w="50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ind w:left="2460"/>
              <w:spacing w:after="0"/>
              <w:rPr>
                <w:sz w:val="20"/>
                <w:szCs w:val="20"/>
                <w:color w:val="auto"/>
              </w:rPr>
            </w:pPr>
            <w:r>
              <w:rPr>
                <w:rFonts w:ascii="Arial" w:cs="Arial" w:eastAsia="Arial" w:hAnsi="Arial"/>
                <w:sz w:val="18"/>
                <w:szCs w:val="18"/>
                <w:color w:val="auto"/>
              </w:rPr>
              <w:t>(b)</w:t>
            </w:r>
          </w:p>
        </w:tc>
        <w:tc>
          <w:tcPr>
            <w:tcW w:w="5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3.</w:t>
            </w:r>
          </w:p>
        </w:tc>
        <w:tc>
          <w:tcPr>
            <w:tcW w:w="300" w:type="dxa"/>
            <w:vAlign w:val="bottom"/>
            <w:tcBorders>
              <w:right w:val="single" w:sz="8" w:color="auto"/>
            </w:tcBorders>
          </w:tcPr>
          <w:p>
            <w:pPr>
              <w:spacing w:after="0"/>
              <w:rPr>
                <w:sz w:val="24"/>
                <w:szCs w:val="24"/>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5260" w:type="dxa"/>
            <w:vAlign w:val="bottom"/>
            <w:tcBorders>
              <w:bottom w:val="single" w:sz="8" w:color="auto"/>
            </w:tcBorders>
            <w:gridSpan w:val="4"/>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4.</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5.</w:t>
            </w:r>
          </w:p>
        </w:tc>
        <w:tc>
          <w:tcPr>
            <w:tcW w:w="284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0</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20" w:type="dxa"/>
            <w:vAlign w:val="bottom"/>
            <w:tcBorders>
              <w:left w:val="single" w:sz="8" w:color="auto"/>
            </w:tcBorders>
          </w:tcPr>
          <w:p>
            <w:pPr>
              <w:spacing w:after="0"/>
              <w:rPr>
                <w:sz w:val="15"/>
                <w:szCs w:val="15"/>
                <w:color w:val="auto"/>
              </w:rPr>
            </w:pPr>
          </w:p>
        </w:tc>
        <w:tc>
          <w:tcPr>
            <w:tcW w:w="1940" w:type="dxa"/>
            <w:vAlign w:val="bottom"/>
            <w:tcBorders>
              <w:right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5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6.</w:t>
            </w:r>
          </w:p>
        </w:tc>
        <w:tc>
          <w:tcPr>
            <w:tcW w:w="28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4,096,103</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7"/>
              </w:rPr>
              <w:t>OWNED BY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EACH</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Borders>
              <w:lef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5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94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7.</w:t>
            </w:r>
          </w:p>
        </w:tc>
        <w:tc>
          <w:tcPr>
            <w:tcW w:w="28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0</w:t>
            </w: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WITH</w:t>
            </w: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w w:val="92"/>
              </w:rPr>
              <w:t>8.</w:t>
            </w:r>
          </w:p>
        </w:tc>
        <w:tc>
          <w:tcPr>
            <w:tcW w:w="28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4,096,103</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9.</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rPr>
              <w:t>4,096,103</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790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5"/>
              </w:rPr>
              <w:t>10.</w:t>
            </w:r>
          </w:p>
        </w:tc>
        <w:tc>
          <w:tcPr>
            <w:tcW w:w="300" w:type="dxa"/>
            <w:vAlign w:val="bottom"/>
            <w:tcBorders>
              <w:right w:val="single" w:sz="8" w:color="auto"/>
            </w:tcBorders>
          </w:tcPr>
          <w:p>
            <w:pPr>
              <w:spacing w:after="0"/>
              <w:rPr>
                <w:sz w:val="24"/>
                <w:szCs w:val="24"/>
                <w:color w:val="auto"/>
              </w:rPr>
            </w:pP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5"/>
              </w:rPr>
              <w:t>(SEE INSTRUCTIONS)</w:t>
            </w:r>
          </w:p>
        </w:tc>
        <w:tc>
          <w:tcPr>
            <w:tcW w:w="500" w:type="dxa"/>
            <w:vAlign w:val="bottom"/>
          </w:tcPr>
          <w:p>
            <w:pPr>
              <w:spacing w:after="0"/>
              <w:rPr>
                <w:sz w:val="20"/>
                <w:szCs w:val="20"/>
                <w:color w:val="auto"/>
              </w:rPr>
            </w:pPr>
          </w:p>
        </w:tc>
        <w:tc>
          <w:tcPr>
            <w:tcW w:w="2840" w:type="dxa"/>
            <w:vAlign w:val="bottom"/>
            <w:vMerge w:val="restart"/>
          </w:tcPr>
          <w:p>
            <w:pPr>
              <w:ind w:left="2680"/>
              <w:spacing w:after="0"/>
              <w:rPr>
                <w:sz w:val="20"/>
                <w:szCs w:val="20"/>
                <w:color w:val="auto"/>
              </w:rPr>
            </w:pPr>
            <w:r>
              <w:rPr>
                <w:rFonts w:ascii="Arial" w:cs="Arial" w:eastAsia="Arial" w:hAnsi="Arial"/>
                <w:sz w:val="18"/>
                <w:szCs w:val="18"/>
                <w:color w:val="auto"/>
              </w:rPr>
              <w:t>o</w:t>
            </w: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79"/>
              </w:rPr>
              <w:t>11.</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w w:val="96"/>
              </w:rPr>
              <w:t>PERCENT OF CLASS REPRESENTED BY AMOUNT IN ROW (9)</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6.6% (See Note 3)</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20" w:type="dxa"/>
            <w:vAlign w:val="bottom"/>
            <w:tcBorders>
              <w:left w:val="single" w:sz="8" w:color="auto"/>
            </w:tcBorders>
          </w:tcPr>
          <w:p>
            <w:pPr>
              <w:jc w:val="center"/>
              <w:ind w:left="210"/>
              <w:spacing w:after="0"/>
              <w:rPr>
                <w:sz w:val="20"/>
                <w:szCs w:val="20"/>
                <w:color w:val="auto"/>
              </w:rPr>
            </w:pPr>
            <w:r>
              <w:rPr>
                <w:rFonts w:ascii="Arial" w:cs="Arial" w:eastAsia="Arial" w:hAnsi="Arial"/>
                <w:sz w:val="18"/>
                <w:szCs w:val="18"/>
                <w:color w:val="auto"/>
                <w:w w:val="95"/>
              </w:rPr>
              <w:t>12.</w:t>
            </w:r>
          </w:p>
        </w:tc>
        <w:tc>
          <w:tcPr>
            <w:tcW w:w="300" w:type="dxa"/>
            <w:vAlign w:val="bottom"/>
            <w:tcBorders>
              <w:right w:val="single" w:sz="8" w:color="auto"/>
            </w:tcBorders>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IA, OO, HC</w:t>
            </w: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50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40" w:type="dxa"/>
            <w:vAlign w:val="bottom"/>
            <w:gridSpan w:val="4"/>
          </w:tcPr>
          <w:p>
            <w:pPr>
              <w:spacing w:after="0"/>
              <w:rPr>
                <w:sz w:val="20"/>
                <w:szCs w:val="20"/>
                <w:color w:val="auto"/>
              </w:rPr>
            </w:pPr>
            <w:r>
              <w:rPr>
                <w:rFonts w:ascii="Arial" w:cs="Arial" w:eastAsia="Arial" w:hAnsi="Arial"/>
                <w:sz w:val="18"/>
                <w:szCs w:val="18"/>
                <w:color w:val="auto"/>
              </w:rPr>
              <w:t>(3) See Note (1) Above</w:t>
            </w: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CUSIP No. 76010Y103</w:t>
            </w:r>
          </w:p>
        </w:tc>
        <w:tc>
          <w:tcPr>
            <w:tcW w:w="5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2040"/>
              <w:spacing w:after="0"/>
              <w:rPr>
                <w:sz w:val="20"/>
                <w:szCs w:val="20"/>
                <w:color w:val="auto"/>
              </w:rPr>
            </w:pPr>
            <w:r>
              <w:rPr>
                <w:rFonts w:ascii="Arial" w:cs="Arial" w:eastAsia="Arial" w:hAnsi="Arial"/>
                <w:sz w:val="18"/>
                <w:szCs w:val="18"/>
                <w:b w:val="1"/>
                <w:bCs w:val="1"/>
                <w:color w:val="auto"/>
              </w:rPr>
              <w:t>13G/A</w:t>
            </w:r>
          </w:p>
        </w:tc>
        <w:tc>
          <w:tcPr>
            <w:tcW w:w="5060" w:type="dxa"/>
            <w:vAlign w:val="bottom"/>
            <w:tcBorders>
              <w:bottom w:val="single" w:sz="8" w:color="auto"/>
            </w:tcBorders>
          </w:tcPr>
          <w:p>
            <w:pPr>
              <w:ind w:left="3740"/>
              <w:spacing w:after="0"/>
              <w:rPr>
                <w:sz w:val="20"/>
                <w:szCs w:val="20"/>
                <w:color w:val="auto"/>
              </w:rPr>
            </w:pPr>
            <w:r>
              <w:rPr>
                <w:rFonts w:ascii="Arial" w:cs="Arial" w:eastAsia="Arial" w:hAnsi="Arial"/>
                <w:sz w:val="18"/>
                <w:szCs w:val="18"/>
                <w:b w:val="1"/>
                <w:bCs w:val="1"/>
                <w:color w:val="auto"/>
                <w:w w:val="83"/>
              </w:rPr>
              <w:t>Page 3 of 7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w w:val="94"/>
              </w:rPr>
              <w:t>NAME OF REPORTING PERSONS</w:t>
            </w:r>
          </w:p>
        </w:tc>
        <w:tc>
          <w:tcPr>
            <w:tcW w:w="52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Steven Baughman</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9"/>
              </w:rPr>
              <w:t>CHECK THE APPROPRIATE BOX IF A MEMBER OF A GROUP</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560"/>
              <w:spacing w:after="0"/>
              <w:rPr>
                <w:sz w:val="20"/>
                <w:szCs w:val="20"/>
                <w:color w:val="auto"/>
              </w:rPr>
            </w:pPr>
            <w:r>
              <w:rPr>
                <w:rFonts w:ascii="Arial" w:cs="Arial" w:eastAsia="Arial" w:hAnsi="Arial"/>
                <w:sz w:val="18"/>
                <w:szCs w:val="18"/>
                <w:color w:val="auto"/>
              </w:rPr>
              <w:t>(a)</w:t>
            </w:r>
          </w:p>
        </w:tc>
        <w:tc>
          <w:tcPr>
            <w:tcW w:w="5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5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ind w:left="1540"/>
              <w:spacing w:after="0"/>
              <w:rPr>
                <w:sz w:val="20"/>
                <w:szCs w:val="20"/>
                <w:color w:val="auto"/>
              </w:rPr>
            </w:pPr>
            <w:r>
              <w:rPr>
                <w:rFonts w:ascii="Arial" w:cs="Arial" w:eastAsia="Arial" w:hAnsi="Arial"/>
                <w:sz w:val="18"/>
                <w:szCs w:val="18"/>
                <w:color w:val="auto"/>
              </w:rPr>
              <w:t>(b)</w:t>
            </w:r>
          </w:p>
        </w:tc>
        <w:tc>
          <w:tcPr>
            <w:tcW w:w="50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5300" w:type="dxa"/>
            <w:vAlign w:val="bottom"/>
            <w:tcBorders>
              <w:bottom w:val="single" w:sz="8" w:color="auto"/>
            </w:tcBorders>
            <w:gridSpan w:val="4"/>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United States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1960" w:type="dxa"/>
            <w:vAlign w:val="bottom"/>
          </w:tcPr>
          <w:p>
            <w:pPr>
              <w:ind w:left="100"/>
              <w:spacing w:after="0"/>
              <w:rPr>
                <w:sz w:val="20"/>
                <w:szCs w:val="20"/>
                <w:color w:val="auto"/>
              </w:rPr>
            </w:pPr>
            <w:r>
              <w:rPr>
                <w:rFonts w:ascii="Arial" w:cs="Arial" w:eastAsia="Arial" w:hAnsi="Arial"/>
                <w:sz w:val="18"/>
                <w:szCs w:val="18"/>
                <w:color w:val="auto"/>
                <w:w w:val="94"/>
              </w:rPr>
              <w:t>SOLE VOTING POWER</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6"/>
              </w:rPr>
              <w:t>NUMBER OF</w:t>
            </w: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920" w:type="dxa"/>
            <w:vAlign w:val="bottom"/>
            <w:tcBorders>
              <w:left w:val="single" w:sz="8" w:color="auto"/>
            </w:tcBorders>
          </w:tcPr>
          <w:p>
            <w:pPr>
              <w:spacing w:after="0"/>
              <w:rPr>
                <w:sz w:val="15"/>
                <w:szCs w:val="15"/>
                <w:color w:val="auto"/>
              </w:rPr>
            </w:pPr>
          </w:p>
        </w:tc>
        <w:tc>
          <w:tcPr>
            <w:tcW w:w="256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1960" w:type="dxa"/>
            <w:vAlign w:val="bottom"/>
          </w:tcPr>
          <w:p>
            <w:pPr>
              <w:spacing w:after="0"/>
              <w:rPr>
                <w:sz w:val="15"/>
                <w:szCs w:val="15"/>
                <w:color w:val="auto"/>
              </w:rPr>
            </w:pPr>
          </w:p>
        </w:tc>
        <w:tc>
          <w:tcPr>
            <w:tcW w:w="5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6.</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4,096,103</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7"/>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5"/>
              </w:rPr>
              <w:t>EACH</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5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92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960" w:type="dxa"/>
            <w:vAlign w:val="bottom"/>
          </w:tcPr>
          <w:p>
            <w:pPr>
              <w:spacing w:after="0"/>
              <w:rPr>
                <w:sz w:val="14"/>
                <w:szCs w:val="14"/>
                <w:color w:val="auto"/>
              </w:rPr>
            </w:pPr>
          </w:p>
        </w:tc>
        <w:tc>
          <w:tcPr>
            <w:tcW w:w="5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0</w:t>
            </w: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jc w:val="center"/>
              <w:ind w:right="830"/>
              <w:spacing w:after="0"/>
              <w:rPr>
                <w:sz w:val="20"/>
                <w:szCs w:val="20"/>
                <w:color w:val="auto"/>
              </w:rPr>
            </w:pPr>
            <w:r>
              <w:rPr>
                <w:rFonts w:ascii="Arial" w:cs="Arial" w:eastAsia="Arial" w:hAnsi="Arial"/>
                <w:sz w:val="18"/>
                <w:szCs w:val="18"/>
                <w:color w:val="auto"/>
              </w:rPr>
              <w:t>WITH</w:t>
            </w: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2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69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8.</w:t>
            </w:r>
          </w:p>
        </w:tc>
        <w:tc>
          <w:tcPr>
            <w:tcW w:w="69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tcBorders>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1960" w:type="dxa"/>
            <w:vAlign w:val="bottom"/>
          </w:tcPr>
          <w:p>
            <w:pPr>
              <w:ind w:left="100"/>
              <w:spacing w:after="0"/>
              <w:rPr>
                <w:sz w:val="20"/>
                <w:szCs w:val="20"/>
                <w:color w:val="auto"/>
              </w:rPr>
            </w:pPr>
            <w:r>
              <w:rPr>
                <w:rFonts w:ascii="Arial" w:cs="Arial" w:eastAsia="Arial" w:hAnsi="Arial"/>
                <w:sz w:val="18"/>
                <w:szCs w:val="18"/>
                <w:color w:val="auto"/>
              </w:rPr>
              <w:t>4,096,103</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4,096,103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698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03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0"/>
                <w:szCs w:val="20"/>
                <w:color w:val="auto"/>
              </w:rPr>
            </w:pPr>
          </w:p>
        </w:tc>
        <w:tc>
          <w:tcPr>
            <w:tcW w:w="1960" w:type="dxa"/>
            <w:vAlign w:val="bottom"/>
            <w:vMerge w:val="restart"/>
          </w:tcPr>
          <w:p>
            <w:pPr>
              <w:ind w:left="1760"/>
              <w:spacing w:after="0"/>
              <w:rPr>
                <w:sz w:val="20"/>
                <w:szCs w:val="20"/>
                <w:color w:val="auto"/>
              </w:rPr>
            </w:pPr>
            <w:r>
              <w:rPr>
                <w:rFonts w:ascii="Arial" w:cs="Arial" w:eastAsia="Arial" w:hAnsi="Arial"/>
                <w:sz w:val="18"/>
                <w:szCs w:val="18"/>
                <w:color w:val="auto"/>
              </w:rPr>
              <w:t>o</w:t>
            </w: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right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w w:val="97"/>
              </w:rPr>
              <w:t>PERCENT OF CLASS REPRESENTED BY AMOUNT IN ROW (9)</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6.6% (See Note 4)</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12.</w:t>
            </w:r>
          </w:p>
        </w:tc>
        <w:tc>
          <w:tcPr>
            <w:tcW w:w="53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Borders>
              <w:left w:val="single" w:sz="8" w:color="auto"/>
              <w:right w:val="single" w:sz="8" w:color="auto"/>
            </w:tcBorders>
          </w:tcPr>
          <w:p>
            <w:pPr>
              <w:spacing w:after="0"/>
              <w:rPr>
                <w:sz w:val="20"/>
                <w:szCs w:val="20"/>
                <w:color w:val="auto"/>
              </w:rPr>
            </w:pPr>
          </w:p>
        </w:tc>
        <w:tc>
          <w:tcPr>
            <w:tcW w:w="2820" w:type="dxa"/>
            <w:vAlign w:val="bottom"/>
            <w:gridSpan w:val="2"/>
          </w:tcPr>
          <w:p>
            <w:pPr>
              <w:ind w:left="100"/>
              <w:spacing w:after="0"/>
              <w:rPr>
                <w:sz w:val="20"/>
                <w:szCs w:val="20"/>
                <w:color w:val="auto"/>
              </w:rPr>
            </w:pPr>
            <w:r>
              <w:rPr>
                <w:rFonts w:ascii="Arial" w:cs="Arial" w:eastAsia="Arial" w:hAnsi="Arial"/>
                <w:sz w:val="18"/>
                <w:szCs w:val="18"/>
                <w:color w:val="auto"/>
              </w:rPr>
              <w:t>IN, HC</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Borders>
              <w:left w:val="single" w:sz="8" w:color="auto"/>
              <w:bottom w:val="single" w:sz="8" w:color="auto"/>
              <w:right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740" w:type="dxa"/>
            <w:vAlign w:val="bottom"/>
            <w:gridSpan w:val="3"/>
          </w:tcPr>
          <w:p>
            <w:pPr>
              <w:spacing w:after="0"/>
              <w:rPr>
                <w:sz w:val="20"/>
                <w:szCs w:val="20"/>
                <w:color w:val="auto"/>
              </w:rPr>
            </w:pPr>
            <w:r>
              <w:rPr>
                <w:rFonts w:ascii="Arial" w:cs="Arial" w:eastAsia="Arial" w:hAnsi="Arial"/>
                <w:sz w:val="18"/>
                <w:szCs w:val="18"/>
                <w:color w:val="auto"/>
              </w:rPr>
              <w:t>(4) See Note (1) Above</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CUSIP No. 76010Y103</w:t>
            </w:r>
          </w:p>
        </w:tc>
        <w:tc>
          <w:tcPr>
            <w:tcW w:w="5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13G/A</w:t>
            </w:r>
          </w:p>
        </w:tc>
        <w:tc>
          <w:tcPr>
            <w:tcW w:w="5020" w:type="dxa"/>
            <w:vAlign w:val="bottom"/>
            <w:tcBorders>
              <w:bottom w:val="single" w:sz="8" w:color="auto"/>
            </w:tcBorders>
          </w:tcPr>
          <w:p>
            <w:pPr>
              <w:ind w:left="3700"/>
              <w:spacing w:after="0"/>
              <w:rPr>
                <w:sz w:val="20"/>
                <w:szCs w:val="20"/>
                <w:color w:val="auto"/>
              </w:rPr>
            </w:pPr>
            <w:r>
              <w:rPr>
                <w:rFonts w:ascii="Arial" w:cs="Arial" w:eastAsia="Arial" w:hAnsi="Arial"/>
                <w:sz w:val="18"/>
                <w:szCs w:val="18"/>
                <w:b w:val="1"/>
                <w:bCs w:val="1"/>
                <w:color w:val="auto"/>
                <w:w w:val="83"/>
              </w:rPr>
              <w:t>Page 4 of 7 Pages</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AMENDMENT NO. 1 TO SCHEDULE 13G</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Reference is hereby made to the statement on Schedule 13G filed with the Securities and Exchange Commission by the Reporting Persons with respect to the Common Stock of the Issuer on December 2, 2022. Terms defined in the Schedule 13G are used herein as so defined.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the Schedule 13G are amended and restated to read in their entirety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940" w:type="dxa"/>
            <w:vAlign w:val="bottom"/>
            <w:gridSpan w:val="4"/>
          </w:tcPr>
          <w:p>
            <w:pPr>
              <w:ind w:left="380"/>
              <w:spacing w:after="0"/>
              <w:rPr>
                <w:sz w:val="20"/>
                <w:szCs w:val="20"/>
                <w:color w:val="auto"/>
              </w:rPr>
            </w:pPr>
            <w:r>
              <w:rPr>
                <w:rFonts w:ascii="Arial" w:cs="Arial" w:eastAsia="Arial" w:hAnsi="Arial"/>
                <w:sz w:val="18"/>
                <w:szCs w:val="18"/>
                <w:b w:val="1"/>
                <w:bCs w:val="1"/>
                <w:color w:val="auto"/>
                <w:w w:val="90"/>
              </w:rPr>
              <w:t>If this statement is filed pursuant to §§ 240.13d-1(b), or 240.13d-2(b) or (c), check whether the person filing is a:</w:t>
            </w:r>
          </w:p>
        </w:tc>
      </w:tr>
      <w:tr>
        <w:trPr>
          <w:trHeight w:val="432"/>
        </w:trPr>
        <w:tc>
          <w:tcPr>
            <w:tcW w:w="920" w:type="dxa"/>
            <w:vAlign w:val="bottom"/>
          </w:tcPr>
          <w:p>
            <w:pPr>
              <w:spacing w:after="0"/>
              <w:rPr>
                <w:sz w:val="24"/>
                <w:szCs w:val="24"/>
                <w:color w:val="auto"/>
              </w:rPr>
            </w:pPr>
          </w:p>
        </w:tc>
        <w:tc>
          <w:tcPr>
            <w:tcW w:w="8940" w:type="dxa"/>
            <w:vAlign w:val="bottom"/>
            <w:gridSpan w:val="4"/>
          </w:tcPr>
          <w:p>
            <w:pPr>
              <w:ind w:left="380"/>
              <w:spacing w:after="0"/>
              <w:rPr>
                <w:sz w:val="20"/>
                <w:szCs w:val="20"/>
                <w:color w:val="auto"/>
              </w:rPr>
            </w:pPr>
            <w:r>
              <w:rPr>
                <w:rFonts w:ascii="Arial" w:cs="Arial" w:eastAsia="Arial" w:hAnsi="Arial"/>
                <w:sz w:val="18"/>
                <w:szCs w:val="18"/>
                <w:color w:val="auto"/>
              </w:rPr>
              <w:t>Not Applicable</w:t>
            </w: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300" w:type="dxa"/>
            <w:vAlign w:val="bottom"/>
            <w:gridSpan w:val="3"/>
          </w:tcPr>
          <w:p>
            <w:pPr>
              <w:ind w:left="380"/>
              <w:spacing w:after="0"/>
              <w:rPr>
                <w:sz w:val="20"/>
                <w:szCs w:val="20"/>
                <w:color w:val="auto"/>
              </w:rPr>
            </w:pPr>
            <w:r>
              <w:rPr>
                <w:rFonts w:ascii="Arial" w:cs="Arial" w:eastAsia="Arial" w:hAnsi="Arial"/>
                <w:sz w:val="18"/>
                <w:szCs w:val="18"/>
                <w:b w:val="1"/>
                <w:bCs w:val="1"/>
                <w:color w:val="auto"/>
                <w:w w:val="96"/>
              </w:rPr>
              <w:t>Ownership</w:t>
            </w:r>
          </w:p>
        </w:tc>
        <w:tc>
          <w:tcPr>
            <w:tcW w:w="76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(i)</w:t>
            </w: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Divisar Partners QP, LP</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(a)</w:t>
            </w: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Amount beneficially owned: 3,814,464 (See Note 5)</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(b)</w:t>
            </w: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Percent of class: 6.2% (See Note 6)</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(c)</w:t>
            </w: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Number of shares as to which the person has:</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(i)</w:t>
            </w:r>
          </w:p>
        </w:tc>
        <w:tc>
          <w:tcPr>
            <w:tcW w:w="7640" w:type="dxa"/>
            <w:vAlign w:val="bottom"/>
          </w:tcPr>
          <w:p>
            <w:pPr>
              <w:ind w:left="6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(ii)</w:t>
            </w:r>
          </w:p>
        </w:tc>
        <w:tc>
          <w:tcPr>
            <w:tcW w:w="7640" w:type="dxa"/>
            <w:vAlign w:val="bottom"/>
          </w:tcPr>
          <w:p>
            <w:pPr>
              <w:ind w:left="60"/>
              <w:spacing w:after="0"/>
              <w:rPr>
                <w:sz w:val="20"/>
                <w:szCs w:val="20"/>
                <w:color w:val="auto"/>
              </w:rPr>
            </w:pPr>
            <w:r>
              <w:rPr>
                <w:rFonts w:ascii="Arial" w:cs="Arial" w:eastAsia="Arial" w:hAnsi="Arial"/>
                <w:sz w:val="18"/>
                <w:szCs w:val="18"/>
                <w:color w:val="auto"/>
              </w:rPr>
              <w:t>Shared power to vote or to direct the vote: 3,814,464 (See Note 5)</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(iii) Sole power to dispose or to direct the disposition of: 0</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(iv) Shared power to dispose or to direct the disposition of: 3,814,464 (See Note 5)</w:t>
            </w:r>
          </w:p>
        </w:tc>
      </w:tr>
      <w:tr>
        <w:trPr>
          <w:trHeight w:val="432"/>
        </w:trPr>
        <w:tc>
          <w:tcPr>
            <w:tcW w:w="9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(ii)</w:t>
            </w:r>
          </w:p>
        </w:tc>
        <w:tc>
          <w:tcPr>
            <w:tcW w:w="8280" w:type="dxa"/>
            <w:vAlign w:val="bottom"/>
            <w:gridSpan w:val="3"/>
          </w:tcPr>
          <w:p>
            <w:pPr>
              <w:ind w:left="40"/>
              <w:spacing w:after="0"/>
              <w:rPr>
                <w:sz w:val="20"/>
                <w:szCs w:val="20"/>
                <w:color w:val="auto"/>
              </w:rPr>
            </w:pPr>
            <w:r>
              <w:rPr>
                <w:rFonts w:ascii="Arial" w:cs="Arial" w:eastAsia="Arial" w:hAnsi="Arial"/>
                <w:sz w:val="18"/>
                <w:szCs w:val="18"/>
                <w:color w:val="auto"/>
              </w:rPr>
              <w:t>Divisar Capital Management, LLC</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(a)</w:t>
            </w: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Amount beneficially owned: 4,096,103 (See Note 5)</w:t>
            </w:r>
          </w:p>
        </w:tc>
      </w:tr>
      <w:tr>
        <w:trPr>
          <w:trHeight w:val="432"/>
        </w:trPr>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(b)</w:t>
            </w:r>
          </w:p>
        </w:tc>
        <w:tc>
          <w:tcPr>
            <w:tcW w:w="7960" w:type="dxa"/>
            <w:vAlign w:val="bottom"/>
            <w:gridSpan w:val="2"/>
          </w:tcPr>
          <w:p>
            <w:pPr>
              <w:ind w:left="60"/>
              <w:spacing w:after="0"/>
              <w:rPr>
                <w:sz w:val="20"/>
                <w:szCs w:val="20"/>
                <w:color w:val="auto"/>
              </w:rPr>
            </w:pPr>
            <w:r>
              <w:rPr>
                <w:rFonts w:ascii="Arial" w:cs="Arial" w:eastAsia="Arial" w:hAnsi="Arial"/>
                <w:sz w:val="18"/>
                <w:szCs w:val="18"/>
                <w:color w:val="auto"/>
              </w:rPr>
              <w:t>Percent of class: 6.6% (See Note 6)</w:t>
            </w:r>
          </w:p>
        </w:tc>
      </w:tr>
    </w:tbl>
    <w:p>
      <w:pPr>
        <w:spacing w:after="0" w:line="202" w:lineRule="exact"/>
        <w:rPr>
          <w:sz w:val="20"/>
          <w:szCs w:val="20"/>
          <w:color w:val="auto"/>
        </w:rPr>
      </w:pPr>
    </w:p>
    <w:p>
      <w:pPr>
        <w:ind w:left="1960" w:hanging="332"/>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4,096,103 (See Note 5)</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4,096,103 (See Note 5)</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Steven Baughman</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beneficially owned: 4,096,103 (See Note 5)</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6.6% (See Note 6)</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4,096,103 (See Note 5)</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80" w:hanging="328"/>
        <w:spacing w:after="0"/>
        <w:tabs>
          <w:tab w:leader="none" w:pos="22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4,096,103 (See Note 5)</w:t>
      </w:r>
    </w:p>
    <w:p>
      <w:pPr>
        <w:spacing w:after="0" w:line="221" w:lineRule="exact"/>
        <w:rPr>
          <w:sz w:val="20"/>
          <w:szCs w:val="20"/>
          <w:color w:val="auto"/>
        </w:rPr>
      </w:pPr>
    </w:p>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76010Y103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Note 5:</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Divisar Capital Management, LLC is an investment advisor that is registered under the Investment Advisors Act of 1940. Divisar Capital Management LLC, which serves as the general partner and investment manager to each of Divisar Partners QP, L.P. and Divisar Partners, L.P., (collectively "the Funds"), may be deemed to be the beneficial owner of all shares of Common Stock held by the Funds. Mr. Steven Baughman, as CEO of Divisar Capital Management LLC, with the power to exercise investment and voting discretion, may be deemed to be the beneficial owner of all shares of Common Stock held by the Funds. Pursuant to Rule 13d-4 under the Securities Exchange Act of 1934, as amended, each of the Funds expressly disclaims beneficial ownership over any of the securities reported in this statement, and the filing of this statement shall not be construed as an admission that either of the Funds are the beneficial owner of any of the securities reported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Note 6:</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61,956,536 outstanding shares of Common Stock as of December 5, 2022 as represented by the Issuer in the Form 10-Q filed with the Securities and Exchange Commission on December 9, 2022.</w:t>
      </w:r>
    </w:p>
    <w:p>
      <w:pPr>
        <w:sectPr>
          <w:pgSz w:w="11900" w:h="16838" w:orient="portrait"/>
          <w:cols w:equalWidth="0" w:num="1">
            <w:col w:w="11240"/>
          </w:cols>
          <w:pgMar w:left="320" w:top="692" w:right="339" w:bottom="474" w:gutter="0" w:footer="0" w:header="0"/>
        </w:sect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211" w:lineRule="exact"/>
        <w:rPr>
          <w:sz w:val="20"/>
          <w:szCs w:val="20"/>
          <w:color w:val="auto"/>
        </w:rPr>
      </w:pPr>
    </w:p>
    <w:p>
      <w:pPr>
        <w:sectPr>
          <w:pgSz w:w="11900" w:h="16838" w:orient="portrait"/>
          <w:cols w:equalWidth="0" w:num="2">
            <w:col w:w="1540" w:space="720"/>
            <w:col w:w="8980"/>
          </w:cols>
          <w:pgMar w:left="320" w:top="692" w:right="339" w:bottom="474"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692" w:right="339" w:bottom="474"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211" w:lineRule="exact"/>
        <w:rPr>
          <w:sz w:val="20"/>
          <w:szCs w:val="20"/>
          <w:color w:val="auto"/>
        </w:rPr>
      </w:pPr>
    </w:p>
    <w:p>
      <w:pPr>
        <w:sectPr>
          <w:pgSz w:w="11900" w:h="16838" w:orient="portrait"/>
          <w:cols w:equalWidth="0" w:num="2">
            <w:col w:w="1540" w:space="720"/>
            <w:col w:w="8980"/>
          </w:cols>
          <w:pgMar w:left="320" w:top="692" w:right="339" w:bottom="474" w:gutter="0" w:footer="0" w:header="0"/>
          <w:type w:val="continuous"/>
        </w:sectPr>
      </w:pPr>
    </w:p>
    <w:p>
      <w:pPr>
        <w:spacing w:after="0" w:line="41" w:lineRule="exact"/>
        <w:rPr>
          <w:sz w:val="20"/>
          <w:szCs w:val="20"/>
          <w:color w:val="auto"/>
        </w:rPr>
      </w:pPr>
    </w:p>
    <w:p>
      <w:pPr>
        <w:ind w:left="2260" w:right="160"/>
        <w:spacing w:after="0" w:line="277" w:lineRule="auto"/>
        <w:rPr>
          <w:sz w:val="20"/>
          <w:szCs w:val="20"/>
          <w:color w:val="auto"/>
        </w:rPr>
      </w:pPr>
      <w:r>
        <w:rPr>
          <w:rFonts w:ascii="Arial" w:cs="Arial" w:eastAsia="Arial" w:hAnsi="Arial"/>
          <w:sz w:val="18"/>
          <w:szCs w:val="18"/>
          <w:color w:val="auto"/>
        </w:rPr>
        <w:t>See Note 5 above. The Funds have the right to receive or the power to direct the receipt of dividends from, or the proceeds from the sale of, the shares of Common Stock covered by this Statement.</w:t>
      </w:r>
    </w:p>
    <w:p>
      <w:pPr>
        <w:sectPr>
          <w:pgSz w:w="11900" w:h="16838" w:orient="portrait"/>
          <w:cols w:equalWidth="0" w:num="1">
            <w:col w:w="11240"/>
          </w:cols>
          <w:pgMar w:left="320" w:top="692" w:right="339" w:bottom="474"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ectPr>
          <w:pgSz w:w="11900" w:h="16838" w:orient="portrait"/>
          <w:cols w:equalWidth="0" w:num="2">
            <w:col w:w="1540" w:space="720"/>
            <w:col w:w="8980"/>
          </w:cols>
          <w:pgMar w:left="320" w:top="692" w:right="339" w:bottom="474" w:gutter="0" w:footer="0" w:header="0"/>
          <w:type w:val="continuous"/>
        </w:sectPr>
      </w:pPr>
    </w:p>
    <w:p>
      <w:pPr>
        <w:ind w:left="2260"/>
        <w:spacing w:after="0"/>
        <w:rPr>
          <w:sz w:val="20"/>
          <w:szCs w:val="20"/>
          <w:color w:val="auto"/>
        </w:rPr>
      </w:pPr>
      <w:r>
        <w:rPr>
          <w:rFonts w:ascii="Arial" w:cs="Arial" w:eastAsia="Arial" w:hAnsi="Arial"/>
          <w:sz w:val="15"/>
          <w:szCs w:val="15"/>
          <w:color w:val="auto"/>
        </w:rPr>
        <w:t>See Note 5 above</w:t>
      </w:r>
    </w:p>
    <w:p>
      <w:pPr>
        <w:sectPr>
          <w:pgSz w:w="11900" w:h="16838" w:orient="portrait"/>
          <w:cols w:equalWidth="0" w:num="1">
            <w:col w:w="11240"/>
          </w:cols>
          <w:pgMar w:left="320" w:top="692" w:right="339" w:bottom="474" w:gutter="0" w:footer="0" w:header="0"/>
          <w:type w:val="continuous"/>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sectPr>
          <w:pgSz w:w="11900" w:h="16838" w:orient="portrait"/>
          <w:cols w:equalWidth="0" w:num="2">
            <w:col w:w="1540" w:space="720"/>
            <w:col w:w="8980"/>
          </w:cols>
          <w:pgMar w:left="320" w:top="692" w:right="339" w:bottom="474"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692" w:right="339" w:bottom="474"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211" w:lineRule="exact"/>
        <w:rPr>
          <w:sz w:val="20"/>
          <w:szCs w:val="20"/>
          <w:color w:val="auto"/>
        </w:rPr>
      </w:pPr>
    </w:p>
    <w:p>
      <w:pPr>
        <w:sectPr>
          <w:pgSz w:w="11900" w:h="16838" w:orient="portrait"/>
          <w:cols w:equalWidth="0" w:num="2">
            <w:col w:w="1540" w:space="720"/>
            <w:col w:w="8980"/>
          </w:cols>
          <w:pgMar w:left="320" w:top="692" w:right="339" w:bottom="474" w:gutter="0" w:footer="0" w:header="0"/>
          <w:type w:val="continuous"/>
        </w:sectPr>
      </w:pPr>
    </w:p>
    <w:p>
      <w:pPr>
        <w:spacing w:after="0" w:line="41"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692" w:right="339" w:bottom="474"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211" w:lineRule="exact"/>
        <w:rPr>
          <w:sz w:val="20"/>
          <w:szCs w:val="20"/>
          <w:color w:val="auto"/>
        </w:rPr>
      </w:pPr>
    </w:p>
    <w:p>
      <w:pPr>
        <w:sectPr>
          <w:pgSz w:w="11900" w:h="16838" w:orient="portrait"/>
          <w:cols w:equalWidth="0" w:num="2">
            <w:col w:w="640" w:space="660"/>
            <w:col w:w="9940"/>
          </w:cols>
          <w:pgMar w:left="320" w:top="692" w:right="339" w:bottom="474"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Reporting Persons makes the following certification:</w:t>
      </w:r>
    </w:p>
    <w:p>
      <w:pPr>
        <w:spacing w:after="0" w:line="225" w:lineRule="exact"/>
        <w:rPr>
          <w:sz w:val="20"/>
          <w:szCs w:val="20"/>
          <w:color w:val="auto"/>
        </w:rPr>
      </w:pPr>
    </w:p>
    <w:p>
      <w:pPr>
        <w:ind w:left="1300" w:right="20"/>
        <w:spacing w:after="0" w:line="257"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After reasonable inquiry and to the best of my knowledge and belief, the undersigned certify that the information set forth in this statement is true, complete and correct.</w:t>
      </w:r>
    </w:p>
    <w:p>
      <w:pPr>
        <w:sectPr>
          <w:pgSz w:w="11900" w:h="16838" w:orient="portrait"/>
          <w:cols w:equalWidth="0" w:num="1">
            <w:col w:w="11240"/>
          </w:cols>
          <w:pgMar w:left="320" w:top="692" w:right="339" w:bottom="474"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DIVISAR PARTNERS QP,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Divisar Capital Management,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DIVISAR CAPITAL MANAGEMENT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BAUGHMAN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Baughman</w:t>
      </w:r>
    </w:p>
    <w:p>
      <w:pPr>
        <w:spacing w:after="0" w:line="200" w:lineRule="exact"/>
        <w:rPr>
          <w:sz w:val="20"/>
          <w:szCs w:val="20"/>
          <w:color w:val="auto"/>
        </w:rPr>
      </w:pPr>
    </w:p>
    <w:p>
      <w:pPr>
        <w:spacing w:after="0" w:line="223" w:lineRule="exact"/>
        <w:rPr>
          <w:sz w:val="20"/>
          <w:szCs w:val="20"/>
          <w:color w:val="auto"/>
        </w:rPr>
      </w:pPr>
    </w:p>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76010Y103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474"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 Pursuant to Rule 13d-1</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agreement is made pursuant to Rule 13d-l(k)(1) under the Securities Exchange Act of 1934, as amended (the "Act") by and among the parties listed below, each referenced to herein as a "Joint Filer". The Joint Filers agree that a statement of beneficial ownership as required by Sections 13(g) or 13(d) of the Act and the rules thereunder may be filed on each of his, her or its behalf on Schedule 13G or Schedule 13D, as appropriate, and that said joint filing may thereafter be amended by further joint filings. The Joint Filers state that they each satisfy the requirements for making a joint filing under Rule 13d-1(k).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DIVISAR PARTNERS QP,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Divisar Capital Management,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DIVISAR CAPITAL MANAGEMENT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Steven Baughman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BAUGHMAN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Baughman</w:t>
      </w:r>
    </w:p>
    <w:p>
      <w:pPr>
        <w:spacing w:after="0" w:line="200" w:lineRule="exact"/>
        <w:rPr>
          <w:sz w:val="20"/>
          <w:szCs w:val="20"/>
          <w:color w:val="auto"/>
        </w:rPr>
      </w:pPr>
    </w:p>
    <w:p>
      <w:pPr>
        <w:spacing w:after="0" w:line="223" w:lineRule="exact"/>
        <w:rPr>
          <w:sz w:val="20"/>
          <w:szCs w:val="20"/>
          <w:color w:val="auto"/>
        </w:rPr>
      </w:pPr>
    </w:p>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76010Y103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
    <w:nsid w:val="507ED7AB"/>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2023-02-14T11:12:06Z</dcterms:created>
  <dcterms:modified xsi:type="dcterms:W3CDTF">2023-02-14T11:12:06Z</dcterms:modified>
</cp:coreProperties>
</file>