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spacing w:after="0" w:line="207" w:lineRule="exact"/>
        <w:tabs>
          <w:tab w:leader="none" w:pos="2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12, 2022, Rent the Runway, Inc. (the “Company”) issued a press release announcing its financial results for the quarter ended July 31,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Form 8-K and is incorporated by reference.</w:t>
      </w:r>
    </w:p>
    <w:p>
      <w:pPr>
        <w:spacing w:after="0" w:line="21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50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Press Release issued by Rent the Runway, Inc. on September 12, 2022</w:t>
            </w:r>
          </w:p>
        </w:tc>
        <w:tc>
          <w:tcPr>
            <w:tcW w:w="4740" w:type="dxa"/>
            <w:vAlign w:val="bottom"/>
            <w:gridSpan w:val="2"/>
          </w:tcPr>
          <w:p>
            <w:pPr>
              <w:spacing w:after="0"/>
              <w:rPr>
                <w:sz w:val="21"/>
                <w:szCs w:val="21"/>
                <w:color w:val="auto"/>
              </w:rPr>
            </w:pPr>
          </w:p>
        </w:tc>
      </w:tr>
      <w:tr>
        <w:trPr>
          <w:trHeight w:val="33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September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Scarlett O’Sullivan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Second Quarter 2022 Results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Achieved record quarterly revenue: Q2 2022 revenue up 64% year-over-year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Reduced Q2 2022 net loss by $9M YoY; first quarter of positive Adjusted EBITDA since IPO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Significant increase in Gross Margin to 42%, up 3 percentage points</w:t>
      </w:r>
    </w:p>
    <w:p>
      <w:pPr>
        <w:spacing w:after="0" w:line="270" w:lineRule="exact"/>
        <w:rPr>
          <w:sz w:val="20"/>
          <w:szCs w:val="20"/>
          <w:color w:val="auto"/>
        </w:rPr>
      </w:pPr>
    </w:p>
    <w:p>
      <w:pPr>
        <w:jc w:val="center"/>
        <w:ind w:left="340" w:right="480"/>
        <w:spacing w:after="0" w:line="326" w:lineRule="auto"/>
        <w:rPr>
          <w:sz w:val="20"/>
          <w:szCs w:val="20"/>
          <w:color w:val="auto"/>
        </w:rPr>
      </w:pPr>
      <w:r>
        <w:rPr>
          <w:rFonts w:ascii="Arial" w:cs="Arial" w:eastAsia="Arial" w:hAnsi="Arial"/>
          <w:sz w:val="20"/>
          <w:szCs w:val="20"/>
          <w:b w:val="1"/>
          <w:bCs w:val="1"/>
          <w:color w:val="auto"/>
        </w:rPr>
        <w:t>Announces Restructuring Plan to Reduce $25-$27 Million of Annual Operating Costs, Pulling Forward Path to Profitability</w:t>
      </w:r>
    </w:p>
    <w:p>
      <w:pPr>
        <w:spacing w:after="0" w:line="145" w:lineRule="exact"/>
        <w:rPr>
          <w:sz w:val="20"/>
          <w:szCs w:val="20"/>
          <w:color w:val="auto"/>
        </w:rPr>
      </w:pPr>
    </w:p>
    <w:p>
      <w:pPr>
        <w:spacing w:after="0" w:line="316" w:lineRule="auto"/>
        <w:rPr>
          <w:sz w:val="20"/>
          <w:szCs w:val="20"/>
          <w:color w:val="auto"/>
        </w:rPr>
      </w:pPr>
      <w:r>
        <w:rPr>
          <w:rFonts w:ascii="Arial" w:cs="Arial" w:eastAsia="Arial" w:hAnsi="Arial"/>
          <w:sz w:val="20"/>
          <w:szCs w:val="20"/>
          <w:b w:val="1"/>
          <w:bCs w:val="1"/>
          <w:color w:val="auto"/>
        </w:rPr>
        <w:t xml:space="preserve">New York (September 12, 2022) </w:t>
      </w:r>
      <w:r>
        <w:rPr>
          <w:rFonts w:ascii="Arial" w:cs="Arial" w:eastAsia="Arial" w:hAnsi="Arial"/>
          <w:sz w:val="20"/>
          <w:szCs w:val="20"/>
          <w:color w:val="auto"/>
        </w:rPr>
        <w:t>- Rent the Runway, Inc. (“Rent the Runway” or "RTR") (NASDAQ: RENT), the world’s first and</w:t>
      </w:r>
      <w:r>
        <w:rPr>
          <w:rFonts w:ascii="Arial" w:cs="Arial" w:eastAsia="Arial" w:hAnsi="Arial"/>
          <w:sz w:val="20"/>
          <w:szCs w:val="20"/>
          <w:b w:val="1"/>
          <w:bCs w:val="1"/>
          <w:color w:val="auto"/>
        </w:rPr>
        <w:t xml:space="preserve"> </w:t>
      </w:r>
      <w:r>
        <w:rPr>
          <w:rFonts w:ascii="Arial" w:cs="Arial" w:eastAsia="Arial" w:hAnsi="Arial"/>
          <w:sz w:val="20"/>
          <w:szCs w:val="20"/>
          <w:color w:val="auto"/>
        </w:rPr>
        <w:t>largest shared designer closet platform, today reported financial results for the fiscal quarter ended July 31, 2022.</w:t>
      </w:r>
    </w:p>
    <w:p>
      <w:pPr>
        <w:spacing w:after="0" w:line="274" w:lineRule="exact"/>
        <w:rPr>
          <w:sz w:val="20"/>
          <w:szCs w:val="20"/>
          <w:color w:val="auto"/>
        </w:rPr>
      </w:pPr>
    </w:p>
    <w:p>
      <w:pPr>
        <w:ind w:right="100"/>
        <w:spacing w:after="0" w:line="282" w:lineRule="auto"/>
        <w:rPr>
          <w:sz w:val="20"/>
          <w:szCs w:val="20"/>
          <w:color w:val="auto"/>
        </w:rPr>
      </w:pPr>
      <w:r>
        <w:rPr>
          <w:rFonts w:ascii="Arial" w:cs="Arial" w:eastAsia="Arial" w:hAnsi="Arial"/>
          <w:sz w:val="20"/>
          <w:szCs w:val="20"/>
          <w:color w:val="auto"/>
        </w:rPr>
        <w:t>“We achieved two significant milestones in Q2, with both record quarterly revenue and positive Adjusted EBITDA, ahead of the timeline we had outlined, and despite an uncertain environment,” said Jennifer Hyman, CEO and Co-Founder of Rent the Runway. “The restructuring plan we announced today underscores our commitment to building RTR into a business that is highly profitable, has strong margins, and is self-funding. These actions are intended to accelerate our path to profitability, while allowing us to continue to deliver more value to our customers and drive strong revenue growth."</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CFO Scarlett O’Sullivan stated, “We believe the $25M-$27M in anticipated annualized fixed cost savings we've announced help ensure RTR can navigate potentially rougher macro conditions, while also allowing us to significantly improve our medium-term profitability. As a result, we are raising our annual Adjusted EBITDA margin outlook and accelerating our timeline to self-fund. Over the medium-term, we believe we can generate 15% profitability on Adjusted EBITDA after product depreciation.”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Key Metrics and Financial Highlights</w:t>
      </w:r>
    </w:p>
    <w:p>
      <w:pPr>
        <w:spacing w:after="0" w:line="43" w:lineRule="exact"/>
        <w:rPr>
          <w:sz w:val="20"/>
          <w:szCs w:val="20"/>
          <w:color w:val="auto"/>
        </w:rPr>
      </w:pPr>
    </w:p>
    <w:p>
      <w:pPr>
        <w:ind w:left="480" w:hanging="310"/>
        <w:spacing w:after="0"/>
        <w:tabs>
          <w:tab w:leader="none" w:pos="4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Revenue was $76.5 million, a 64% increase year-over-year from $46.7 million in the second quarter of fiscal year 2021.</w:t>
      </w:r>
    </w:p>
    <w:p>
      <w:pPr>
        <w:spacing w:after="0" w:line="26" w:lineRule="exact"/>
        <w:rPr>
          <w:rFonts w:ascii="Arial" w:cs="Arial" w:eastAsia="Arial" w:hAnsi="Arial"/>
          <w:sz w:val="20"/>
          <w:szCs w:val="20"/>
          <w:b w:val="1"/>
          <w:bCs w:val="1"/>
          <w:color w:val="auto"/>
        </w:rPr>
      </w:pPr>
    </w:p>
    <w:p>
      <w:pPr>
        <w:ind w:left="500" w:right="120" w:hanging="330"/>
        <w:spacing w:after="0" w:line="273"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124,131 ending Active Subscribers, representing an increase of 27% year-over-year from 97,614 at the end of the second quarter of fiscal year 2021.</w:t>
      </w:r>
    </w:p>
    <w:p>
      <w:pPr>
        <w:spacing w:after="0" w:line="2" w:lineRule="exact"/>
        <w:rPr>
          <w:rFonts w:ascii="Arial" w:cs="Arial" w:eastAsia="Arial" w:hAnsi="Arial"/>
          <w:sz w:val="20"/>
          <w:szCs w:val="20"/>
          <w:b w:val="1"/>
          <w:bCs w:val="1"/>
          <w:color w:val="auto"/>
        </w:rPr>
      </w:pPr>
    </w:p>
    <w:p>
      <w:pPr>
        <w:ind w:left="500" w:right="120" w:hanging="330"/>
        <w:spacing w:after="0" w:line="273"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173,321 ending Total Subscribers, representing an increase of 37% year-over-year from 126,841 at the end of the second quarter of fiscal year 2021.</w:t>
      </w:r>
    </w:p>
    <w:p>
      <w:pPr>
        <w:spacing w:after="0" w:line="3" w:lineRule="exact"/>
        <w:rPr>
          <w:rFonts w:ascii="Arial" w:cs="Arial" w:eastAsia="Arial" w:hAnsi="Arial"/>
          <w:sz w:val="20"/>
          <w:szCs w:val="20"/>
          <w:b w:val="1"/>
          <w:bCs w:val="1"/>
          <w:color w:val="auto"/>
        </w:rPr>
      </w:pPr>
    </w:p>
    <w:p>
      <w:pPr>
        <w:ind w:left="500" w:right="300" w:hanging="330"/>
        <w:spacing w:after="0" w:line="273"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Gross Profit was $32.4 million, representing an increase of 78% from $18.2 million in the second quarter of 2021. Gross Margin was 42.4%, as compared to 39.0% in the second quarter of fiscal year 2021.</w:t>
      </w:r>
    </w:p>
    <w:p>
      <w:pPr>
        <w:spacing w:after="0" w:line="3" w:lineRule="exact"/>
        <w:rPr>
          <w:rFonts w:ascii="Arial" w:cs="Arial" w:eastAsia="Arial" w:hAnsi="Arial"/>
          <w:sz w:val="20"/>
          <w:szCs w:val="20"/>
          <w:b w:val="1"/>
          <w:bCs w:val="1"/>
          <w:color w:val="auto"/>
        </w:rPr>
      </w:pPr>
    </w:p>
    <w:p>
      <w:pPr>
        <w:ind w:left="500" w:right="600" w:hanging="330"/>
        <w:spacing w:after="0" w:line="300"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Net Loss was $(33.9) million, as compared to $(42.4) million in the second quarter of fiscal year 2021. Net Loss as a percentage of revenue was (44.3)%, as compared to (90.8)% in the second quarter of fiscal year 2021.</w:t>
      </w:r>
    </w:p>
    <w:p>
      <w:pPr>
        <w:sectPr>
          <w:pgSz w:w="11900" w:h="16838" w:orient="portrait"/>
          <w:cols w:equalWidth="0" w:num="1">
            <w:col w:w="11240"/>
          </w:cols>
          <w:pgMar w:left="320" w:top="1101" w:right="339" w:bottom="1440" w:gutter="0" w:footer="0" w:header="0"/>
        </w:sectPr>
      </w:pPr>
    </w:p>
    <w:bookmarkStart w:id="4" w:name="page5"/>
    <w:bookmarkEnd w:id="4"/>
    <w:p>
      <w:pPr>
        <w:ind w:left="500" w:right="420" w:hanging="330"/>
        <w:spacing w:after="0" w:line="31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$1.8 million, as compared to $(1.9) million in the second quarter of fiscal year 2021. Adjusted EBITDA margin was 2.4%, as compared to (4.1)% in the second quarter of fiscal year 2021.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 Plan</w:t>
      </w:r>
    </w:p>
    <w:p>
      <w:pPr>
        <w:spacing w:after="0" w:line="150"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On September 12, 2022, the Company announced a restructuring plan to reduce costs, streamline its organizational structure and drive operational efficiencies. The plan primarily includes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76" w:lineRule="exact"/>
        <w:rPr>
          <w:sz w:val="20"/>
          <w:szCs w:val="20"/>
          <w:color w:val="auto"/>
        </w:rPr>
      </w:pPr>
    </w:p>
    <w:p>
      <w:pPr>
        <w:spacing w:after="0" w:line="282" w:lineRule="auto"/>
        <w:rPr>
          <w:sz w:val="20"/>
          <w:szCs w:val="20"/>
          <w:color w:val="auto"/>
        </w:rPr>
      </w:pPr>
      <w:r>
        <w:rPr>
          <w:rFonts w:ascii="Arial" w:cs="Arial" w:eastAsia="Arial" w:hAnsi="Arial"/>
          <w:sz w:val="20"/>
          <w:szCs w:val="20"/>
          <w:color w:val="auto"/>
        </w:rPr>
        <w:t>The Company estimates that it will incur total cash charges for employee severance and related costs of approximately $2.5 million and certain immaterial non-cash charges associated with stock-based compensation, both of which are expected to be primarily recognized in the third quarter of fiscal 2022. The Company expects this restructuring plan to be substantially completed by the end of the fourth quarter of 2022. The charges that the Company expects to incur are subject to a number of assumptions, and actual expenses may differ from the estimates disclosed above.</w:t>
      </w:r>
    </w:p>
    <w:p>
      <w:pPr>
        <w:spacing w:after="0" w:line="66" w:lineRule="exact"/>
        <w:rPr>
          <w:sz w:val="20"/>
          <w:szCs w:val="20"/>
          <w:color w:val="auto"/>
        </w:rPr>
      </w:pPr>
    </w:p>
    <w:p>
      <w:pPr>
        <w:ind w:right="80"/>
        <w:spacing w:after="0" w:line="314" w:lineRule="auto"/>
        <w:rPr>
          <w:sz w:val="20"/>
          <w:szCs w:val="20"/>
          <w:color w:val="auto"/>
        </w:rPr>
      </w:pPr>
      <w:r>
        <w:rPr>
          <w:rFonts w:ascii="Arial" w:cs="Arial" w:eastAsia="Arial" w:hAnsi="Arial"/>
          <w:sz w:val="20"/>
          <w:szCs w:val="20"/>
          <w:color w:val="auto"/>
        </w:rPr>
        <w:t>The restructuring plan is expected to generate annual operating expense savings of $25 to $27 million (relative to the second quarter of fiscal 2022 run rate) in fiscal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For the third quarter of fiscal year 2022, Rent the Runway expects:</w:t>
      </w:r>
    </w:p>
    <w:p>
      <w:pPr>
        <w:spacing w:after="0" w:line="31"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in the range of $72.0 million to $74.0 million</w:t>
      </w:r>
    </w:p>
    <w:p>
      <w:pPr>
        <w:spacing w:after="0" w:line="35"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margin of 1.0% to 3.0%</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2022, Rent the Runway expects:</w:t>
      </w:r>
    </w:p>
    <w:p>
      <w:pPr>
        <w:spacing w:after="0" w:line="40"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in the range of $285 million to $290 million</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(2)% to 0%</w:t>
      </w:r>
    </w:p>
    <w:p>
      <w:pPr>
        <w:spacing w:after="0" w:line="278" w:lineRule="exact"/>
        <w:rPr>
          <w:sz w:val="20"/>
          <w:szCs w:val="20"/>
          <w:color w:val="auto"/>
        </w:rPr>
      </w:pPr>
    </w:p>
    <w:p>
      <w:pPr>
        <w:ind w:right="140"/>
        <w:spacing w:after="0" w:line="300" w:lineRule="auto"/>
        <w:rPr>
          <w:sz w:val="20"/>
          <w:szCs w:val="20"/>
          <w:color w:val="auto"/>
        </w:rPr>
      </w:pPr>
      <w:r>
        <w:rPr>
          <w:rFonts w:ascii="Arial" w:cs="Arial" w:eastAsia="Arial" w:hAnsi="Arial"/>
          <w:sz w:val="20"/>
          <w:szCs w:val="20"/>
          <w:color w:val="auto"/>
        </w:rPr>
        <w:t>Please see our second quarter 2022 earnings presentation at https://investors.renttherunway.com/ under the “Presentations” section for supplemental guidance.</w:t>
      </w:r>
    </w:p>
    <w:p>
      <w:pPr>
        <w:sectPr>
          <w:pgSz w:w="11900" w:h="16838" w:orient="portrait"/>
          <w:cols w:equalWidth="0" w:num="1">
            <w:col w:w="11020"/>
          </w:cols>
          <w:pgMar w:left="320" w:top="1103" w:right="5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second quarter 2022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Rent the Runway will host a conference call and webcast to discuss its second quarter 2022 financial results and provide a business update today at 5:00 pm EDT.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The financial results and live webcast will be accessible through the Investor Relations section of Rent the Runway’s website at </w:t>
      </w:r>
      <w:r>
        <w:rPr>
          <w:rFonts w:ascii="Arial" w:cs="Arial" w:eastAsia="Arial" w:hAnsi="Arial"/>
          <w:sz w:val="20"/>
          <w:szCs w:val="20"/>
          <w:u w:val="single" w:color="auto"/>
          <w:color w:val="212D3D"/>
        </w:rPr>
        <w:t>https://investors.renttherunway.com/</w:t>
      </w:r>
      <w:r>
        <w:rPr>
          <w:rFonts w:ascii="Arial" w:cs="Arial" w:eastAsia="Arial" w:hAnsi="Arial"/>
          <w:sz w:val="20"/>
          <w:szCs w:val="20"/>
          <w:color w:val="212D3D"/>
        </w:rPr>
        <w:t xml:space="preserve"> </w:t>
      </w:r>
      <w:r>
        <w:rPr>
          <w:rFonts w:ascii="Arial" w:cs="Arial" w:eastAsia="Arial" w:hAnsi="Arial"/>
          <w:sz w:val="20"/>
          <w:szCs w:val="20"/>
          <w:color w:val="000000"/>
        </w:rPr>
        <w:t>under the “Events” section. To access the call through a conference line, dial 1-877-407-3982 (in the U.S.) or 1-201-493-6780 (international callers).</w:t>
      </w:r>
    </w:p>
    <w:p>
      <w:pPr>
        <w:spacing w:after="0" w:line="16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A replay of the conference call will be posted shortly after the call and will be available for at least fourteen days. To access the replay, dial 1-844-512-2921 (in the U.S.) or 1-412-317-6671 (international callers). The access code for the replay is 13732201.</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over 800 designer brands. The Closet in the Cloud offers a wide assortment of millions of items for every occasion, from evening wear and accessories to ready-to-wear, workwear, denim, casual, maternity, outerwear, blouses, knitwear, loungewear, jewelry, handbags, activewear, ski wear, home goods and kidswear.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28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future product launches, business objectives, anticipated impacts of and the anticipated charges and cost savings associated with our restructuring plan, and subscriber trends. Forward-looking statements are inherently subject to risks and uncertainties, some of which cannot be predicted or quantified.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pacing w:after="0" w:line="1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COVID-19 pandemic; the highly competitive and rapidly changing nature of the global fashion industry; our ability to cost-effectively grow our customer base; any failure to retain customers; our ability to accurately forecast customer demand, manage our offerings effectively and plan for future expenses; changes in consumer discretionary spending; risks arising from the restructuring of our operations; risks related to shipping, logistics and our supply chain;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to adequately maintain and protect our intellectual property and proprietary rights; compliance with data privacy, data security, data protection and consumer protection laws and industry standards; risks associated with our brand partners; reliance on third parties for elements of the payment processing infrastructure underlying our business;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associated with our need for additional capital and indebtedness, including that financing or refinancing may not be available on acceptable terms at all; and risks related to our Class A capital stock and ownership structure. Additional information regarding these and other risks and uncertainties that could cause actual results to differ materially from the Company’s expectations is included in our Annual Report on Form 10-K for the year ended January 31, 2022, as will be updated in our Quarterly Report on Form 10-Q for the quarter ended July 31, 2022. Except as required by law, we do not undertake any obligation to publicly update or revise any forward-looking statement, whether as a result of new information, future developments, or otherwise.</w:t>
      </w:r>
    </w:p>
    <w:p>
      <w:pPr>
        <w:sectPr>
          <w:pgSz w:w="11900" w:h="16838" w:orient="portrait"/>
          <w:cols w:equalWidth="0" w:num="1">
            <w:col w:w="11240"/>
          </w:cols>
          <w:pgMar w:left="320" w:top="1101"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85"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and Adjusted EBITDA margin and Adjusted EBITDA after product depreciation margin. In addition to our results determined in accordance with GAAP, we believe that Adjusted EBITDA and Adjusted EBITDA margin and Adjusted EBITDA after product depreciation margin are useful in evaluating our performance. Adjusted EBITDA is a key performance measure used by management to assess our operating performance and the operating leverage of our business prior to capital expenditures. Adjusted EBITDA after product depreciation margin is used by management to assess our operating performance and the operating leverage of our business after all product costs.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certain non-recurring, one-time costs (see below footnotes to reconciliation table), income taxes, other income and expense, gain / loss on warrant liability revaluation, net, and other gains / losses. Adjusted EBITDA margin is defined as Adjusted EBITDA calculated as a percentage of revenue. Adjusted EBITDA after product depreciation margin is defined as Adjusted EBITDA less product depreciation, calculated as a percentage of revenue.</w:t>
      </w:r>
    </w:p>
    <w:p>
      <w:pPr>
        <w:sectPr>
          <w:pgSz w:w="11900" w:h="16838" w:orient="portrait"/>
          <w:cols w:equalWidth="0" w:num="1">
            <w:col w:w="11240"/>
          </w:cols>
          <w:pgMar w:left="320" w:top="1344" w:right="339" w:bottom="1440" w:gutter="0" w:footer="0" w:header="0"/>
        </w:sectPr>
      </w:pPr>
    </w:p>
    <w:bookmarkStart w:id="8" w:name="page9"/>
    <w:bookmarkEnd w:id="8"/>
    <w:p>
      <w:pPr>
        <w:jc w:val="both"/>
        <w:spacing w:after="0" w:line="278" w:lineRule="auto"/>
        <w:rPr>
          <w:sz w:val="20"/>
          <w:szCs w:val="20"/>
          <w:color w:val="auto"/>
        </w:rPr>
      </w:pPr>
      <w:r>
        <w:rPr>
          <w:rFonts w:ascii="Arial" w:cs="Arial" w:eastAsia="Arial" w:hAnsi="Arial"/>
          <w:sz w:val="20"/>
          <w:szCs w:val="20"/>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and Adjusted EBITDA margin guidance and our Adjusted EBITDA after product depreciation margin target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Janine Stichter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Alison Rappaport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40"/>
          </w:cols>
          <w:pgMar w:left="320" w:top="1319" w:right="339" w:bottom="1440" w:gutter="0" w:footer="0" w:header="0"/>
        </w:sectPr>
      </w:pPr>
    </w:p>
    <w:bookmarkStart w:id="9" w:name="page10"/>
    <w:bookmarkEnd w:id="9"/>
    <w:p>
      <w:pPr>
        <w:ind w:left="4440"/>
        <w:spacing w:after="0"/>
        <w:rPr>
          <w:sz w:val="20"/>
          <w:szCs w:val="20"/>
          <w:color w:val="auto"/>
        </w:rPr>
      </w:pPr>
      <w:r>
        <w:rPr>
          <w:rFonts w:ascii="Arial" w:cs="Arial" w:eastAsia="Arial" w:hAnsi="Arial"/>
          <w:sz w:val="20"/>
          <w:szCs w:val="20"/>
          <w:b w:val="1"/>
          <w:bCs w:val="1"/>
          <w:color w:val="auto"/>
        </w:rPr>
        <w:t>Rent the Runway, Inc.</w:t>
      </w:r>
    </w:p>
    <w:p>
      <w:pPr>
        <w:ind w:left="352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900"/>
        <w:spacing w:after="0"/>
        <w:rPr>
          <w:sz w:val="20"/>
          <w:szCs w:val="20"/>
          <w:color w:val="auto"/>
        </w:rPr>
      </w:pPr>
      <w:r>
        <w:rPr>
          <w:rFonts w:ascii="Arial" w:cs="Arial" w:eastAsia="Arial" w:hAnsi="Arial"/>
          <w:sz w:val="20"/>
          <w:szCs w:val="20"/>
          <w:b w:val="1"/>
          <w:bCs w:val="1"/>
          <w:color w:val="auto"/>
        </w:rPr>
        <w:t>(in millions)</w:t>
      </w:r>
    </w:p>
    <w:p>
      <w:pPr>
        <w:ind w:left="496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7"/>
                <w:szCs w:val="17"/>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6"/>
        </w:trPr>
        <w:tc>
          <w:tcPr>
            <w:tcW w:w="79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9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192.3</w:t>
            </w:r>
          </w:p>
        </w:tc>
        <w:tc>
          <w:tcPr>
            <w:tcW w:w="8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247.6</w:t>
            </w:r>
          </w:p>
        </w:tc>
        <w:tc>
          <w:tcPr>
            <w:tcW w:w="0" w:type="dxa"/>
            <w:vAlign w:val="bottom"/>
          </w:tcPr>
          <w:p>
            <w:pPr>
              <w:spacing w:after="0"/>
              <w:rPr>
                <w:sz w:val="1"/>
                <w:szCs w:val="1"/>
                <w:color w:val="auto"/>
              </w:rPr>
            </w:pPr>
          </w:p>
        </w:tc>
      </w:tr>
      <w:tr>
        <w:trPr>
          <w:trHeight w:val="257"/>
        </w:trPr>
        <w:tc>
          <w:tcPr>
            <w:tcW w:w="79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7"/>
        </w:trPr>
        <w:tc>
          <w:tcPr>
            <w:tcW w:w="79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7"/>
        </w:trPr>
        <w:tc>
          <w:tcPr>
            <w:tcW w:w="7920" w:type="dxa"/>
            <w:vAlign w:val="bottom"/>
            <w:vMerge w:val="restart"/>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264.7</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76.3</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84"/>
        </w:trPr>
        <w:tc>
          <w:tcPr>
            <w:tcW w:w="79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40"/>
        </w:trPr>
        <w:tc>
          <w:tcPr>
            <w:tcW w:w="7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1"/>
        </w:trPr>
        <w:tc>
          <w:tcPr>
            <w:tcW w:w="79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Preferred Stock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2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9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17.6</w:t>
            </w:r>
          </w:p>
        </w:tc>
        <w:tc>
          <w:tcPr>
            <w:tcW w:w="8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57"/>
        </w:trPr>
        <w:tc>
          <w:tcPr>
            <w:tcW w:w="79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56"/>
        </w:trPr>
        <w:tc>
          <w:tcPr>
            <w:tcW w:w="79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57"/>
        </w:trPr>
        <w:tc>
          <w:tcPr>
            <w:tcW w:w="79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56"/>
        </w:trPr>
        <w:tc>
          <w:tcPr>
            <w:tcW w:w="79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79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269.8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260.8</w:t>
            </w:r>
          </w:p>
        </w:tc>
        <w:tc>
          <w:tcPr>
            <w:tcW w:w="0" w:type="dxa"/>
            <w:vAlign w:val="bottom"/>
          </w:tcPr>
          <w:p>
            <w:pPr>
              <w:spacing w:after="0"/>
              <w:rPr>
                <w:sz w:val="1"/>
                <w:szCs w:val="1"/>
                <w:color w:val="auto"/>
              </w:rPr>
            </w:pPr>
          </w:p>
        </w:tc>
      </w:tr>
      <w:tr>
        <w:trPr>
          <w:trHeight w:val="256"/>
        </w:trPr>
        <w:tc>
          <w:tcPr>
            <w:tcW w:w="79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57"/>
        </w:trPr>
        <w:tc>
          <w:tcPr>
            <w:tcW w:w="792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79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376.4</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920" w:type="dxa"/>
            <w:vAlign w:val="bottom"/>
          </w:tcPr>
          <w:p>
            <w:pPr>
              <w:spacing w:after="0"/>
              <w:rPr>
                <w:sz w:val="20"/>
                <w:szCs w:val="20"/>
                <w:color w:val="auto"/>
              </w:rPr>
            </w:pPr>
            <w:r>
              <w:rPr>
                <w:rFonts w:ascii="Arial" w:cs="Arial" w:eastAsia="Arial" w:hAnsi="Arial"/>
                <w:sz w:val="17"/>
                <w:szCs w:val="17"/>
                <w:color w:val="auto"/>
              </w:rPr>
              <w:t>Redeemable preferred stock</w:t>
            </w: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792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84"/>
        </w:trPr>
        <w:tc>
          <w:tcPr>
            <w:tcW w:w="79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9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9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884.6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872.2</w:t>
            </w:r>
          </w:p>
        </w:tc>
        <w:tc>
          <w:tcPr>
            <w:tcW w:w="0" w:type="dxa"/>
            <w:vAlign w:val="bottom"/>
          </w:tcPr>
          <w:p>
            <w:pPr>
              <w:spacing w:after="0"/>
              <w:rPr>
                <w:sz w:val="1"/>
                <w:szCs w:val="1"/>
                <w:color w:val="auto"/>
              </w:rPr>
            </w:pPr>
          </w:p>
        </w:tc>
      </w:tr>
      <w:tr>
        <w:trPr>
          <w:trHeight w:val="284"/>
        </w:trPr>
        <w:tc>
          <w:tcPr>
            <w:tcW w:w="79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(801.2)</w:t>
            </w:r>
          </w:p>
        </w:tc>
        <w:tc>
          <w:tcPr>
            <w:tcW w:w="0" w:type="dxa"/>
            <w:vAlign w:val="bottom"/>
          </w:tcPr>
          <w:p>
            <w:pPr>
              <w:spacing w:after="0"/>
              <w:rPr>
                <w:sz w:val="1"/>
                <w:szCs w:val="1"/>
                <w:color w:val="auto"/>
              </w:rPr>
            </w:pPr>
          </w:p>
        </w:tc>
      </w:tr>
      <w:tr>
        <w:trPr>
          <w:trHeight w:val="40"/>
        </w:trPr>
        <w:tc>
          <w:tcPr>
            <w:tcW w:w="79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20" w:type="dxa"/>
            <w:vAlign w:val="bottom"/>
          </w:tcPr>
          <w:p>
            <w:pPr>
              <w:spacing w:after="0"/>
              <w:rPr>
                <w:sz w:val="20"/>
                <w:szCs w:val="20"/>
                <w:color w:val="auto"/>
              </w:rPr>
            </w:pPr>
            <w:r>
              <w:rPr>
                <w:rFonts w:ascii="Arial" w:cs="Arial" w:eastAsia="Arial" w:hAnsi="Arial"/>
                <w:sz w:val="17"/>
                <w:szCs w:val="17"/>
                <w:color w:val="auto"/>
              </w:rPr>
              <w:t>Total liabilities, redeemable preferred stock and stockholders’ equity (deficit)</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80" w:top="1067" w:right="4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260" w:type="dxa"/>
            <w:vAlign w:val="bottom"/>
          </w:tcPr>
          <w:p>
            <w:pPr>
              <w:spacing w:after="0"/>
              <w:rPr>
                <w:sz w:val="17"/>
                <w:szCs w:val="17"/>
                <w:color w:val="auto"/>
              </w:rPr>
            </w:pPr>
          </w:p>
        </w:tc>
        <w:tc>
          <w:tcPr>
            <w:tcW w:w="26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20"/>
                <w:szCs w:val="20"/>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2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518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97"/>
        </w:trPr>
        <w:tc>
          <w:tcPr>
            <w:tcW w:w="5180" w:type="dxa"/>
            <w:vAlign w:val="bottom"/>
          </w:tcPr>
          <w:p>
            <w:pPr>
              <w:spacing w:after="0"/>
              <w:rPr>
                <w:sz w:val="20"/>
                <w:szCs w:val="20"/>
                <w:color w:val="auto"/>
              </w:rPr>
            </w:pPr>
            <w:r>
              <w:rPr>
                <w:rFonts w:ascii="Arial" w:cs="Arial" w:eastAsia="Arial" w:hAnsi="Arial"/>
                <w:sz w:val="18"/>
                <w:szCs w:val="18"/>
                <w:color w:val="auto"/>
              </w:rPr>
              <w:t>Gain / (loss) on warrant liability revaluation, net</w:t>
            </w:r>
          </w:p>
        </w:tc>
        <w:tc>
          <w:tcPr>
            <w:tcW w:w="26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97"/>
        </w:trPr>
        <w:tc>
          <w:tcPr>
            <w:tcW w:w="518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920"/>
              <w:spacing w:after="0"/>
              <w:rPr>
                <w:sz w:val="20"/>
                <w:szCs w:val="20"/>
                <w:color w:val="auto"/>
              </w:rPr>
            </w:pPr>
            <w:r>
              <w:rPr>
                <w:rFonts w:ascii="Arial" w:cs="Arial" w:eastAsia="Arial" w:hAnsi="Arial"/>
                <w:sz w:val="18"/>
                <w:szCs w:val="18"/>
                <w:color w:val="auto"/>
              </w:rPr>
              <w:t>Net loss before income tax benefit / (expense)</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26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180" w:type="dxa"/>
            <w:vAlign w:val="bottom"/>
          </w:tcPr>
          <w:p>
            <w:pPr>
              <w:ind w:left="9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6"/>
                <w:szCs w:val="16"/>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6"/>
                <w:szCs w:val="16"/>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0"/>
        </w:trPr>
        <w:tc>
          <w:tcPr>
            <w:tcW w:w="518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2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64,074,681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11,300,395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63,758,256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11,375,889</w:t>
            </w:r>
          </w:p>
        </w:tc>
        <w:tc>
          <w:tcPr>
            <w:tcW w:w="0" w:type="dxa"/>
            <w:vAlign w:val="bottom"/>
          </w:tcPr>
          <w:p>
            <w:pPr>
              <w:spacing w:after="0"/>
              <w:rPr>
                <w:sz w:val="1"/>
                <w:szCs w:val="1"/>
                <w:color w:val="auto"/>
              </w:rPr>
            </w:pPr>
          </w:p>
        </w:tc>
      </w:tr>
      <w:tr>
        <w:trPr>
          <w:trHeight w:val="235"/>
        </w:trPr>
        <w:tc>
          <w:tcPr>
            <w:tcW w:w="518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101" w:right="399" w:bottom="1440" w:gutter="0" w:footer="0" w:header="0"/>
        </w:sectPr>
      </w:pPr>
    </w:p>
    <w:bookmarkStart w:id="11" w:name="page12"/>
    <w:bookmarkEnd w:id="11"/>
    <w:p>
      <w:pPr>
        <w:spacing w:after="0" w:line="391"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Rent the Runway, Inc.</w:t>
      </w:r>
    </w:p>
    <w:p>
      <w:pPr>
        <w:ind w:left="3040"/>
        <w:spacing w:after="0" w:line="231" w:lineRule="auto"/>
        <w:rPr>
          <w:sz w:val="20"/>
          <w:szCs w:val="20"/>
          <w:color w:val="auto"/>
        </w:rPr>
      </w:pPr>
      <w:r>
        <w:rPr>
          <w:rFonts w:ascii="Arial" w:cs="Arial" w:eastAsia="Arial" w:hAnsi="Arial"/>
          <w:sz w:val="20"/>
          <w:szCs w:val="20"/>
          <w:b w:val="1"/>
          <w:bCs w:val="1"/>
          <w:color w:val="auto"/>
        </w:rPr>
        <w:t>Condensed Consolidated Statements of Cash Flow</w:t>
      </w:r>
    </w:p>
    <w:p>
      <w:pPr>
        <w:ind w:left="4880"/>
        <w:spacing w:after="0"/>
        <w:rPr>
          <w:sz w:val="20"/>
          <w:szCs w:val="20"/>
          <w:color w:val="auto"/>
        </w:rPr>
      </w:pPr>
      <w:r>
        <w:rPr>
          <w:rFonts w:ascii="Arial" w:cs="Arial" w:eastAsia="Arial" w:hAnsi="Arial"/>
          <w:sz w:val="20"/>
          <w:szCs w:val="20"/>
          <w:b w:val="1"/>
          <w:bCs w:val="1"/>
          <w:color w:val="auto"/>
        </w:rPr>
        <w:t>(in millions)</w:t>
      </w:r>
    </w:p>
    <w:p>
      <w:pPr>
        <w:ind w:left="4940"/>
        <w:spacing w:after="0"/>
        <w:rPr>
          <w:sz w:val="20"/>
          <w:szCs w:val="20"/>
          <w:color w:val="auto"/>
        </w:rPr>
      </w:pPr>
      <w:r>
        <w:rPr>
          <w:rFonts w:ascii="Arial" w:cs="Arial" w:eastAsia="Arial" w:hAnsi="Arial"/>
          <w:sz w:val="20"/>
          <w:szCs w:val="20"/>
          <w:color w:val="auto"/>
        </w:rPr>
        <w:t>(unaudited)</w:t>
      </w:r>
    </w:p>
    <w:p>
      <w:pPr>
        <w:spacing w:after="0" w:line="304" w:lineRule="exact"/>
        <w:rPr>
          <w:sz w:val="20"/>
          <w:szCs w:val="20"/>
          <w:color w:val="auto"/>
        </w:rPr>
      </w:pPr>
    </w:p>
    <w:p>
      <w:pPr>
        <w:jc w:val="right"/>
        <w:ind w:right="54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5068570</wp:posOffset>
            </wp:positionH>
            <wp:positionV relativeFrom="paragraph">
              <wp:posOffset>32385</wp:posOffset>
            </wp:positionV>
            <wp:extent cx="1825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62" w:lineRule="exact"/>
        <w:rPr>
          <w:sz w:val="20"/>
          <w:szCs w:val="20"/>
          <w:color w:val="auto"/>
        </w:rPr>
      </w:pPr>
    </w:p>
    <w:p>
      <w:pPr>
        <w:ind w:left="8520"/>
        <w:spacing w:after="0"/>
        <w:tabs>
          <w:tab w:leader="none" w:pos="99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5068570</wp:posOffset>
            </wp:positionH>
            <wp:positionV relativeFrom="paragraph">
              <wp:posOffset>32385</wp:posOffset>
            </wp:positionV>
            <wp:extent cx="1825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ectPr>
          <w:pgSz w:w="11900" w:h="16838" w:orient="portrait"/>
          <w:cols w:equalWidth="0" w:num="1">
            <w:col w:w="10860"/>
          </w:cols>
          <w:pgMar w:left="500" w:top="1440" w:right="539" w:bottom="1440" w:gutter="0" w:footer="0" w:header="0"/>
        </w:sectPr>
      </w:pP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write-off of fixed assets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Remeasurement of warrant liability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redeemable preferred stock</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exercise of stock options under stock incentive plan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Principal repayments on long-term debt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(76.4)</w:t>
            </w:r>
          </w:p>
        </w:tc>
        <w:tc>
          <w:tcPr>
            <w:tcW w:w="8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(84.7)</w:t>
            </w:r>
          </w:p>
        </w:tc>
      </w:tr>
      <w:tr>
        <w:trPr>
          <w:trHeight w:val="486"/>
        </w:trPr>
        <w:tc>
          <w:tcPr>
            <w:tcW w:w="52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21.3</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2.6</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9.9</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43"/>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43"/>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(0.7)</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7.0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23.2</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3.9</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12.4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4.3</w:t>
            </w:r>
          </w:p>
        </w:tc>
      </w:tr>
      <w:tr>
        <w:trPr>
          <w:trHeight w:val="243"/>
        </w:trPr>
        <w:tc>
          <w:tcPr>
            <w:tcW w:w="5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7.5</w:t>
            </w:r>
          </w:p>
        </w:tc>
      </w:tr>
      <w:tr>
        <w:trPr>
          <w:trHeight w:val="486"/>
        </w:trPr>
        <w:tc>
          <w:tcPr>
            <w:tcW w:w="52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1.7</w:t>
            </w:r>
          </w:p>
        </w:tc>
      </w:tr>
      <w:tr>
        <w:trPr>
          <w:trHeight w:val="243"/>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43"/>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7.1</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3.4</w:t>
            </w:r>
          </w:p>
        </w:tc>
      </w:tr>
      <w:tr>
        <w:trPr>
          <w:trHeight w:val="243"/>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0.4</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(12.7)</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33"/>
        </w:trPr>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3.4</w:t>
            </w:r>
          </w:p>
        </w:tc>
      </w:tr>
      <w:tr>
        <w:trPr>
          <w:trHeight w:val="243"/>
        </w:trPr>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5.6</w:t>
            </w:r>
          </w:p>
        </w:tc>
      </w:tr>
      <w:tr>
        <w:trPr>
          <w:trHeight w:val="243"/>
        </w:trPr>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73"/>
        </w:trPr>
        <w:tc>
          <w:tcPr>
            <w:tcW w:w="5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21.2</w:t>
            </w:r>
          </w:p>
        </w:tc>
      </w:tr>
      <w:tr>
        <w:trPr>
          <w:trHeight w:val="270"/>
        </w:trPr>
        <w:tc>
          <w:tcPr>
            <w:tcW w:w="5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1.9</w:t>
            </w:r>
          </w:p>
        </w:tc>
      </w:tr>
      <w:tr>
        <w:trPr>
          <w:trHeight w:val="270"/>
        </w:trPr>
        <w:tc>
          <w:tcPr>
            <w:tcW w:w="52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70"/>
        </w:trPr>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22.4</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6.3</w:t>
            </w:r>
          </w:p>
        </w:tc>
      </w:tr>
      <w:tr>
        <w:trPr>
          <w:trHeight w:val="270"/>
        </w:trPr>
        <w:tc>
          <w:tcPr>
            <w:tcW w:w="520" w:type="dxa"/>
            <w:vAlign w:val="bottom"/>
          </w:tcPr>
          <w:p>
            <w:pPr>
              <w:spacing w:after="0"/>
              <w:rPr>
                <w:sz w:val="23"/>
                <w:szCs w:val="23"/>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259.6</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109.2</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202.7</w:t>
            </w:r>
          </w:p>
        </w:tc>
        <w:tc>
          <w:tcPr>
            <w:tcW w:w="80" w:type="dxa"/>
            <w:vAlign w:val="bottom"/>
          </w:tcPr>
          <w:p>
            <w:pPr>
              <w:spacing w:after="0"/>
              <w:rPr>
                <w:sz w:val="18"/>
                <w:szCs w:val="18"/>
                <w:color w:val="auto"/>
              </w:rPr>
            </w:pPr>
          </w:p>
        </w:tc>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115.5</w:t>
            </w:r>
          </w:p>
        </w:tc>
      </w:tr>
      <w:tr>
        <w:trPr>
          <w:trHeight w:val="33"/>
        </w:trPr>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260" w:space="720"/>
            <w:col w:w="2880"/>
          </w:cols>
          <w:pgMar w:left="500" w:top="1440" w:right="539" w:bottom="1440" w:gutter="0" w:footer="0" w:header="0"/>
          <w:type w:val="continuous"/>
        </w:sectPr>
      </w:pPr>
    </w:p>
    <w:bookmarkStart w:id="12" w:name="page13"/>
    <w:bookmarkEnd w:id="12"/>
    <w:p>
      <w:pPr>
        <w:ind w:left="454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160"/>
          </w:cols>
          <w:pgMar w:left="380" w:top="11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right="18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Fixed operating leases payments (reimbursements), net</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Financing leases right-of-use asset amortization</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ROU assets obtained in exchange for lease liabilities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2040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599"/>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104.0</w:t>
            </w:r>
          </w:p>
        </w:tc>
      </w:tr>
      <w:tr>
        <w:trPr>
          <w:trHeight w:val="230"/>
        </w:trPr>
        <w:tc>
          <w:tcPr>
            <w:tcW w:w="36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1.8</w:t>
            </w:r>
          </w:p>
        </w:tc>
      </w:tr>
      <w:tr>
        <w:trPr>
          <w:trHeight w:val="243"/>
        </w:trPr>
        <w:tc>
          <w:tcPr>
            <w:tcW w:w="360" w:type="dxa"/>
            <w:vAlign w:val="bottom"/>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9.7</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202.7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115.5</w:t>
            </w:r>
          </w:p>
        </w:tc>
      </w:tr>
      <w:tr>
        <w:trPr>
          <w:trHeight w:val="22"/>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7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43"/>
        </w:trPr>
        <w:tc>
          <w:tcPr>
            <w:tcW w:w="6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43"/>
        </w:trPr>
        <w:tc>
          <w:tcPr>
            <w:tcW w:w="6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473"/>
        </w:trPr>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7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6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3"/>
        </w:trPr>
        <w:tc>
          <w:tcPr>
            <w:tcW w:w="6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43"/>
        </w:trPr>
        <w:tc>
          <w:tcPr>
            <w:tcW w:w="6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7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r>
    </w:tbl>
    <w:p>
      <w:pPr>
        <w:sectPr>
          <w:pgSz w:w="11900" w:h="16838" w:orient="portrait"/>
          <w:cols w:equalWidth="0" w:num="2">
            <w:col w:w="7220" w:space="720"/>
            <w:col w:w="3220"/>
          </w:cols>
          <w:pgMar w:left="380" w:top="1101" w:right="359" w:bottom="1440" w:gutter="0" w:footer="0" w:header="0"/>
          <w:type w:val="continuous"/>
        </w:sectPr>
      </w:pPr>
    </w:p>
    <w:bookmarkStart w:id="13" w:name="page14"/>
    <w:bookmarkEnd w:id="13"/>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right="80"/>
        <w:spacing w:after="0" w:line="243"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ectPr>
          <w:pgSz w:w="11900" w:h="16838" w:orient="portrait"/>
          <w:cols w:equalWidth="0" w:num="1">
            <w:col w:w="11273"/>
          </w:cols>
          <w:pgMar w:left="247" w:top="11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loss</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7"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Income tax (benefit) / expense</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7"/>
          <w:szCs w:val="17"/>
          <w:color w:val="auto"/>
        </w:rPr>
        <w:t xml:space="preserve">(Gain) / loss on warrant liability revaluation, net </w:t>
      </w:r>
      <w:r>
        <w:rPr>
          <w:rFonts w:ascii="Arial" w:cs="Arial" w:eastAsia="Arial" w:hAnsi="Arial"/>
          <w:sz w:val="22"/>
          <w:szCs w:val="22"/>
          <w:color w:val="auto"/>
          <w:vertAlign w:val="superscript"/>
        </w:rPr>
        <w:t>(6)</w:t>
      </w:r>
    </w:p>
    <w:p>
      <w:pPr>
        <w:spacing w:after="0" w:line="5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(7)</w:t>
      </w:r>
    </w:p>
    <w:p>
      <w:pPr>
        <w:spacing w:after="0" w:line="1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(8)</w:t>
      </w:r>
    </w:p>
    <w:p>
      <w:pPr>
        <w:spacing w:after="0" w:line="75" w:lineRule="exact"/>
        <w:rPr>
          <w:sz w:val="20"/>
          <w:szCs w:val="20"/>
          <w:color w:val="auto"/>
        </w:rPr>
      </w:pPr>
    </w:p>
    <w:p>
      <w:pPr>
        <w:ind w:left="93"/>
        <w:spacing w:after="0"/>
        <w:rPr>
          <w:sz w:val="20"/>
          <w:szCs w:val="20"/>
          <w:color w:val="auto"/>
        </w:rPr>
      </w:pPr>
      <w:r>
        <w:rPr>
          <w:rFonts w:ascii="Arial" w:cs="Arial" w:eastAsia="Arial" w:hAnsi="Arial"/>
          <w:sz w:val="18"/>
          <w:szCs w:val="18"/>
          <w:color w:val="auto"/>
        </w:rPr>
        <w:t>Adjusted EBITDA</w:t>
      </w:r>
    </w:p>
    <w:p>
      <w:pPr>
        <w:spacing w:after="0" w:line="117"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60" w:type="dxa"/>
            <w:vAlign w:val="bottom"/>
          </w:tcPr>
          <w:p>
            <w:pPr>
              <w:spacing w:after="0"/>
              <w:rPr>
                <w:sz w:val="17"/>
                <w:szCs w:val="17"/>
                <w:color w:val="auto"/>
              </w:rPr>
            </w:pPr>
          </w:p>
        </w:tc>
        <w:tc>
          <w:tcPr>
            <w:tcW w:w="27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July 31,</w:t>
            </w:r>
          </w:p>
        </w:tc>
      </w:tr>
      <w:tr>
        <w:trPr>
          <w:trHeight w:val="237"/>
        </w:trPr>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8"/>
        </w:trPr>
        <w:tc>
          <w:tcPr>
            <w:tcW w:w="34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9"/>
                <w:szCs w:val="19"/>
                <w:color w:val="auto"/>
              </w:rPr>
            </w:pPr>
          </w:p>
        </w:tc>
      </w:tr>
      <w:tr>
        <w:trPr>
          <w:trHeight w:val="27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(84.7)</w:t>
            </w:r>
          </w:p>
        </w:tc>
      </w:tr>
      <w:tr>
        <w:trPr>
          <w:trHeight w:val="297"/>
        </w:trPr>
        <w:tc>
          <w:tcPr>
            <w:tcW w:w="340" w:type="dxa"/>
            <w:vAlign w:val="bottom"/>
          </w:tcPr>
          <w:p>
            <w:pPr>
              <w:spacing w:after="0"/>
              <w:rPr>
                <w:sz w:val="24"/>
                <w:szCs w:val="24"/>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29.4</w:t>
            </w:r>
          </w:p>
        </w:tc>
      </w:tr>
      <w:tr>
        <w:trPr>
          <w:trHeight w:val="297"/>
        </w:trPr>
        <w:tc>
          <w:tcPr>
            <w:tcW w:w="340" w:type="dxa"/>
            <w:vAlign w:val="bottom"/>
          </w:tcPr>
          <w:p>
            <w:pPr>
              <w:spacing w:after="0"/>
              <w:rPr>
                <w:sz w:val="24"/>
                <w:szCs w:val="24"/>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23.9</w:t>
            </w:r>
          </w:p>
        </w:tc>
      </w:tr>
      <w:tr>
        <w:trPr>
          <w:trHeight w:val="297"/>
        </w:trPr>
        <w:tc>
          <w:tcPr>
            <w:tcW w:w="340" w:type="dxa"/>
            <w:vAlign w:val="bottom"/>
          </w:tcPr>
          <w:p>
            <w:pPr>
              <w:spacing w:after="0"/>
              <w:rPr>
                <w:sz w:val="24"/>
                <w:szCs w:val="24"/>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9.9</w:t>
            </w:r>
          </w:p>
        </w:tc>
      </w:tr>
      <w:tr>
        <w:trPr>
          <w:trHeight w:val="297"/>
        </w:trPr>
        <w:tc>
          <w:tcPr>
            <w:tcW w:w="340" w:type="dxa"/>
            <w:vAlign w:val="bottom"/>
          </w:tcPr>
          <w:p>
            <w:pPr>
              <w:spacing w:after="0"/>
              <w:rPr>
                <w:sz w:val="24"/>
                <w:szCs w:val="24"/>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4.3</w:t>
            </w:r>
          </w:p>
        </w:tc>
      </w:tr>
      <w:tr>
        <w:trPr>
          <w:trHeight w:val="297"/>
        </w:trPr>
        <w:tc>
          <w:tcPr>
            <w:tcW w:w="340" w:type="dxa"/>
            <w:vAlign w:val="bottom"/>
          </w:tcPr>
          <w:p>
            <w:pPr>
              <w:spacing w:after="0"/>
              <w:rPr>
                <w:sz w:val="24"/>
                <w:szCs w:val="24"/>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97"/>
        </w:trPr>
        <w:tc>
          <w:tcPr>
            <w:tcW w:w="340" w:type="dxa"/>
            <w:vAlign w:val="bottom"/>
          </w:tcPr>
          <w:p>
            <w:pPr>
              <w:spacing w:after="0"/>
              <w:rPr>
                <w:sz w:val="24"/>
                <w:szCs w:val="24"/>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97"/>
        </w:trPr>
        <w:tc>
          <w:tcPr>
            <w:tcW w:w="34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(0.1)</w:t>
            </w:r>
          </w:p>
        </w:tc>
      </w:tr>
      <w:tr>
        <w:trPr>
          <w:trHeight w:val="297"/>
        </w:trPr>
        <w:tc>
          <w:tcPr>
            <w:tcW w:w="34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7.5</w:t>
            </w:r>
          </w:p>
        </w:tc>
      </w:tr>
      <w:tr>
        <w:trPr>
          <w:trHeight w:val="297"/>
        </w:trPr>
        <w:tc>
          <w:tcPr>
            <w:tcW w:w="34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(3.9)</w:t>
            </w:r>
          </w:p>
        </w:tc>
      </w:tr>
      <w:tr>
        <w:trPr>
          <w:trHeight w:val="297"/>
        </w:trPr>
        <w:tc>
          <w:tcPr>
            <w:tcW w:w="34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37"/>
        </w:trPr>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(8.1)</w:t>
            </w:r>
          </w:p>
        </w:tc>
      </w:tr>
      <w:tr>
        <w:trPr>
          <w:trHeight w:val="36"/>
        </w:trPr>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25" w:lineRule="exact"/>
        <w:rPr>
          <w:sz w:val="20"/>
          <w:szCs w:val="20"/>
          <w:color w:val="auto"/>
        </w:rPr>
      </w:pPr>
    </w:p>
    <w:p>
      <w:pPr>
        <w:sectPr>
          <w:pgSz w:w="11900" w:h="16838" w:orient="portrait"/>
          <w:cols w:equalWidth="0" w:num="2">
            <w:col w:w="4153" w:space="720"/>
            <w:col w:w="6400"/>
          </w:cols>
          <w:pgMar w:left="247" w:top="1101" w:right="379" w:bottom="1440" w:gutter="0" w:footer="0" w:header="0"/>
          <w:type w:val="continuous"/>
        </w:sectPr>
      </w:pPr>
    </w:p>
    <w:p>
      <w:pPr>
        <w:spacing w:after="0" w:line="369" w:lineRule="exact"/>
        <w:rPr>
          <w:sz w:val="20"/>
          <w:szCs w:val="20"/>
          <w:color w:val="auto"/>
        </w:rPr>
      </w:pPr>
    </w:p>
    <w:p>
      <w:pPr>
        <w:ind w:left="333" w:right="340" w:hanging="333"/>
        <w:spacing w:after="0" w:line="305" w:lineRule="auto"/>
        <w:tabs>
          <w:tab w:leader="none" w:pos="326"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debt discount amortization of $1.0 million in the three months ended July 31, 2022, $1.7 million in the three months ended July 31, 2021, $2.0 million in the six months ended July 31, 2022 and $3.9 million in the six months ended July 31, 2021.</w:t>
      </w:r>
    </w:p>
    <w:p>
      <w:pPr>
        <w:spacing w:after="0" w:line="35" w:lineRule="exact"/>
        <w:rPr>
          <w:rFonts w:ascii="Arial" w:cs="Arial" w:eastAsia="Arial" w:hAnsi="Arial"/>
          <w:sz w:val="9"/>
          <w:szCs w:val="9"/>
          <w:color w:val="auto"/>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36" w:lineRule="exact"/>
        <w:rPr>
          <w:rFonts w:ascii="Arial" w:cs="Arial" w:eastAsia="Arial" w:hAnsi="Arial"/>
          <w:sz w:val="9"/>
          <w:szCs w:val="9"/>
          <w:color w:val="auto"/>
        </w:rPr>
      </w:pPr>
    </w:p>
    <w:p>
      <w:pPr>
        <w:ind w:left="333" w:right="100" w:hanging="333"/>
        <w:spacing w:after="0" w:line="310" w:lineRule="auto"/>
        <w:tabs>
          <w:tab w:leader="none" w:pos="326" w:val="left"/>
        </w:tabs>
        <w:numPr>
          <w:ilvl w:val="0"/>
          <w:numId w:val="6"/>
        </w:numPr>
        <w:rPr>
          <w:rFonts w:ascii="Arial" w:cs="Arial" w:eastAsia="Arial" w:hAnsi="Arial"/>
          <w:sz w:val="9"/>
          <w:szCs w:val="9"/>
          <w:color w:val="auto"/>
        </w:rPr>
      </w:pPr>
      <w:r>
        <w:rPr>
          <w:rFonts w:ascii="Arial" w:cs="Arial" w:eastAsia="Arial" w:hAnsi="Arial"/>
          <w:sz w:val="14"/>
          <w:szCs w:val="14"/>
          <w:color w:val="auto"/>
        </w:rPr>
        <w:t>Non-recurring adjustments for the three months ended July 31, 2022 includes $0.7 million of costs related to public company SOX readiness and the three months ended July 31, 2021 includes $1.8 million of costs primarily associated with public readiness preparation. Non-recurring adjustments for the six months ended July 31, 2022 includes $1.0 million of public company SOX readiness and for the six months ended July 31, 2021 includes $2.7 million of costs primarily associated with public readiness preparation.</w:t>
      </w:r>
    </w:p>
    <w:p>
      <w:pPr>
        <w:spacing w:after="0" w:line="253" w:lineRule="exact"/>
        <w:rPr>
          <w:rFonts w:ascii="Arial" w:cs="Arial" w:eastAsia="Arial" w:hAnsi="Arial"/>
          <w:sz w:val="9"/>
          <w:szCs w:val="9"/>
          <w:color w:val="auto"/>
        </w:rPr>
      </w:pPr>
    </w:p>
    <w:p>
      <w:pPr>
        <w:ind w:left="333" w:hanging="333"/>
        <w:spacing w:after="0" w:line="239" w:lineRule="auto"/>
        <w:tabs>
          <w:tab w:leader="none" w:pos="326"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the expense associated with revaluing prior liability classified lender warrants to the respective fair value at period end. As of July 31, 2022, all outstanding warrants are equity classified and therefore do not require remeasurement going forward.</w:t>
      </w:r>
    </w:p>
    <w:p>
      <w:pPr>
        <w:spacing w:after="0" w:line="108" w:lineRule="exact"/>
        <w:rPr>
          <w:rFonts w:ascii="Arial" w:cs="Arial" w:eastAsia="Arial" w:hAnsi="Arial"/>
          <w:sz w:val="19"/>
          <w:szCs w:val="19"/>
          <w:color w:val="auto"/>
          <w:vertAlign w:val="superscript"/>
        </w:rPr>
      </w:pPr>
    </w:p>
    <w:p>
      <w:pPr>
        <w:ind w:left="333" w:right="160" w:hanging="333"/>
        <w:spacing w:after="0" w:line="345" w:lineRule="auto"/>
        <w:tabs>
          <w:tab w:leader="none" w:pos="326" w:val="left"/>
        </w:tabs>
        <w:numPr>
          <w:ilvl w:val="0"/>
          <w:numId w:val="6"/>
        </w:numPr>
        <w:rPr>
          <w:rFonts w:ascii="Arial" w:cs="Arial" w:eastAsia="Arial" w:hAnsi="Arial"/>
          <w:sz w:val="9"/>
          <w:szCs w:val="9"/>
          <w:color w:val="auto"/>
        </w:rPr>
      </w:pPr>
      <w:r>
        <w:rPr>
          <w:rFonts w:ascii="Arial" w:cs="Arial" w:eastAsia="Arial" w:hAnsi="Arial"/>
          <w:sz w:val="14"/>
          <w:szCs w:val="14"/>
          <w:color w:val="auto"/>
        </w:rPr>
        <w:t>Primarily includes $1.3 million of monetized tax credits for the three and six months ended July 31, 2022 and $4.0 million of insurance claim proceeds for the three and six months ended July 31, 2021.</w:t>
      </w:r>
    </w:p>
    <w:p>
      <w:pPr>
        <w:spacing w:after="0" w:line="36" w:lineRule="exact"/>
        <w:rPr>
          <w:rFonts w:ascii="Arial" w:cs="Arial" w:eastAsia="Arial" w:hAnsi="Arial"/>
          <w:sz w:val="9"/>
          <w:szCs w:val="9"/>
          <w:color w:val="auto"/>
        </w:rPr>
      </w:pPr>
    </w:p>
    <w:p>
      <w:pPr>
        <w:ind w:left="333" w:right="240" w:hanging="333"/>
        <w:spacing w:after="0" w:line="239" w:lineRule="auto"/>
        <w:tabs>
          <w:tab w:leader="none" w:pos="326"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79"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sectPr>
      <w:pgSz w:w="11900" w:h="16838" w:orient="portrait"/>
      <w:cols w:equalWidth="0" w:num="1">
        <w:col w:w="11273"/>
      </w:cols>
      <w:pgMar w:left="247" w:top="110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2022-09-12T15:05:32Z</dcterms:created>
  <dcterms:modified xsi:type="dcterms:W3CDTF">2022-09-12T15:05:32Z</dcterms:modified>
</cp:coreProperties>
</file>