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Paltrow Gwyneth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29,516</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99,315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is the RSUs were granted as the Reporting Persons annual equity award pursuant to the Companys Non-Employee Director Compensation Program.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Attorney-in-fact for Gwyneth  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Paltrow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47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734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00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2023-07-14T17:50:45Z</dcterms:created>
  <dcterms:modified xsi:type="dcterms:W3CDTF">2023-07-14T17:50:45Z</dcterms:modified>
</cp:coreProperties>
</file>