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76010Y202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Bjorn Sperber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11111 Santa Monica Blvd, Ste 350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Los Angeles, CA, 90025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(424) 330-8820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Gateway Runway,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Gateway Runway Intermediate Holdings,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4,274,394.00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4,274,394.00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4,274,394.00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12.8 %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Nexus Special Situations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12.8 %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Nexus Special Situations III (Cayman)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Nexus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Nexus Special Situations GP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5" w:name="page6"/>
    <w:bookmarkEnd w:id="5"/>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Nexus Partners 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4,274,394.00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4,274,394.00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12.8 %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Damian Giangiacomo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02"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02" w:right="1440" w:bottom="0" w:gutter="0" w:footer="0" w:header="0"/>
          <w:type w:val="continuous"/>
        </w:sectPr>
      </w:pPr>
    </w:p>
    <w:bookmarkStart w:id="7" w:name="page8"/>
    <w:bookmarkEnd w:id="7"/>
    <w:p>
      <w:pPr>
        <w:ind w:left="1120" w:right="4499" w:hanging="1112"/>
        <w:spacing w:after="0" w:line="371" w:lineRule="auto"/>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12.8 %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111" w:right="1440" w:bottom="0"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ectPr>
          <w:pgSz w:w="11900" w:h="16838" w:orient="portrait"/>
          <w:cols w:equalWidth="0" w:num="1">
            <w:col w:w="10099"/>
          </w:cols>
          <w:pgMar w:left="360" w:top="111" w:right="1440" w:bottom="0" w:gutter="0" w:footer="0" w:header="0"/>
          <w:type w:val="continuous"/>
        </w:sectPr>
      </w:pPr>
    </w:p>
    <w:bookmarkStart w:id="8" w:name="page9"/>
    <w:bookmarkEnd w:id="8"/>
    <w:p>
      <w:pPr>
        <w:spacing w:after="0" w:line="7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Flesh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09" w:orient="portrait"/>
          <w:cols w:equalWidth="0" w:num="1">
            <w:col w:w="10520"/>
          </w:cols>
          <w:pgMar w:left="360" w:top="639" w:right="101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909" w:orient="portrait"/>
          <w:cols w:equalWidth="0" w:num="2">
            <w:col w:w="1060" w:space="60"/>
            <w:col w:w="9400"/>
          </w:cols>
          <w:pgMar w:left="360" w:top="639" w:right="10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10 Jay Street, Brooklyn, NEW YORK , 11201.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jc w:val="both"/>
        <w:ind w:left="940" w:hanging="932"/>
        <w:spacing w:after="0" w:line="261" w:lineRule="auto"/>
        <w:tabs>
          <w:tab w:leader="none" w:pos="9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Schedule 13D is being filed by the following (each a "Reporting Person," and collectively the "Reporting Persons"): (i) Gateway Runway, LLC ("Gateway Runway"); (ii) Gateway Runway Intermediate Holdings, Inc. ("Gateway Runway Intermediate"); (iii) Nexus Special Situations III, L.P. ("Nexus SS III"); (iv) Nexus Special</w:t>
      </w:r>
    </w:p>
    <w:p>
      <w:pPr>
        <w:sectPr>
          <w:pgSz w:w="11900" w:h="16909" w:orient="portrait"/>
          <w:cols w:equalWidth="0" w:num="1">
            <w:col w:w="10520"/>
          </w:cols>
          <w:pgMar w:left="360" w:top="639" w:right="1019" w:bottom="0" w:gutter="0" w:footer="0" w:header="0"/>
          <w:type w:val="continuous"/>
        </w:sectPr>
      </w:pPr>
    </w:p>
    <w:bookmarkStart w:id="9" w:name="page10"/>
    <w:bookmarkEnd w:id="9"/>
    <w:p>
      <w:pPr>
        <w:ind w:left="940"/>
        <w:spacing w:after="0"/>
        <w:rPr>
          <w:sz w:val="20"/>
          <w:szCs w:val="20"/>
          <w:color w:val="auto"/>
        </w:rPr>
      </w:pPr>
      <w:r>
        <w:rPr>
          <w:rFonts w:ascii="Times New Roman" w:cs="Times New Roman" w:eastAsia="Times New Roman" w:hAnsi="Times New Roman"/>
          <w:sz w:val="21"/>
          <w:szCs w:val="21"/>
          <w:color w:val="auto"/>
        </w:rPr>
        <w:t>Situations III (Cayman) L.P. ("Nexus SS III Cayman"); (v) Nexus Special Situations GP III, L.P. ("Nexus SS GP III");</w:t>
      </w:r>
    </w:p>
    <w:p>
      <w:pPr>
        <w:spacing w:after="0" w:line="26" w:lineRule="exact"/>
        <w:rPr>
          <w:sz w:val="20"/>
          <w:szCs w:val="20"/>
          <w:color w:val="auto"/>
        </w:rPr>
      </w:pPr>
    </w:p>
    <w:p>
      <w:pPr>
        <w:ind w:left="940" w:right="300"/>
        <w:spacing w:after="0" w:line="235" w:lineRule="auto"/>
        <w:rPr>
          <w:sz w:val="20"/>
          <w:szCs w:val="20"/>
          <w:color w:val="auto"/>
        </w:rPr>
      </w:pPr>
      <w:r>
        <w:rPr>
          <w:rFonts w:ascii="Times New Roman" w:cs="Times New Roman" w:eastAsia="Times New Roman" w:hAnsi="Times New Roman"/>
          <w:sz w:val="22"/>
          <w:szCs w:val="22"/>
          <w:color w:val="auto"/>
        </w:rPr>
        <w:t>(vi) Nexus Partners III, LLC ("Nexus Partners"); (vii) Nexus Capital Management LP ("Nexus Capital Management"); (viii) Daniel Giangiacomo; (ix) Michael Cohen; and (x) Daniel Flesh. The Reporting Persons have entered into a joint filing agreement, a copy of which is attached hereto as Exhibit 99.1.</w:t>
      </w:r>
    </w:p>
    <w:p>
      <w:pPr>
        <w:spacing w:after="0" w:line="15" w:lineRule="exact"/>
        <w:rPr>
          <w:sz w:val="20"/>
          <w:szCs w:val="20"/>
          <w:color w:val="auto"/>
        </w:rPr>
      </w:pPr>
    </w:p>
    <w:p>
      <w:pPr>
        <w:ind w:left="940" w:right="600" w:hanging="932"/>
        <w:spacing w:after="0" w:line="185" w:lineRule="auto"/>
        <w:tabs>
          <w:tab w:leader="none" w:pos="94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and and principal office address of each of the Reporting Persons is 11111 Santa Monica Blvd, Ste 350, Los Angeles, CA 90025.</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each of the Reporting Persons is investment holding.</w:t>
      </w:r>
    </w:p>
    <w:p>
      <w:pPr>
        <w:spacing w:after="0" w:line="44" w:lineRule="exact"/>
        <w:rPr>
          <w:rFonts w:ascii="Times New Roman" w:cs="Times New Roman" w:eastAsia="Times New Roman" w:hAnsi="Times New Roman"/>
          <w:sz w:val="22"/>
          <w:szCs w:val="22"/>
          <w:color w:val="auto"/>
        </w:rPr>
      </w:pPr>
    </w:p>
    <w:p>
      <w:pPr>
        <w:ind w:left="940" w:right="480" w:hanging="932"/>
        <w:spacing w:after="0" w:line="185" w:lineRule="auto"/>
        <w:tabs>
          <w:tab w:leader="none" w:pos="94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jc w:val="both"/>
        <w:ind w:left="940" w:right="260" w:hanging="932"/>
        <w:spacing w:after="0" w:line="184" w:lineRule="auto"/>
        <w:tabs>
          <w:tab w:leader="none" w:pos="940" w:val="left"/>
        </w:tabs>
        <w:numPr>
          <w:ilvl w:val="0"/>
          <w:numId w:val="1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were or is subject to a judgement,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160"/>
          </w:cols>
          <w:pgMar w:left="360" w:top="111" w:right="379" w:bottom="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ind w:right="180"/>
        <w:spacing w:after="0" w:line="239" w:lineRule="auto"/>
        <w:rPr>
          <w:sz w:val="20"/>
          <w:szCs w:val="20"/>
          <w:color w:val="auto"/>
        </w:rPr>
      </w:pPr>
      <w:r>
        <w:rPr>
          <w:rFonts w:ascii="Times New Roman" w:cs="Times New Roman" w:eastAsia="Times New Roman" w:hAnsi="Times New Roman"/>
          <w:sz w:val="22"/>
          <w:szCs w:val="22"/>
          <w:color w:val="auto"/>
        </w:rPr>
        <w:t>Each of Gateway Runway and Nexus Partners is a Delaware limited liability company. Gateway Runway Intermediate is a Delaware corporation. Each of Nexus SS III, Nexus SS GP III and Nexus Capital Management is a Delaware limited partnership. Nexus SS III Cayman is a Cayman Islands limited partnership. Each of Daniel Giangiacomo, Michael Cohen and Daniel Flesh is a United States citizen.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ind w:left="940" w:right="80"/>
        <w:spacing w:after="0" w:line="239" w:lineRule="auto"/>
        <w:rPr>
          <w:sz w:val="20"/>
          <w:szCs w:val="20"/>
          <w:color w:val="auto"/>
        </w:rPr>
      </w:pPr>
      <w:r>
        <w:rPr>
          <w:rFonts w:ascii="Times New Roman" w:cs="Times New Roman" w:eastAsia="Times New Roman" w:hAnsi="Times New Roman"/>
          <w:sz w:val="22"/>
          <w:szCs w:val="22"/>
          <w:color w:val="auto"/>
        </w:rPr>
        <w:t>The information set forth in Item 4 of this Schedule 13D is incorporated by reference into this Item 3. The funds used to acquire the shares of Class A Common Stock issued pursuant to the Rights Offering Backstop Agreement (as defined in item 4 hereof) and the Debt and Equity Purchase Agreement (as defined in Item 4 hereof) were obtained from the working capital of Gateway Runway.</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2" w:lineRule="auto"/>
        <w:rPr>
          <w:sz w:val="20"/>
          <w:szCs w:val="20"/>
          <w:color w:val="auto"/>
        </w:rPr>
      </w:pPr>
      <w:r>
        <w:rPr>
          <w:rFonts w:ascii="Times New Roman" w:cs="Times New Roman" w:eastAsia="Times New Roman" w:hAnsi="Times New Roman"/>
          <w:sz w:val="21"/>
          <w:szCs w:val="21"/>
          <w:color w:val="auto"/>
        </w:rPr>
        <w:t>Exchange Agreement On July 23, 2018, Rent the Runway, Inc. (the "Issuer") entered into a credit agreement with CHS (US) Management, LLC (as successor-in-interest to Double Helix Pte Ltd.) ("CHS US Management") as administrative agent and the lenders from time to time party thereto (the "Existing Credit Agreement"). On August 20, 2025, CHS US Investments LLC ("CHS US Investments") entered into an exchange agreement (the "Exchange Agreement") with the Issuer in connection with the Issuer's proposed recapitalization transactions. Pursuant to the Exchange Agreement, CHS US Investments, as lender under the Existing Credit Agreement, agreed to (i) exchange $100 million of existing outstanding indebtedness owed to it under the Existing Credit Agreement on a dollar-for-dollar cashless basis for new term loans (the "Exchange Consideration Term Loans") under an amended and restated credit agreement (the "New Credit Agreement") by and among the Issuer, CHS US Management, CHS US Investments, Gateway Runway, and S3 RR Aggregator, LLC ("Story3" and together with CHS US Investments and Gateway Runway, the "Investor Group") and (ii) contribute all outstanding indebtedness owing to it under the Existing Credit Agreement in excess thereof to the Issuer in exchange for newly issued shares of the Issuer's Class A Common Stock, par value $0.001 per share (the "Class A Common Stock," and such consideration, the "Exchange Stock"), equal to 86% of the number of outstanding shares of Class A Common Stock following the closing of the transactions contemplated by the Exchange Agreement and related agreements (the "Closing"), after giving effect to the conversion by holders of the Issuer's Class B Common Stock, par value $0.001 per share into shares of Class A Common Stock, but before giving effect to the Rights Offering (as defined below) and an increase in the maximum number of shares of Class A Common Stock authorized for issuance under the Issuer's Amended and Restated 2021 Incentive Award Plan. Further, pursuant to the Exchange Agreement and the Investor Rights Agreement (described below), the Issuer agreed to take all commercially reasonable actions as may be necessary to cause upon the Closing its board of directors (the "Board") to consist of seven members, including Jennifer Hyman, a director selected by Ms. Hyman and approved by the Investor Group, a director designated by Gateway Runway, a director designated by Story3, and three directors designated by the Board and subject to the approval of the Investor Majority (as defined in the Investor Rights Agreement). The Reporting Persons nominated Damian Giangiacomo to serve on the Board pursuant to the terms of the Investor Rights Agreement and the Exchange Agreement. On October 28, 2025, Mr. Giangiacomo was appointed to Board. The transactions contemplated by the Exchange Agreement closed on October 28, 2025. Gateway Runway received 3,926,279 shares of Exchange Stock pursuant to the Debt and Equity Purchase Agreement described below. The foregoing description of the Exchange Agreement is qualified in its entirety by reference to the full text thereof, a copy of which is attached hereto as Exhibit 99.2 and incorporated herein by reference. New Credit Agreement On October 28, 2025, the Investor Group, CHS US Management, and the Issuer entered into the New Credit Agreement, which amended and restated the Existing Credit Agreement and provides for $120 million in aggregate principal amount of term loans comprised of (x) $100 million of Exchange Consideration Term Loans and (y) $20 million of new money term loans provided by the Investor Group (the "New Money Term Loans"). All such term loans mature on the fourth anniversary of the Closing and bear interest, at the Issuer's option, at either (i) a bank reference rate, plus 4.00% or (ii) term SOFR plus 5.00%, in each case per annum. The New Credit Agreement also modifies the Existing Credit Agreement in certain other respects, including by temporarily reducing the minimum liquidity maintenance covenant from $30 million to $15 million during the period from the date of the Closing until February 20, 2027, which reverts thereafter to $30 million. The foregoing description of the New Credit Agreement is qualified in its entirety by reference to the full text thereof, a copy of which is attached hereto as Exhibit 99.3 and incorporated herein by reference. Debt and Equity Purchase Agreement In connection with the Exchange Agreement, the Investor Group entered into a Debt and Equity Purchase Agreement (the "Debt and Equity Purchase Agreement") with the Issuer, pursuant to which each of Story3 and Gateway Runway agreed to enter into the New Credit Agreement, to provide its share of the New Money Term Loans, and to purchase (i) $15 million of the</w:t>
      </w:r>
    </w:p>
    <w:p>
      <w:pPr>
        <w:sectPr>
          <w:pgSz w:w="11900" w:h="16838" w:orient="portrait"/>
          <w:cols w:equalWidth="0" w:num="1">
            <w:col w:w="11160"/>
          </w:cols>
          <w:pgMar w:left="360" w:top="111" w:right="379" w:bottom="0" w:gutter="0" w:footer="0" w:header="0"/>
          <w:type w:val="continuous"/>
        </w:sectPr>
      </w:pPr>
    </w:p>
    <w:bookmarkStart w:id="10" w:name="page11"/>
    <w:bookmarkEnd w:id="10"/>
    <w:p>
      <w:pPr>
        <w:ind w:left="940"/>
        <w:spacing w:after="0" w:line="242" w:lineRule="auto"/>
        <w:rPr>
          <w:sz w:val="20"/>
          <w:szCs w:val="20"/>
          <w:color w:val="auto"/>
        </w:rPr>
      </w:pPr>
      <w:r>
        <w:rPr>
          <w:rFonts w:ascii="Times New Roman" w:cs="Times New Roman" w:eastAsia="Times New Roman" w:hAnsi="Times New Roman"/>
          <w:sz w:val="21"/>
          <w:szCs w:val="21"/>
          <w:color w:val="auto"/>
        </w:rPr>
        <w:t>Exchange Consideration Term Loans from CHS US Investments and (ii) 15% of the Exchange Stock from CHS US Investments for an aggregate purchase price of $15 million. The transactions contemplated by the Debt and Equity Purchase Agreement closed on October 28, 2025, and Gateway Runway purchased an aggregate of 3,926,279 shares of Class A Common Stock from CHS US Investments. Investor Rights Agreement In connection with the Exchange Agreement, on August 20, 2025, the Investor Group entered into an investor rights agreement (the "Investor Rights Agreement") with the Issuer and certain entities affiliated with Jennifer Hyman, which such Investor Rights Agreement took effect at the Closing. Pursuant to the Investor Rights Agreement, the Issuer is required to file with the Securities and Exchange Commission within 20 days of the Closing a shelf registration statement registering the resale of Class A Common Stock held by the Investor Group and Ms. Hyman, and grants certain demand, piggyback and shelf registration rights to the Investor Group and Ms. Hyman. The Investor Rights Agreement also provides for certain board designation rights of the Investor Group and Ms. Hyman following the Closing. Pursuant to the Investor Rights Agreement, for so long as they meet certain minimum ownership thresholds, each of Story3 and Gateway Runway will be entitled to designate one director to the Board, and the Board will designate three directors to the Board, subject to the approval of the Investor Majority and after considering in good faith Ms. Hyman's views in connection therewith. In addition, the Investor Rights Agreement provides that, so long as Ms. Hyman serves as Chief Executive Officer of the Issuer, she will be designated as a member of the Board, and, for so long as she continues to own a specified minimum number of Class A Common Stock, Ms. Hyman will be entitled to appoint one additional director to the Board, subject to the reasonable approval of the Investor Majority. Subject to certain minimum ownership thresholds, each of Ms. Hyman, Gateway Runway and Story3 are also entitled to appoint a non-voting Board observer, and CHS US Investments is entitled to appoint two non-voting Board observers; provided, that (i) each of Story3 and Gateway Runway have the right to designate one Board observer in total pursuant to the Investor Rights Agreement and the New Credit Agreement and (ii) CHS US Investments has the right to designate two Board observers in total pursuant to the Investor Rights Agreement and the New Credit Agreement. The foregoing description of the Investor Rights Agreement is qualified in its entirety by reference to the full text thereof, a copy of which is attached hereto as Exhibit 99.4 and incorporated herein by reference. Rights Offering Backstop Agreement Pursuant to the Exchange Agreement, the Issuer conducted a $12,500,000 rights offering (the "Rights Offering") which closed on October 21, 2025. In connection with the Rights Offering, the Investor Group entered into the Rights Offering Backstop Agreement, dated August 20, 2025 (the "Rights Offering Backstop Agreement"), pursuant to which the Investor Group agreed to purchase from the Issuer, at a price of $4.08 per share, all unsubscribed shares of Class A Common Stock to be issued in connection with the Rights Offering, on the terms and subject to the conditions set forth in the Rights Offering Backstop Agreement. On October 23, 2025, the Issuer delivered to Gateway Runway a subscription notice with respect to its portion of the unsubscribed shares from the Rights Offering. As a result of the subscription notice, and pursuant to the Rights Offering Backstop Agreement, Gateway Runway purchased 348,115 shares of Class A Common Stock at a purchase price of $4.08 per share. The foregoing description of the Investor Rights Agreement is qualified in its entirety by reference to the full text thereof, a copy of which is attached hereto as Exhibit 99.5 and incorporated herein by reference. General The Reporting Persons acquired the securities described in this Schedule 13D for investment purposes and they intend to review their investments in the Issuer on a continuing basis. Any actions the Reporting Persons might undertake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The Reporting Persons may acquire additional securities of the Issuer, or retain or sell all or a portion of the securities then held, in the open market or in privately negotiated transactions. In addition, the Reporting Persons may engage in discussions with management, the Board, and other securityholders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Class A Common Stock; security offerings and/or stock repurchases by the Issuer; sales or acquisitions of assets or businesses; changes to the capitalization or dividend policy of the Issuer; or other material changes to the Issuer's business or corporate structure, including changes in management or the composition of the Board. 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 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pacing w:after="0" w:line="200" w:lineRule="exact"/>
        <w:rPr>
          <w:sz w:val="20"/>
          <w:szCs w:val="20"/>
          <w:color w:val="auto"/>
        </w:rPr>
      </w:pPr>
    </w:p>
    <w:p>
      <w:pPr>
        <w:spacing w:after="0" w:line="31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80"/>
        <w:spacing w:after="0" w:line="249" w:lineRule="auto"/>
        <w:rPr>
          <w:sz w:val="20"/>
          <w:szCs w:val="20"/>
          <w:color w:val="auto"/>
        </w:rPr>
      </w:pPr>
      <w:r>
        <w:rPr>
          <w:rFonts w:ascii="Times New Roman" w:cs="Times New Roman" w:eastAsia="Times New Roman" w:hAnsi="Times New Roman"/>
          <w:sz w:val="21"/>
          <w:szCs w:val="21"/>
          <w:color w:val="auto"/>
        </w:rPr>
        <w:t>The beneficial ownership percentages reported herein are based on 33,358,709 shares of Class A Common Stock outstanding, after giving effect to the transactions disclosed herein. Gateway Runway directly holds 4,274,394 shares of Class A Common Stock. Gateway Runway is jointly owned by Gateway Runway Intermediate and Nexus SS III.</w:t>
      </w:r>
    </w:p>
    <w:p>
      <w:pPr>
        <w:spacing w:after="0" w:line="1" w:lineRule="exact"/>
        <w:rPr>
          <w:sz w:val="20"/>
          <w:szCs w:val="20"/>
          <w:color w:val="auto"/>
        </w:rPr>
      </w:pPr>
    </w:p>
    <w:p>
      <w:pPr>
        <w:ind w:left="940" w:right="240" w:hanging="932"/>
        <w:spacing w:after="0" w:line="234" w:lineRule="auto"/>
        <w:tabs>
          <w:tab w:leader="none" w:pos="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Nexus SS III Cayman is the limited partner Nexus SS III. Nexus Capital Management is the investment manager of Nexus SS III and Nexus SS III Cayman. Nexus SS GP III is the general partner of Nexus SS III and Nexus SS III Cayman. Nexus Partners is the general partner of Nexus SS GP III. Mr. Giangiacomo, Mr. Cohen and Mr. Flesh are the owners of Nexus Capital Management and Nexus Partners.</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the cover pages of this Schedule 13D is incorporated by reference into this Item 5(b).</w:t>
      </w:r>
    </w:p>
    <w:p>
      <w:pPr>
        <w:sectPr>
          <w:pgSz w:w="11900" w:h="16838" w:orient="portrait"/>
          <w:cols w:equalWidth="0" w:num="1">
            <w:col w:w="11160"/>
          </w:cols>
          <w:pgMar w:left="360" w:top="112" w:right="379" w:bottom="0" w:gutter="0" w:footer="0" w:header="0"/>
        </w:sectPr>
      </w:pPr>
    </w:p>
    <w:bookmarkStart w:id="11" w:name="page12"/>
    <w:bookmarkEnd w:id="11"/>
    <w:p>
      <w:pPr>
        <w:ind w:left="940" w:right="120"/>
        <w:spacing w:after="0" w:line="244" w:lineRule="auto"/>
        <w:rPr>
          <w:sz w:val="20"/>
          <w:szCs w:val="20"/>
          <w:color w:val="auto"/>
        </w:rPr>
      </w:pPr>
      <w:r>
        <w:rPr>
          <w:rFonts w:ascii="Times New Roman" w:cs="Times New Roman" w:eastAsia="Times New Roman" w:hAnsi="Times New Roman"/>
          <w:sz w:val="21"/>
          <w:szCs w:val="21"/>
          <w:color w:val="auto"/>
        </w:rPr>
        <w:t>Based on the terms of the Exchange Agreement, the Debt and Equity Purchase Agreement and the Rights Offering Backstop Agreement, the Reporting Persons believe Story3 has beneficial ownership of 4,274,394 shares of Class A Common Stock, or 12.8% of the Issuer's outstanding shares of Class A Common Stock, after giving effect to the transactions reported herein, and CHS US Investments has beneficial ownership of 19,983,656 shares of Class A Common Stock, or 59.9% of the Issuer's outstanding shares of Class A Common Stock, after giving effect to the transactions reported herein. Accordingly, the Reporting Persons believe that collectively, the Reporting Persons, Story3, and CHS US Investments have beneficial ownership of 28,532,444 shares of Class A Common Stock, or approximately 85.5% of the Issuer's outstanding shares of Class A Common Stock. The Reporting Persons expressly disclaim the existence of, or membership in a "group" within the meaning of Section 13(d)(3) of the Act and Rule</w:t>
      </w:r>
    </w:p>
    <w:p>
      <w:pPr>
        <w:spacing w:after="0" w:line="2" w:lineRule="exact"/>
        <w:rPr>
          <w:sz w:val="20"/>
          <w:szCs w:val="20"/>
          <w:color w:val="auto"/>
        </w:rPr>
      </w:pPr>
    </w:p>
    <w:p>
      <w:pPr>
        <w:ind w:left="940" w:right="20"/>
        <w:spacing w:after="0" w:line="232" w:lineRule="auto"/>
        <w:rPr>
          <w:sz w:val="20"/>
          <w:szCs w:val="20"/>
          <w:color w:val="auto"/>
        </w:rPr>
      </w:pPr>
      <w:r>
        <w:rPr>
          <w:rFonts w:ascii="Times New Roman" w:cs="Times New Roman" w:eastAsia="Times New Roman" w:hAnsi="Times New Roman"/>
          <w:sz w:val="22"/>
          <w:szCs w:val="22"/>
          <w:color w:val="auto"/>
        </w:rPr>
        <w:t>13d-5(b) thereunder with Story3 or CHS US Investments, as well as beneficial ownership with respect to any shares of Class A Common Stock beneficially owned by Story3 and CHS US Investments, and neither the filing of this Statement on Schedule 13D nor any of its contents shall be deemed to constitute an admission by any Reporting Person that it is the beneficial owner of any of the shares of Class A Common Stock referred to herein for purposes of Section 13(d) of the Act, or for any other purpose, and such beneficial ownership is expressly disclaimed by the Reporting Persons.</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information set forth in Item 4 of this Schedule 13D is incorporated by reference into this Item 5(c). Except as</w:t>
      </w:r>
    </w:p>
    <w:p>
      <w:pPr>
        <w:spacing w:after="0" w:line="14" w:lineRule="exact"/>
        <w:rPr>
          <w:sz w:val="20"/>
          <w:szCs w:val="20"/>
          <w:color w:val="auto"/>
        </w:rPr>
      </w:pPr>
    </w:p>
    <w:p>
      <w:pPr>
        <w:ind w:left="940" w:right="360" w:hanging="932"/>
        <w:spacing w:after="0" w:line="237" w:lineRule="auto"/>
        <w:tabs>
          <w:tab w:leader="none" w:pos="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disclosed herein, none of the Reporting Persons has effected any transaction with respect to the Class A Common Stock in the past 60 days.</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jc w:val="both"/>
        <w:ind w:left="940" w:right="540"/>
        <w:spacing w:after="0" w:line="244" w:lineRule="auto"/>
        <w:rPr>
          <w:sz w:val="20"/>
          <w:szCs w:val="20"/>
          <w:color w:val="auto"/>
        </w:rPr>
      </w:pPr>
      <w:r>
        <w:rPr>
          <w:rFonts w:ascii="Times New Roman" w:cs="Times New Roman" w:eastAsia="Times New Roman" w:hAnsi="Times New Roman"/>
          <w:sz w:val="22"/>
          <w:szCs w:val="22"/>
          <w:color w:val="auto"/>
        </w:rPr>
        <w:t>The information set forth in Item 4 of this Schedule 13D is incorporated by reference into this Item 6. Except as otherwise described in this Schedule 13D, there are no contracts, arrangements, understandings or relationships between the Reporting Persons and any other person with respect to any securities of the Issuer.</w:t>
      </w:r>
    </w:p>
    <w:p>
      <w:pPr>
        <w:spacing w:after="0" w:line="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20"/>
        <w:spacing w:after="0" w:line="236" w:lineRule="auto"/>
        <w:rPr>
          <w:sz w:val="20"/>
          <w:szCs w:val="20"/>
          <w:color w:val="auto"/>
        </w:rPr>
      </w:pPr>
      <w:r>
        <w:rPr>
          <w:rFonts w:ascii="Times New Roman" w:cs="Times New Roman" w:eastAsia="Times New Roman" w:hAnsi="Times New Roman"/>
          <w:sz w:val="22"/>
          <w:szCs w:val="22"/>
          <w:color w:val="auto"/>
        </w:rPr>
        <w:t>Exhibit 99.1 - Joint Filing Agreement Exhibit 99.2 - Exchange Agreement (incorporated by reference to Exhibit 10.1 of the Issuer's Current Report on Form 8-K filed on August 21 2025) Exhibit 99.3 - New Credit Agreement (incorporated by reference to Exhibit 10.1 of the Issuer's Current Report on Form 8-K filed on October 29, 2025) Exhibit 99.4 - Investor Rights Agreement (incorporated by reference to Exhibit 10.2 of the Issuer's Current Report on Form 8-K filed on August 21 2025) Exhibit 99.5 - Rights Offering Backstop Agreement (incorporated by reference to Exhibit 10.3 of the Issuer's Current Report on Form 8-K filed on August 21 2025)</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Gateway Runway, LLC</w:t>
      </w:r>
    </w:p>
    <w:p>
      <w:pPr>
        <w:spacing w:after="0" w:line="152"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Name/Title: Damian Giangiacomo, President</w:t>
      </w:r>
    </w:p>
    <w:p>
      <w:pPr>
        <w:spacing w:after="0" w:line="44"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Gateway Runway Intermediate Holdings, Inc.</w:t>
      </w:r>
    </w:p>
    <w:p>
      <w:pPr>
        <w:spacing w:after="0" w:line="152"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Name/Title: Damian Giangiacomo, President</w:t>
      </w:r>
    </w:p>
    <w:p>
      <w:pPr>
        <w:spacing w:after="0" w:line="44"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Nexus Special Situations III, L.P.</w:t>
      </w:r>
    </w:p>
    <w:p>
      <w:pPr>
        <w:spacing w:after="0" w:line="152" w:lineRule="exact"/>
        <w:rPr>
          <w:sz w:val="20"/>
          <w:szCs w:val="20"/>
          <w:color w:val="auto"/>
        </w:rPr>
      </w:pPr>
    </w:p>
    <w:p>
      <w:pPr>
        <w:ind w:left="5160"/>
        <w:spacing w:after="0"/>
        <w:tabs>
          <w:tab w:leader="none" w:pos="6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Name/Title: Damian Giangiacomo, Authorized Signatory</w:t>
      </w:r>
    </w:p>
    <w:p>
      <w:pPr>
        <w:spacing w:after="0" w:line="44" w:lineRule="exact"/>
        <w:rPr>
          <w:sz w:val="20"/>
          <w:szCs w:val="20"/>
          <w:color w:val="auto"/>
        </w:rPr>
      </w:pPr>
    </w:p>
    <w:p>
      <w:pPr>
        <w:ind w:left="5160"/>
        <w:spacing w:after="0"/>
        <w:tabs>
          <w:tab w:leader="none" w:pos="6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Nexus Special Situations III (Cayman) L.P.</w:t>
      </w:r>
    </w:p>
    <w:p>
      <w:pPr>
        <w:spacing w:after="0" w:line="152" w:lineRule="exact"/>
        <w:rPr>
          <w:sz w:val="20"/>
          <w:szCs w:val="20"/>
          <w:color w:val="auto"/>
        </w:rPr>
      </w:pPr>
    </w:p>
    <w:p>
      <w:pPr>
        <w:ind w:left="5160"/>
        <w:spacing w:after="0"/>
        <w:tabs>
          <w:tab w:leader="none" w:pos="6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Name/Title: Damian Giangiacomo, Authorized Signatory</w:t>
      </w:r>
    </w:p>
    <w:p>
      <w:pPr>
        <w:spacing w:after="0" w:line="44" w:lineRule="exact"/>
        <w:rPr>
          <w:sz w:val="20"/>
          <w:szCs w:val="20"/>
          <w:color w:val="auto"/>
        </w:rPr>
      </w:pPr>
    </w:p>
    <w:p>
      <w:pPr>
        <w:ind w:left="5160"/>
        <w:spacing w:after="0"/>
        <w:tabs>
          <w:tab w:leader="none" w:pos="6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Nexus Capital Management LP</w:t>
      </w:r>
    </w:p>
    <w:p>
      <w:pPr>
        <w:spacing w:after="0" w:line="152" w:lineRule="exact"/>
        <w:rPr>
          <w:sz w:val="20"/>
          <w:szCs w:val="20"/>
          <w:color w:val="auto"/>
        </w:rPr>
      </w:pPr>
    </w:p>
    <w:p>
      <w:pPr>
        <w:ind w:left="5160"/>
        <w:spacing w:after="0"/>
        <w:tabs>
          <w:tab w:leader="none" w:pos="6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Name/Title: Damian Giangiacomo, Authorized Signatory</w:t>
      </w:r>
    </w:p>
    <w:p>
      <w:pPr>
        <w:spacing w:after="0" w:line="44" w:lineRule="exact"/>
        <w:rPr>
          <w:sz w:val="20"/>
          <w:szCs w:val="20"/>
          <w:color w:val="auto"/>
        </w:rPr>
      </w:pPr>
    </w:p>
    <w:p>
      <w:pPr>
        <w:ind w:left="5160"/>
        <w:spacing w:after="0"/>
        <w:tabs>
          <w:tab w:leader="none" w:pos="6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ectPr>
          <w:pgSz w:w="11900" w:h="16838" w:orient="portrait"/>
          <w:cols w:equalWidth="0" w:num="1">
            <w:col w:w="11140"/>
          </w:cols>
          <w:pgMar w:left="360" w:top="112" w:right="399" w:bottom="0" w:gutter="0" w:footer="0" w:header="0"/>
        </w:sectPr>
      </w:pPr>
    </w:p>
    <w:bookmarkStart w:id="12" w:name="page13"/>
    <w:bookmarkEnd w:id="12"/>
    <w:p>
      <w:pPr>
        <w:ind w:left="2320"/>
        <w:spacing w:after="0"/>
        <w:rPr>
          <w:sz w:val="20"/>
          <w:szCs w:val="20"/>
          <w:color w:val="auto"/>
        </w:rPr>
      </w:pPr>
      <w:r>
        <w:rPr>
          <w:rFonts w:ascii="Times New Roman" w:cs="Times New Roman" w:eastAsia="Times New Roman" w:hAnsi="Times New Roman"/>
          <w:sz w:val="22"/>
          <w:szCs w:val="22"/>
          <w:color w:val="auto"/>
        </w:rPr>
        <w:t>Nexus Special Situations GP III, L.P.</w:t>
      </w:r>
    </w:p>
    <w:p>
      <w:pPr>
        <w:spacing w:after="0" w:line="153"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Name/Title: Damian Giangiacomo, Authorized Signatory</w:t>
      </w:r>
    </w:p>
    <w:p>
      <w:pPr>
        <w:spacing w:after="0" w:line="56"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Nexus Partners III, LLC</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Damian Giangiacomo, Manager</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Damian Giangiacomo</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Damian Giangiacomo</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Michael Cohen</w:t>
      </w:r>
    </w:p>
    <w:p>
      <w:pPr>
        <w:spacing w:after="0" w:line="152"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Cohen</w:t>
      </w:r>
    </w:p>
    <w:p>
      <w:pPr>
        <w:spacing w:after="0" w:line="4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Name/Title: Michael Cohen</w:t>
      </w:r>
    </w:p>
    <w:p>
      <w:pPr>
        <w:spacing w:after="0" w:line="44"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Daniel Flesh</w:t>
      </w:r>
    </w:p>
    <w:p>
      <w:pPr>
        <w:spacing w:after="0" w:line="152" w:lineRule="exact"/>
        <w:rPr>
          <w:sz w:val="20"/>
          <w:szCs w:val="20"/>
          <w:color w:val="auto"/>
        </w:rPr>
      </w:pPr>
    </w:p>
    <w:p>
      <w:pPr>
        <w:ind w:left="1560"/>
        <w:spacing w:after="0"/>
        <w:tabs>
          <w:tab w:leader="none" w:pos="2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Flesh</w:t>
      </w:r>
    </w:p>
    <w:p>
      <w:pPr>
        <w:spacing w:after="0" w:line="4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Name/Title: Daniel Flesh</w:t>
      </w:r>
    </w:p>
    <w:p>
      <w:pPr>
        <w:spacing w:after="0" w:line="44" w:lineRule="exact"/>
        <w:rPr>
          <w:sz w:val="20"/>
          <w:szCs w:val="20"/>
          <w:color w:val="auto"/>
        </w:rPr>
      </w:pPr>
    </w:p>
    <w:p>
      <w:pPr>
        <w:ind w:left="1560"/>
        <w:spacing w:after="0"/>
        <w:tabs>
          <w:tab w:leader="none" w:pos="2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ectPr>
          <w:pgSz w:w="11900" w:h="16838" w:orient="portrait"/>
          <w:cols w:equalWidth="0" w:num="1">
            <w:col w:w="9060"/>
          </w:cols>
          <w:pgMar w:left="1440" w:top="112" w:right="139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w:t>
      </w:r>
    </w:p>
    <w:p>
      <w:pPr>
        <w:spacing w:after="0" w:line="206"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The persons below hereby agree that the Schedule 13D to which this agreement is attached as an exhibit, as well as all future amendments to such Schedule 13D, shall be filed on behalf of each of them. This agreement is intended to satisfy the requirements of Rule 13d-1(k)(1)(iii) under the Securities Exchange Act of 1934.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October 29, 2025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GATEWAY RUNWAY,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22612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61235" cy="8890"/>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Damian Giangiacomo</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GATEWAY RUNWAY INTERMEDIATE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22612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61235" cy="8890"/>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Damian Giangiacomo</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NEXUS SPECIAL SITUATIONS III,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22612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61235" cy="8890"/>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Damian Giangiacomo</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NEXUS SPECIAL SITUATIONS III (CAYMAN)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22612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61235" cy="8255"/>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Damian Giangiacomo</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NEXUS SPECIAL SITUATIONS GP III,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22612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61235" cy="8890"/>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Damian Giangiacomo</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NEXUS PARTNERS III,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22612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61235" cy="8255"/>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Damian Giangiacomo</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NEXUS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 w:name="page15"/>
    <w:bookmarkEnd w:id="14"/>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22612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61235" cy="8890"/>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Damian Giangiacomo</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DANIEL GIANGIACOMO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Daniel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7589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589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COHEN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Michael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5074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DANIEL FLESH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Daniel Flesh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7589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5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2"/>
      <w:numFmt w:val="bullet"/>
      <w:start w:val="1"/>
    </w:lvl>
  </w:abstractNum>
  <w:abstractNum w:abstractNumId="2">
    <w:nsid w:val="515F007C"/>
    <w:multiLevelType w:val="hybridMultilevel"/>
    <w:lvl w:ilvl="0">
      <w:lvlJc w:val="left"/>
      <w:lvlText w:val="3"/>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3"/>
      <w:numFmt w:val="bullet"/>
      <w:start w:val="1"/>
    </w:lvl>
  </w:abstractNum>
  <w:abstractNum w:abstractNumId="8">
    <w:nsid w:val="1190CDE7"/>
    <w:multiLevelType w:val="hybridMultilevel"/>
    <w:lvl w:ilvl="0">
      <w:lvlJc w:val="left"/>
      <w:lvlText w:val="%1"/>
      <w:numFmt w:val="decimal"/>
      <w:start w:val="13"/>
    </w:lvl>
  </w:abstractNum>
  <w:abstractNum w:abstractNumId="9">
    <w:nsid w:val="66EF438D"/>
    <w:multiLevelType w:val="hybridMultilevel"/>
    <w:lvl w:ilvl="0">
      <w:lvlJc w:val="left"/>
      <w:lvlText w:val="2"/>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2025-10-29T19:14:25Z</dcterms:created>
  <dcterms:modified xsi:type="dcterms:W3CDTF">2025-10-29T19:14:25Z</dcterms:modified>
</cp:coreProperties>
</file>