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4665893.xml.htm"/>
      <w:bookmarkStart w:id="1" w:name="kswkform3_178466589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Sastri Suchitra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RENT THE RUNWAY,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JAY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BROOKLYN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07/14/2026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Rent the Runway, Inc.</w:t>
              </w:r>
            </w:hyperlink>
            <w:r>
              <w:rPr/>
              <w:t xml:space="preserve"> [ </w:t>
            </w:r>
            <w:r>
              <w:rPr>
                <w:rFonts w:ascii="Times;serif" w:hAnsi="Times;serif"/>
                <w:color w:val="0000FF"/>
                <w:sz w:val="24"/>
                <w:shd w:fill="FFFFFF" w:val="clear"/>
              </w:rPr>
              <w:t>RENT</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Schembri as Attorney-in-fact for Suchitra Sastri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24.1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16 AND FORM 144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With respect to holdings of and transactions in securities issued by Rent the Runway, Inc.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xml:space="preserve">), the undersigned hereby constitutes and appoints the individuals named on </w:t>
      </w:r>
      <w:r>
        <w:rPr>
          <w:rFonts w:ascii="Times New Roman;serif" w:hAnsi="Times New Roman;serif"/>
          <w:b/>
          <w:color w:val="000000"/>
          <w:sz w:val="20"/>
          <w:u w:val="single"/>
        </w:rPr>
        <w:t>Schedule A</w:t>
      </w:r>
      <w:r>
        <w:rPr>
          <w:color w:val="000000"/>
        </w:rPr>
        <w:t xml:space="preserve"> </w:t>
      </w:r>
      <w:r>
        <w:rPr>
          <w:rFonts w:ascii="Times New Roman;serif" w:hAnsi="Times New Roman;serif"/>
          <w:b w:val="false"/>
          <w:color w:val="000000"/>
          <w:sz w:val="20"/>
        </w:rPr>
        <w:t>attached hereto and as may be amended from time to time, or any of them signing singly, with full power of substitution and resubstitution, to act as the undersigned’s true and lawful attorney-in-fact to:</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1.execute for and on behalf of the undersigned, Schedules 13D and 13G in accordance with Section 13 of the Securities Exchange Act of 1934, as amended (the “</w:t>
      </w:r>
      <w:r>
        <w:rPr>
          <w:rFonts w:ascii="Times New Roman;serif" w:hAnsi="Times New Roman;serif"/>
          <w:b/>
          <w:i/>
          <w:color w:val="000000"/>
          <w:sz w:val="20"/>
        </w:rPr>
        <w:t>Exchange Act</w:t>
      </w:r>
      <w:r>
        <w:rPr>
          <w:color w:val="000000"/>
        </w:rPr>
        <w:t>”</w:t>
      </w:r>
      <w:r>
        <w:rPr>
          <w:rFonts w:ascii="Times New Roman;serif" w:hAnsi="Times New Roman;serif"/>
          <w:b w:val="false"/>
          <w:color w:val="000000"/>
          <w:sz w:val="20"/>
        </w:rPr>
        <w:t>), and the rules thereunder, and Forms 3, 4, and 5 in accordance with Section 16 of the Exchange Act and the rules thereunder, and Notices of Proposed Sale of Securities Pursuant to Rule 144 (</w:t>
      </w:r>
      <w:r>
        <w:rPr>
          <w:color w:val="000000"/>
        </w:rPr>
        <w:t>“</w:t>
      </w:r>
      <w:r>
        <w:rPr>
          <w:rFonts w:ascii="Times New Roman;serif" w:hAnsi="Times New Roman;serif"/>
          <w:b/>
          <w:i/>
          <w:color w:val="000000"/>
          <w:sz w:val="20"/>
        </w:rPr>
        <w:t>Form 144”</w:t>
      </w:r>
      <w:r>
        <w:rPr>
          <w:rFonts w:ascii="Times New Roman;serif" w:hAnsi="Times New Roman;serif"/>
          <w:b w:val="false"/>
          <w:color w:val="000000"/>
          <w:sz w:val="20"/>
        </w:rPr>
        <w:t>), in accordance with the requirements of Rule 144 under the Securities Act of 1933, as amended (the “</w:t>
      </w:r>
      <w:r>
        <w:rPr>
          <w:rFonts w:ascii="Times New Roman;serif" w:hAnsi="Times New Roman;serif"/>
          <w:b/>
          <w:i/>
          <w:color w:val="000000"/>
          <w:sz w:val="20"/>
        </w:rPr>
        <w:t>Securities Act</w:t>
      </w:r>
      <w:r>
        <w:rPr>
          <w:color w:val="000000"/>
        </w:rPr>
        <w:t>”</w:t>
      </w:r>
      <w:r>
        <w:rPr>
          <w:rFonts w:ascii="Times New Roman;serif" w:hAnsi="Times New Roman;serif"/>
          <w:b w:val="false"/>
          <w:color w:val="000000"/>
          <w:sz w:val="20"/>
        </w:rPr>
        <w:t xml:space="preserve">);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2.obtain and maintain credentials, including through the submission of any Form ID, amended Form ID or passphrase update application, to enable the undersigned, directly or indirectly including through a delegated entity, account administrator or other designated filing agent, to submit and file information and documents via the SEC’s Electronic Data Gathering and Retrieval (“</w:t>
      </w:r>
      <w:r>
        <w:rPr>
          <w:rFonts w:ascii="Times New Roman;serif" w:hAnsi="Times New Roman;serif"/>
          <w:b/>
          <w:i/>
          <w:color w:val="000000"/>
          <w:sz w:val="20"/>
        </w:rPr>
        <w:t>EDGAR</w:t>
      </w:r>
      <w:r>
        <w:rPr>
          <w:color w:val="000000"/>
        </w:rPr>
        <w:t>”</w:t>
      </w:r>
      <w:r>
        <w:rPr>
          <w:rFonts w:ascii="Times New Roman;serif" w:hAnsi="Times New Roman;serif"/>
          <w:b w:val="false"/>
          <w:color w:val="000000"/>
          <w:sz w:val="20"/>
        </w:rPr>
        <w:t>) system or successor EDGAR Next, including identification codes, verification codes, passwords and password management codes, and any related annual certifications or confirmations, and to act as the undersigned’s agent for such purposes; and</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3.do and perform any and all acts for and on behalf of the undersigned which may be necessary or desirable to complete and execute any such Schedule 13D, Schedule 13G, Form 3, Form 4, Form 5, and Form 144, complete and execute any amendment or amendments thereto, timely file such Schedule 13D, Schedule 13G, Form 3, Form 4, Form 5, and Form 144, as applicable, and any amendment thereto, with the United States Securities and Exchange Commission and any stock exchange or similar authority, and take any other action of any type whatsoever in connection with the foregoing which, in the opinion of any such attorney-in-fact, may be of benefit to, in the best interest of, or legally required by, the undersigned.</w:t>
      </w:r>
    </w:p>
    <w:p>
      <w:pPr>
        <w:pStyle w:val="TextBody"/>
        <w:bidi w:val="0"/>
        <w:spacing w:before="0" w:after="0"/>
        <w:jc w:val="left"/>
        <w:rPr/>
      </w:pPr>
      <w:r>
        <w:rPr/>
      </w:r>
    </w:p>
    <w:p>
      <w:pPr>
        <w:pStyle w:val="TextBody"/>
        <w:bidi w:val="0"/>
        <w:spacing w:lineRule="auto" w:line="268" w:before="0" w:after="0"/>
        <w:ind w:left="0" w:right="0" w:hanging="2"/>
        <w:jc w:val="both"/>
        <w:rPr>
          <w:rFonts w:ascii="Times New Roman;serif" w:hAnsi="Times New Roman;serif"/>
          <w:b w:val="false"/>
          <w:color w:val="000000"/>
          <w:sz w:val="20"/>
        </w:rPr>
      </w:pPr>
      <w:r>
        <w:rPr>
          <w:rFonts w:ascii="Times New Roman;serif" w:hAnsi="Times New Roman;serif"/>
          <w:b w:val="false"/>
          <w:color w:val="000000"/>
          <w:sz w:val="20"/>
        </w:rPr>
        <w:t xml:space="preserve">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 </w:t>
      </w:r>
    </w:p>
    <w:p>
      <w:pPr>
        <w:pStyle w:val="TextBody"/>
        <w:bidi w:val="0"/>
        <w:spacing w:before="0" w:after="0"/>
        <w:jc w:val="left"/>
        <w:rPr/>
      </w:pPr>
      <w:r>
        <w:rPr/>
      </w:r>
    </w:p>
    <w:p>
      <w:pPr>
        <w:pStyle w:val="TextBody"/>
        <w:bidi w:val="0"/>
        <w:spacing w:lineRule="auto" w:line="268" w:before="0" w:after="0"/>
        <w:ind w:left="0" w:right="0" w:hanging="2"/>
        <w:jc w:val="both"/>
        <w:rPr>
          <w:rFonts w:ascii="Times New Roman;serif" w:hAnsi="Times New Roman;serif"/>
          <w:b w:val="false"/>
          <w:color w:val="000000"/>
          <w:sz w:val="20"/>
        </w:rPr>
      </w:pPr>
      <w:r>
        <w:rPr>
          <w:rFonts w:ascii="Times New Roman;serif" w:hAnsi="Times New Roman;serif"/>
          <w:b w:val="false"/>
          <w:color w:val="000000"/>
          <w:sz w:val="20"/>
        </w:rPr>
        <w:t xml:space="preserve">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 </w:t>
      </w:r>
    </w:p>
    <w:p>
      <w:pPr>
        <w:pStyle w:val="TextBody"/>
        <w:bidi w:val="0"/>
        <w:spacing w:before="0" w:after="0"/>
        <w:jc w:val="left"/>
        <w:rPr/>
      </w:pPr>
      <w:r>
        <w:rPr/>
      </w:r>
    </w:p>
    <w:p>
      <w:pPr>
        <w:pStyle w:val="TextBody"/>
        <w:bidi w:val="0"/>
        <w:spacing w:lineRule="auto" w:line="268" w:before="0" w:after="0"/>
        <w:ind w:left="0" w:right="0" w:hanging="2"/>
        <w:jc w:val="both"/>
        <w:rPr>
          <w:rFonts w:ascii="Times New Roman;serif" w:hAnsi="Times New Roman;serif"/>
          <w:b w:val="false"/>
          <w:color w:val="000000"/>
          <w:sz w:val="20"/>
        </w:rPr>
      </w:pPr>
      <w:r>
        <w:rPr>
          <w:rFonts w:ascii="Times New Roman;serif" w:hAnsi="Times New Roman;serif"/>
          <w:b w:val="false"/>
          <w:color w:val="000000"/>
          <w:sz w:val="20"/>
        </w:rPr>
        <w:t xml:space="preserve">This Power of Attorney shall remain in full force and effect until the undersigned is no longer required to file any Schedule 13D, Schedule 13G, Form 3, Form 4, Form 5, and Form 144 with respect to the undersigned’s holdings of and transactions in securities issued by the Company, unless earlier revoked by the undersigned in a signed writing delivered to the foregoing attorneys-in-fact.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WITNESS WHEREOF, the undersigned has caused this Power of Attorney to be executed as of this 15th day of July, 2026.</w:t>
      </w:r>
    </w:p>
    <w:p>
      <w:pPr>
        <w:pStyle w:val="TextBody"/>
        <w:bidi w:val="0"/>
        <w:spacing w:lineRule="auto" w:line="288"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/s/ Suchitra Sastri</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Suchitra Sastri</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Schedule 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INDIVIDUALS APPOINTED AS ATTORNEY-IN-FACT,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WITH FULL POWER OF SUBSTITUTION AND RESUBSTITUTION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Cara Schembri, Chief Legal &amp; Administrative Officer of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5955" TargetMode="External"/><Relationship Id="rId3" Type="http://schemas.openxmlformats.org/officeDocument/2006/relationships/hyperlink" Target="http://www.sec.gov/cgi-bin/browse-edgar?action=getcompany&amp;CIK=000146832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1037</Words>
  <Characters>5566</Characters>
  <CharactersWithSpaces>6547</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