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151765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3000"/>
        <w:spacing w:after="0"/>
        <w:rPr>
          <w:sz w:val="20"/>
          <w:szCs w:val="20"/>
          <w:color w:val="auto"/>
        </w:rPr>
      </w:pPr>
      <w:r>
        <w:rPr>
          <w:rFonts w:ascii="Arial" w:cs="Arial" w:eastAsia="Arial" w:hAnsi="Arial"/>
          <w:sz w:val="25"/>
          <w:szCs w:val="25"/>
          <w:b w:val="1"/>
          <w:bCs w:val="1"/>
          <w:color w:val="auto"/>
        </w:rPr>
        <w:t>SCHEDULE 14A INFORMATION</w:t>
      </w:r>
    </w:p>
    <w:p>
      <w:pPr>
        <w:spacing w:after="0" w:line="137"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of the Securities Exchange Act of 1934</w:t>
      </w:r>
    </w:p>
    <w:p>
      <w:pPr>
        <w:jc w:val="center"/>
        <w:ind w:right="-34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177800</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63" w:lineRule="exact"/>
        <w:rPr>
          <w:sz w:val="24"/>
          <w:szCs w:val="24"/>
          <w:color w:val="auto"/>
        </w:rPr>
      </w:pPr>
    </w:p>
    <w:p>
      <w:pPr>
        <w:spacing w:after="0" w:line="207" w:lineRule="exact"/>
        <w:tabs>
          <w:tab w:leader="none" w:pos="33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41" w:lineRule="exact"/>
        <w:rPr>
          <w:sz w:val="24"/>
          <w:szCs w:val="24"/>
          <w:color w:val="auto"/>
        </w:rPr>
      </w:pPr>
    </w:p>
    <w:p>
      <w:pPr>
        <w:jc w:val="center"/>
        <w:ind w:right="-340"/>
        <w:spacing w:after="0"/>
        <w:rPr>
          <w:sz w:val="20"/>
          <w:szCs w:val="20"/>
          <w:color w:val="auto"/>
        </w:rPr>
      </w:pPr>
      <w:r>
        <w:rPr>
          <w:rFonts w:ascii="Arial" w:cs="Arial" w:eastAsia="Arial" w:hAnsi="Arial"/>
          <w:sz w:val="43"/>
          <w:szCs w:val="43"/>
          <w:b w:val="1"/>
          <w:bCs w:val="1"/>
          <w:color w:val="auto"/>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64770</wp:posOffset>
            </wp:positionV>
            <wp:extent cx="6035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18" w:lineRule="exact"/>
        <w:rPr>
          <w:sz w:val="24"/>
          <w:szCs w:val="24"/>
          <w:color w:val="auto"/>
        </w:rPr>
      </w:pPr>
    </w:p>
    <w:p>
      <w:pPr>
        <w:ind w:left="29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85"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69215</wp:posOffset>
            </wp:positionV>
            <wp:extent cx="6035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178"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34925</wp:posOffset>
            </wp:positionV>
            <wp:extent cx="6172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39"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4"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530860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307975</wp:posOffset>
            </wp:positionV>
            <wp:extent cx="6172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367665</wp:posOffset>
            </wp:positionV>
            <wp:extent cx="61722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6995160" cy="905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spacing w:after="0"/>
        <w:rPr>
          <w:sz w:val="20"/>
          <w:szCs w:val="20"/>
          <w:color w:val="auto"/>
        </w:rPr>
      </w:pPr>
      <w:r>
        <w:rPr>
          <w:rFonts w:ascii="Arial" w:cs="Arial" w:eastAsia="Arial" w:hAnsi="Arial"/>
          <w:sz w:val="65"/>
          <w:szCs w:val="65"/>
          <w:b w:val="1"/>
          <w:bCs w:val="1"/>
          <w:color w:val="auto"/>
        </w:rPr>
        <w:t>RENT THE RUNWAY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10 Jay Street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11201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May [   ],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85"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color w:val="auto"/>
        </w:rPr>
        <w:t>I am pleased to invite you to attend Rent the Runway, Inc.’s 2026 Annual Meeting of Stockholders (the “Annual Meeting”) to be held on Tuesday, July 14, 2026 at 8:30 a.m., Eastern Time. Our Annual Meeting will be a “virtual meeting” of stockholders, which will be conducted exclusively online via live webcast.</w:t>
      </w:r>
    </w:p>
    <w:p>
      <w:pPr>
        <w:spacing w:after="0" w:line="12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Notice of Meeting and Proxy Statement on the following pages describe the matters to be presented at the Annual Meeting. Details regarding how to attend the meeting and the business to be conducted at the Annual Meeting are more fully described in the Notice of Annual Meeting and Proxy Statement.</w:t>
      </w:r>
    </w:p>
    <w:p>
      <w:pPr>
        <w:spacing w:after="0" w:line="12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Your vote is very important. Whether you plan to participate in the Annual Meeting or not, please be sure to vote. Voting instructions can be found on page </w:t>
      </w:r>
      <w:r>
        <w:rPr>
          <w:rFonts w:ascii="Arial" w:cs="Arial" w:eastAsia="Arial" w:hAnsi="Arial"/>
          <w:sz w:val="18"/>
          <w:szCs w:val="18"/>
          <w:u w:val="single" w:color="auto"/>
          <w:color w:val="0000EE"/>
        </w:rPr>
        <w:t>5</w:t>
      </w:r>
      <w:r>
        <w:rPr>
          <w:rFonts w:ascii="Arial" w:cs="Arial" w:eastAsia="Arial" w:hAnsi="Arial"/>
          <w:sz w:val="18"/>
          <w:szCs w:val="18"/>
          <w:color w:val="auto"/>
        </w:rPr>
        <w:t xml:space="preserve"> of the proxy statement.</w:t>
      </w:r>
    </w:p>
    <w:p>
      <w:pPr>
        <w:spacing w:after="0" w:line="12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On behalf of the Board of Directors and the management team, thank you for your ongoing support of and continued interest in Rent the Runway.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Dhiren Fonseca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rPr>
          <w:sz w:val="20"/>
          <w:szCs w:val="20"/>
          <w:color w:val="auto"/>
        </w:rPr>
      </w:pPr>
      <w:r>
        <w:rPr>
          <w:rFonts w:ascii="Arial" w:cs="Arial" w:eastAsia="Arial" w:hAnsi="Arial"/>
          <w:sz w:val="18"/>
          <w:szCs w:val="18"/>
          <w:color w:val="auto"/>
        </w:rPr>
        <w:t>Rent the Runway,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109220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114" w:right="12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right="1940"/>
        <w:spacing w:after="0" w:line="294" w:lineRule="auto"/>
        <w:rPr>
          <w:sz w:val="20"/>
          <w:szCs w:val="20"/>
          <w:color w:val="auto"/>
        </w:rPr>
      </w:pPr>
      <w:r>
        <w:rPr>
          <w:rFonts w:ascii="Arial" w:cs="Arial" w:eastAsia="Arial" w:hAnsi="Arial"/>
          <w:sz w:val="64"/>
          <w:szCs w:val="64"/>
          <w:b w:val="1"/>
          <w:bCs w:val="1"/>
          <w:color w:val="auto"/>
        </w:rPr>
        <w:t>Notice of 2026 Annual Meeting of Stockholders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July 14,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8:30 a.m. Eastern Time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Place: </w:t>
      </w:r>
      <w:r>
        <w:rPr>
          <w:rFonts w:ascii="Arial" w:cs="Arial" w:eastAsia="Arial" w:hAnsi="Arial"/>
          <w:sz w:val="18"/>
          <w:szCs w:val="18"/>
          <w:color w:val="auto"/>
        </w:rPr>
        <w:t>www.virtualshareholdermeeting.com/RENT2026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May 20, 2026</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Agenda:</w:t>
      </w:r>
    </w:p>
    <w:p>
      <w:pPr>
        <w:spacing w:after="0" w:line="185" w:lineRule="exact"/>
        <w:rPr>
          <w:sz w:val="20"/>
          <w:szCs w:val="20"/>
          <w:color w:val="auto"/>
        </w:rPr>
      </w:pPr>
    </w:p>
    <w:p>
      <w:pPr>
        <w:ind w:left="700" w:right="460" w:hanging="348"/>
        <w:spacing w:after="0" w:line="271"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 Teri Bariquit and Daniel Rosensweig as Class II directors to serve until the 2029 Annual Meeting of Stockholders and until their respective successors shall have been duly elected and qualified;</w:t>
      </w:r>
    </w:p>
    <w:p>
      <w:pPr>
        <w:spacing w:after="0" w:line="113" w:lineRule="exact"/>
        <w:rPr>
          <w:rFonts w:ascii="Arial" w:cs="Arial" w:eastAsia="Arial" w:hAnsi="Arial"/>
          <w:sz w:val="18"/>
          <w:szCs w:val="18"/>
          <w:color w:val="auto"/>
        </w:rPr>
      </w:pPr>
    </w:p>
    <w:p>
      <w:pPr>
        <w:ind w:left="700" w:right="80" w:hanging="348"/>
        <w:spacing w:after="0" w:line="271"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Ratify the appointment of PricewaterhouseCoopers LLP as our independent registered public accounting firm for the fiscal year ending January 31, 2027;</w:t>
      </w:r>
    </w:p>
    <w:p>
      <w:pPr>
        <w:spacing w:after="0" w:line="113" w:lineRule="exact"/>
        <w:rPr>
          <w:rFonts w:ascii="Arial" w:cs="Arial" w:eastAsia="Arial" w:hAnsi="Arial"/>
          <w:sz w:val="18"/>
          <w:szCs w:val="18"/>
          <w:color w:val="auto"/>
        </w:rPr>
      </w:pPr>
    </w:p>
    <w:p>
      <w:pPr>
        <w:ind w:left="700" w:right="100" w:hanging="348"/>
        <w:spacing w:after="0" w:line="24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the amendment and restatement of our Twelfth Amended and Restated Certificate of Incorporation, as amended (the “Charter”) to eliminate the 50,000,000 authorized shares of Class B common stock, none of which are currently outstanding, in the form attached hereto as Annex B-1 (the “Class B Stock Elimination Proposal”);</w:t>
      </w:r>
    </w:p>
    <w:p>
      <w:pPr>
        <w:spacing w:after="0" w:line="146" w:lineRule="exact"/>
        <w:rPr>
          <w:rFonts w:ascii="Arial" w:cs="Arial" w:eastAsia="Arial" w:hAnsi="Arial"/>
          <w:sz w:val="18"/>
          <w:szCs w:val="18"/>
          <w:color w:val="auto"/>
        </w:rPr>
      </w:pPr>
    </w:p>
    <w:p>
      <w:pPr>
        <w:ind w:left="700" w:right="380" w:hanging="348"/>
        <w:spacing w:after="0" w:line="25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the amendment and restatement of the Charter to eliminate the 10,000,000 authorized shares of preferred stock, none of which are currently outstanding, in the form attached hereto as Annex B-2 (the “Preferred Stock Elimination Proposal”);</w:t>
      </w:r>
    </w:p>
    <w:p>
      <w:pPr>
        <w:spacing w:after="0" w:line="128" w:lineRule="exact"/>
        <w:rPr>
          <w:rFonts w:ascii="Arial" w:cs="Arial" w:eastAsia="Arial" w:hAnsi="Arial"/>
          <w:sz w:val="18"/>
          <w:szCs w:val="18"/>
          <w:color w:val="auto"/>
        </w:rPr>
      </w:pPr>
    </w:p>
    <w:p>
      <w:pPr>
        <w:ind w:left="700" w:right="300" w:hanging="348"/>
        <w:spacing w:after="0" w:line="271"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the amendment and restatement of the Charter to eliminate supermajority voting provisions in the form attached hereto as Annex B-3 (the “Supermajority Voting Elimination Proposal”);</w:t>
      </w:r>
    </w:p>
    <w:p>
      <w:pPr>
        <w:spacing w:after="0" w:line="113" w:lineRule="exact"/>
        <w:rPr>
          <w:rFonts w:ascii="Arial" w:cs="Arial" w:eastAsia="Arial" w:hAnsi="Arial"/>
          <w:sz w:val="18"/>
          <w:szCs w:val="18"/>
          <w:color w:val="auto"/>
        </w:rPr>
      </w:pPr>
    </w:p>
    <w:p>
      <w:pPr>
        <w:ind w:left="700" w:hanging="348"/>
        <w:spacing w:after="0" w:line="271"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the amendment and restatement of the Charter to implement quorum requirement for meetings of the Board of Directors in the form attached hereto as Annex B-4 (the “Board Quorum Proposal”);</w:t>
      </w:r>
    </w:p>
    <w:p>
      <w:pPr>
        <w:spacing w:after="0" w:line="126" w:lineRule="exact"/>
        <w:rPr>
          <w:rFonts w:ascii="Arial" w:cs="Arial" w:eastAsia="Arial" w:hAnsi="Arial"/>
          <w:sz w:val="18"/>
          <w:szCs w:val="18"/>
          <w:color w:val="auto"/>
        </w:rPr>
      </w:pPr>
    </w:p>
    <w:p>
      <w:pPr>
        <w:ind w:left="700" w:right="300" w:hanging="348"/>
        <w:spacing w:after="0" w:line="25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the amendment and restatement of the Charter to permit stockholders holding at least 40% of the voting power of all of the then-outstanding Common Stock to call special meetings of stockholders of the Company in the form attached hereto as Annex B-5 (the “Special Meeting Proposal”);</w:t>
      </w:r>
    </w:p>
    <w:p>
      <w:pPr>
        <w:spacing w:after="0" w:line="128" w:lineRule="exact"/>
        <w:rPr>
          <w:rFonts w:ascii="Arial" w:cs="Arial" w:eastAsia="Arial" w:hAnsi="Arial"/>
          <w:sz w:val="18"/>
          <w:szCs w:val="18"/>
          <w:color w:val="auto"/>
        </w:rPr>
      </w:pPr>
    </w:p>
    <w:p>
      <w:pPr>
        <w:ind w:left="700" w:right="440" w:hanging="348"/>
        <w:spacing w:after="0" w:line="271"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the amendment and restatement of the Charter to eliminate the prohibition against stockholders acting by written consent in the form attached hereto as Annex B-6 (the “Written Consent Proposal”);</w:t>
      </w:r>
    </w:p>
    <w:p>
      <w:pPr>
        <w:spacing w:after="0" w:line="113" w:lineRule="exact"/>
        <w:rPr>
          <w:rFonts w:ascii="Arial" w:cs="Arial" w:eastAsia="Arial" w:hAnsi="Arial"/>
          <w:sz w:val="18"/>
          <w:szCs w:val="18"/>
          <w:color w:val="auto"/>
        </w:rPr>
      </w:pPr>
    </w:p>
    <w:p>
      <w:pPr>
        <w:ind w:left="700" w:right="200" w:hanging="348"/>
        <w:spacing w:after="0" w:line="271"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the amendment and restatement of the Charter to limit liability of officers as permitted by law in the form attached hereto as Annex B-7 (the “Officer Exculpation Proposal”);</w:t>
      </w:r>
    </w:p>
    <w:p>
      <w:pPr>
        <w:spacing w:after="0" w:line="126" w:lineRule="exact"/>
        <w:rPr>
          <w:rFonts w:ascii="Arial" w:cs="Arial" w:eastAsia="Arial" w:hAnsi="Arial"/>
          <w:sz w:val="18"/>
          <w:szCs w:val="18"/>
          <w:color w:val="auto"/>
        </w:rPr>
      </w:pPr>
    </w:p>
    <w:p>
      <w:pPr>
        <w:ind w:left="700" w:right="140" w:hanging="348"/>
        <w:spacing w:after="0" w:line="25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the amendment and restatement of the Charter to provide for certain board designation rights and make certain other conforming changes consistent with the Investor Rights Agreement (as defined herein) in the form attached hereto as Annex B-8 (the “Board Designation Rights Proposal”);</w:t>
      </w:r>
    </w:p>
    <w:p>
      <w:pPr>
        <w:spacing w:after="0" w:line="128" w:lineRule="exact"/>
        <w:rPr>
          <w:rFonts w:ascii="Arial" w:cs="Arial" w:eastAsia="Arial" w:hAnsi="Arial"/>
          <w:sz w:val="18"/>
          <w:szCs w:val="18"/>
          <w:color w:val="auto"/>
        </w:rPr>
      </w:pPr>
    </w:p>
    <w:p>
      <w:pPr>
        <w:ind w:left="700" w:right="300" w:hanging="348"/>
        <w:spacing w:after="0" w:line="271"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the amendment and restatement of the Charter to revise certain corporate opportunity provisions, including limiting the definition of “Exempt Person” to designated directors of STORY3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83820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200" w:top="114" w:right="1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Nexus rather than all directors, and eliminating the provision that no director shall be liable to the Company, its subsidiaries, or its stockholders for breach of any duty relating to compliance with such corporate opportunity provisions in the form attached hereto as Annex B-9 (the “Corporate Opportunity Proposal” and, along with the Class B Stock Elimination Proposal, the Preferred Stock Elimination Proposal, the Supermajority Voting Elimination Proposal, the Board Quorum Proposal, the Special Meeting Proposal, the Written Consent Proposal, the Officer Exculpation Proposal and the Board Designation Rights Proposal, the “Charter Amendment Proposals”);</w:t>
      </w:r>
    </w:p>
    <w:p>
      <w:pPr>
        <w:spacing w:after="0" w:line="144" w:lineRule="exact"/>
        <w:rPr>
          <w:sz w:val="20"/>
          <w:szCs w:val="20"/>
          <w:color w:val="auto"/>
        </w:rPr>
      </w:pPr>
    </w:p>
    <w:p>
      <w:pPr>
        <w:ind w:left="700" w:right="100" w:hanging="348"/>
        <w:spacing w:after="0" w:line="24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the First Amendment (the “First Amendment”) to the Second Amended and Restated 2021 Incentive Award Plan (the “2021 Plan” and as amended by the First Amendment, the “Amended Plan”) to increase the maximum number of shares of Class A common stock authorized for issuance under the 2021 Plan by 3,899,439 to 10,171,225 (the “Plan Amendment Proposal”); and</w:t>
      </w:r>
    </w:p>
    <w:p>
      <w:pPr>
        <w:spacing w:after="0" w:line="133" w:lineRule="exact"/>
        <w:rPr>
          <w:rFonts w:ascii="Arial" w:cs="Arial" w:eastAsia="Arial" w:hAnsi="Arial"/>
          <w:sz w:val="18"/>
          <w:szCs w:val="18"/>
          <w:color w:val="auto"/>
        </w:rPr>
      </w:pPr>
    </w:p>
    <w:p>
      <w:pPr>
        <w:ind w:left="700" w:hanging="348"/>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Transact any other business that may properly come before the Annual Meeting.</w:t>
      </w:r>
    </w:p>
    <w:p>
      <w:pPr>
        <w:spacing w:after="0" w:line="29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Holders of record of our outstanding shares of Class A common stock at the close of business on May 20, 2026, are entitled to notice of and to vote at the Annual Meeting. A complete list of these stockholders will be available for examination by any stockholder during the 10 days prior to the Annual Meeting for a purpose relevant to the meeting by sending an email to investors@renttherunway.com and stating the purpose of the request and providing proof of ownership of Rent the Runway stock. This list of stockholders will also be available on the bottom panel of your screen during the meeting after entering the 16-digit control number included on the Notice of Internet Availability of Proxy Materials or any proxy card that you received, or on the materials provided by your bank or broker. The Annual Meeting may be continued, adjourned or postponed from time to time without notice other than by announcement at the Annual Meeting.</w:t>
      </w:r>
    </w:p>
    <w:p>
      <w:pPr>
        <w:spacing w:after="0" w:line="143"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Your vote is important. Whether or not you plan to attend the Annual Meeting, we encourage you to read the accompanying proxy statement and to submit your proxy or voting instructions as soon as possible. Even if you have voted by proxy, you may still vote during the Annual Meeting. Please note, however, that if your shares are held of record by a broker, bank, trustee, or other nominee and you wish to vote during the Annual Meeting, you must follow the instructions from such broker, bank, trustee,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338455</wp:posOffset>
            </wp:positionV>
            <wp:extent cx="1174115"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1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Cara Schembri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Legal &amp; Administrative Officer</w:t>
      </w:r>
    </w:p>
    <w:p>
      <w:pPr>
        <w:spacing w:after="0"/>
        <w:rPr>
          <w:sz w:val="20"/>
          <w:szCs w:val="20"/>
          <w:color w:val="auto"/>
        </w:rPr>
      </w:pPr>
      <w:r>
        <w:rPr>
          <w:rFonts w:ascii="Arial" w:cs="Arial" w:eastAsia="Arial" w:hAnsi="Arial"/>
          <w:sz w:val="18"/>
          <w:szCs w:val="18"/>
          <w:color w:val="auto"/>
        </w:rPr>
        <w:t>May [      ],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2026 Annual Meeting of Stockholders to be Held on July 14, 2026: </w:t>
      </w:r>
      <w:r>
        <w:rPr>
          <w:rFonts w:ascii="Arial" w:cs="Arial" w:eastAsia="Arial" w:hAnsi="Arial"/>
          <w:sz w:val="18"/>
          <w:szCs w:val="18"/>
          <w:color w:val="auto"/>
        </w:rPr>
        <w:t>The proxy statement and the annual report to stockholders are available at</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93345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114" w:right="1219" w:bottom="1440" w:gutter="0" w:footer="0" w:header="0"/>
        </w:sectPr>
      </w:pPr>
    </w:p>
    <w:bookmarkStart w:id="5" w:name="page6"/>
    <w:bookmarkEnd w:id="5"/>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760"/>
        <w:spacing w:after="0"/>
        <w:rPr>
          <w:sz w:val="20"/>
          <w:szCs w:val="20"/>
          <w:color w:val="auto"/>
        </w:rPr>
      </w:pPr>
      <w:r>
        <w:rPr>
          <w:rFonts w:ascii="Arial" w:cs="Arial" w:eastAsia="Arial" w:hAnsi="Arial"/>
          <w:sz w:val="65"/>
          <w:szCs w:val="65"/>
          <w:b w:val="1"/>
          <w:bCs w:val="1"/>
          <w:color w:val="auto"/>
        </w:rPr>
        <w:t>Table of Contents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Proxy Overview</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w:t>
            </w:r>
          </w:p>
        </w:tc>
        <w:tc>
          <w:tcPr>
            <w:tcW w:w="760" w:type="dxa"/>
            <w:vAlign w:val="bottom"/>
          </w:tcPr>
          <w:p>
            <w:pPr>
              <w:spacing w:after="0"/>
              <w:rPr>
                <w:sz w:val="14"/>
                <w:szCs w:val="14"/>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5"/>
          </w:tcPr>
          <w:p>
            <w:pPr>
              <w:spacing w:after="0"/>
              <w:rPr>
                <w:sz w:val="20"/>
                <w:szCs w:val="20"/>
                <w:color w:val="auto"/>
              </w:rPr>
            </w:pPr>
            <w:r>
              <w:rPr>
                <w:rFonts w:ascii="Arial" w:cs="Arial" w:eastAsia="Arial" w:hAnsi="Arial"/>
                <w:sz w:val="14"/>
                <w:szCs w:val="14"/>
                <w:color w:val="0000EE"/>
              </w:rPr>
              <w:t>About Rent the Runway</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3</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5"/>
          </w:tcPr>
          <w:p>
            <w:pPr>
              <w:spacing w:after="0"/>
              <w:rPr>
                <w:sz w:val="20"/>
                <w:szCs w:val="20"/>
                <w:color w:val="auto"/>
              </w:rPr>
            </w:pPr>
            <w:r>
              <w:rPr>
                <w:rFonts w:ascii="Arial" w:cs="Arial" w:eastAsia="Arial" w:hAnsi="Arial"/>
                <w:sz w:val="14"/>
                <w:szCs w:val="14"/>
                <w:color w:val="0000EE"/>
              </w:rPr>
              <w:t>Fiscal Year 2025 Business Highlights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3</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5"/>
          </w:tcPr>
          <w:p>
            <w:pPr>
              <w:spacing w:after="0"/>
              <w:rPr>
                <w:sz w:val="20"/>
                <w:szCs w:val="20"/>
                <w:color w:val="auto"/>
              </w:rPr>
            </w:pPr>
            <w:r>
              <w:rPr>
                <w:rFonts w:ascii="Arial" w:cs="Arial" w:eastAsia="Arial" w:hAnsi="Arial"/>
                <w:sz w:val="14"/>
                <w:szCs w:val="14"/>
                <w:color w:val="0000EE"/>
              </w:rPr>
              <w:t>Corporate Governance</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4</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Voting and Meeting Information</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5</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The Board and Corporate Governance</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10</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5"/>
          </w:tcPr>
          <w:p>
            <w:pPr>
              <w:spacing w:after="0"/>
              <w:rPr>
                <w:sz w:val="20"/>
                <w:szCs w:val="20"/>
                <w:color w:val="auto"/>
              </w:rPr>
            </w:pPr>
            <w:r>
              <w:rPr>
                <w:rFonts w:ascii="Arial" w:cs="Arial" w:eastAsia="Arial" w:hAnsi="Arial"/>
                <w:sz w:val="14"/>
                <w:szCs w:val="14"/>
                <w:color w:val="0000EE"/>
              </w:rPr>
              <w:t>Recapitalization Transactions &amp; Recent Events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10</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5"/>
          </w:tcPr>
          <w:p>
            <w:pPr>
              <w:spacing w:after="0"/>
              <w:rPr>
                <w:sz w:val="20"/>
                <w:szCs w:val="20"/>
                <w:color w:val="auto"/>
              </w:rPr>
            </w:pPr>
            <w:r>
              <w:rPr>
                <w:rFonts w:ascii="Arial" w:cs="Arial" w:eastAsia="Arial" w:hAnsi="Arial"/>
                <w:sz w:val="14"/>
                <w:szCs w:val="14"/>
                <w:color w:val="0000EE"/>
              </w:rPr>
              <w:t>Board Leadership Structure</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10</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5"/>
          </w:tcPr>
          <w:p>
            <w:pPr>
              <w:spacing w:after="0"/>
              <w:rPr>
                <w:sz w:val="20"/>
                <w:szCs w:val="20"/>
                <w:color w:val="auto"/>
              </w:rPr>
            </w:pPr>
            <w:r>
              <w:rPr>
                <w:rFonts w:ascii="Arial" w:cs="Arial" w:eastAsia="Arial" w:hAnsi="Arial"/>
                <w:sz w:val="14"/>
                <w:szCs w:val="14"/>
                <w:color w:val="0000EE"/>
              </w:rPr>
              <w:t>Board Diversity</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11</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5"/>
          </w:tcPr>
          <w:p>
            <w:pPr>
              <w:spacing w:after="0"/>
              <w:rPr>
                <w:sz w:val="20"/>
                <w:szCs w:val="20"/>
                <w:color w:val="auto"/>
              </w:rPr>
            </w:pPr>
            <w:r>
              <w:rPr>
                <w:rFonts w:ascii="Arial" w:cs="Arial" w:eastAsia="Arial" w:hAnsi="Arial"/>
                <w:sz w:val="14"/>
                <w:szCs w:val="14"/>
                <w:color w:val="0000EE"/>
              </w:rPr>
              <w:t>Board Oversight of Risk</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11</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5"/>
          </w:tcPr>
          <w:p>
            <w:pPr>
              <w:spacing w:after="0"/>
              <w:rPr>
                <w:sz w:val="20"/>
                <w:szCs w:val="20"/>
                <w:color w:val="auto"/>
              </w:rPr>
            </w:pPr>
            <w:r>
              <w:rPr>
                <w:rFonts w:ascii="Arial" w:cs="Arial" w:eastAsia="Arial" w:hAnsi="Arial"/>
                <w:sz w:val="14"/>
                <w:szCs w:val="14"/>
                <w:color w:val="0000EE"/>
              </w:rPr>
              <w:t>Board Meetings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11</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5"/>
          </w:tcPr>
          <w:p>
            <w:pPr>
              <w:spacing w:after="0"/>
              <w:rPr>
                <w:sz w:val="20"/>
                <w:szCs w:val="20"/>
                <w:color w:val="auto"/>
              </w:rPr>
            </w:pPr>
            <w:r>
              <w:rPr>
                <w:rFonts w:ascii="Arial" w:cs="Arial" w:eastAsia="Arial" w:hAnsi="Arial"/>
                <w:sz w:val="14"/>
                <w:szCs w:val="14"/>
                <w:color w:val="0000EE"/>
              </w:rPr>
              <w:t>Board Committees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12</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5"/>
          </w:tcPr>
          <w:p>
            <w:pPr>
              <w:spacing w:after="0"/>
              <w:rPr>
                <w:sz w:val="20"/>
                <w:szCs w:val="20"/>
                <w:color w:val="auto"/>
              </w:rPr>
            </w:pPr>
            <w:r>
              <w:rPr>
                <w:rFonts w:ascii="Arial" w:cs="Arial" w:eastAsia="Arial" w:hAnsi="Arial"/>
                <w:sz w:val="14"/>
                <w:szCs w:val="14"/>
                <w:color w:val="0000EE"/>
              </w:rPr>
              <w:t>Code of Conduct</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14</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5"/>
          </w:tcPr>
          <w:p>
            <w:pPr>
              <w:spacing w:after="0"/>
              <w:rPr>
                <w:sz w:val="20"/>
                <w:szCs w:val="20"/>
                <w:color w:val="auto"/>
              </w:rPr>
            </w:pPr>
            <w:r>
              <w:rPr>
                <w:rFonts w:ascii="Arial" w:cs="Arial" w:eastAsia="Arial" w:hAnsi="Arial"/>
                <w:sz w:val="14"/>
                <w:szCs w:val="14"/>
                <w:color w:val="0000EE"/>
              </w:rPr>
              <w:t>Compensation Committee Interlocks and Insider Participation</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14</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5"/>
          </w:tcPr>
          <w:p>
            <w:pPr>
              <w:spacing w:after="0"/>
              <w:rPr>
                <w:sz w:val="20"/>
                <w:szCs w:val="20"/>
                <w:color w:val="auto"/>
              </w:rPr>
            </w:pPr>
            <w:r>
              <w:rPr>
                <w:rFonts w:ascii="Arial" w:cs="Arial" w:eastAsia="Arial" w:hAnsi="Arial"/>
                <w:sz w:val="14"/>
                <w:szCs w:val="14"/>
                <w:color w:val="0000EE"/>
              </w:rPr>
              <w:t>Director Nomination Process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14</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5"/>
          </w:tcPr>
          <w:p>
            <w:pPr>
              <w:spacing w:after="0"/>
              <w:rPr>
                <w:sz w:val="20"/>
                <w:szCs w:val="20"/>
                <w:color w:val="auto"/>
              </w:rPr>
            </w:pPr>
            <w:r>
              <w:rPr>
                <w:rFonts w:ascii="Arial" w:cs="Arial" w:eastAsia="Arial" w:hAnsi="Arial"/>
                <w:sz w:val="14"/>
                <w:szCs w:val="14"/>
                <w:color w:val="0000EE"/>
              </w:rPr>
              <w:t>Investor Rights Agreement</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15</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5"/>
          </w:tcPr>
          <w:p>
            <w:pPr>
              <w:spacing w:after="0"/>
              <w:rPr>
                <w:sz w:val="20"/>
                <w:szCs w:val="20"/>
                <w:color w:val="auto"/>
              </w:rPr>
            </w:pPr>
            <w:r>
              <w:rPr>
                <w:rFonts w:ascii="Arial" w:cs="Arial" w:eastAsia="Arial" w:hAnsi="Arial"/>
                <w:sz w:val="14"/>
                <w:szCs w:val="14"/>
                <w:color w:val="0000EE"/>
              </w:rPr>
              <w:t>Communications with the Board</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16</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2"/>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5"/>
          </w:tcPr>
          <w:p>
            <w:pPr>
              <w:spacing w:after="0"/>
              <w:rPr>
                <w:sz w:val="20"/>
                <w:szCs w:val="20"/>
                <w:color w:val="auto"/>
              </w:rPr>
            </w:pPr>
            <w:r>
              <w:rPr>
                <w:rFonts w:ascii="Arial" w:cs="Arial" w:eastAsia="Arial" w:hAnsi="Arial"/>
                <w:sz w:val="14"/>
                <w:szCs w:val="14"/>
                <w:color w:val="0000EE"/>
              </w:rPr>
              <w:t>Policy for Recovery of Erroneously Awarded Compensation</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16</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5"/>
          </w:tcPr>
          <w:p>
            <w:pPr>
              <w:spacing w:after="0"/>
              <w:rPr>
                <w:sz w:val="20"/>
                <w:szCs w:val="20"/>
                <w:color w:val="auto"/>
              </w:rPr>
            </w:pPr>
            <w:r>
              <w:rPr>
                <w:rFonts w:ascii="Arial" w:cs="Arial" w:eastAsia="Arial" w:hAnsi="Arial"/>
                <w:sz w:val="14"/>
                <w:szCs w:val="14"/>
                <w:color w:val="0000EE"/>
              </w:rPr>
              <w:t>Insider Trading Policy</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16</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Director Compensation</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17</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Proposal No. 1 – Election of Directors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20</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Information About Board Nominees and Continuing Directors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21</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Nominees to Our Board of Directors - Class II Directors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21</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Class III Director Whose Term Expires at the 2027 Annual Meeting</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22</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Class I Directors Whose Terms Expire at the 2028 Annual Meeting</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22</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Audit Committee Report</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23</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Proposal No. 2 – Ratification of the Appointment of Independent Registered Public Accounting Firm</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24</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100" w:type="dxa"/>
            <w:vAlign w:val="bottom"/>
            <w:tcBorders>
              <w:top w:val="single" w:sz="8" w:color="0000EE"/>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5"/>
          </w:tcPr>
          <w:p>
            <w:pPr>
              <w:spacing w:after="0"/>
              <w:rPr>
                <w:sz w:val="20"/>
                <w:szCs w:val="20"/>
                <w:color w:val="auto"/>
              </w:rPr>
            </w:pPr>
            <w:r>
              <w:rPr>
                <w:rFonts w:ascii="Arial" w:cs="Arial" w:eastAsia="Arial" w:hAnsi="Arial"/>
                <w:sz w:val="14"/>
                <w:szCs w:val="14"/>
                <w:color w:val="0000EE"/>
              </w:rPr>
              <w:t>Fees and Services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24</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35"/>
          </w:tcPr>
          <w:p>
            <w:pPr>
              <w:spacing w:after="0"/>
              <w:rPr>
                <w:sz w:val="20"/>
                <w:szCs w:val="20"/>
                <w:color w:val="auto"/>
              </w:rPr>
            </w:pPr>
            <w:r>
              <w:rPr>
                <w:rFonts w:ascii="Arial" w:cs="Arial" w:eastAsia="Arial" w:hAnsi="Arial"/>
                <w:sz w:val="14"/>
                <w:szCs w:val="14"/>
                <w:color w:val="0000EE"/>
              </w:rPr>
              <w:t>Pre-Approval Policies and Procedures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25</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Introduction to Proposals 3 through 10</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26</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Proposal No. 3 – The Class B Stock Elimination Proposal</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27</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Proposal No. 4 – The Preferred Stock Elimination Proposal</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28</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Proposal No. 5 – The Supermajority Voting Elimination Proposal</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29</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Proposal No. 6 – The Board Quorum Proposal</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30</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Proposal No. 7 – The Special Meeting Proposal</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31</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Proposal No. 8 – The Written Consent Proposal</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32</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2"/>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Proposal No. 9 – The Officer Exculpation Proposal</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33</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Proposal No. 10 – The Board Designation Rights Proposal</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34</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Proposal No. 11 – The Corporate Opportunity Proposal</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35</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Proposal No. 12 - The Plan Amendment Proposal</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36</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Executive Officers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45</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2"/>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80" w:type="dxa"/>
            <w:vAlign w:val="bottom"/>
            <w:gridSpan w:val="36"/>
          </w:tcPr>
          <w:p>
            <w:pPr>
              <w:spacing w:after="0"/>
              <w:rPr>
                <w:sz w:val="20"/>
                <w:szCs w:val="20"/>
                <w:color w:val="auto"/>
              </w:rPr>
            </w:pPr>
            <w:r>
              <w:rPr>
                <w:rFonts w:ascii="Arial" w:cs="Arial" w:eastAsia="Arial" w:hAnsi="Arial"/>
                <w:sz w:val="14"/>
                <w:szCs w:val="14"/>
                <w:color w:val="0000EE"/>
              </w:rPr>
              <w:t>Executive Compensation</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0000EE"/>
              </w:rPr>
              <w:t>46</w:t>
            </w:r>
          </w:p>
        </w:tc>
        <w:tc>
          <w:tcPr>
            <w:tcW w:w="760" w:type="dxa"/>
            <w:vAlign w:val="bottom"/>
          </w:tcPr>
          <w:p>
            <w:pPr>
              <w:spacing w:after="0"/>
              <w:rPr>
                <w:sz w:val="15"/>
                <w:szCs w:val="15"/>
                <w:color w:val="auto"/>
              </w:rPr>
            </w:pPr>
          </w:p>
        </w:tc>
      </w:tr>
      <w:tr>
        <w:trPr>
          <w:trHeight w:val="48"/>
        </w:trPr>
        <w:tc>
          <w:tcPr>
            <w:tcW w:w="7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82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Pr>
          <w:p>
            <w:pPr>
              <w:spacing w:after="0"/>
              <w:rPr>
                <w:sz w:val="4"/>
                <w:szCs w:val="4"/>
                <w:color w:val="auto"/>
              </w:rPr>
            </w:pPr>
          </w:p>
        </w:tc>
      </w:tr>
      <w:tr>
        <w:trPr>
          <w:trHeight w:val="190"/>
        </w:trPr>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bl>
    <w:p>
      <w:pPr>
        <w:sectPr>
          <w:pgSz w:w="11900" w:h="16838" w:orient="portrait"/>
          <w:cols w:equalWidth="0" w:num="1">
            <w:col w:w="11020"/>
          </w:cols>
          <w:pgMar w:left="440" w:top="114" w:right="4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5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560" w:type="dxa"/>
            <w:vAlign w:val="bottom"/>
            <w:gridSpan w:val="9"/>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99"/>
        </w:trPr>
        <w:tc>
          <w:tcPr>
            <w:tcW w:w="760" w:type="dxa"/>
            <w:vAlign w:val="bottom"/>
          </w:tcPr>
          <w:p>
            <w:pPr>
              <w:spacing w:after="0"/>
              <w:rPr>
                <w:sz w:val="24"/>
                <w:szCs w:val="24"/>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Summary Compensation Table</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46</w:t>
            </w:r>
          </w:p>
        </w:tc>
        <w:tc>
          <w:tcPr>
            <w:tcW w:w="760" w:type="dxa"/>
            <w:vAlign w:val="bottom"/>
          </w:tcPr>
          <w:p>
            <w:pPr>
              <w:spacing w:after="0"/>
              <w:rPr>
                <w:sz w:val="24"/>
                <w:szCs w:val="24"/>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Equity Compensation Plan Information</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53</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Certain Relationships and Related Person Transactions</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54</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080" w:type="dxa"/>
            <w:vAlign w:val="bottom"/>
            <w:tcBorders>
              <w:top w:val="single" w:sz="8" w:color="0000EE"/>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Security Ownership of Certain Beneficial Owners, Directors, and Management</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56</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080" w:type="dxa"/>
            <w:vAlign w:val="bottom"/>
            <w:tcBorders>
              <w:top w:val="single" w:sz="8" w:color="0000EE"/>
              <w:bottom w:val="single" w:sz="8" w:color="auto"/>
            </w:tcBorders>
          </w:tcPr>
          <w:p>
            <w:pPr>
              <w:spacing w:after="0"/>
              <w:rPr>
                <w:sz w:val="2"/>
                <w:szCs w:val="2"/>
                <w:color w:val="auto"/>
              </w:rPr>
            </w:pPr>
          </w:p>
        </w:tc>
        <w:tc>
          <w:tcPr>
            <w:tcW w:w="1420" w:type="dxa"/>
            <w:vAlign w:val="bottom"/>
            <w:tcBorders>
              <w:top w:val="single" w:sz="8" w:color="0000EE"/>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960" w:type="dxa"/>
            <w:vAlign w:val="bottom"/>
            <w:gridSpan w:val="15"/>
          </w:tcPr>
          <w:p>
            <w:pPr>
              <w:ind w:left="180"/>
              <w:spacing w:after="0"/>
              <w:rPr>
                <w:sz w:val="20"/>
                <w:szCs w:val="20"/>
                <w:color w:val="auto"/>
              </w:rPr>
            </w:pPr>
            <w:r>
              <w:rPr>
                <w:rFonts w:ascii="Arial" w:cs="Arial" w:eastAsia="Arial" w:hAnsi="Arial"/>
                <w:sz w:val="14"/>
                <w:szCs w:val="14"/>
                <w:color w:val="0000EE"/>
              </w:rPr>
              <w:t>Delinquent Section 16(a) Reports</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58</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Additional Information</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59</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960" w:type="dxa"/>
            <w:vAlign w:val="bottom"/>
            <w:gridSpan w:val="15"/>
          </w:tcPr>
          <w:p>
            <w:pPr>
              <w:ind w:left="180"/>
              <w:spacing w:after="0"/>
              <w:rPr>
                <w:sz w:val="20"/>
                <w:szCs w:val="20"/>
                <w:color w:val="auto"/>
              </w:rPr>
            </w:pPr>
            <w:r>
              <w:rPr>
                <w:rFonts w:ascii="Arial" w:cs="Arial" w:eastAsia="Arial" w:hAnsi="Arial"/>
                <w:sz w:val="14"/>
                <w:szCs w:val="14"/>
                <w:color w:val="0000EE"/>
              </w:rPr>
              <w:t>Stockholder Proposals</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59</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960" w:type="dxa"/>
            <w:vAlign w:val="bottom"/>
            <w:gridSpan w:val="15"/>
          </w:tcPr>
          <w:p>
            <w:pPr>
              <w:ind w:left="180"/>
              <w:spacing w:after="0"/>
              <w:rPr>
                <w:sz w:val="20"/>
                <w:szCs w:val="20"/>
                <w:color w:val="auto"/>
              </w:rPr>
            </w:pPr>
            <w:r>
              <w:rPr>
                <w:rFonts w:ascii="Arial" w:cs="Arial" w:eastAsia="Arial" w:hAnsi="Arial"/>
                <w:sz w:val="14"/>
                <w:szCs w:val="14"/>
                <w:color w:val="0000EE"/>
              </w:rPr>
              <w:t>Information Requests</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59</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960" w:type="dxa"/>
            <w:vAlign w:val="bottom"/>
            <w:gridSpan w:val="15"/>
          </w:tcPr>
          <w:p>
            <w:pPr>
              <w:ind w:left="180"/>
              <w:spacing w:after="0"/>
              <w:rPr>
                <w:sz w:val="20"/>
                <w:szCs w:val="20"/>
                <w:color w:val="auto"/>
              </w:rPr>
            </w:pPr>
            <w:r>
              <w:rPr>
                <w:rFonts w:ascii="Arial" w:cs="Arial" w:eastAsia="Arial" w:hAnsi="Arial"/>
                <w:sz w:val="14"/>
                <w:szCs w:val="14"/>
                <w:color w:val="0000EE"/>
              </w:rPr>
              <w:t>Other Business</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59</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960" w:type="dxa"/>
            <w:vAlign w:val="bottom"/>
            <w:gridSpan w:val="15"/>
          </w:tcPr>
          <w:p>
            <w:pPr>
              <w:ind w:left="180"/>
              <w:spacing w:after="0"/>
              <w:rPr>
                <w:sz w:val="20"/>
                <w:szCs w:val="20"/>
                <w:color w:val="auto"/>
              </w:rPr>
            </w:pPr>
            <w:r>
              <w:rPr>
                <w:rFonts w:ascii="Arial" w:cs="Arial" w:eastAsia="Arial" w:hAnsi="Arial"/>
                <w:sz w:val="14"/>
                <w:szCs w:val="14"/>
                <w:color w:val="0000EE"/>
              </w:rPr>
              <w:t>Forward-Looking Statements</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60</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A</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91"/>
              </w:rPr>
              <w:t>A-1</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B-1</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91"/>
              </w:rPr>
              <w:t>B-1</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B-2</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91"/>
              </w:rPr>
              <w:t>B-2</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B-3</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91"/>
              </w:rPr>
              <w:t>B-3</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B-4</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91"/>
              </w:rPr>
              <w:t>B-4</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B-5</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91"/>
              </w:rPr>
              <w:t>B-5</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B-6</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91"/>
              </w:rPr>
              <w:t>B-6</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B-7</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91"/>
              </w:rPr>
              <w:t>B-7</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B-8</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91"/>
              </w:rPr>
              <w:t>B-8</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B-9</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91"/>
              </w:rPr>
              <w:t>B-9</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B-10</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91"/>
              </w:rPr>
              <w:t>B-0</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C-1</w:t>
            </w: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0000EE"/>
                <w:w w:val="88"/>
              </w:rPr>
              <w:t>C-1</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7100" w:type="dxa"/>
            <w:vAlign w:val="bottom"/>
            <w:gridSpan w:val="16"/>
          </w:tcPr>
          <w:p>
            <w:pPr>
              <w:ind w:left="140"/>
              <w:spacing w:after="0"/>
              <w:rPr>
                <w:sz w:val="20"/>
                <w:szCs w:val="20"/>
                <w:color w:val="auto"/>
              </w:rPr>
            </w:pPr>
            <w:r>
              <w:rPr>
                <w:rFonts w:ascii="Arial" w:cs="Arial" w:eastAsia="Arial" w:hAnsi="Arial"/>
                <w:sz w:val="14"/>
                <w:szCs w:val="14"/>
                <w:color w:val="0000EE"/>
              </w:rPr>
              <w:t>Annex C-2</w:t>
            </w:r>
          </w:p>
        </w:tc>
        <w:tc>
          <w:tcPr>
            <w:tcW w:w="2400" w:type="dxa"/>
            <w:vAlign w:val="bottom"/>
            <w:gridSpan w:val="5"/>
          </w:tcPr>
          <w:p>
            <w:pPr>
              <w:jc w:val="right"/>
              <w:ind w:right="120"/>
              <w:spacing w:after="0"/>
              <w:rPr>
                <w:sz w:val="20"/>
                <w:szCs w:val="20"/>
                <w:color w:val="auto"/>
              </w:rPr>
            </w:pPr>
            <w:r>
              <w:rPr>
                <w:rFonts w:ascii="Arial" w:cs="Arial" w:eastAsia="Arial" w:hAnsi="Arial"/>
                <w:sz w:val="14"/>
                <w:szCs w:val="14"/>
                <w:color w:val="0000EE"/>
              </w:rPr>
              <w:t>C-16</w:t>
            </w:r>
          </w:p>
        </w:tc>
        <w:tc>
          <w:tcPr>
            <w:tcW w:w="760" w:type="dxa"/>
            <w:vAlign w:val="bottom"/>
          </w:tcPr>
          <w:p>
            <w:pPr>
              <w:spacing w:after="0"/>
              <w:rPr>
                <w:sz w:val="15"/>
                <w:szCs w:val="15"/>
                <w:color w:val="auto"/>
              </w:rPr>
            </w:pPr>
          </w:p>
        </w:tc>
      </w:tr>
      <w:tr>
        <w:trPr>
          <w:trHeight w:val="48"/>
        </w:trPr>
        <w:tc>
          <w:tcPr>
            <w:tcW w:w="7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Pr>
          <w:p>
            <w:pPr>
              <w:spacing w:after="0"/>
              <w:rPr>
                <w:sz w:val="4"/>
                <w:szCs w:val="4"/>
                <w:color w:val="auto"/>
              </w:rPr>
            </w:pPr>
          </w:p>
        </w:tc>
      </w:tr>
      <w:tr>
        <w:trPr>
          <w:trHeight w:val="176"/>
        </w:trPr>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Proxy Overview</w:t>
      </w:r>
    </w:p>
    <w:p>
      <w:pPr>
        <w:spacing w:after="0" w:line="212" w:lineRule="exact"/>
        <w:rPr>
          <w:sz w:val="20"/>
          <w:szCs w:val="20"/>
          <w:color w:val="auto"/>
        </w:rPr>
      </w:pPr>
    </w:p>
    <w:p>
      <w:pPr>
        <w:ind w:left="20" w:right="320"/>
        <w:spacing w:after="0" w:line="271" w:lineRule="auto"/>
        <w:rPr>
          <w:sz w:val="20"/>
          <w:szCs w:val="20"/>
          <w:color w:val="auto"/>
        </w:rPr>
      </w:pPr>
      <w:r>
        <w:rPr>
          <w:rFonts w:ascii="Arial" w:cs="Arial" w:eastAsia="Arial" w:hAnsi="Arial"/>
          <w:sz w:val="18"/>
          <w:szCs w:val="18"/>
          <w:color w:val="auto"/>
        </w:rPr>
        <w:t>This overview does not contain all of the information that you should consider, and you should read the entire Proxy Statement carefully before voting.</w:t>
      </w:r>
    </w:p>
    <w:p>
      <w:pPr>
        <w:spacing w:after="0" w:line="127"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References in this Proxy Statement to (i) “we,” “us,” “our,” “ours,” “RTR,” “Rent the Runway” and the “Company” refer to Rent the Runway, Inc. and its subsidiary and (ii) “stockholders” refers to holders of our Class A common stock.</w:t>
      </w:r>
    </w:p>
    <w:p>
      <w:pPr>
        <w:spacing w:after="0" w:line="113" w:lineRule="exact"/>
        <w:rPr>
          <w:sz w:val="20"/>
          <w:szCs w:val="20"/>
          <w:color w:val="auto"/>
        </w:rPr>
      </w:pPr>
    </w:p>
    <w:p>
      <w:pPr>
        <w:ind w:left="20" w:right="40"/>
        <w:spacing w:after="0" w:line="238" w:lineRule="auto"/>
        <w:rPr>
          <w:sz w:val="20"/>
          <w:szCs w:val="20"/>
          <w:color w:val="auto"/>
        </w:rPr>
      </w:pPr>
      <w:r>
        <w:rPr>
          <w:rFonts w:ascii="Arial" w:cs="Arial" w:eastAsia="Arial" w:hAnsi="Arial"/>
          <w:sz w:val="18"/>
          <w:szCs w:val="18"/>
          <w:color w:val="auto"/>
        </w:rPr>
        <w:t>This proxy statement and the Company’s Annual Report to Stockholders for the fiscal year ended January 31, 2026 (the “2025 Annual Report”) will be released on or about May [ ], 2026 to our stockholders on the Record Date. On the same date, we will initiate mailing to our stockholders a Notice of Internet Availability of Proxy Materials (the “Internet Notice”) containing instructions on how to access this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2025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If you received printed copies of our proxy materials, then instructions regarding how you can vote are contained on the proxy card included in the materials.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Meeting Date: </w:t>
      </w:r>
      <w:r>
        <w:rPr>
          <w:rFonts w:ascii="Arial" w:cs="Arial" w:eastAsia="Arial" w:hAnsi="Arial"/>
          <w:sz w:val="18"/>
          <w:szCs w:val="18"/>
          <w:color w:val="auto"/>
        </w:rPr>
        <w:t>July 14, 2026</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May 20, 2026</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Meeting Time: </w:t>
      </w:r>
      <w:r>
        <w:rPr>
          <w:rFonts w:ascii="Arial" w:cs="Arial" w:eastAsia="Arial" w:hAnsi="Arial"/>
          <w:sz w:val="18"/>
          <w:szCs w:val="18"/>
          <w:color w:val="auto"/>
        </w:rPr>
        <w:t>8:30 a.m. Eastern Time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Virtual Meeting Only: </w:t>
      </w:r>
      <w:r>
        <w:rPr>
          <w:rFonts w:ascii="Arial" w:cs="Arial" w:eastAsia="Arial" w:hAnsi="Arial"/>
          <w:sz w:val="18"/>
          <w:szCs w:val="18"/>
          <w:color w:val="auto"/>
        </w:rPr>
        <w:t>www.virtualshareholdermeeting.com/RENT2026</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Agenda:</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1120" w:type="dxa"/>
            <w:vAlign w:val="bottom"/>
            <w:shd w:val="clear" w:color="auto" w:fill="FFE8F5"/>
          </w:tcPr>
          <w:p>
            <w:pPr>
              <w:spacing w:after="0"/>
              <w:rPr>
                <w:sz w:val="24"/>
                <w:szCs w:val="24"/>
                <w:color w:val="auto"/>
              </w:rPr>
            </w:pPr>
          </w:p>
        </w:tc>
        <w:tc>
          <w:tcPr>
            <w:tcW w:w="4800" w:type="dxa"/>
            <w:vAlign w:val="bottom"/>
            <w:shd w:val="clear" w:color="auto" w:fill="FFE8F5"/>
          </w:tcPr>
          <w:p>
            <w:pPr>
              <w:ind w:left="280"/>
              <w:spacing w:after="0"/>
              <w:rPr>
                <w:sz w:val="20"/>
                <w:szCs w:val="20"/>
                <w:color w:val="auto"/>
              </w:rPr>
            </w:pPr>
            <w:r>
              <w:rPr>
                <w:rFonts w:ascii="Arial" w:cs="Arial" w:eastAsia="Arial" w:hAnsi="Arial"/>
                <w:sz w:val="14"/>
                <w:szCs w:val="14"/>
                <w:b w:val="1"/>
                <w:bCs w:val="1"/>
                <w:color w:val="auto"/>
              </w:rPr>
              <w:t>Proposal</w:t>
            </w:r>
          </w:p>
        </w:tc>
        <w:tc>
          <w:tcPr>
            <w:tcW w:w="2160" w:type="dxa"/>
            <w:vAlign w:val="bottom"/>
            <w:shd w:val="clear" w:color="auto" w:fill="FFE8F5"/>
          </w:tcPr>
          <w:p>
            <w:pPr>
              <w:ind w:left="140"/>
              <w:spacing w:after="0"/>
              <w:rPr>
                <w:sz w:val="20"/>
                <w:szCs w:val="20"/>
                <w:color w:val="auto"/>
              </w:rPr>
            </w:pPr>
            <w:r>
              <w:rPr>
                <w:rFonts w:ascii="Arial" w:cs="Arial" w:eastAsia="Arial" w:hAnsi="Arial"/>
                <w:sz w:val="14"/>
                <w:szCs w:val="14"/>
                <w:b w:val="1"/>
                <w:bCs w:val="1"/>
                <w:color w:val="auto"/>
              </w:rPr>
              <w:t>Board Recommendation</w:t>
            </w:r>
          </w:p>
        </w:tc>
        <w:tc>
          <w:tcPr>
            <w:tcW w:w="1420" w:type="dxa"/>
            <w:vAlign w:val="bottom"/>
            <w:gridSpan w:val="2"/>
            <w:shd w:val="clear" w:color="auto" w:fill="FFE8F5"/>
          </w:tcPr>
          <w:p>
            <w:pPr>
              <w:spacing w:after="0"/>
              <w:rPr>
                <w:sz w:val="20"/>
                <w:szCs w:val="20"/>
                <w:color w:val="auto"/>
              </w:rPr>
            </w:pPr>
            <w:r>
              <w:rPr>
                <w:rFonts w:ascii="Arial" w:cs="Arial" w:eastAsia="Arial" w:hAnsi="Arial"/>
                <w:sz w:val="14"/>
                <w:szCs w:val="14"/>
                <w:b w:val="1"/>
                <w:bCs w:val="1"/>
                <w:color w:val="auto"/>
              </w:rPr>
              <w:t>Reference Page</w:t>
            </w:r>
          </w:p>
        </w:tc>
      </w:tr>
      <w:tr>
        <w:trPr>
          <w:trHeight w:val="70"/>
        </w:trPr>
        <w:tc>
          <w:tcPr>
            <w:tcW w:w="1120" w:type="dxa"/>
            <w:vAlign w:val="bottom"/>
            <w:tcBorders>
              <w:bottom w:val="single" w:sz="8" w:color="auto"/>
            </w:tcBorders>
            <w:shd w:val="clear" w:color="auto" w:fill="FFE8F5"/>
          </w:tcPr>
          <w:p>
            <w:pPr>
              <w:spacing w:after="0"/>
              <w:rPr>
                <w:sz w:val="6"/>
                <w:szCs w:val="6"/>
                <w:color w:val="auto"/>
              </w:rPr>
            </w:pPr>
          </w:p>
        </w:tc>
        <w:tc>
          <w:tcPr>
            <w:tcW w:w="4800" w:type="dxa"/>
            <w:vAlign w:val="bottom"/>
            <w:tcBorders>
              <w:bottom w:val="single" w:sz="8" w:color="auto"/>
            </w:tcBorders>
            <w:shd w:val="clear" w:color="auto" w:fill="FFE8F5"/>
          </w:tcPr>
          <w:p>
            <w:pPr>
              <w:spacing w:after="0"/>
              <w:rPr>
                <w:sz w:val="6"/>
                <w:szCs w:val="6"/>
                <w:color w:val="auto"/>
              </w:rPr>
            </w:pPr>
          </w:p>
        </w:tc>
        <w:tc>
          <w:tcPr>
            <w:tcW w:w="2160" w:type="dxa"/>
            <w:vAlign w:val="bottom"/>
            <w:tcBorders>
              <w:bottom w:val="single" w:sz="8" w:color="auto"/>
            </w:tcBorders>
            <w:shd w:val="clear" w:color="auto" w:fill="FFE8F5"/>
          </w:tcPr>
          <w:p>
            <w:pPr>
              <w:spacing w:after="0"/>
              <w:rPr>
                <w:sz w:val="6"/>
                <w:szCs w:val="6"/>
                <w:color w:val="auto"/>
              </w:rPr>
            </w:pPr>
          </w:p>
        </w:tc>
        <w:tc>
          <w:tcPr>
            <w:tcW w:w="160" w:type="dxa"/>
            <w:vAlign w:val="bottom"/>
            <w:tcBorders>
              <w:bottom w:val="single" w:sz="8" w:color="auto"/>
            </w:tcBorders>
            <w:shd w:val="clear" w:color="auto" w:fill="FFE8F5"/>
          </w:tcPr>
          <w:p>
            <w:pPr>
              <w:spacing w:after="0"/>
              <w:rPr>
                <w:sz w:val="6"/>
                <w:szCs w:val="6"/>
                <w:color w:val="auto"/>
              </w:rPr>
            </w:pPr>
          </w:p>
        </w:tc>
        <w:tc>
          <w:tcPr>
            <w:tcW w:w="1260" w:type="dxa"/>
            <w:vAlign w:val="bottom"/>
            <w:tcBorders>
              <w:bottom w:val="single" w:sz="8" w:color="auto"/>
            </w:tcBorders>
            <w:shd w:val="clear" w:color="auto" w:fill="FFE8F5"/>
          </w:tcPr>
          <w:p>
            <w:pPr>
              <w:spacing w:after="0"/>
              <w:rPr>
                <w:sz w:val="6"/>
                <w:szCs w:val="6"/>
                <w:color w:val="auto"/>
              </w:rPr>
            </w:pPr>
          </w:p>
        </w:tc>
      </w:tr>
      <w:tr>
        <w:trPr>
          <w:trHeight w:val="236"/>
        </w:trPr>
        <w:tc>
          <w:tcPr>
            <w:tcW w:w="1120" w:type="dxa"/>
            <w:vAlign w:val="bottom"/>
          </w:tcPr>
          <w:p>
            <w:pPr>
              <w:ind w:left="160"/>
              <w:spacing w:after="0"/>
              <w:rPr>
                <w:sz w:val="20"/>
                <w:szCs w:val="20"/>
                <w:color w:val="auto"/>
              </w:rPr>
            </w:pPr>
            <w:r>
              <w:rPr>
                <w:rFonts w:ascii="Arial" w:cs="Arial" w:eastAsia="Arial" w:hAnsi="Arial"/>
                <w:sz w:val="14"/>
                <w:szCs w:val="14"/>
                <w:color w:val="auto"/>
              </w:rPr>
              <w:t>Proposal 1</w:t>
            </w:r>
          </w:p>
        </w:tc>
        <w:tc>
          <w:tcPr>
            <w:tcW w:w="4800" w:type="dxa"/>
            <w:vAlign w:val="bottom"/>
          </w:tcPr>
          <w:p>
            <w:pPr>
              <w:ind w:left="280"/>
              <w:spacing w:after="0"/>
              <w:rPr>
                <w:sz w:val="20"/>
                <w:szCs w:val="20"/>
                <w:color w:val="auto"/>
              </w:rPr>
            </w:pPr>
            <w:r>
              <w:rPr>
                <w:rFonts w:ascii="Arial" w:cs="Arial" w:eastAsia="Arial" w:hAnsi="Arial"/>
                <w:sz w:val="14"/>
                <w:szCs w:val="14"/>
                <w:color w:val="auto"/>
              </w:rPr>
              <w:t>The election of Teri Bariquit and Daniel Rosensweig as Class II</w:t>
            </w:r>
          </w:p>
        </w:tc>
        <w:tc>
          <w:tcPr>
            <w:tcW w:w="2160" w:type="dxa"/>
            <w:vAlign w:val="bottom"/>
          </w:tcPr>
          <w:p>
            <w:pPr>
              <w:ind w:left="140"/>
              <w:spacing w:after="0"/>
              <w:rPr>
                <w:sz w:val="20"/>
                <w:szCs w:val="20"/>
                <w:color w:val="auto"/>
              </w:rPr>
            </w:pPr>
            <w:r>
              <w:rPr>
                <w:rFonts w:ascii="Arial" w:cs="Arial" w:eastAsia="Arial" w:hAnsi="Arial"/>
                <w:sz w:val="14"/>
                <w:szCs w:val="14"/>
                <w:color w:val="auto"/>
              </w:rPr>
              <w:t>For all nominees</w:t>
            </w:r>
          </w:p>
        </w:tc>
        <w:tc>
          <w:tcPr>
            <w:tcW w:w="1420" w:type="dxa"/>
            <w:vAlign w:val="bottom"/>
            <w:gridSpan w:val="2"/>
          </w:tcPr>
          <w:p>
            <w:pPr>
              <w:spacing w:after="0"/>
              <w:rPr>
                <w:sz w:val="20"/>
                <w:szCs w:val="20"/>
                <w:color w:val="auto"/>
              </w:rPr>
            </w:pPr>
            <w:r>
              <w:rPr>
                <w:rFonts w:ascii="Arial" w:cs="Arial" w:eastAsia="Arial" w:hAnsi="Arial"/>
                <w:sz w:val="14"/>
                <w:szCs w:val="14"/>
                <w:color w:val="0000EE"/>
              </w:rPr>
              <w:t>20</w:t>
            </w:r>
          </w:p>
        </w:tc>
      </w:tr>
      <w:tr>
        <w:trPr>
          <w:trHeight w:val="175"/>
        </w:trPr>
        <w:tc>
          <w:tcPr>
            <w:tcW w:w="1120" w:type="dxa"/>
            <w:vAlign w:val="bottom"/>
          </w:tcPr>
          <w:p>
            <w:pPr>
              <w:spacing w:after="0"/>
              <w:rPr>
                <w:sz w:val="15"/>
                <w:szCs w:val="15"/>
                <w:color w:val="auto"/>
              </w:rPr>
            </w:pPr>
          </w:p>
        </w:tc>
        <w:tc>
          <w:tcPr>
            <w:tcW w:w="4800" w:type="dxa"/>
            <w:vAlign w:val="bottom"/>
          </w:tcPr>
          <w:p>
            <w:pPr>
              <w:ind w:left="280"/>
              <w:spacing w:after="0"/>
              <w:rPr>
                <w:sz w:val="20"/>
                <w:szCs w:val="20"/>
                <w:color w:val="auto"/>
              </w:rPr>
            </w:pPr>
            <w:r>
              <w:rPr>
                <w:rFonts w:ascii="Arial" w:cs="Arial" w:eastAsia="Arial" w:hAnsi="Arial"/>
                <w:sz w:val="14"/>
                <w:szCs w:val="14"/>
                <w:color w:val="auto"/>
              </w:rPr>
              <w:t>directors</w:t>
            </w:r>
          </w:p>
        </w:tc>
        <w:tc>
          <w:tcPr>
            <w:tcW w:w="216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60" w:type="dxa"/>
            <w:vAlign w:val="bottom"/>
          </w:tcPr>
          <w:p>
            <w:pPr>
              <w:spacing w:after="0"/>
              <w:rPr>
                <w:sz w:val="15"/>
                <w:szCs w:val="15"/>
                <w:color w:val="auto"/>
              </w:rPr>
            </w:pPr>
          </w:p>
        </w:tc>
      </w:tr>
      <w:tr>
        <w:trPr>
          <w:trHeight w:val="75"/>
        </w:trPr>
        <w:tc>
          <w:tcPr>
            <w:tcW w:w="1120" w:type="dxa"/>
            <w:vAlign w:val="bottom"/>
            <w:tcBorders>
              <w:bottom w:val="single" w:sz="8" w:color="auto"/>
            </w:tcBorders>
          </w:tcPr>
          <w:p>
            <w:pPr>
              <w:spacing w:after="0"/>
              <w:rPr>
                <w:sz w:val="6"/>
                <w:szCs w:val="6"/>
                <w:color w:val="auto"/>
              </w:rPr>
            </w:pPr>
          </w:p>
        </w:tc>
        <w:tc>
          <w:tcPr>
            <w:tcW w:w="480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1120" w:type="dxa"/>
            <w:vAlign w:val="bottom"/>
          </w:tcPr>
          <w:p>
            <w:pPr>
              <w:ind w:left="160"/>
              <w:spacing w:after="0"/>
              <w:rPr>
                <w:sz w:val="20"/>
                <w:szCs w:val="20"/>
                <w:color w:val="auto"/>
              </w:rPr>
            </w:pPr>
            <w:r>
              <w:rPr>
                <w:rFonts w:ascii="Arial" w:cs="Arial" w:eastAsia="Arial" w:hAnsi="Arial"/>
                <w:sz w:val="14"/>
                <w:szCs w:val="14"/>
                <w:color w:val="auto"/>
              </w:rPr>
              <w:t>Proposal 2</w:t>
            </w:r>
          </w:p>
        </w:tc>
        <w:tc>
          <w:tcPr>
            <w:tcW w:w="4800" w:type="dxa"/>
            <w:vAlign w:val="bottom"/>
          </w:tcPr>
          <w:p>
            <w:pPr>
              <w:ind w:left="280"/>
              <w:spacing w:after="0"/>
              <w:rPr>
                <w:sz w:val="20"/>
                <w:szCs w:val="20"/>
                <w:color w:val="auto"/>
              </w:rPr>
            </w:pPr>
            <w:r>
              <w:rPr>
                <w:rFonts w:ascii="Arial" w:cs="Arial" w:eastAsia="Arial" w:hAnsi="Arial"/>
                <w:sz w:val="14"/>
                <w:szCs w:val="14"/>
                <w:color w:val="auto"/>
              </w:rPr>
              <w:t>The ratification of the appointment of PricewaterhouseCoopers LLP</w:t>
            </w:r>
          </w:p>
        </w:tc>
        <w:tc>
          <w:tcPr>
            <w:tcW w:w="2160" w:type="dxa"/>
            <w:vAlign w:val="bottom"/>
          </w:tcPr>
          <w:p>
            <w:pPr>
              <w:ind w:left="14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24</w:t>
            </w:r>
          </w:p>
        </w:tc>
      </w:tr>
      <w:tr>
        <w:trPr>
          <w:trHeight w:val="146"/>
        </w:trPr>
        <w:tc>
          <w:tcPr>
            <w:tcW w:w="1120" w:type="dxa"/>
            <w:vAlign w:val="bottom"/>
          </w:tcPr>
          <w:p>
            <w:pPr>
              <w:spacing w:after="0"/>
              <w:rPr>
                <w:sz w:val="12"/>
                <w:szCs w:val="12"/>
                <w:color w:val="auto"/>
              </w:rPr>
            </w:pPr>
          </w:p>
        </w:tc>
        <w:tc>
          <w:tcPr>
            <w:tcW w:w="4800" w:type="dxa"/>
            <w:vAlign w:val="bottom"/>
          </w:tcPr>
          <w:p>
            <w:pPr>
              <w:ind w:left="280"/>
              <w:spacing w:after="0" w:line="147" w:lineRule="exact"/>
              <w:rPr>
                <w:sz w:val="20"/>
                <w:szCs w:val="20"/>
                <w:color w:val="auto"/>
              </w:rPr>
            </w:pPr>
            <w:r>
              <w:rPr>
                <w:rFonts w:ascii="Arial" w:cs="Arial" w:eastAsia="Arial" w:hAnsi="Arial"/>
                <w:sz w:val="14"/>
                <w:szCs w:val="14"/>
                <w:color w:val="auto"/>
              </w:rPr>
              <w:t>as our independent registered public accounting firm for the fiscal</w:t>
            </w:r>
          </w:p>
        </w:tc>
        <w:tc>
          <w:tcPr>
            <w:tcW w:w="216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90"/>
        </w:trPr>
        <w:tc>
          <w:tcPr>
            <w:tcW w:w="1120" w:type="dxa"/>
            <w:vAlign w:val="bottom"/>
          </w:tcPr>
          <w:p>
            <w:pPr>
              <w:spacing w:after="0"/>
              <w:rPr>
                <w:sz w:val="16"/>
                <w:szCs w:val="16"/>
                <w:color w:val="auto"/>
              </w:rPr>
            </w:pPr>
          </w:p>
        </w:tc>
        <w:tc>
          <w:tcPr>
            <w:tcW w:w="4800" w:type="dxa"/>
            <w:vAlign w:val="bottom"/>
          </w:tcPr>
          <w:p>
            <w:pPr>
              <w:ind w:left="280"/>
              <w:spacing w:after="0"/>
              <w:rPr>
                <w:sz w:val="20"/>
                <w:szCs w:val="20"/>
                <w:color w:val="auto"/>
              </w:rPr>
            </w:pPr>
            <w:r>
              <w:rPr>
                <w:rFonts w:ascii="Arial" w:cs="Arial" w:eastAsia="Arial" w:hAnsi="Arial"/>
                <w:sz w:val="14"/>
                <w:szCs w:val="14"/>
                <w:color w:val="auto"/>
              </w:rPr>
              <w:t>year ending January 31, 2027</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5"/>
        </w:trPr>
        <w:tc>
          <w:tcPr>
            <w:tcW w:w="1120" w:type="dxa"/>
            <w:vAlign w:val="bottom"/>
            <w:tcBorders>
              <w:bottom w:val="single" w:sz="8" w:color="auto"/>
            </w:tcBorders>
          </w:tcPr>
          <w:p>
            <w:pPr>
              <w:spacing w:after="0"/>
              <w:rPr>
                <w:sz w:val="6"/>
                <w:szCs w:val="6"/>
                <w:color w:val="auto"/>
              </w:rPr>
            </w:pPr>
          </w:p>
        </w:tc>
        <w:tc>
          <w:tcPr>
            <w:tcW w:w="480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1120" w:type="dxa"/>
            <w:vAlign w:val="bottom"/>
          </w:tcPr>
          <w:p>
            <w:pPr>
              <w:ind w:left="160"/>
              <w:spacing w:after="0"/>
              <w:rPr>
                <w:sz w:val="20"/>
                <w:szCs w:val="20"/>
                <w:color w:val="auto"/>
              </w:rPr>
            </w:pPr>
            <w:r>
              <w:rPr>
                <w:rFonts w:ascii="Arial" w:cs="Arial" w:eastAsia="Arial" w:hAnsi="Arial"/>
                <w:sz w:val="14"/>
                <w:szCs w:val="14"/>
                <w:color w:val="auto"/>
              </w:rPr>
              <w:t>Proposal 3</w:t>
            </w:r>
          </w:p>
        </w:tc>
        <w:tc>
          <w:tcPr>
            <w:tcW w:w="4800" w:type="dxa"/>
            <w:vAlign w:val="bottom"/>
          </w:tcPr>
          <w:p>
            <w:pPr>
              <w:ind w:left="280"/>
              <w:spacing w:after="0"/>
              <w:rPr>
                <w:sz w:val="20"/>
                <w:szCs w:val="20"/>
                <w:color w:val="auto"/>
              </w:rPr>
            </w:pPr>
            <w:r>
              <w:rPr>
                <w:rFonts w:ascii="Arial" w:cs="Arial" w:eastAsia="Arial" w:hAnsi="Arial"/>
                <w:sz w:val="14"/>
                <w:szCs w:val="14"/>
                <w:color w:val="auto"/>
              </w:rPr>
              <w:t>The approval of the amendment and restatement of our Certificate of</w:t>
            </w:r>
          </w:p>
        </w:tc>
        <w:tc>
          <w:tcPr>
            <w:tcW w:w="2160" w:type="dxa"/>
            <w:vAlign w:val="bottom"/>
          </w:tcPr>
          <w:p>
            <w:pPr>
              <w:ind w:left="14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27</w:t>
            </w:r>
          </w:p>
        </w:tc>
      </w:tr>
      <w:tr>
        <w:trPr>
          <w:trHeight w:val="146"/>
        </w:trPr>
        <w:tc>
          <w:tcPr>
            <w:tcW w:w="1120" w:type="dxa"/>
            <w:vAlign w:val="bottom"/>
          </w:tcPr>
          <w:p>
            <w:pPr>
              <w:spacing w:after="0"/>
              <w:rPr>
                <w:sz w:val="12"/>
                <w:szCs w:val="12"/>
                <w:color w:val="auto"/>
              </w:rPr>
            </w:pPr>
          </w:p>
        </w:tc>
        <w:tc>
          <w:tcPr>
            <w:tcW w:w="4800" w:type="dxa"/>
            <w:vAlign w:val="bottom"/>
          </w:tcPr>
          <w:p>
            <w:pPr>
              <w:ind w:left="280"/>
              <w:spacing w:after="0" w:line="147" w:lineRule="exact"/>
              <w:rPr>
                <w:sz w:val="20"/>
                <w:szCs w:val="20"/>
                <w:color w:val="auto"/>
              </w:rPr>
            </w:pPr>
            <w:r>
              <w:rPr>
                <w:rFonts w:ascii="Arial" w:cs="Arial" w:eastAsia="Arial" w:hAnsi="Arial"/>
                <w:sz w:val="14"/>
                <w:szCs w:val="14"/>
                <w:color w:val="auto"/>
              </w:rPr>
              <w:t>Incorporation to eliminate the 50,000,000 authorized shares of</w:t>
            </w:r>
          </w:p>
        </w:tc>
        <w:tc>
          <w:tcPr>
            <w:tcW w:w="216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1120" w:type="dxa"/>
            <w:vAlign w:val="bottom"/>
          </w:tcPr>
          <w:p>
            <w:pPr>
              <w:spacing w:after="0"/>
              <w:rPr>
                <w:sz w:val="14"/>
                <w:szCs w:val="14"/>
                <w:color w:val="auto"/>
              </w:rPr>
            </w:pPr>
          </w:p>
        </w:tc>
        <w:tc>
          <w:tcPr>
            <w:tcW w:w="4800" w:type="dxa"/>
            <w:vAlign w:val="bottom"/>
          </w:tcPr>
          <w:p>
            <w:pPr>
              <w:ind w:left="280"/>
              <w:spacing w:after="0"/>
              <w:rPr>
                <w:sz w:val="20"/>
                <w:szCs w:val="20"/>
                <w:color w:val="auto"/>
              </w:rPr>
            </w:pPr>
            <w:r>
              <w:rPr>
                <w:rFonts w:ascii="Arial" w:cs="Arial" w:eastAsia="Arial" w:hAnsi="Arial"/>
                <w:sz w:val="14"/>
                <w:szCs w:val="14"/>
                <w:color w:val="auto"/>
              </w:rPr>
              <w:t>Class B common stock, none of which are currently outstanding (the</w:t>
            </w: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1120" w:type="dxa"/>
            <w:vAlign w:val="bottom"/>
          </w:tcPr>
          <w:p>
            <w:pPr>
              <w:spacing w:after="0"/>
              <w:rPr>
                <w:sz w:val="16"/>
                <w:szCs w:val="16"/>
                <w:color w:val="auto"/>
              </w:rPr>
            </w:pPr>
          </w:p>
        </w:tc>
        <w:tc>
          <w:tcPr>
            <w:tcW w:w="4800" w:type="dxa"/>
            <w:vAlign w:val="bottom"/>
          </w:tcPr>
          <w:p>
            <w:pPr>
              <w:ind w:left="280"/>
              <w:spacing w:after="0"/>
              <w:rPr>
                <w:sz w:val="20"/>
                <w:szCs w:val="20"/>
                <w:color w:val="auto"/>
              </w:rPr>
            </w:pPr>
            <w:r>
              <w:rPr>
                <w:rFonts w:ascii="Arial" w:cs="Arial" w:eastAsia="Arial" w:hAnsi="Arial"/>
                <w:sz w:val="14"/>
                <w:szCs w:val="14"/>
                <w:color w:val="auto"/>
              </w:rPr>
              <w:t>“Class B Stock Elimination Proposal”)</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6"/>
        </w:trPr>
        <w:tc>
          <w:tcPr>
            <w:tcW w:w="1120" w:type="dxa"/>
            <w:vAlign w:val="bottom"/>
            <w:tcBorders>
              <w:bottom w:val="single" w:sz="8" w:color="auto"/>
            </w:tcBorders>
          </w:tcPr>
          <w:p>
            <w:pPr>
              <w:spacing w:after="0"/>
              <w:rPr>
                <w:sz w:val="6"/>
                <w:szCs w:val="6"/>
                <w:color w:val="auto"/>
              </w:rPr>
            </w:pPr>
          </w:p>
        </w:tc>
        <w:tc>
          <w:tcPr>
            <w:tcW w:w="480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1120" w:type="dxa"/>
            <w:vAlign w:val="bottom"/>
          </w:tcPr>
          <w:p>
            <w:pPr>
              <w:ind w:left="160"/>
              <w:spacing w:after="0"/>
              <w:rPr>
                <w:sz w:val="20"/>
                <w:szCs w:val="20"/>
                <w:color w:val="auto"/>
              </w:rPr>
            </w:pPr>
            <w:r>
              <w:rPr>
                <w:rFonts w:ascii="Arial" w:cs="Arial" w:eastAsia="Arial" w:hAnsi="Arial"/>
                <w:sz w:val="14"/>
                <w:szCs w:val="14"/>
                <w:color w:val="auto"/>
              </w:rPr>
              <w:t>Proposal 4</w:t>
            </w:r>
          </w:p>
        </w:tc>
        <w:tc>
          <w:tcPr>
            <w:tcW w:w="4800" w:type="dxa"/>
            <w:vAlign w:val="bottom"/>
          </w:tcPr>
          <w:p>
            <w:pPr>
              <w:ind w:left="280"/>
              <w:spacing w:after="0"/>
              <w:rPr>
                <w:sz w:val="20"/>
                <w:szCs w:val="20"/>
                <w:color w:val="auto"/>
              </w:rPr>
            </w:pPr>
            <w:r>
              <w:rPr>
                <w:rFonts w:ascii="Arial" w:cs="Arial" w:eastAsia="Arial" w:hAnsi="Arial"/>
                <w:sz w:val="14"/>
                <w:szCs w:val="14"/>
                <w:color w:val="auto"/>
              </w:rPr>
              <w:t>The approval of the amendment and restatement of our Certificate of</w:t>
            </w:r>
          </w:p>
        </w:tc>
        <w:tc>
          <w:tcPr>
            <w:tcW w:w="2160" w:type="dxa"/>
            <w:vAlign w:val="bottom"/>
          </w:tcPr>
          <w:p>
            <w:pPr>
              <w:ind w:left="14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28</w:t>
            </w:r>
          </w:p>
        </w:tc>
      </w:tr>
      <w:tr>
        <w:trPr>
          <w:trHeight w:val="146"/>
        </w:trPr>
        <w:tc>
          <w:tcPr>
            <w:tcW w:w="1120" w:type="dxa"/>
            <w:vAlign w:val="bottom"/>
          </w:tcPr>
          <w:p>
            <w:pPr>
              <w:spacing w:after="0"/>
              <w:rPr>
                <w:sz w:val="12"/>
                <w:szCs w:val="12"/>
                <w:color w:val="auto"/>
              </w:rPr>
            </w:pPr>
          </w:p>
        </w:tc>
        <w:tc>
          <w:tcPr>
            <w:tcW w:w="4800" w:type="dxa"/>
            <w:vAlign w:val="bottom"/>
          </w:tcPr>
          <w:p>
            <w:pPr>
              <w:ind w:left="280"/>
              <w:spacing w:after="0" w:line="147" w:lineRule="exact"/>
              <w:rPr>
                <w:sz w:val="20"/>
                <w:szCs w:val="20"/>
                <w:color w:val="auto"/>
              </w:rPr>
            </w:pPr>
            <w:r>
              <w:rPr>
                <w:rFonts w:ascii="Arial" w:cs="Arial" w:eastAsia="Arial" w:hAnsi="Arial"/>
                <w:sz w:val="14"/>
                <w:szCs w:val="14"/>
                <w:color w:val="auto"/>
              </w:rPr>
              <w:t>Incorporation to eliminate the 10,000,000 authorized shares of</w:t>
            </w:r>
          </w:p>
        </w:tc>
        <w:tc>
          <w:tcPr>
            <w:tcW w:w="216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1120" w:type="dxa"/>
            <w:vAlign w:val="bottom"/>
          </w:tcPr>
          <w:p>
            <w:pPr>
              <w:spacing w:after="0"/>
              <w:rPr>
                <w:sz w:val="14"/>
                <w:szCs w:val="14"/>
                <w:color w:val="auto"/>
              </w:rPr>
            </w:pPr>
          </w:p>
        </w:tc>
        <w:tc>
          <w:tcPr>
            <w:tcW w:w="4800" w:type="dxa"/>
            <w:vAlign w:val="bottom"/>
          </w:tcPr>
          <w:p>
            <w:pPr>
              <w:ind w:left="280"/>
              <w:spacing w:after="0"/>
              <w:rPr>
                <w:sz w:val="20"/>
                <w:szCs w:val="20"/>
                <w:color w:val="auto"/>
              </w:rPr>
            </w:pPr>
            <w:r>
              <w:rPr>
                <w:rFonts w:ascii="Arial" w:cs="Arial" w:eastAsia="Arial" w:hAnsi="Arial"/>
                <w:sz w:val="14"/>
                <w:szCs w:val="14"/>
                <w:color w:val="auto"/>
              </w:rPr>
              <w:t>preferred stock, none of which are currently outstanding (the</w:t>
            </w: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1120" w:type="dxa"/>
            <w:vAlign w:val="bottom"/>
          </w:tcPr>
          <w:p>
            <w:pPr>
              <w:spacing w:after="0"/>
              <w:rPr>
                <w:sz w:val="16"/>
                <w:szCs w:val="16"/>
                <w:color w:val="auto"/>
              </w:rPr>
            </w:pPr>
          </w:p>
        </w:tc>
        <w:tc>
          <w:tcPr>
            <w:tcW w:w="4800" w:type="dxa"/>
            <w:vAlign w:val="bottom"/>
          </w:tcPr>
          <w:p>
            <w:pPr>
              <w:ind w:left="280"/>
              <w:spacing w:after="0"/>
              <w:rPr>
                <w:sz w:val="20"/>
                <w:szCs w:val="20"/>
                <w:color w:val="auto"/>
              </w:rPr>
            </w:pPr>
            <w:r>
              <w:rPr>
                <w:rFonts w:ascii="Arial" w:cs="Arial" w:eastAsia="Arial" w:hAnsi="Arial"/>
                <w:sz w:val="14"/>
                <w:szCs w:val="14"/>
                <w:color w:val="auto"/>
              </w:rPr>
              <w:t>“Preferred Stock Elimination Proposal”)</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6"/>
        </w:trPr>
        <w:tc>
          <w:tcPr>
            <w:tcW w:w="1120" w:type="dxa"/>
            <w:vAlign w:val="bottom"/>
            <w:tcBorders>
              <w:bottom w:val="single" w:sz="8" w:color="auto"/>
            </w:tcBorders>
          </w:tcPr>
          <w:p>
            <w:pPr>
              <w:spacing w:after="0"/>
              <w:rPr>
                <w:sz w:val="6"/>
                <w:szCs w:val="6"/>
                <w:color w:val="auto"/>
              </w:rPr>
            </w:pPr>
          </w:p>
        </w:tc>
        <w:tc>
          <w:tcPr>
            <w:tcW w:w="480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1120" w:type="dxa"/>
            <w:vAlign w:val="bottom"/>
          </w:tcPr>
          <w:p>
            <w:pPr>
              <w:ind w:left="160"/>
              <w:spacing w:after="0"/>
              <w:rPr>
                <w:sz w:val="20"/>
                <w:szCs w:val="20"/>
                <w:color w:val="auto"/>
              </w:rPr>
            </w:pPr>
            <w:r>
              <w:rPr>
                <w:rFonts w:ascii="Arial" w:cs="Arial" w:eastAsia="Arial" w:hAnsi="Arial"/>
                <w:sz w:val="14"/>
                <w:szCs w:val="14"/>
                <w:color w:val="auto"/>
              </w:rPr>
              <w:t>Proposal 5</w:t>
            </w:r>
          </w:p>
        </w:tc>
        <w:tc>
          <w:tcPr>
            <w:tcW w:w="4800" w:type="dxa"/>
            <w:vAlign w:val="bottom"/>
          </w:tcPr>
          <w:p>
            <w:pPr>
              <w:ind w:left="280"/>
              <w:spacing w:after="0"/>
              <w:rPr>
                <w:sz w:val="20"/>
                <w:szCs w:val="20"/>
                <w:color w:val="auto"/>
              </w:rPr>
            </w:pPr>
            <w:r>
              <w:rPr>
                <w:rFonts w:ascii="Arial" w:cs="Arial" w:eastAsia="Arial" w:hAnsi="Arial"/>
                <w:sz w:val="14"/>
                <w:szCs w:val="14"/>
                <w:color w:val="auto"/>
              </w:rPr>
              <w:t>The approval of the amendment and restatement of our Certificate of</w:t>
            </w:r>
          </w:p>
        </w:tc>
        <w:tc>
          <w:tcPr>
            <w:tcW w:w="2160" w:type="dxa"/>
            <w:vAlign w:val="bottom"/>
          </w:tcPr>
          <w:p>
            <w:pPr>
              <w:ind w:left="14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29</w:t>
            </w:r>
          </w:p>
        </w:tc>
      </w:tr>
      <w:tr>
        <w:trPr>
          <w:trHeight w:val="146"/>
        </w:trPr>
        <w:tc>
          <w:tcPr>
            <w:tcW w:w="1120" w:type="dxa"/>
            <w:vAlign w:val="bottom"/>
          </w:tcPr>
          <w:p>
            <w:pPr>
              <w:spacing w:after="0"/>
              <w:rPr>
                <w:sz w:val="12"/>
                <w:szCs w:val="12"/>
                <w:color w:val="auto"/>
              </w:rPr>
            </w:pPr>
          </w:p>
        </w:tc>
        <w:tc>
          <w:tcPr>
            <w:tcW w:w="4800" w:type="dxa"/>
            <w:vAlign w:val="bottom"/>
          </w:tcPr>
          <w:p>
            <w:pPr>
              <w:ind w:left="280"/>
              <w:spacing w:after="0" w:line="147" w:lineRule="exact"/>
              <w:rPr>
                <w:sz w:val="20"/>
                <w:szCs w:val="20"/>
                <w:color w:val="auto"/>
              </w:rPr>
            </w:pPr>
            <w:r>
              <w:rPr>
                <w:rFonts w:ascii="Arial" w:cs="Arial" w:eastAsia="Arial" w:hAnsi="Arial"/>
                <w:sz w:val="14"/>
                <w:szCs w:val="14"/>
                <w:color w:val="auto"/>
              </w:rPr>
              <w:t>Incorporation to eliminate supermajority voting provisions (the</w:t>
            </w:r>
          </w:p>
        </w:tc>
        <w:tc>
          <w:tcPr>
            <w:tcW w:w="216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90"/>
        </w:trPr>
        <w:tc>
          <w:tcPr>
            <w:tcW w:w="1120" w:type="dxa"/>
            <w:vAlign w:val="bottom"/>
          </w:tcPr>
          <w:p>
            <w:pPr>
              <w:spacing w:after="0"/>
              <w:rPr>
                <w:sz w:val="16"/>
                <w:szCs w:val="16"/>
                <w:color w:val="auto"/>
              </w:rPr>
            </w:pPr>
          </w:p>
        </w:tc>
        <w:tc>
          <w:tcPr>
            <w:tcW w:w="4800" w:type="dxa"/>
            <w:vAlign w:val="bottom"/>
          </w:tcPr>
          <w:p>
            <w:pPr>
              <w:ind w:left="280"/>
              <w:spacing w:after="0"/>
              <w:rPr>
                <w:sz w:val="20"/>
                <w:szCs w:val="20"/>
                <w:color w:val="auto"/>
              </w:rPr>
            </w:pPr>
            <w:r>
              <w:rPr>
                <w:rFonts w:ascii="Arial" w:cs="Arial" w:eastAsia="Arial" w:hAnsi="Arial"/>
                <w:sz w:val="14"/>
                <w:szCs w:val="14"/>
                <w:color w:val="auto"/>
              </w:rPr>
              <w:t>“Supermajority Voting Elimination Proposal”)</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5"/>
        </w:trPr>
        <w:tc>
          <w:tcPr>
            <w:tcW w:w="1120" w:type="dxa"/>
            <w:vAlign w:val="bottom"/>
            <w:tcBorders>
              <w:bottom w:val="single" w:sz="8" w:color="auto"/>
            </w:tcBorders>
          </w:tcPr>
          <w:p>
            <w:pPr>
              <w:spacing w:after="0"/>
              <w:rPr>
                <w:sz w:val="6"/>
                <w:szCs w:val="6"/>
                <w:color w:val="auto"/>
              </w:rPr>
            </w:pPr>
          </w:p>
        </w:tc>
        <w:tc>
          <w:tcPr>
            <w:tcW w:w="480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1120" w:type="dxa"/>
            <w:vAlign w:val="bottom"/>
          </w:tcPr>
          <w:p>
            <w:pPr>
              <w:ind w:left="160"/>
              <w:spacing w:after="0"/>
              <w:rPr>
                <w:sz w:val="20"/>
                <w:szCs w:val="20"/>
                <w:color w:val="auto"/>
              </w:rPr>
            </w:pPr>
            <w:r>
              <w:rPr>
                <w:rFonts w:ascii="Arial" w:cs="Arial" w:eastAsia="Arial" w:hAnsi="Arial"/>
                <w:sz w:val="14"/>
                <w:szCs w:val="14"/>
                <w:color w:val="auto"/>
              </w:rPr>
              <w:t>Proposal 6</w:t>
            </w:r>
          </w:p>
        </w:tc>
        <w:tc>
          <w:tcPr>
            <w:tcW w:w="4800" w:type="dxa"/>
            <w:vAlign w:val="bottom"/>
          </w:tcPr>
          <w:p>
            <w:pPr>
              <w:ind w:left="280"/>
              <w:spacing w:after="0"/>
              <w:rPr>
                <w:sz w:val="20"/>
                <w:szCs w:val="20"/>
                <w:color w:val="auto"/>
              </w:rPr>
            </w:pPr>
            <w:r>
              <w:rPr>
                <w:rFonts w:ascii="Arial" w:cs="Arial" w:eastAsia="Arial" w:hAnsi="Arial"/>
                <w:sz w:val="14"/>
                <w:szCs w:val="14"/>
                <w:color w:val="auto"/>
              </w:rPr>
              <w:t>The approval of the amendment and restatement of our Certificate of</w:t>
            </w:r>
          </w:p>
        </w:tc>
        <w:tc>
          <w:tcPr>
            <w:tcW w:w="2160" w:type="dxa"/>
            <w:vAlign w:val="bottom"/>
          </w:tcPr>
          <w:p>
            <w:pPr>
              <w:ind w:left="14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30</w:t>
            </w:r>
          </w:p>
        </w:tc>
      </w:tr>
      <w:tr>
        <w:trPr>
          <w:trHeight w:val="146"/>
        </w:trPr>
        <w:tc>
          <w:tcPr>
            <w:tcW w:w="1120" w:type="dxa"/>
            <w:vAlign w:val="bottom"/>
          </w:tcPr>
          <w:p>
            <w:pPr>
              <w:spacing w:after="0"/>
              <w:rPr>
                <w:sz w:val="12"/>
                <w:szCs w:val="12"/>
                <w:color w:val="auto"/>
              </w:rPr>
            </w:pPr>
          </w:p>
        </w:tc>
        <w:tc>
          <w:tcPr>
            <w:tcW w:w="4800" w:type="dxa"/>
            <w:vAlign w:val="bottom"/>
          </w:tcPr>
          <w:p>
            <w:pPr>
              <w:ind w:left="280"/>
              <w:spacing w:after="0" w:line="147" w:lineRule="exact"/>
              <w:rPr>
                <w:sz w:val="20"/>
                <w:szCs w:val="20"/>
                <w:color w:val="auto"/>
              </w:rPr>
            </w:pPr>
            <w:r>
              <w:rPr>
                <w:rFonts w:ascii="Arial" w:cs="Arial" w:eastAsia="Arial" w:hAnsi="Arial"/>
                <w:sz w:val="14"/>
                <w:szCs w:val="14"/>
                <w:color w:val="auto"/>
              </w:rPr>
              <w:t>Incorporation to implement quorum requirement for meetings of the</w:t>
            </w:r>
          </w:p>
        </w:tc>
        <w:tc>
          <w:tcPr>
            <w:tcW w:w="216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90"/>
        </w:trPr>
        <w:tc>
          <w:tcPr>
            <w:tcW w:w="1120" w:type="dxa"/>
            <w:vAlign w:val="bottom"/>
          </w:tcPr>
          <w:p>
            <w:pPr>
              <w:spacing w:after="0"/>
              <w:rPr>
                <w:sz w:val="16"/>
                <w:szCs w:val="16"/>
                <w:color w:val="auto"/>
              </w:rPr>
            </w:pPr>
          </w:p>
        </w:tc>
        <w:tc>
          <w:tcPr>
            <w:tcW w:w="4800" w:type="dxa"/>
            <w:vAlign w:val="bottom"/>
          </w:tcPr>
          <w:p>
            <w:pPr>
              <w:ind w:left="280"/>
              <w:spacing w:after="0"/>
              <w:rPr>
                <w:sz w:val="20"/>
                <w:szCs w:val="20"/>
                <w:color w:val="auto"/>
              </w:rPr>
            </w:pPr>
            <w:r>
              <w:rPr>
                <w:rFonts w:ascii="Arial" w:cs="Arial" w:eastAsia="Arial" w:hAnsi="Arial"/>
                <w:sz w:val="14"/>
                <w:szCs w:val="14"/>
                <w:color w:val="auto"/>
              </w:rPr>
              <w:t>Board of Directors (the “Board Quorum Proposal”)</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5"/>
        </w:trPr>
        <w:tc>
          <w:tcPr>
            <w:tcW w:w="1120" w:type="dxa"/>
            <w:vAlign w:val="bottom"/>
            <w:tcBorders>
              <w:bottom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1160" w:type="dxa"/>
            <w:vAlign w:val="bottom"/>
            <w:shd w:val="clear" w:color="auto" w:fill="FFE8F5"/>
          </w:tcPr>
          <w:p>
            <w:pPr>
              <w:spacing w:after="0"/>
              <w:rPr>
                <w:sz w:val="24"/>
                <w:szCs w:val="24"/>
                <w:color w:val="auto"/>
              </w:rPr>
            </w:pPr>
          </w:p>
        </w:tc>
        <w:tc>
          <w:tcPr>
            <w:tcW w:w="4780" w:type="dxa"/>
            <w:vAlign w:val="bottom"/>
            <w:shd w:val="clear" w:color="auto" w:fill="FFE8F5"/>
          </w:tcPr>
          <w:p>
            <w:pPr>
              <w:ind w:left="240"/>
              <w:spacing w:after="0"/>
              <w:rPr>
                <w:sz w:val="20"/>
                <w:szCs w:val="20"/>
                <w:color w:val="auto"/>
              </w:rPr>
            </w:pPr>
            <w:r>
              <w:rPr>
                <w:rFonts w:ascii="Arial" w:cs="Arial" w:eastAsia="Arial" w:hAnsi="Arial"/>
                <w:sz w:val="14"/>
                <w:szCs w:val="14"/>
                <w:b w:val="1"/>
                <w:bCs w:val="1"/>
                <w:color w:val="auto"/>
              </w:rPr>
              <w:t>Proposal</w:t>
            </w:r>
          </w:p>
        </w:tc>
        <w:tc>
          <w:tcPr>
            <w:tcW w:w="2140" w:type="dxa"/>
            <w:vAlign w:val="bottom"/>
            <w:shd w:val="clear" w:color="auto" w:fill="FFE8F5"/>
          </w:tcPr>
          <w:p>
            <w:pPr>
              <w:ind w:left="120"/>
              <w:spacing w:after="0"/>
              <w:rPr>
                <w:sz w:val="20"/>
                <w:szCs w:val="20"/>
                <w:color w:val="auto"/>
              </w:rPr>
            </w:pPr>
            <w:r>
              <w:rPr>
                <w:rFonts w:ascii="Arial" w:cs="Arial" w:eastAsia="Arial" w:hAnsi="Arial"/>
                <w:sz w:val="14"/>
                <w:szCs w:val="14"/>
                <w:b w:val="1"/>
                <w:bCs w:val="1"/>
                <w:color w:val="auto"/>
              </w:rPr>
              <w:t>Board Recommendation</w:t>
            </w:r>
          </w:p>
        </w:tc>
        <w:tc>
          <w:tcPr>
            <w:tcW w:w="1420" w:type="dxa"/>
            <w:vAlign w:val="bottom"/>
            <w:gridSpan w:val="2"/>
            <w:shd w:val="clear" w:color="auto" w:fill="FFE8F5"/>
          </w:tcPr>
          <w:p>
            <w:pPr>
              <w:spacing w:after="0"/>
              <w:rPr>
                <w:sz w:val="20"/>
                <w:szCs w:val="20"/>
                <w:color w:val="auto"/>
              </w:rPr>
            </w:pPr>
            <w:r>
              <w:rPr>
                <w:rFonts w:ascii="Arial" w:cs="Arial" w:eastAsia="Arial" w:hAnsi="Arial"/>
                <w:sz w:val="14"/>
                <w:szCs w:val="14"/>
                <w:b w:val="1"/>
                <w:bCs w:val="1"/>
                <w:color w:val="auto"/>
              </w:rPr>
              <w:t>Reference Page</w:t>
            </w:r>
          </w:p>
        </w:tc>
      </w:tr>
      <w:tr>
        <w:trPr>
          <w:trHeight w:val="69"/>
        </w:trPr>
        <w:tc>
          <w:tcPr>
            <w:tcW w:w="1160" w:type="dxa"/>
            <w:vAlign w:val="bottom"/>
            <w:tcBorders>
              <w:bottom w:val="single" w:sz="8" w:color="auto"/>
            </w:tcBorders>
            <w:shd w:val="clear" w:color="auto" w:fill="FFE8F5"/>
          </w:tcPr>
          <w:p>
            <w:pPr>
              <w:spacing w:after="0"/>
              <w:rPr>
                <w:sz w:val="6"/>
                <w:szCs w:val="6"/>
                <w:color w:val="auto"/>
              </w:rPr>
            </w:pPr>
          </w:p>
        </w:tc>
        <w:tc>
          <w:tcPr>
            <w:tcW w:w="4780" w:type="dxa"/>
            <w:vAlign w:val="bottom"/>
            <w:tcBorders>
              <w:bottom w:val="single" w:sz="8" w:color="auto"/>
            </w:tcBorders>
            <w:shd w:val="clear" w:color="auto" w:fill="FFE8F5"/>
          </w:tcPr>
          <w:p>
            <w:pPr>
              <w:spacing w:after="0"/>
              <w:rPr>
                <w:sz w:val="6"/>
                <w:szCs w:val="6"/>
                <w:color w:val="auto"/>
              </w:rPr>
            </w:pPr>
          </w:p>
        </w:tc>
        <w:tc>
          <w:tcPr>
            <w:tcW w:w="2140" w:type="dxa"/>
            <w:vAlign w:val="bottom"/>
            <w:tcBorders>
              <w:bottom w:val="single" w:sz="8" w:color="auto"/>
            </w:tcBorders>
            <w:shd w:val="clear" w:color="auto" w:fill="FFE8F5"/>
          </w:tcPr>
          <w:p>
            <w:pPr>
              <w:spacing w:after="0"/>
              <w:rPr>
                <w:sz w:val="6"/>
                <w:szCs w:val="6"/>
                <w:color w:val="auto"/>
              </w:rPr>
            </w:pPr>
          </w:p>
        </w:tc>
        <w:tc>
          <w:tcPr>
            <w:tcW w:w="160" w:type="dxa"/>
            <w:vAlign w:val="bottom"/>
            <w:tcBorders>
              <w:bottom w:val="single" w:sz="8" w:color="auto"/>
            </w:tcBorders>
            <w:shd w:val="clear" w:color="auto" w:fill="FFE8F5"/>
          </w:tcPr>
          <w:p>
            <w:pPr>
              <w:spacing w:after="0"/>
              <w:rPr>
                <w:sz w:val="6"/>
                <w:szCs w:val="6"/>
                <w:color w:val="auto"/>
              </w:rPr>
            </w:pPr>
          </w:p>
        </w:tc>
        <w:tc>
          <w:tcPr>
            <w:tcW w:w="1260" w:type="dxa"/>
            <w:vAlign w:val="bottom"/>
            <w:tcBorders>
              <w:bottom w:val="single" w:sz="8" w:color="auto"/>
            </w:tcBorders>
            <w:shd w:val="clear" w:color="auto" w:fill="FFE8F5"/>
          </w:tcPr>
          <w:p>
            <w:pPr>
              <w:spacing w:after="0"/>
              <w:rPr>
                <w:sz w:val="6"/>
                <w:szCs w:val="6"/>
                <w:color w:val="auto"/>
              </w:rPr>
            </w:pPr>
          </w:p>
        </w:tc>
      </w:tr>
      <w:tr>
        <w:trPr>
          <w:trHeight w:val="237"/>
        </w:trPr>
        <w:tc>
          <w:tcPr>
            <w:tcW w:w="1160" w:type="dxa"/>
            <w:vAlign w:val="bottom"/>
          </w:tcPr>
          <w:p>
            <w:pPr>
              <w:ind w:left="160"/>
              <w:spacing w:after="0"/>
              <w:rPr>
                <w:sz w:val="20"/>
                <w:szCs w:val="20"/>
                <w:color w:val="auto"/>
              </w:rPr>
            </w:pPr>
            <w:r>
              <w:rPr>
                <w:rFonts w:ascii="Arial" w:cs="Arial" w:eastAsia="Arial" w:hAnsi="Arial"/>
                <w:sz w:val="14"/>
                <w:szCs w:val="14"/>
                <w:color w:val="auto"/>
              </w:rPr>
              <w:t>Proposal 7</w:t>
            </w:r>
          </w:p>
        </w:tc>
        <w:tc>
          <w:tcPr>
            <w:tcW w:w="4780" w:type="dxa"/>
            <w:vAlign w:val="bottom"/>
          </w:tcPr>
          <w:p>
            <w:pPr>
              <w:ind w:left="240"/>
              <w:spacing w:after="0"/>
              <w:rPr>
                <w:sz w:val="20"/>
                <w:szCs w:val="20"/>
                <w:color w:val="auto"/>
              </w:rPr>
            </w:pPr>
            <w:r>
              <w:rPr>
                <w:rFonts w:ascii="Arial" w:cs="Arial" w:eastAsia="Arial" w:hAnsi="Arial"/>
                <w:sz w:val="14"/>
                <w:szCs w:val="14"/>
                <w:color w:val="auto"/>
              </w:rPr>
              <w:t>The approval of the amendment and restatement of our Certificate of</w:t>
            </w:r>
          </w:p>
        </w:tc>
        <w:tc>
          <w:tcPr>
            <w:tcW w:w="2140" w:type="dxa"/>
            <w:vAlign w:val="bottom"/>
          </w:tcPr>
          <w:p>
            <w:pPr>
              <w:ind w:left="12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31</w:t>
            </w:r>
          </w:p>
        </w:tc>
      </w:tr>
      <w:tr>
        <w:trPr>
          <w:trHeight w:val="146"/>
        </w:trPr>
        <w:tc>
          <w:tcPr>
            <w:tcW w:w="1160" w:type="dxa"/>
            <w:vAlign w:val="bottom"/>
          </w:tcPr>
          <w:p>
            <w:pPr>
              <w:spacing w:after="0"/>
              <w:rPr>
                <w:sz w:val="12"/>
                <w:szCs w:val="12"/>
                <w:color w:val="auto"/>
              </w:rPr>
            </w:pPr>
          </w:p>
        </w:tc>
        <w:tc>
          <w:tcPr>
            <w:tcW w:w="4780" w:type="dxa"/>
            <w:vAlign w:val="bottom"/>
          </w:tcPr>
          <w:p>
            <w:pPr>
              <w:ind w:left="240"/>
              <w:spacing w:after="0" w:line="147" w:lineRule="exact"/>
              <w:rPr>
                <w:sz w:val="20"/>
                <w:szCs w:val="20"/>
                <w:color w:val="auto"/>
              </w:rPr>
            </w:pPr>
            <w:r>
              <w:rPr>
                <w:rFonts w:ascii="Arial" w:cs="Arial" w:eastAsia="Arial" w:hAnsi="Arial"/>
                <w:sz w:val="14"/>
                <w:szCs w:val="14"/>
                <w:color w:val="auto"/>
              </w:rPr>
              <w:t>Incorporation to permit stockholders holding at least 40% of the</w:t>
            </w:r>
          </w:p>
        </w:tc>
        <w:tc>
          <w:tcPr>
            <w:tcW w:w="214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voting power of all of the then-outstanding Common Stock to call</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special meetings of stockholders of the Company (the “Special</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1160" w:type="dxa"/>
            <w:vAlign w:val="bottom"/>
          </w:tcPr>
          <w:p>
            <w:pPr>
              <w:spacing w:after="0"/>
              <w:rPr>
                <w:sz w:val="16"/>
                <w:szCs w:val="16"/>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Meeting Proposal”)</w:t>
            </w: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6"/>
        </w:trPr>
        <w:tc>
          <w:tcPr>
            <w:tcW w:w="116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1160" w:type="dxa"/>
            <w:vAlign w:val="bottom"/>
          </w:tcPr>
          <w:p>
            <w:pPr>
              <w:ind w:left="160"/>
              <w:spacing w:after="0"/>
              <w:rPr>
                <w:sz w:val="20"/>
                <w:szCs w:val="20"/>
                <w:color w:val="auto"/>
              </w:rPr>
            </w:pPr>
            <w:r>
              <w:rPr>
                <w:rFonts w:ascii="Arial" w:cs="Arial" w:eastAsia="Arial" w:hAnsi="Arial"/>
                <w:sz w:val="14"/>
                <w:szCs w:val="14"/>
                <w:color w:val="auto"/>
              </w:rPr>
              <w:t>Proposal 8</w:t>
            </w:r>
          </w:p>
        </w:tc>
        <w:tc>
          <w:tcPr>
            <w:tcW w:w="4780" w:type="dxa"/>
            <w:vAlign w:val="bottom"/>
          </w:tcPr>
          <w:p>
            <w:pPr>
              <w:ind w:left="240"/>
              <w:spacing w:after="0"/>
              <w:rPr>
                <w:sz w:val="20"/>
                <w:szCs w:val="20"/>
                <w:color w:val="auto"/>
              </w:rPr>
            </w:pPr>
            <w:r>
              <w:rPr>
                <w:rFonts w:ascii="Arial" w:cs="Arial" w:eastAsia="Arial" w:hAnsi="Arial"/>
                <w:sz w:val="14"/>
                <w:szCs w:val="14"/>
                <w:color w:val="auto"/>
              </w:rPr>
              <w:t>The approval of the amendment and restatement of our Certificate of</w:t>
            </w:r>
          </w:p>
        </w:tc>
        <w:tc>
          <w:tcPr>
            <w:tcW w:w="2140" w:type="dxa"/>
            <w:vAlign w:val="bottom"/>
          </w:tcPr>
          <w:p>
            <w:pPr>
              <w:ind w:left="12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32</w:t>
            </w:r>
          </w:p>
        </w:tc>
      </w:tr>
      <w:tr>
        <w:trPr>
          <w:trHeight w:val="146"/>
        </w:trPr>
        <w:tc>
          <w:tcPr>
            <w:tcW w:w="1160" w:type="dxa"/>
            <w:vAlign w:val="bottom"/>
          </w:tcPr>
          <w:p>
            <w:pPr>
              <w:spacing w:after="0"/>
              <w:rPr>
                <w:sz w:val="12"/>
                <w:szCs w:val="12"/>
                <w:color w:val="auto"/>
              </w:rPr>
            </w:pPr>
          </w:p>
        </w:tc>
        <w:tc>
          <w:tcPr>
            <w:tcW w:w="4780" w:type="dxa"/>
            <w:vAlign w:val="bottom"/>
          </w:tcPr>
          <w:p>
            <w:pPr>
              <w:ind w:left="240"/>
              <w:spacing w:after="0" w:line="147" w:lineRule="exact"/>
              <w:rPr>
                <w:sz w:val="20"/>
                <w:szCs w:val="20"/>
                <w:color w:val="auto"/>
              </w:rPr>
            </w:pPr>
            <w:r>
              <w:rPr>
                <w:rFonts w:ascii="Arial" w:cs="Arial" w:eastAsia="Arial" w:hAnsi="Arial"/>
                <w:sz w:val="14"/>
                <w:szCs w:val="14"/>
                <w:color w:val="auto"/>
              </w:rPr>
              <w:t>Incorporation to eliminate the prohibition against stockholders acting</w:t>
            </w:r>
          </w:p>
        </w:tc>
        <w:tc>
          <w:tcPr>
            <w:tcW w:w="214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90"/>
        </w:trPr>
        <w:tc>
          <w:tcPr>
            <w:tcW w:w="1160" w:type="dxa"/>
            <w:vAlign w:val="bottom"/>
          </w:tcPr>
          <w:p>
            <w:pPr>
              <w:spacing w:after="0"/>
              <w:rPr>
                <w:sz w:val="16"/>
                <w:szCs w:val="16"/>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by written consent (the “Written Consent Proposal”)</w:t>
            </w: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6"/>
        </w:trPr>
        <w:tc>
          <w:tcPr>
            <w:tcW w:w="116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1160" w:type="dxa"/>
            <w:vAlign w:val="bottom"/>
          </w:tcPr>
          <w:p>
            <w:pPr>
              <w:ind w:left="160"/>
              <w:spacing w:after="0"/>
              <w:rPr>
                <w:sz w:val="20"/>
                <w:szCs w:val="20"/>
                <w:color w:val="auto"/>
              </w:rPr>
            </w:pPr>
            <w:r>
              <w:rPr>
                <w:rFonts w:ascii="Arial" w:cs="Arial" w:eastAsia="Arial" w:hAnsi="Arial"/>
                <w:sz w:val="14"/>
                <w:szCs w:val="14"/>
                <w:color w:val="auto"/>
              </w:rPr>
              <w:t>Proposal 9</w:t>
            </w:r>
          </w:p>
        </w:tc>
        <w:tc>
          <w:tcPr>
            <w:tcW w:w="4780" w:type="dxa"/>
            <w:vAlign w:val="bottom"/>
          </w:tcPr>
          <w:p>
            <w:pPr>
              <w:ind w:left="240"/>
              <w:spacing w:after="0"/>
              <w:rPr>
                <w:sz w:val="20"/>
                <w:szCs w:val="20"/>
                <w:color w:val="auto"/>
              </w:rPr>
            </w:pPr>
            <w:r>
              <w:rPr>
                <w:rFonts w:ascii="Arial" w:cs="Arial" w:eastAsia="Arial" w:hAnsi="Arial"/>
                <w:sz w:val="14"/>
                <w:szCs w:val="14"/>
                <w:color w:val="auto"/>
              </w:rPr>
              <w:t>The approval of the amendment and restatement of our Certificate of</w:t>
            </w:r>
          </w:p>
        </w:tc>
        <w:tc>
          <w:tcPr>
            <w:tcW w:w="2140" w:type="dxa"/>
            <w:vAlign w:val="bottom"/>
          </w:tcPr>
          <w:p>
            <w:pPr>
              <w:ind w:left="12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33</w:t>
            </w:r>
          </w:p>
        </w:tc>
      </w:tr>
      <w:tr>
        <w:trPr>
          <w:trHeight w:val="146"/>
        </w:trPr>
        <w:tc>
          <w:tcPr>
            <w:tcW w:w="1160" w:type="dxa"/>
            <w:vAlign w:val="bottom"/>
          </w:tcPr>
          <w:p>
            <w:pPr>
              <w:spacing w:after="0"/>
              <w:rPr>
                <w:sz w:val="12"/>
                <w:szCs w:val="12"/>
                <w:color w:val="auto"/>
              </w:rPr>
            </w:pPr>
          </w:p>
        </w:tc>
        <w:tc>
          <w:tcPr>
            <w:tcW w:w="4780" w:type="dxa"/>
            <w:vAlign w:val="bottom"/>
          </w:tcPr>
          <w:p>
            <w:pPr>
              <w:ind w:left="240"/>
              <w:spacing w:after="0" w:line="147" w:lineRule="exact"/>
              <w:rPr>
                <w:sz w:val="20"/>
                <w:szCs w:val="20"/>
                <w:color w:val="auto"/>
              </w:rPr>
            </w:pPr>
            <w:r>
              <w:rPr>
                <w:rFonts w:ascii="Arial" w:cs="Arial" w:eastAsia="Arial" w:hAnsi="Arial"/>
                <w:sz w:val="14"/>
                <w:szCs w:val="14"/>
                <w:color w:val="auto"/>
              </w:rPr>
              <w:t>Incorporation to limit liability of officers as permitted by law (the</w:t>
            </w:r>
          </w:p>
        </w:tc>
        <w:tc>
          <w:tcPr>
            <w:tcW w:w="214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90"/>
        </w:trPr>
        <w:tc>
          <w:tcPr>
            <w:tcW w:w="1160" w:type="dxa"/>
            <w:vAlign w:val="bottom"/>
          </w:tcPr>
          <w:p>
            <w:pPr>
              <w:spacing w:after="0"/>
              <w:rPr>
                <w:sz w:val="16"/>
                <w:szCs w:val="16"/>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“Officer Exculpation Proposal”)</w:t>
            </w: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6"/>
        </w:trPr>
        <w:tc>
          <w:tcPr>
            <w:tcW w:w="116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1160" w:type="dxa"/>
            <w:vAlign w:val="bottom"/>
          </w:tcPr>
          <w:p>
            <w:pPr>
              <w:ind w:left="160"/>
              <w:spacing w:after="0"/>
              <w:rPr>
                <w:sz w:val="20"/>
                <w:szCs w:val="20"/>
                <w:color w:val="auto"/>
              </w:rPr>
            </w:pPr>
            <w:r>
              <w:rPr>
                <w:rFonts w:ascii="Arial" w:cs="Arial" w:eastAsia="Arial" w:hAnsi="Arial"/>
                <w:sz w:val="14"/>
                <w:szCs w:val="14"/>
                <w:color w:val="auto"/>
              </w:rPr>
              <w:t>Proposal 10</w:t>
            </w:r>
          </w:p>
        </w:tc>
        <w:tc>
          <w:tcPr>
            <w:tcW w:w="4780" w:type="dxa"/>
            <w:vAlign w:val="bottom"/>
          </w:tcPr>
          <w:p>
            <w:pPr>
              <w:ind w:left="240"/>
              <w:spacing w:after="0"/>
              <w:rPr>
                <w:sz w:val="20"/>
                <w:szCs w:val="20"/>
                <w:color w:val="auto"/>
              </w:rPr>
            </w:pPr>
            <w:r>
              <w:rPr>
                <w:rFonts w:ascii="Arial" w:cs="Arial" w:eastAsia="Arial" w:hAnsi="Arial"/>
                <w:sz w:val="14"/>
                <w:szCs w:val="14"/>
                <w:color w:val="auto"/>
              </w:rPr>
              <w:t>The approval of the amendment and restatement of our Certificate of</w:t>
            </w:r>
          </w:p>
        </w:tc>
        <w:tc>
          <w:tcPr>
            <w:tcW w:w="2140" w:type="dxa"/>
            <w:vAlign w:val="bottom"/>
          </w:tcPr>
          <w:p>
            <w:pPr>
              <w:ind w:left="12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34</w:t>
            </w:r>
          </w:p>
        </w:tc>
      </w:tr>
      <w:tr>
        <w:trPr>
          <w:trHeight w:val="146"/>
        </w:trPr>
        <w:tc>
          <w:tcPr>
            <w:tcW w:w="1160" w:type="dxa"/>
            <w:vAlign w:val="bottom"/>
          </w:tcPr>
          <w:p>
            <w:pPr>
              <w:spacing w:after="0"/>
              <w:rPr>
                <w:sz w:val="12"/>
                <w:szCs w:val="12"/>
                <w:color w:val="auto"/>
              </w:rPr>
            </w:pPr>
          </w:p>
        </w:tc>
        <w:tc>
          <w:tcPr>
            <w:tcW w:w="4780" w:type="dxa"/>
            <w:vAlign w:val="bottom"/>
          </w:tcPr>
          <w:p>
            <w:pPr>
              <w:ind w:left="240"/>
              <w:spacing w:after="0" w:line="147" w:lineRule="exact"/>
              <w:rPr>
                <w:sz w:val="20"/>
                <w:szCs w:val="20"/>
                <w:color w:val="auto"/>
              </w:rPr>
            </w:pPr>
            <w:r>
              <w:rPr>
                <w:rFonts w:ascii="Arial" w:cs="Arial" w:eastAsia="Arial" w:hAnsi="Arial"/>
                <w:sz w:val="14"/>
                <w:szCs w:val="14"/>
                <w:color w:val="auto"/>
              </w:rPr>
              <w:t>Incorporation for certain board designation rights and to make certain</w:t>
            </w:r>
          </w:p>
        </w:tc>
        <w:tc>
          <w:tcPr>
            <w:tcW w:w="214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other conforming changes consistent with the Investor Rights</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1160" w:type="dxa"/>
            <w:vAlign w:val="bottom"/>
          </w:tcPr>
          <w:p>
            <w:pPr>
              <w:spacing w:after="0"/>
              <w:rPr>
                <w:sz w:val="16"/>
                <w:szCs w:val="16"/>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Agreement (the “Board Designation Rights Proposal”)</w:t>
            </w: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5"/>
        </w:trPr>
        <w:tc>
          <w:tcPr>
            <w:tcW w:w="116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1160" w:type="dxa"/>
            <w:vAlign w:val="bottom"/>
          </w:tcPr>
          <w:p>
            <w:pPr>
              <w:ind w:left="160"/>
              <w:spacing w:after="0"/>
              <w:rPr>
                <w:sz w:val="20"/>
                <w:szCs w:val="20"/>
                <w:color w:val="auto"/>
              </w:rPr>
            </w:pPr>
            <w:r>
              <w:rPr>
                <w:rFonts w:ascii="Arial" w:cs="Arial" w:eastAsia="Arial" w:hAnsi="Arial"/>
                <w:sz w:val="14"/>
                <w:szCs w:val="14"/>
                <w:color w:val="auto"/>
              </w:rPr>
              <w:t>Proposal 11</w:t>
            </w:r>
          </w:p>
        </w:tc>
        <w:tc>
          <w:tcPr>
            <w:tcW w:w="4780" w:type="dxa"/>
            <w:vAlign w:val="bottom"/>
          </w:tcPr>
          <w:p>
            <w:pPr>
              <w:ind w:left="240"/>
              <w:spacing w:after="0"/>
              <w:rPr>
                <w:sz w:val="20"/>
                <w:szCs w:val="20"/>
                <w:color w:val="auto"/>
              </w:rPr>
            </w:pPr>
            <w:r>
              <w:rPr>
                <w:rFonts w:ascii="Arial" w:cs="Arial" w:eastAsia="Arial" w:hAnsi="Arial"/>
                <w:sz w:val="14"/>
                <w:szCs w:val="14"/>
                <w:color w:val="auto"/>
              </w:rPr>
              <w:t>The approval of the amendment and restatement of our Certificate of</w:t>
            </w:r>
          </w:p>
        </w:tc>
        <w:tc>
          <w:tcPr>
            <w:tcW w:w="2140" w:type="dxa"/>
            <w:vAlign w:val="bottom"/>
          </w:tcPr>
          <w:p>
            <w:pPr>
              <w:ind w:left="12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35</w:t>
            </w:r>
          </w:p>
        </w:tc>
      </w:tr>
      <w:tr>
        <w:trPr>
          <w:trHeight w:val="146"/>
        </w:trPr>
        <w:tc>
          <w:tcPr>
            <w:tcW w:w="1160" w:type="dxa"/>
            <w:vAlign w:val="bottom"/>
          </w:tcPr>
          <w:p>
            <w:pPr>
              <w:spacing w:after="0"/>
              <w:rPr>
                <w:sz w:val="12"/>
                <w:szCs w:val="12"/>
                <w:color w:val="auto"/>
              </w:rPr>
            </w:pPr>
          </w:p>
        </w:tc>
        <w:tc>
          <w:tcPr>
            <w:tcW w:w="4780" w:type="dxa"/>
            <w:vAlign w:val="bottom"/>
          </w:tcPr>
          <w:p>
            <w:pPr>
              <w:ind w:left="240"/>
              <w:spacing w:after="0" w:line="147" w:lineRule="exact"/>
              <w:rPr>
                <w:sz w:val="20"/>
                <w:szCs w:val="20"/>
                <w:color w:val="auto"/>
              </w:rPr>
            </w:pPr>
            <w:r>
              <w:rPr>
                <w:rFonts w:ascii="Arial" w:cs="Arial" w:eastAsia="Arial" w:hAnsi="Arial"/>
                <w:sz w:val="14"/>
                <w:szCs w:val="14"/>
                <w:color w:val="auto"/>
              </w:rPr>
              <w:t>Incorporation to revise certain corporate opportunity provisions,</w:t>
            </w:r>
          </w:p>
        </w:tc>
        <w:tc>
          <w:tcPr>
            <w:tcW w:w="214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including limiting the definition of “Exempt Person” to designated</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directors of STORY3 and Nexus rather than all directors, and</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eliminating the provision that no director shall be liable to the</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Company, its subsidiaries, or its stockholders for breach of any duty</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relating to compliance with such corporate opportunity provisions (the</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1160" w:type="dxa"/>
            <w:vAlign w:val="bottom"/>
          </w:tcPr>
          <w:p>
            <w:pPr>
              <w:spacing w:after="0"/>
              <w:rPr>
                <w:sz w:val="16"/>
                <w:szCs w:val="16"/>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“Corporate Opportunity Proposal”);</w:t>
            </w: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6"/>
        </w:trPr>
        <w:tc>
          <w:tcPr>
            <w:tcW w:w="116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1160" w:type="dxa"/>
            <w:vAlign w:val="bottom"/>
          </w:tcPr>
          <w:p>
            <w:pPr>
              <w:ind w:left="160"/>
              <w:spacing w:after="0"/>
              <w:rPr>
                <w:sz w:val="20"/>
                <w:szCs w:val="20"/>
                <w:color w:val="auto"/>
              </w:rPr>
            </w:pPr>
            <w:r>
              <w:rPr>
                <w:rFonts w:ascii="Arial" w:cs="Arial" w:eastAsia="Arial" w:hAnsi="Arial"/>
                <w:sz w:val="14"/>
                <w:szCs w:val="14"/>
                <w:color w:val="auto"/>
              </w:rPr>
              <w:t>Proposal 12</w:t>
            </w:r>
          </w:p>
        </w:tc>
        <w:tc>
          <w:tcPr>
            <w:tcW w:w="4780" w:type="dxa"/>
            <w:vAlign w:val="bottom"/>
          </w:tcPr>
          <w:p>
            <w:pPr>
              <w:ind w:left="240"/>
              <w:spacing w:after="0"/>
              <w:rPr>
                <w:sz w:val="20"/>
                <w:szCs w:val="20"/>
                <w:color w:val="auto"/>
              </w:rPr>
            </w:pPr>
            <w:r>
              <w:rPr>
                <w:rFonts w:ascii="Arial" w:cs="Arial" w:eastAsia="Arial" w:hAnsi="Arial"/>
                <w:sz w:val="14"/>
                <w:szCs w:val="14"/>
                <w:color w:val="auto"/>
              </w:rPr>
              <w:t>Approve the First Amendment (the “First Amendment”) to the Second</w:t>
            </w:r>
          </w:p>
        </w:tc>
        <w:tc>
          <w:tcPr>
            <w:tcW w:w="2140" w:type="dxa"/>
            <w:vAlign w:val="bottom"/>
          </w:tcPr>
          <w:p>
            <w:pPr>
              <w:ind w:left="12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36</w:t>
            </w:r>
          </w:p>
        </w:tc>
      </w:tr>
      <w:tr>
        <w:trPr>
          <w:trHeight w:val="146"/>
        </w:trPr>
        <w:tc>
          <w:tcPr>
            <w:tcW w:w="1160" w:type="dxa"/>
            <w:vAlign w:val="bottom"/>
          </w:tcPr>
          <w:p>
            <w:pPr>
              <w:spacing w:after="0"/>
              <w:rPr>
                <w:sz w:val="12"/>
                <w:szCs w:val="12"/>
                <w:color w:val="auto"/>
              </w:rPr>
            </w:pPr>
          </w:p>
        </w:tc>
        <w:tc>
          <w:tcPr>
            <w:tcW w:w="4780" w:type="dxa"/>
            <w:vAlign w:val="bottom"/>
          </w:tcPr>
          <w:p>
            <w:pPr>
              <w:ind w:left="240"/>
              <w:spacing w:after="0" w:line="147" w:lineRule="exact"/>
              <w:rPr>
                <w:sz w:val="20"/>
                <w:szCs w:val="20"/>
                <w:color w:val="auto"/>
              </w:rPr>
            </w:pPr>
            <w:r>
              <w:rPr>
                <w:rFonts w:ascii="Arial" w:cs="Arial" w:eastAsia="Arial" w:hAnsi="Arial"/>
                <w:sz w:val="14"/>
                <w:szCs w:val="14"/>
                <w:color w:val="auto"/>
              </w:rPr>
              <w:t>Amended and Restated 2021 Incentive Award Plan (the “2021 Plan”</w:t>
            </w:r>
          </w:p>
        </w:tc>
        <w:tc>
          <w:tcPr>
            <w:tcW w:w="214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and as amended by the First Amendment, the “Amended Plan”) to</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increase the maximum number of shares of Class A common stock</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authorized for issuance under the 2021 Plan by 3,899,439 to</w:t>
            </w: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1160" w:type="dxa"/>
            <w:vAlign w:val="bottom"/>
          </w:tcPr>
          <w:p>
            <w:pPr>
              <w:spacing w:after="0"/>
              <w:rPr>
                <w:sz w:val="16"/>
                <w:szCs w:val="16"/>
                <w:color w:val="auto"/>
              </w:rPr>
            </w:pPr>
          </w:p>
        </w:tc>
        <w:tc>
          <w:tcPr>
            <w:tcW w:w="4780" w:type="dxa"/>
            <w:vAlign w:val="bottom"/>
          </w:tcPr>
          <w:p>
            <w:pPr>
              <w:ind w:left="240"/>
              <w:spacing w:after="0"/>
              <w:rPr>
                <w:sz w:val="20"/>
                <w:szCs w:val="20"/>
                <w:color w:val="auto"/>
              </w:rPr>
            </w:pPr>
            <w:r>
              <w:rPr>
                <w:rFonts w:ascii="Arial" w:cs="Arial" w:eastAsia="Arial" w:hAnsi="Arial"/>
                <w:sz w:val="14"/>
                <w:szCs w:val="14"/>
                <w:color w:val="auto"/>
              </w:rPr>
              <w:t>10,171,225 (the “Plan Amendment Proposal”)</w:t>
            </w: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5"/>
        </w:trPr>
        <w:tc>
          <w:tcPr>
            <w:tcW w:w="1160" w:type="dxa"/>
            <w:vAlign w:val="bottom"/>
            <w:tcBorders>
              <w:bottom w:val="single" w:sz="8" w:color="auto"/>
            </w:tcBorders>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About Rent the Runway</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mission is to power women to feel their best every day.</w:t>
      </w:r>
    </w:p>
    <w:p>
      <w:pPr>
        <w:spacing w:after="0" w:line="185" w:lineRule="exact"/>
        <w:rPr>
          <w:sz w:val="20"/>
          <w:szCs w:val="20"/>
          <w:color w:val="auto"/>
        </w:rPr>
      </w:pPr>
    </w:p>
    <w:p>
      <w:pPr>
        <w:ind w:left="20" w:right="100"/>
        <w:spacing w:after="0" w:line="252" w:lineRule="auto"/>
        <w:rPr>
          <w:sz w:val="20"/>
          <w:szCs w:val="20"/>
          <w:color w:val="auto"/>
        </w:rPr>
      </w:pPr>
      <w:r>
        <w:rPr>
          <w:rFonts w:ascii="Arial" w:cs="Arial" w:eastAsia="Arial" w:hAnsi="Arial"/>
          <w:sz w:val="17"/>
          <w:szCs w:val="17"/>
          <w:color w:val="auto"/>
        </w:rPr>
        <w:t>We give customers ongoing access to our “unlimited closet” — with thousands of styles by hundreds of designer brands — through our Subscription offering or the ability to rent a-la-carte through our Reserve offering. We also give our subscribers and customers the ability to buy our products through our Resale offering, which offers customers pre-loved styles from our closet at a discount to retail price, up to 90% off of designer retail value. These offerings allow us to engage and serve our subscribers and customers across diverse use cases from everyday life to special occasions. We have served approximately 3.5 million lifetime customers across all of our offerings, and we had 183,552 ending</w:t>
      </w:r>
    </w:p>
    <w:p>
      <w:pPr>
        <w:spacing w:after="0" w:line="2" w:lineRule="exact"/>
        <w:rPr>
          <w:sz w:val="20"/>
          <w:szCs w:val="20"/>
          <w:color w:val="auto"/>
        </w:rPr>
      </w:pPr>
    </w:p>
    <w:p>
      <w:pPr>
        <w:ind w:left="20"/>
        <w:spacing w:after="0" w:line="218" w:lineRule="auto"/>
        <w:rPr>
          <w:sz w:val="20"/>
          <w:szCs w:val="20"/>
          <w:color w:val="auto"/>
        </w:rPr>
      </w:pPr>
      <w:r>
        <w:rPr>
          <w:rFonts w:ascii="Arial" w:cs="Arial" w:eastAsia="Arial" w:hAnsi="Arial"/>
          <w:sz w:val="18"/>
          <w:szCs w:val="18"/>
          <w:color w:val="auto"/>
        </w:rPr>
        <w:t>total subscribers</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(active and paused) as of January 31, 2026. We had 143,796 Active Subscribers</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as of January 31, 2026. The majority of our revenue is highly recurring and is generated by our subscribers. For both the years ended January 31, 2026 and 2025, 90% and 88% of our total revenue (including Reserve and Resale revenue) was generated by subscribers while they were active or paused.</w:t>
      </w:r>
    </w:p>
    <w:p>
      <w:pPr>
        <w:spacing w:after="0" w:line="141" w:lineRule="exact"/>
        <w:rPr>
          <w:sz w:val="20"/>
          <w:szCs w:val="20"/>
          <w:color w:val="auto"/>
        </w:rPr>
      </w:pPr>
    </w:p>
    <w:p>
      <w:pPr>
        <w:ind w:left="20" w:right="240"/>
        <w:spacing w:after="0" w:line="242" w:lineRule="auto"/>
        <w:rPr>
          <w:sz w:val="20"/>
          <w:szCs w:val="20"/>
          <w:color w:val="auto"/>
        </w:rPr>
      </w:pPr>
      <w:r>
        <w:rPr>
          <w:rFonts w:ascii="Arial" w:cs="Arial" w:eastAsia="Arial" w:hAnsi="Arial"/>
          <w:sz w:val="18"/>
          <w:szCs w:val="18"/>
          <w:color w:val="auto"/>
        </w:rPr>
        <w:t>We have created a two-sided discovery engine: customers find new brands they love and brand partners find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their businesses and encourages them to partner more closely with us over time.</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Fiscal Year 2025 Business Highlights</w:t>
      </w:r>
    </w:p>
    <w:p>
      <w:pPr>
        <w:spacing w:after="0" w:line="199" w:lineRule="exact"/>
        <w:rPr>
          <w:sz w:val="20"/>
          <w:szCs w:val="20"/>
          <w:color w:val="auto"/>
        </w:rPr>
      </w:pPr>
    </w:p>
    <w:p>
      <w:pPr>
        <w:ind w:left="20" w:right="640"/>
        <w:spacing w:after="0" w:line="271" w:lineRule="auto"/>
        <w:rPr>
          <w:sz w:val="20"/>
          <w:szCs w:val="20"/>
          <w:color w:val="auto"/>
        </w:rPr>
      </w:pPr>
      <w:r>
        <w:rPr>
          <w:rFonts w:ascii="Arial" w:cs="Arial" w:eastAsia="Arial" w:hAnsi="Arial"/>
          <w:sz w:val="18"/>
          <w:szCs w:val="18"/>
          <w:color w:val="auto"/>
        </w:rPr>
        <w:t>We have achieved the following operating and financial results for the years ended January 31, 2026 and 2025, respectively:</w:t>
      </w:r>
    </w:p>
    <w:p>
      <w:pPr>
        <w:spacing w:after="0" w:line="127" w:lineRule="exact"/>
        <w:rPr>
          <w:sz w:val="20"/>
          <w:szCs w:val="20"/>
          <w:color w:val="auto"/>
        </w:rPr>
      </w:pPr>
    </w:p>
    <w:p>
      <w:pPr>
        <w:ind w:left="740" w:hanging="359"/>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Revenue was $329.8 million and $306.2 million, respectively, representing 7.7% growth year-over-year;</w:t>
      </w:r>
    </w:p>
    <w:p>
      <w:pPr>
        <w:spacing w:after="0" w:line="13" w:lineRule="exact"/>
        <w:rPr>
          <w:rFonts w:ascii="Arial" w:cs="Arial" w:eastAsia="Arial" w:hAnsi="Arial"/>
          <w:sz w:val="18"/>
          <w:szCs w:val="18"/>
          <w:color w:val="auto"/>
        </w:rPr>
      </w:pPr>
    </w:p>
    <w:p>
      <w:pPr>
        <w:ind w:left="740" w:hanging="359"/>
        <w:spacing w:after="0"/>
        <w:tabs>
          <w:tab w:leader="none" w:pos="740" w:val="left"/>
        </w:tabs>
        <w:numPr>
          <w:ilvl w:val="1"/>
          <w:numId w:val="5"/>
        </w:numPr>
        <w:rPr>
          <w:rFonts w:ascii="Arial" w:cs="Arial" w:eastAsia="Arial" w:hAnsi="Arial"/>
          <w:sz w:val="17"/>
          <w:szCs w:val="17"/>
          <w:color w:val="auto"/>
        </w:rPr>
      </w:pPr>
      <w:r>
        <w:rPr>
          <w:rFonts w:ascii="Arial" w:cs="Arial" w:eastAsia="Arial" w:hAnsi="Arial"/>
          <w:sz w:val="17"/>
          <w:szCs w:val="17"/>
          <w:color w:val="auto"/>
        </w:rPr>
        <w:t>143,796 and 119,778 ending Active Subscribers, respectively, representing a change of 20.1% year-over-year;</w:t>
      </w:r>
    </w:p>
    <w:p>
      <w:pPr>
        <w:spacing w:after="0" w:line="25" w:lineRule="exact"/>
        <w:rPr>
          <w:rFonts w:ascii="Arial" w:cs="Arial" w:eastAsia="Arial" w:hAnsi="Arial"/>
          <w:sz w:val="17"/>
          <w:szCs w:val="17"/>
          <w:color w:val="auto"/>
        </w:rPr>
      </w:pPr>
    </w:p>
    <w:p>
      <w:pPr>
        <w:ind w:left="740" w:right="280" w:hanging="359"/>
        <w:spacing w:after="0"/>
        <w:tabs>
          <w:tab w:leader="none" w:pos="740" w:val="left"/>
        </w:tabs>
        <w:numPr>
          <w:ilvl w:val="1"/>
          <w:numId w:val="5"/>
        </w:numPr>
        <w:rPr>
          <w:rFonts w:ascii="Arial" w:cs="Arial" w:eastAsia="Arial" w:hAnsi="Arial"/>
          <w:sz w:val="34"/>
          <w:szCs w:val="34"/>
          <w:color w:val="auto"/>
          <w:vertAlign w:val="superscript"/>
        </w:rPr>
      </w:pPr>
      <w:r>
        <w:rPr>
          <w:rFonts w:ascii="Arial" w:cs="Arial" w:eastAsia="Arial" w:hAnsi="Arial"/>
          <w:sz w:val="17"/>
          <w:szCs w:val="17"/>
          <w:color w:val="auto"/>
        </w:rPr>
        <w:t>143,558 and 132,574 Average Active Subscribers</w:t>
      </w:r>
      <w:r>
        <w:rPr>
          <w:rFonts w:ascii="Arial" w:cs="Arial" w:eastAsia="Arial" w:hAnsi="Arial"/>
          <w:sz w:val="27"/>
          <w:szCs w:val="27"/>
          <w:color w:val="auto"/>
          <w:vertAlign w:val="superscript"/>
        </w:rPr>
        <w:t>3</w:t>
      </w:r>
      <w:r>
        <w:rPr>
          <w:rFonts w:ascii="Arial" w:cs="Arial" w:eastAsia="Arial" w:hAnsi="Arial"/>
          <w:sz w:val="17"/>
          <w:szCs w:val="17"/>
          <w:color w:val="auto"/>
        </w:rPr>
        <w:t>, respectively, representing a change of 8.3% year-over-year;</w:t>
      </w:r>
    </w:p>
    <w:p>
      <w:pPr>
        <w:spacing w:after="0" w:line="36" w:lineRule="exact"/>
        <w:rPr>
          <w:rFonts w:ascii="Arial" w:cs="Arial" w:eastAsia="Arial" w:hAnsi="Arial"/>
          <w:sz w:val="34"/>
          <w:szCs w:val="34"/>
          <w:color w:val="auto"/>
          <w:vertAlign w:val="superscript"/>
        </w:rPr>
      </w:pPr>
    </w:p>
    <w:p>
      <w:pPr>
        <w:ind w:left="740" w:right="280" w:hanging="359"/>
        <w:spacing w:after="0" w:line="234" w:lineRule="auto"/>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183,552 and 164,004 ending Total Subscribers (including paused subscribers), respectively, representing a change of 11.9% year-over-year;</w:t>
      </w:r>
    </w:p>
    <w:p>
      <w:pPr>
        <w:spacing w:after="0" w:line="1" w:lineRule="exact"/>
        <w:rPr>
          <w:rFonts w:ascii="Arial" w:cs="Arial" w:eastAsia="Arial" w:hAnsi="Arial"/>
          <w:sz w:val="18"/>
          <w:szCs w:val="18"/>
          <w:color w:val="auto"/>
        </w:rPr>
      </w:pPr>
    </w:p>
    <w:p>
      <w:pPr>
        <w:ind w:left="740" w:right="320" w:hanging="359"/>
        <w:spacing w:after="0" w:line="234" w:lineRule="auto"/>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Gross Profit was $107.5 million and $115.9 million, respectively, representing a gross margin of 32.6% and 37.9%, respectively;</w:t>
      </w:r>
    </w:p>
    <w:p>
      <w:pPr>
        <w:spacing w:after="0" w:line="1" w:lineRule="exact"/>
        <w:rPr>
          <w:rFonts w:ascii="Arial" w:cs="Arial" w:eastAsia="Arial" w:hAnsi="Arial"/>
          <w:sz w:val="18"/>
          <w:szCs w:val="18"/>
          <w:color w:val="auto"/>
        </w:rPr>
      </w:pPr>
    </w:p>
    <w:p>
      <w:pPr>
        <w:ind w:left="740" w:right="20" w:hanging="359"/>
        <w:spacing w:after="0" w:line="234" w:lineRule="auto"/>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Income (Loss) was $22.6 million and $(69.9) million, respectively. Net Income (Loss) as a percentage of revenue was 6.9% and (22.8)%, respectively, and included $0.2 million of restructuring and related charges for the year ended January 31, 2025;</w:t>
      </w:r>
    </w:p>
    <w:p>
      <w:pPr>
        <w:spacing w:after="0" w:line="2" w:lineRule="exact"/>
        <w:rPr>
          <w:rFonts w:ascii="Arial" w:cs="Arial" w:eastAsia="Arial" w:hAnsi="Arial"/>
          <w:sz w:val="18"/>
          <w:szCs w:val="18"/>
          <w:color w:val="auto"/>
        </w:rPr>
      </w:pPr>
    </w:p>
    <w:p>
      <w:pPr>
        <w:ind w:left="740" w:right="120" w:hanging="359"/>
        <w:spacing w:after="0" w:line="234" w:lineRule="auto"/>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Adjusted EBITDA was $24.9 million and $46.9 million, respectively, representing an Adjusted EBITDA margin of 7.6% and 15.3%, respectively;</w:t>
      </w:r>
    </w:p>
    <w:p>
      <w:pPr>
        <w:spacing w:after="0" w:line="1" w:lineRule="exact"/>
        <w:rPr>
          <w:rFonts w:ascii="Arial" w:cs="Arial" w:eastAsia="Arial" w:hAnsi="Arial"/>
          <w:sz w:val="18"/>
          <w:szCs w:val="18"/>
          <w:color w:val="auto"/>
        </w:rPr>
      </w:pPr>
    </w:p>
    <w:p>
      <w:pPr>
        <w:ind w:left="740" w:right="300" w:hanging="359"/>
        <w:spacing w:after="0" w:line="234" w:lineRule="auto"/>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cash (used in) provided by operating activities was $3.5 million and $12.9 million, and net cash used in investing activities was $(49.5) million and $(20.1) million, respectively;</w:t>
      </w:r>
    </w:p>
    <w:p>
      <w:pPr>
        <w:spacing w:after="0" w:line="1" w:lineRule="exact"/>
        <w:rPr>
          <w:rFonts w:ascii="Arial" w:cs="Arial" w:eastAsia="Arial" w:hAnsi="Arial"/>
          <w:sz w:val="18"/>
          <w:szCs w:val="18"/>
          <w:color w:val="auto"/>
        </w:rPr>
      </w:pPr>
    </w:p>
    <w:p>
      <w:pPr>
        <w:ind w:left="740" w:hanging="359"/>
        <w:spacing w:after="0" w:line="234" w:lineRule="auto"/>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cash (used in) provided by financing activities was $18.6 million and $(0.3) million, respectively;</w:t>
      </w:r>
    </w:p>
    <w:p>
      <w:pPr>
        <w:ind w:left="740" w:right="280" w:hanging="359"/>
        <w:spacing w:after="0" w:line="234" w:lineRule="auto"/>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cash (used in) provided by operating activities as a percentage of revenue was 1.1% and 4.2% and net cash used in investing activities as a percentage of revenue was (15.0)% and (6.6)%, respectively; and</w:t>
      </w:r>
    </w:p>
    <w:p>
      <w:pPr>
        <w:spacing w:after="0" w:line="1" w:lineRule="exact"/>
        <w:rPr>
          <w:rFonts w:ascii="Arial" w:cs="Arial" w:eastAsia="Arial" w:hAnsi="Arial"/>
          <w:sz w:val="18"/>
          <w:szCs w:val="18"/>
          <w:color w:val="auto"/>
        </w:rPr>
      </w:pPr>
    </w:p>
    <w:p>
      <w:pPr>
        <w:ind w:left="740" w:hanging="359"/>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Cash and Cash Equivalents was $50.4 million and $77.4 million, respectively.</w:t>
      </w:r>
    </w:p>
    <w:p>
      <w:pPr>
        <w:spacing w:after="0" w:line="50" w:lineRule="exact"/>
        <w:rPr>
          <w:rFonts w:ascii="Arial" w:cs="Arial" w:eastAsia="Arial" w:hAnsi="Arial"/>
          <w:sz w:val="18"/>
          <w:szCs w:val="18"/>
          <w:color w:val="auto"/>
        </w:rPr>
      </w:pPr>
    </w:p>
    <w:p>
      <w:pPr>
        <w:ind w:left="200" w:right="40" w:hanging="176"/>
        <w:spacing w:after="0" w:line="231" w:lineRule="auto"/>
        <w:rPr>
          <w:rFonts w:ascii="Arial" w:cs="Arial" w:eastAsia="Arial" w:hAnsi="Arial"/>
          <w:sz w:val="18"/>
          <w:szCs w:val="18"/>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Ending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-245745</wp:posOffset>
            </wp:positionV>
            <wp:extent cx="16459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ind w:left="200" w:hanging="179"/>
        <w:spacing w:after="0" w:line="205" w:lineRule="auto"/>
        <w:tabs>
          <w:tab w:leader="none" w:pos="20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Active Subscribers is defined as ending Total Subscribers as of period end, excluding paused subscribers.</w:t>
      </w:r>
    </w:p>
    <w:p>
      <w:pPr>
        <w:spacing w:after="0" w:line="49" w:lineRule="exact"/>
        <w:rPr>
          <w:sz w:val="20"/>
          <w:szCs w:val="20"/>
          <w:color w:val="auto"/>
        </w:rPr>
      </w:pPr>
    </w:p>
    <w:p>
      <w:pPr>
        <w:ind w:left="200" w:right="140" w:hanging="179"/>
        <w:spacing w:after="0" w:line="204" w:lineRule="auto"/>
        <w:tabs>
          <w:tab w:leader="none" w:pos="20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Average Active Subscribers represents the mean of the beginning of quarter and end of quarter Active Subscribers for a quarterly period; and for other periods, represents the mean of the Average Active Subscribers of every quarter within that period.</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Recapitalization Transactions</w:t>
      </w:r>
    </w:p>
    <w:p>
      <w:pPr>
        <w:spacing w:after="0" w:line="171" w:lineRule="exact"/>
        <w:rPr>
          <w:sz w:val="20"/>
          <w:szCs w:val="20"/>
          <w:color w:val="auto"/>
        </w:rPr>
      </w:pPr>
    </w:p>
    <w:p>
      <w:pPr>
        <w:ind w:left="20" w:right="20"/>
        <w:spacing w:after="0" w:line="236" w:lineRule="auto"/>
        <w:rPr>
          <w:sz w:val="20"/>
          <w:szCs w:val="20"/>
          <w:color w:val="auto"/>
        </w:rPr>
      </w:pPr>
      <w:r>
        <w:rPr>
          <w:rFonts w:ascii="Arial" w:cs="Arial" w:eastAsia="Arial" w:hAnsi="Arial"/>
          <w:sz w:val="18"/>
          <w:szCs w:val="18"/>
          <w:color w:val="auto"/>
        </w:rPr>
        <w:t>On October 28, 2025 (the “Recapitalization Date”), we completed recapitalization transactions to enhance our financial position and financial flexibility by significantly reducing our existing indebtedness, improving our borrowing rate and extending the maturity of our remaining indebtedness (the “Recapitalization Transactions”). Upon the closing of the Recapitalization Transactions, we entered into an amended and restated credit agreement (the “New Credit Agreement”), by and among the Company, as borrower, CHS (US) Management LLC, as administrative agent (the “Agent”), and CHS US Investments LLC (“Lender”), Gateway Runway, LLC (“Nexus”) and S3 RR Aggregator, LLC, as lenders (“STORY3” and, collectively with Lender and Nexus, the “Investor Group”). The Lender exchanged $100 million of existing outstanding indebtedness on a dollar-for-dollar cashless basis for new term loans under the New Credit Agreement and exchanged the remaining indebtedness for 26,175,193 newly issued shares of our Class A common stock pursuant to the exchange agreement dated August 20, 2025 (the “Exchange Agreement”). The Investor Group also provided an additional $20 million of new term loans under the New Credit Agreement, resulting in a total aggregate principal amount of $120 million. Our minimum liquidity maintenance covenant was also reduced from</w:t>
      </w:r>
    </w:p>
    <w:p>
      <w:pPr>
        <w:spacing w:after="0" w:line="6" w:lineRule="exact"/>
        <w:rPr>
          <w:sz w:val="20"/>
          <w:szCs w:val="20"/>
          <w:color w:val="auto"/>
        </w:rPr>
      </w:pPr>
    </w:p>
    <w:p>
      <w:pPr>
        <w:ind w:left="20" w:right="360"/>
        <w:spacing w:after="0" w:line="239" w:lineRule="auto"/>
        <w:rPr>
          <w:sz w:val="20"/>
          <w:szCs w:val="20"/>
          <w:color w:val="auto"/>
        </w:rPr>
      </w:pPr>
      <w:r>
        <w:rPr>
          <w:rFonts w:ascii="Arial" w:cs="Arial" w:eastAsia="Arial" w:hAnsi="Arial"/>
          <w:sz w:val="18"/>
          <w:szCs w:val="18"/>
          <w:color w:val="auto"/>
        </w:rPr>
        <w:t>$30 million to $15 million until February 20, 2027 prior to its removal pursuant to the First Amendment to the New Credit Agreement on January 28, 2026 (the “First Amendment”). We also received $12.5 million in proceeds from a concurrent rights offering. On April 1, 2026, the Company entered into the Second Amendment to the New Credit Agreement. The Second Amendment provides the Company with the ability to capitalize interest in lieu of cash payments until May 3, 2027.</w:t>
      </w:r>
    </w:p>
    <w:p>
      <w:pPr>
        <w:spacing w:after="0" w:line="139" w:lineRule="exact"/>
        <w:rPr>
          <w:sz w:val="20"/>
          <w:szCs w:val="20"/>
          <w:color w:val="auto"/>
        </w:rPr>
      </w:pPr>
    </w:p>
    <w:p>
      <w:pPr>
        <w:ind w:left="20" w:right="280"/>
        <w:spacing w:after="0" w:line="271" w:lineRule="auto"/>
        <w:rPr>
          <w:sz w:val="20"/>
          <w:szCs w:val="20"/>
          <w:color w:val="auto"/>
        </w:rPr>
      </w:pPr>
      <w:r>
        <w:rPr>
          <w:rFonts w:ascii="Arial" w:cs="Arial" w:eastAsia="Arial" w:hAnsi="Arial"/>
          <w:sz w:val="18"/>
          <w:szCs w:val="18"/>
          <w:color w:val="auto"/>
        </w:rPr>
        <w:t>In connection with the Recapitalization Transactions, there were changes to our corporate governance structure and Board leadership, as further described below.</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Corporate Governance</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Highlights</w:t>
      </w:r>
    </w:p>
    <w:p>
      <w:pPr>
        <w:spacing w:after="0" w:line="171" w:lineRule="exact"/>
        <w:rPr>
          <w:sz w:val="20"/>
          <w:szCs w:val="20"/>
          <w:color w:val="auto"/>
        </w:rPr>
      </w:pPr>
    </w:p>
    <w:p>
      <w:pPr>
        <w:ind w:left="20" w:right="100"/>
        <w:spacing w:after="0" w:line="242" w:lineRule="auto"/>
        <w:rPr>
          <w:sz w:val="20"/>
          <w:szCs w:val="20"/>
          <w:color w:val="auto"/>
        </w:rPr>
      </w:pPr>
      <w:r>
        <w:rPr>
          <w:rFonts w:ascii="Arial" w:cs="Arial" w:eastAsia="Arial" w:hAnsi="Arial"/>
          <w:sz w:val="18"/>
          <w:szCs w:val="18"/>
          <w:color w:val="auto"/>
        </w:rPr>
        <w:t>As a result of the Recapitalization Transactions described above, our Lender and its affiliates control a majority of the voting power of our outstanding Class A common stock. As a result, we are a “controlled company” within the meaning of the corporate governance standards of Nasdaq. Under these corporate governance standards, a company of which more than 50% of the voting power for the election of directors is held by an individual, group or another company is a “controlled company” and may elect not to comply with certain corporate governance requirements. For example, controlled companies:</w:t>
      </w:r>
    </w:p>
    <w:p>
      <w:pPr>
        <w:spacing w:after="0" w:line="98" w:lineRule="exact"/>
        <w:rPr>
          <w:sz w:val="20"/>
          <w:szCs w:val="20"/>
          <w:color w:val="auto"/>
        </w:rPr>
      </w:pPr>
    </w:p>
    <w:p>
      <w:pPr>
        <w:ind w:left="740" w:right="240" w:hanging="359"/>
        <w:spacing w:after="0" w:line="245"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not required to have a board that is composed of a majority of “independent directors,” as defined under the rules and listing standards of Nasdaq;</w:t>
      </w:r>
    </w:p>
    <w:p>
      <w:pPr>
        <w:ind w:left="740" w:hanging="359"/>
        <w:spacing w:after="0" w:line="23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not required to have a compensation committee that is composed entirely of independent directors or have a written charter addressing the committee’s purpose and responsibilities; and</w:t>
      </w:r>
    </w:p>
    <w:p>
      <w:pPr>
        <w:spacing w:after="0" w:line="1" w:lineRule="exact"/>
        <w:rPr>
          <w:rFonts w:ascii="Arial" w:cs="Arial" w:eastAsia="Arial" w:hAnsi="Arial"/>
          <w:sz w:val="18"/>
          <w:szCs w:val="18"/>
          <w:color w:val="auto"/>
        </w:rPr>
      </w:pPr>
    </w:p>
    <w:p>
      <w:pPr>
        <w:jc w:val="both"/>
        <w:ind w:left="740" w:right="20" w:hanging="359"/>
        <w:spacing w:after="0" w:line="242"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not required to have director nominations be made by or recommended to the full board of directors, by its independent directors, or by a nominations committee that is composed entirely of independent directors, or to adopt a written charter or a board resolution addressing the nominations process.</w:t>
      </w:r>
    </w:p>
    <w:p>
      <w:pPr>
        <w:spacing w:after="0" w:line="139" w:lineRule="exact"/>
        <w:rPr>
          <w:sz w:val="20"/>
          <w:szCs w:val="20"/>
          <w:color w:val="auto"/>
        </w:rPr>
      </w:pPr>
    </w:p>
    <w:p>
      <w:pPr>
        <w:jc w:val="both"/>
        <w:ind w:left="20" w:right="220"/>
        <w:spacing w:after="0" w:line="253" w:lineRule="auto"/>
        <w:rPr>
          <w:sz w:val="20"/>
          <w:szCs w:val="20"/>
          <w:color w:val="auto"/>
        </w:rPr>
      </w:pPr>
      <w:r>
        <w:rPr>
          <w:rFonts w:ascii="Arial" w:cs="Arial" w:eastAsia="Arial" w:hAnsi="Arial"/>
          <w:sz w:val="18"/>
          <w:szCs w:val="18"/>
          <w:color w:val="auto"/>
        </w:rPr>
        <w:t>We utilize, and intend to continue to utilize, certain of these exemptions. Following the Recapitalization Transactions, we do not have a compensation committee or a nominating and corporate governance committee, and do not have a board that is composed of a majority of independent directors.</w:t>
      </w:r>
    </w:p>
    <w:p>
      <w:pPr>
        <w:spacing w:after="0" w:line="128" w:lineRule="exact"/>
        <w:rPr>
          <w:sz w:val="20"/>
          <w:szCs w:val="20"/>
          <w:color w:val="auto"/>
        </w:rPr>
      </w:pPr>
    </w:p>
    <w:p>
      <w:pPr>
        <w:ind w:left="20" w:right="100"/>
        <w:spacing w:after="0" w:line="271" w:lineRule="auto"/>
        <w:rPr>
          <w:sz w:val="20"/>
          <w:szCs w:val="20"/>
          <w:color w:val="auto"/>
        </w:rPr>
      </w:pPr>
      <w:r>
        <w:rPr>
          <w:rFonts w:ascii="Arial" w:cs="Arial" w:eastAsia="Arial" w:hAnsi="Arial"/>
          <w:sz w:val="18"/>
          <w:szCs w:val="18"/>
          <w:color w:val="auto"/>
        </w:rPr>
        <w:t>We believe that our current corporate governance practices are appropriately tailored to our business and promote the long-term interests of our stockholders. Key corporate governance practices include:</w:t>
      </w:r>
    </w:p>
    <w:p>
      <w:pPr>
        <w:spacing w:after="0" w:line="73" w:lineRule="exact"/>
        <w:rPr>
          <w:sz w:val="20"/>
          <w:szCs w:val="20"/>
          <w:color w:val="auto"/>
        </w:rPr>
      </w:pPr>
    </w:p>
    <w:p>
      <w:pPr>
        <w:ind w:left="740" w:hanging="359"/>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Board composed of sophisticated, engaged directors with diverse relevant expertise</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Board and Audit Committee with an active role in risk management oversight</w:t>
      </w:r>
    </w:p>
    <w:p>
      <w:pPr>
        <w:ind w:left="740" w:hanging="359"/>
        <w:spacing w:after="0" w:line="23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Robust code of conduct applicable to directors, officers, and employees</w:t>
      </w:r>
    </w:p>
    <w:p>
      <w:pPr>
        <w:ind w:left="740" w:right="260" w:hanging="359"/>
        <w:spacing w:after="0" w:line="23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Periodic reviews of our corporate governance structure, including but not limited to, governance documents such as our corporate governance guidelines and code of conduct, to ensure they are appropriate for a company of our stage of development and capital structure</w:t>
      </w:r>
    </w:p>
    <w:p>
      <w:pPr>
        <w:spacing w:after="0" w:line="2" w:lineRule="exact"/>
        <w:rPr>
          <w:rFonts w:ascii="Arial" w:cs="Arial" w:eastAsia="Arial" w:hAnsi="Arial"/>
          <w:sz w:val="18"/>
          <w:szCs w:val="18"/>
          <w:color w:val="auto"/>
        </w:rPr>
      </w:pPr>
    </w:p>
    <w:p>
      <w:pPr>
        <w:ind w:left="740" w:right="160" w:hanging="359"/>
        <w:spacing w:after="0" w:line="250"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Policy of no pledging of RTR shares without prior Board of Directors approval and no hedging of RTR shares for current employees and directors</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1" w:name="page12"/>
    <w:bookmarkEnd w:id="11"/>
    <w:p>
      <w:pPr>
        <w:ind w:left="7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760"/>
        <w:spacing w:after="0"/>
        <w:rPr>
          <w:sz w:val="20"/>
          <w:szCs w:val="20"/>
          <w:color w:val="auto"/>
        </w:rPr>
      </w:pPr>
      <w:r>
        <w:rPr>
          <w:rFonts w:ascii="Arial" w:cs="Arial" w:eastAsia="Arial" w:hAnsi="Arial"/>
          <w:sz w:val="65"/>
          <w:szCs w:val="65"/>
          <w:b w:val="1"/>
          <w:bCs w:val="1"/>
          <w:color w:val="auto"/>
        </w:rPr>
        <w:t>Voting and Meeting Information</w:t>
      </w:r>
    </w:p>
    <w:p>
      <w:pPr>
        <w:spacing w:after="0" w:line="38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What is the purpose of this proxy statement?</w:t>
      </w:r>
    </w:p>
    <w:p>
      <w:pPr>
        <w:spacing w:after="0" w:line="166" w:lineRule="exact"/>
        <w:rPr>
          <w:sz w:val="20"/>
          <w:szCs w:val="20"/>
          <w:color w:val="auto"/>
        </w:rPr>
      </w:pPr>
    </w:p>
    <w:p>
      <w:pPr>
        <w:ind w:left="760" w:right="760"/>
        <w:spacing w:after="0" w:line="247" w:lineRule="auto"/>
        <w:rPr>
          <w:sz w:val="20"/>
          <w:szCs w:val="20"/>
          <w:color w:val="auto"/>
        </w:rPr>
      </w:pPr>
      <w:r>
        <w:rPr>
          <w:rFonts w:ascii="Arial" w:cs="Arial" w:eastAsia="Arial" w:hAnsi="Arial"/>
          <w:sz w:val="18"/>
          <w:szCs w:val="18"/>
          <w:color w:val="auto"/>
        </w:rPr>
        <w:t>We are sending you this proxy statement because the Board of Directors of Rent the Runway is inviting you to vote (by soliciting your proxy) at our Annual Meeting of Stockholders on July 14, 2026 at 8:30 a.m., Eastern Time. This proxy statement summarizes information that is intended to assist you in making an informed vote on the proposals described in this proxy statement.</w:t>
      </w:r>
    </w:p>
    <w:p>
      <w:pPr>
        <w:spacing w:after="0" w:line="27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Who is entitled to vote at the Annual Meeting?</w:t>
      </w:r>
    </w:p>
    <w:p>
      <w:pPr>
        <w:spacing w:after="0" w:line="166" w:lineRule="exact"/>
        <w:rPr>
          <w:sz w:val="20"/>
          <w:szCs w:val="20"/>
          <w:color w:val="auto"/>
        </w:rPr>
      </w:pPr>
    </w:p>
    <w:p>
      <w:pPr>
        <w:jc w:val="both"/>
        <w:ind w:left="760" w:right="760"/>
        <w:spacing w:after="0" w:line="253" w:lineRule="auto"/>
        <w:rPr>
          <w:sz w:val="20"/>
          <w:szCs w:val="20"/>
          <w:color w:val="auto"/>
        </w:rPr>
      </w:pPr>
      <w:r>
        <w:rPr>
          <w:rFonts w:ascii="Arial" w:cs="Arial" w:eastAsia="Arial" w:hAnsi="Arial"/>
          <w:sz w:val="18"/>
          <w:szCs w:val="18"/>
          <w:color w:val="auto"/>
        </w:rPr>
        <w:t>Stockholders as of the close of business on May 20, 2026, the record date, are entitled to attend and vote at the Annual Meeting. There were approximately 33,483,382 shares of Class A common stock outstanding on May 20, 2026 entitled to vote.</w:t>
      </w:r>
    </w:p>
    <w:p>
      <w:pPr>
        <w:spacing w:after="0" w:line="128" w:lineRule="exact"/>
        <w:rPr>
          <w:sz w:val="20"/>
          <w:szCs w:val="20"/>
          <w:color w:val="auto"/>
        </w:rPr>
      </w:pPr>
    </w:p>
    <w:p>
      <w:pPr>
        <w:ind w:left="760" w:right="1080"/>
        <w:spacing w:after="0" w:line="275" w:lineRule="auto"/>
        <w:rPr>
          <w:sz w:val="20"/>
          <w:szCs w:val="20"/>
          <w:color w:val="auto"/>
        </w:rPr>
      </w:pPr>
      <w:r>
        <w:rPr>
          <w:rFonts w:ascii="Arial" w:cs="Arial" w:eastAsia="Arial" w:hAnsi="Arial"/>
          <w:sz w:val="17"/>
          <w:szCs w:val="17"/>
          <w:color w:val="auto"/>
        </w:rPr>
        <w:t>The meeting webcast will begin promptly at 8:30 a.m., Eastern Time, and will be accessible at www.virtualshareholdermeeting.com/RENT2026. We encourage you to access the meeting prior to the start time. Online check-in will begin at 8:15 a.m., Eastern Time, and you should allow ample time for the check-in procedures.</w:t>
      </w:r>
    </w:p>
    <w:p>
      <w:pPr>
        <w:spacing w:after="0" w:line="25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How many votes per share do I have?</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Each share of our Class A common stock has one vote per share.</w:t>
      </w:r>
    </w:p>
    <w:p>
      <w:pPr>
        <w:spacing w:after="0" w:line="30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How do I vote in advance of the meeting?</w:t>
      </w:r>
    </w:p>
    <w:p>
      <w:pPr>
        <w:spacing w:after="0" w:line="180" w:lineRule="exact"/>
        <w:rPr>
          <w:sz w:val="20"/>
          <w:szCs w:val="20"/>
          <w:color w:val="auto"/>
        </w:rPr>
      </w:pPr>
    </w:p>
    <w:p>
      <w:pPr>
        <w:ind w:left="760" w:right="960"/>
        <w:spacing w:after="0" w:line="253" w:lineRule="auto"/>
        <w:rPr>
          <w:sz w:val="20"/>
          <w:szCs w:val="20"/>
          <w:color w:val="auto"/>
        </w:rPr>
      </w:pPr>
      <w:r>
        <w:rPr>
          <w:rFonts w:ascii="Arial" w:cs="Arial" w:eastAsia="Arial" w:hAnsi="Arial"/>
          <w:sz w:val="18"/>
          <w:szCs w:val="18"/>
          <w:color w:val="auto"/>
        </w:rPr>
        <w:t>If, on May 20, 2026, your Rent the Runway shares were registered directly in your name with our transfer agent, Equiniti Trust Company, LLC, then you are a stockholder of record, and you can vote your shares in one of two ways: either by proxy or during the virtual Annual Meeting electronically.</w:t>
      </w:r>
    </w:p>
    <w:p>
      <w:pPr>
        <w:spacing w:after="0" w:line="128" w:lineRule="exact"/>
        <w:rPr>
          <w:sz w:val="20"/>
          <w:szCs w:val="20"/>
          <w:color w:val="auto"/>
        </w:rPr>
      </w:pPr>
    </w:p>
    <w:p>
      <w:pPr>
        <w:ind w:left="760" w:right="780"/>
        <w:spacing w:after="0" w:line="239" w:lineRule="auto"/>
        <w:rPr>
          <w:sz w:val="20"/>
          <w:szCs w:val="20"/>
          <w:color w:val="auto"/>
        </w:rPr>
      </w:pPr>
      <w:r>
        <w:rPr>
          <w:rFonts w:ascii="Arial" w:cs="Arial" w:eastAsia="Arial" w:hAnsi="Arial"/>
          <w:sz w:val="18"/>
          <w:szCs w:val="18"/>
          <w:color w:val="auto"/>
        </w:rPr>
        <w:t>If, on May 20, 2026, your shares were held in “street name” through a broker, bank, trustee or other nominee, you will receive instructions on how to vote from the broker, bank, trustee or other nominee. You must follow their instructions in order for your shares to be voted. Internet and telephone voting also may be offered to stockholders owning shares through certain brokers, banks, trustees and other nominees. If your shares are held in “street name,” you may visit www.proxyvote.com and enter the 16-digit control number included in the Internet Notice or voting instruction card provided to you by your broker, bank, trustee or other nominee. If you hold your shares in street name and you did not receive a 16-digit control number, you may need to log in to your broker’s, bank’s, trustee’s or other nominee’s website to access the meeting and vote. Instructions should also be provided on the Internet Notice or voting instruction card provided by your broker, bank, trustee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85725</wp:posOffset>
            </wp:positionV>
            <wp:extent cx="603504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5040" cy="68580"/>
                    </a:xfrm>
                    <a:prstGeom prst="rect">
                      <a:avLst/>
                    </a:prstGeom>
                    <a:noFill/>
                  </pic:spPr>
                </pic:pic>
              </a:graphicData>
            </a:graphic>
          </wp:anchor>
        </w:drawing>
      </w:r>
    </w:p>
    <w:p>
      <w:pPr>
        <w:spacing w:after="0" w:line="85" w:lineRule="exact"/>
        <w:rPr>
          <w:sz w:val="20"/>
          <w:szCs w:val="20"/>
          <w:color w:val="auto"/>
        </w:rPr>
      </w:pPr>
    </w:p>
    <w:p>
      <w:pPr>
        <w:ind w:left="760"/>
        <w:spacing w:after="0"/>
        <w:rPr>
          <w:sz w:val="20"/>
          <w:szCs w:val="20"/>
          <w:color w:val="auto"/>
        </w:rPr>
      </w:pPr>
      <w:r>
        <w:rPr>
          <w:sz w:val="1"/>
          <w:szCs w:val="1"/>
          <w:color w:val="auto"/>
        </w:rPr>
        <w:drawing>
          <wp:inline distT="0" distB="0" distL="0" distR="0">
            <wp:extent cx="68580" cy="2400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240030"/>
                    </a:xfrm>
                    <a:prstGeom prst="rect">
                      <a:avLst/>
                    </a:prstGeom>
                    <a:noFill/>
                    <a:ln>
                      <a:noFill/>
                    </a:ln>
                  </pic:spPr>
                </pic:pic>
              </a:graphicData>
            </a:graphic>
          </wp:inline>
        </w:drawing>
      </w:r>
      <w:r>
        <w:rPr>
          <w:rFonts w:ascii="Arial" w:cs="Arial" w:eastAsia="Arial" w:hAnsi="Arial"/>
          <w:sz w:val="14"/>
          <w:szCs w:val="14"/>
          <w:b w:val="1"/>
          <w:bCs w:val="1"/>
          <w:color w:val="auto"/>
        </w:rPr>
        <w:t xml:space="preserve"> If you choose to vote by proxy, you may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-170815</wp:posOffset>
            </wp:positionV>
            <wp:extent cx="603504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5040" cy="17145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By Internet</w:t>
            </w:r>
          </w:p>
        </w:tc>
        <w:tc>
          <w:tcPr>
            <w:tcW w:w="7740" w:type="dxa"/>
            <w:vAlign w:val="bottom"/>
          </w:tcPr>
          <w:p>
            <w:pPr>
              <w:ind w:left="720"/>
              <w:spacing w:after="0"/>
              <w:rPr>
                <w:sz w:val="20"/>
                <w:szCs w:val="20"/>
                <w:color w:val="auto"/>
              </w:rPr>
            </w:pPr>
            <w:r>
              <w:rPr>
                <w:rFonts w:ascii="Arial" w:cs="Arial" w:eastAsia="Arial" w:hAnsi="Arial"/>
                <w:sz w:val="14"/>
                <w:szCs w:val="14"/>
                <w:color w:val="auto"/>
              </w:rPr>
              <w:t>You can vote over the internet at www.proxyvote.com by following the instructions on the Internet Notice or</w:t>
            </w:r>
          </w:p>
        </w:tc>
        <w:tc>
          <w:tcPr>
            <w:tcW w:w="760" w:type="dxa"/>
            <w:vAlign w:val="bottom"/>
          </w:tcPr>
          <w:p>
            <w:pPr>
              <w:spacing w:after="0"/>
              <w:rPr>
                <w:sz w:val="14"/>
                <w:szCs w:val="14"/>
                <w:color w:val="auto"/>
              </w:rPr>
            </w:pPr>
          </w:p>
        </w:tc>
      </w:tr>
      <w:tr>
        <w:trPr>
          <w:trHeight w:val="190"/>
        </w:trPr>
        <w:tc>
          <w:tcPr>
            <w:tcW w:w="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740" w:type="dxa"/>
            <w:vAlign w:val="bottom"/>
          </w:tcPr>
          <w:p>
            <w:pPr>
              <w:ind w:left="720"/>
              <w:spacing w:after="0"/>
              <w:rPr>
                <w:sz w:val="20"/>
                <w:szCs w:val="20"/>
                <w:color w:val="auto"/>
              </w:rPr>
            </w:pPr>
            <w:r>
              <w:rPr>
                <w:rFonts w:ascii="Arial" w:cs="Arial" w:eastAsia="Arial" w:hAnsi="Arial"/>
                <w:sz w:val="14"/>
                <w:szCs w:val="14"/>
                <w:color w:val="auto"/>
              </w:rPr>
              <w:t>proxy card;​</w:t>
            </w:r>
          </w:p>
        </w:tc>
        <w:tc>
          <w:tcPr>
            <w:tcW w:w="760" w:type="dxa"/>
            <w:vAlign w:val="bottom"/>
          </w:tcPr>
          <w:p>
            <w:pPr>
              <w:spacing w:after="0"/>
              <w:rPr>
                <w:sz w:val="16"/>
                <w:szCs w:val="16"/>
                <w:color w:val="auto"/>
              </w:rPr>
            </w:pPr>
          </w:p>
        </w:tc>
      </w:tr>
      <w:tr>
        <w:trPr>
          <w:trHeight w:val="76"/>
        </w:trPr>
        <w:tc>
          <w:tcPr>
            <w:tcW w:w="760" w:type="dxa"/>
            <w:vAlign w:val="bottom"/>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774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r>
      <w:tr>
        <w:trPr>
          <w:trHeight w:val="227"/>
        </w:trPr>
        <w:tc>
          <w:tcPr>
            <w:tcW w:w="760" w:type="dxa"/>
            <w:vAlign w:val="bottom"/>
          </w:tcPr>
          <w:p>
            <w:pPr>
              <w:spacing w:after="0"/>
              <w:rPr>
                <w:sz w:val="19"/>
                <w:szCs w:val="19"/>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By Telephone</w:t>
            </w:r>
          </w:p>
        </w:tc>
        <w:tc>
          <w:tcPr>
            <w:tcW w:w="7740" w:type="dxa"/>
            <w:vAlign w:val="bottom"/>
          </w:tcPr>
          <w:p>
            <w:pPr>
              <w:ind w:left="720"/>
              <w:spacing w:after="0"/>
              <w:rPr>
                <w:sz w:val="20"/>
                <w:szCs w:val="20"/>
                <w:color w:val="auto"/>
              </w:rPr>
            </w:pPr>
            <w:r>
              <w:rPr>
                <w:rFonts w:ascii="Arial" w:cs="Arial" w:eastAsia="Arial" w:hAnsi="Arial"/>
                <w:sz w:val="14"/>
                <w:szCs w:val="14"/>
                <w:color w:val="auto"/>
              </w:rPr>
              <w:t>You can vote by telephone by calling toll-free 1-800-690-6903 and following the instructions on the Internet</w:t>
            </w:r>
          </w:p>
        </w:tc>
        <w:tc>
          <w:tcPr>
            <w:tcW w:w="760" w:type="dxa"/>
            <w:vAlign w:val="bottom"/>
          </w:tcPr>
          <w:p>
            <w:pPr>
              <w:spacing w:after="0"/>
              <w:rPr>
                <w:sz w:val="19"/>
                <w:szCs w:val="19"/>
                <w:color w:val="auto"/>
              </w:rPr>
            </w:pPr>
          </w:p>
        </w:tc>
      </w:tr>
      <w:tr>
        <w:trPr>
          <w:trHeight w:val="190"/>
        </w:trPr>
        <w:tc>
          <w:tcPr>
            <w:tcW w:w="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740" w:type="dxa"/>
            <w:vAlign w:val="bottom"/>
          </w:tcPr>
          <w:p>
            <w:pPr>
              <w:ind w:left="720"/>
              <w:spacing w:after="0"/>
              <w:rPr>
                <w:sz w:val="20"/>
                <w:szCs w:val="20"/>
                <w:color w:val="auto"/>
              </w:rPr>
            </w:pPr>
            <w:r>
              <w:rPr>
                <w:rFonts w:ascii="Arial" w:cs="Arial" w:eastAsia="Arial" w:hAnsi="Arial"/>
                <w:sz w:val="14"/>
                <w:szCs w:val="14"/>
                <w:color w:val="auto"/>
              </w:rPr>
              <w:t>Notice or proxy card; or​</w:t>
            </w:r>
          </w:p>
        </w:tc>
        <w:tc>
          <w:tcPr>
            <w:tcW w:w="760" w:type="dxa"/>
            <w:vAlign w:val="bottom"/>
          </w:tcPr>
          <w:p>
            <w:pPr>
              <w:spacing w:after="0"/>
              <w:rPr>
                <w:sz w:val="16"/>
                <w:szCs w:val="16"/>
                <w:color w:val="auto"/>
              </w:rPr>
            </w:pPr>
          </w:p>
        </w:tc>
      </w:tr>
      <w:tr>
        <w:trPr>
          <w:trHeight w:val="76"/>
        </w:trPr>
        <w:tc>
          <w:tcPr>
            <w:tcW w:w="760" w:type="dxa"/>
            <w:vAlign w:val="bottom"/>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774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r>
      <w:tr>
        <w:trPr>
          <w:trHeight w:val="227"/>
        </w:trPr>
        <w:tc>
          <w:tcPr>
            <w:tcW w:w="760" w:type="dxa"/>
            <w:vAlign w:val="bottom"/>
          </w:tcPr>
          <w:p>
            <w:pPr>
              <w:spacing w:after="0"/>
              <w:rPr>
                <w:sz w:val="19"/>
                <w:szCs w:val="19"/>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By Mail</w:t>
            </w:r>
          </w:p>
        </w:tc>
        <w:tc>
          <w:tcPr>
            <w:tcW w:w="7740" w:type="dxa"/>
            <w:vAlign w:val="bottom"/>
          </w:tcPr>
          <w:p>
            <w:pPr>
              <w:ind w:left="720"/>
              <w:spacing w:after="0"/>
              <w:rPr>
                <w:sz w:val="20"/>
                <w:szCs w:val="20"/>
                <w:color w:val="auto"/>
              </w:rPr>
            </w:pPr>
            <w:r>
              <w:rPr>
                <w:rFonts w:ascii="Arial" w:cs="Arial" w:eastAsia="Arial" w:hAnsi="Arial"/>
                <w:sz w:val="14"/>
                <w:szCs w:val="14"/>
                <w:color w:val="auto"/>
              </w:rPr>
              <w:t>You can vote by mail by signing, dating, and mailing the proxy card (if you received one by mail) to Vote</w:t>
            </w:r>
          </w:p>
        </w:tc>
        <w:tc>
          <w:tcPr>
            <w:tcW w:w="760" w:type="dxa"/>
            <w:vAlign w:val="bottom"/>
          </w:tcPr>
          <w:p>
            <w:pPr>
              <w:spacing w:after="0"/>
              <w:rPr>
                <w:sz w:val="19"/>
                <w:szCs w:val="19"/>
                <w:color w:val="auto"/>
              </w:rPr>
            </w:pPr>
          </w:p>
        </w:tc>
      </w:tr>
      <w:tr>
        <w:trPr>
          <w:trHeight w:val="190"/>
        </w:trPr>
        <w:tc>
          <w:tcPr>
            <w:tcW w:w="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740" w:type="dxa"/>
            <w:vAlign w:val="bottom"/>
          </w:tcPr>
          <w:p>
            <w:pPr>
              <w:ind w:left="720"/>
              <w:spacing w:after="0"/>
              <w:rPr>
                <w:sz w:val="20"/>
                <w:szCs w:val="20"/>
                <w:color w:val="auto"/>
              </w:rPr>
            </w:pPr>
            <w:r>
              <w:rPr>
                <w:rFonts w:ascii="Arial" w:cs="Arial" w:eastAsia="Arial" w:hAnsi="Arial"/>
                <w:sz w:val="14"/>
                <w:szCs w:val="14"/>
                <w:color w:val="auto"/>
              </w:rPr>
              <w:t>Processing, c/o Broadridge, 51 Mercedes Way, Edgewood, NY 11717.​</w:t>
            </w:r>
          </w:p>
        </w:tc>
        <w:tc>
          <w:tcPr>
            <w:tcW w:w="760" w:type="dxa"/>
            <w:vAlign w:val="bottom"/>
          </w:tcPr>
          <w:p>
            <w:pPr>
              <w:spacing w:after="0"/>
              <w:rPr>
                <w:sz w:val="16"/>
                <w:szCs w:val="16"/>
                <w:color w:val="auto"/>
              </w:rPr>
            </w:pPr>
          </w:p>
        </w:tc>
      </w:tr>
      <w:tr>
        <w:trPr>
          <w:trHeight w:val="35"/>
        </w:trPr>
        <w:tc>
          <w:tcPr>
            <w:tcW w:w="76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774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r>
      <w:tr>
        <w:trPr>
          <w:trHeight w:val="537"/>
        </w:trPr>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740" w:type="dxa"/>
            <w:vAlign w:val="bottom"/>
          </w:tcPr>
          <w:p>
            <w:pPr>
              <w:ind w:left="2920"/>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24"/>
                <w:szCs w:val="24"/>
                <w:color w:val="auto"/>
              </w:rPr>
            </w:pPr>
          </w:p>
        </w:tc>
      </w:tr>
      <w:tr>
        <w:trPr>
          <w:trHeight w:val="219"/>
        </w:trPr>
        <w:tc>
          <w:tcPr>
            <w:tcW w:w="7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7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ask questions at the Annual Meeting?</w:t>
      </w:r>
    </w:p>
    <w:p>
      <w:pPr>
        <w:spacing w:after="0" w:line="166" w:lineRule="exact"/>
        <w:rPr>
          <w:sz w:val="20"/>
          <w:szCs w:val="20"/>
          <w:color w:val="auto"/>
        </w:rPr>
      </w:pPr>
    </w:p>
    <w:p>
      <w:pPr>
        <w:ind w:left="20" w:right="180"/>
        <w:spacing w:after="0" w:line="244" w:lineRule="auto"/>
        <w:rPr>
          <w:sz w:val="20"/>
          <w:szCs w:val="20"/>
          <w:color w:val="auto"/>
        </w:rPr>
      </w:pPr>
      <w:r>
        <w:rPr>
          <w:rFonts w:ascii="Arial" w:cs="Arial" w:eastAsia="Arial" w:hAnsi="Arial"/>
          <w:sz w:val="18"/>
          <w:szCs w:val="18"/>
          <w:color w:val="auto"/>
        </w:rPr>
        <w:t>In order to ensure stockholders are afforded the same rights and opportunities to participate in the Annual Meeting as an in-person meeting, we will hold a live Q&amp;A session, during which we intend to answer questions submitted online during the meeting that are pertinent to the Company and the meeting matters. Only stockholders of record as of the record date for the Annual Meeting and their proxy holders who have logged in using a 16-digit control number may submit questions.</w:t>
      </w:r>
    </w:p>
    <w:p>
      <w:pPr>
        <w:spacing w:after="0" w:line="136" w:lineRule="exact"/>
        <w:rPr>
          <w:sz w:val="20"/>
          <w:szCs w:val="20"/>
          <w:color w:val="auto"/>
        </w:rPr>
      </w:pPr>
    </w:p>
    <w:p>
      <w:pPr>
        <w:ind w:left="20" w:right="480"/>
        <w:spacing w:after="0" w:line="301" w:lineRule="auto"/>
        <w:rPr>
          <w:sz w:val="20"/>
          <w:szCs w:val="20"/>
          <w:color w:val="auto"/>
        </w:rPr>
      </w:pPr>
      <w:r>
        <w:rPr>
          <w:rFonts w:ascii="Arial" w:cs="Arial" w:eastAsia="Arial" w:hAnsi="Arial"/>
          <w:sz w:val="17"/>
          <w:szCs w:val="17"/>
          <w:color w:val="auto"/>
        </w:rPr>
        <w:t>You will be able to ask questions by joining the virtual Annual Meeting at www.virtualshareholdermeeting.com/RENT2026 and typing your question in the box in the Annual Meeting portal.</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help ensure that we have a productive and efficient meeting, and in fairness to all stockholders in attendance, you will also find posted our rules of conduct for the Annual Meeting when you log in prior to its start. In accordance with the rules of conduct, we ask that you limit your remarks to one brief question that is relevant to the Annual Meeting or Rent the Runway’s business and that remarks are respectful of your fellow stockholders and meeting participants. Questions may be grouped by topic by Rent the Runway’s management with a representative question read aloud and answered. In addition, questions may be deemed to be out of order if they are, among other things, irrelevant to our business, repetitious of statements already made, or in furtherance of the speaker’s own personal, political, or business interests. Questions will be addressed in the Q&amp;A portion of the Annual Meeting.</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need technical assistance accessing or participating in the virtual Annual Meeting?</w:t>
      </w:r>
    </w:p>
    <w:p>
      <w:pPr>
        <w:spacing w:after="0" w:line="166" w:lineRule="exact"/>
        <w:rPr>
          <w:sz w:val="20"/>
          <w:szCs w:val="20"/>
          <w:color w:val="auto"/>
        </w:rPr>
      </w:pPr>
    </w:p>
    <w:p>
      <w:pPr>
        <w:jc w:val="both"/>
        <w:ind w:left="20" w:right="240"/>
        <w:spacing w:after="0" w:line="253" w:lineRule="auto"/>
        <w:rPr>
          <w:sz w:val="20"/>
          <w:szCs w:val="20"/>
          <w:color w:val="auto"/>
        </w:rPr>
      </w:pPr>
      <w:r>
        <w:rPr>
          <w:rFonts w:ascii="Arial" w:cs="Arial" w:eastAsia="Arial" w:hAnsi="Arial"/>
          <w:sz w:val="18"/>
          <w:szCs w:val="18"/>
          <w:color w:val="auto"/>
        </w:rPr>
        <w:t>If you encounter any difficulties accessing the virtual Annual Meeting during the check-in or meeting time, please call the technical support number that will be posted on the virtual Annual Meeting log in page. Technical support will be available starting at 8:15 a.m. Eastern Time on July 14, 2026.</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the deadline for voting?</w:t>
      </w:r>
    </w:p>
    <w:p>
      <w:pPr>
        <w:spacing w:after="0" w:line="166" w:lineRule="exact"/>
        <w:rPr>
          <w:sz w:val="20"/>
          <w:szCs w:val="20"/>
          <w:color w:val="auto"/>
        </w:rPr>
      </w:pPr>
    </w:p>
    <w:p>
      <w:pPr>
        <w:ind w:left="20" w:right="60"/>
        <w:spacing w:after="0" w:line="244" w:lineRule="auto"/>
        <w:rPr>
          <w:sz w:val="20"/>
          <w:szCs w:val="20"/>
          <w:color w:val="auto"/>
        </w:rPr>
      </w:pPr>
      <w:r>
        <w:rPr>
          <w:rFonts w:ascii="Arial" w:cs="Arial" w:eastAsia="Arial" w:hAnsi="Arial"/>
          <w:sz w:val="18"/>
          <w:szCs w:val="18"/>
          <w:color w:val="auto"/>
        </w:rPr>
        <w:t>If you are a stockholder of record, your ability to vote by proxy by internet or telephone will end at 11:59 p.m. Eastern Time on July 13, 2026. If you prefer to vote by mail, you should complete and return the proxy card as soon as possible. You will also be able to vote by attending and voting at the virtual Annual Meeting on July 14, 2026. However, we recommend that you submit your proxy in advance in the event your plans change or you are unable to attend the Annual Meeting.</w:t>
      </w:r>
    </w:p>
    <w:p>
      <w:pPr>
        <w:spacing w:after="0" w:line="136" w:lineRule="exact"/>
        <w:rPr>
          <w:sz w:val="20"/>
          <w:szCs w:val="20"/>
          <w:color w:val="auto"/>
        </w:rPr>
      </w:pPr>
    </w:p>
    <w:p>
      <w:pPr>
        <w:ind w:left="20" w:right="400"/>
        <w:spacing w:after="0" w:line="271" w:lineRule="auto"/>
        <w:rPr>
          <w:sz w:val="20"/>
          <w:szCs w:val="20"/>
          <w:color w:val="auto"/>
        </w:rPr>
      </w:pPr>
      <w:r>
        <w:rPr>
          <w:rFonts w:ascii="Arial" w:cs="Arial" w:eastAsia="Arial" w:hAnsi="Arial"/>
          <w:sz w:val="18"/>
          <w:szCs w:val="18"/>
          <w:color w:val="auto"/>
        </w:rPr>
        <w:t>If your Rent the Runway shares are held in an account with a broker, bank, trustee, or nominee, you should vote in accordance with the instructions from your broker, bank, trustee, or nominee.</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happens if I do not vote?</w:t>
      </w:r>
    </w:p>
    <w:p>
      <w:pPr>
        <w:spacing w:after="0" w:line="166" w:lineRule="exact"/>
        <w:rPr>
          <w:sz w:val="20"/>
          <w:szCs w:val="20"/>
          <w:color w:val="auto"/>
        </w:rPr>
      </w:pPr>
    </w:p>
    <w:p>
      <w:pPr>
        <w:ind w:left="20" w:right="80"/>
        <w:spacing w:after="0" w:line="271"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online during the meeting, your shares will not be voted.</w:t>
      </w:r>
    </w:p>
    <w:p>
      <w:pPr>
        <w:spacing w:after="0" w:line="113" w:lineRule="exact"/>
        <w:rPr>
          <w:sz w:val="20"/>
          <w:szCs w:val="20"/>
          <w:color w:val="auto"/>
        </w:rPr>
      </w:pPr>
    </w:p>
    <w:p>
      <w:pPr>
        <w:ind w:left="20"/>
        <w:spacing w:after="0" w:line="253" w:lineRule="auto"/>
        <w:rPr>
          <w:sz w:val="20"/>
          <w:szCs w:val="20"/>
          <w:color w:val="auto"/>
        </w:rPr>
      </w:pPr>
      <w:r>
        <w:rPr>
          <w:rFonts w:ascii="Arial" w:cs="Arial" w:eastAsia="Arial" w:hAnsi="Arial"/>
          <w:sz w:val="17"/>
          <w:szCs w:val="17"/>
          <w:color w:val="auto"/>
        </w:rPr>
        <w:t>If your Rent the Runway shares are held in an account with a broker, bank, trustee or other nominee, and you do not instruct your broker, bank, trustee or other nominee how to vote your shares, your broker, bank, trustee or other nominee may still be able to vote your shares in its discretion. In this regard, brokers and other securities intermediaries may use their discretion to vote your “uninstructed” shares with respect to matters considered under applicable exchange rules to be “routine,” but not with respect to “non-routine” matters. Each of Proposal No. 1 (the Election of Directors), Proposal Nos. 3 - 10 (the Charter Amendment Proposals), and Proposal No. 11 (the Plan Amendment Proposal) are considered to be “non-routine” under applicable exchange rules, meaning that your broker may not vote your shares on this proposal in the absence of your voting instructions, which would result in a “broker non-vote.” Proposal No. 2 (the Ratification of Auditors), however, is considered to be a “routine” matter, meaning that if you do not return voting instructions to your broker by its deadline, your shares may be voted by your broker in its discretion on Proposal No. 2. Please instruct your broker, bank, trustee, or other nominee to ensure that your vote will be counted.</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 w:right="640"/>
        <w:spacing w:after="0" w:line="270" w:lineRule="auto"/>
        <w:rPr>
          <w:sz w:val="20"/>
          <w:szCs w:val="20"/>
          <w:color w:val="auto"/>
        </w:rPr>
      </w:pPr>
      <w:r>
        <w:rPr>
          <w:rFonts w:ascii="Arial" w:cs="Arial" w:eastAsia="Arial" w:hAnsi="Arial"/>
          <w:sz w:val="20"/>
          <w:szCs w:val="20"/>
          <w:b w:val="1"/>
          <w:bCs w:val="1"/>
          <w:color w:val="auto"/>
        </w:rPr>
        <w:t>What is a “vote withheld” and an “abstention” and how will votes withheld and abstentions be treated?</w:t>
      </w:r>
    </w:p>
    <w:p>
      <w:pPr>
        <w:spacing w:after="0" w:line="95" w:lineRule="exact"/>
        <w:rPr>
          <w:sz w:val="20"/>
          <w:szCs w:val="20"/>
          <w:color w:val="auto"/>
        </w:rPr>
      </w:pPr>
    </w:p>
    <w:p>
      <w:pPr>
        <w:ind w:left="20" w:right="80"/>
        <w:spacing w:after="0" w:line="244" w:lineRule="auto"/>
        <w:rPr>
          <w:sz w:val="20"/>
          <w:szCs w:val="20"/>
          <w:color w:val="auto"/>
        </w:rPr>
      </w:pPr>
      <w:r>
        <w:rPr>
          <w:rFonts w:ascii="Arial" w:cs="Arial" w:eastAsia="Arial" w:hAnsi="Arial"/>
          <w:sz w:val="18"/>
          <w:szCs w:val="18"/>
          <w:color w:val="auto"/>
        </w:rPr>
        <w:t>A “vote withheld” in the case of the proposal regarding the election of directors, or an “abstention,” in the case of the proposal regarding the ratification of the appointment of our auditors, any of the Charter Amendment Proposals, or the Plan Amendment Proposal, represents a stockholder’s affirmative choice to decline to vote on a proposal. Votes withheld have no effect on the election of directors. Abstentions have no effect on the ratification of the appointment of our auditors or the Plan Amendment Proposal and count as a vote against each of the Charter Amendment Proposals.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return a proxy card but do not make specific choices?</w:t>
      </w:r>
    </w:p>
    <w:p>
      <w:pPr>
        <w:spacing w:after="0" w:line="166"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If you submit a properly signed proxy card but do not provide any voting instructions, the persons named as proxies will vote in accordance with the recommendations of the Board of Directors, which are indicated above and with each proposal in this proxy statement. We know of no other business that will be presented at the Annual Meeting. However, if any other matter is properly presented at the meeting, the persons named as proxies will vote your shares using his or her best judgment.</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change my vote or revoke my proxy?</w:t>
      </w:r>
    </w:p>
    <w:p>
      <w:pPr>
        <w:spacing w:after="0" w:line="166" w:lineRule="exact"/>
        <w:rPr>
          <w:sz w:val="20"/>
          <w:szCs w:val="20"/>
          <w:color w:val="auto"/>
        </w:rPr>
      </w:pPr>
    </w:p>
    <w:p>
      <w:pPr>
        <w:ind w:left="20" w:right="140"/>
        <w:spacing w:after="0" w:line="271" w:lineRule="auto"/>
        <w:rPr>
          <w:sz w:val="20"/>
          <w:szCs w:val="20"/>
          <w:color w:val="auto"/>
        </w:rPr>
      </w:pPr>
      <w:r>
        <w:rPr>
          <w:rFonts w:ascii="Arial" w:cs="Arial" w:eastAsia="Arial" w:hAnsi="Arial"/>
          <w:sz w:val="18"/>
          <w:szCs w:val="18"/>
          <w:color w:val="auto"/>
        </w:rPr>
        <w:t>Yes. If your shares are registered directly in your name with our transfer agent, Equiniti Trust Company, LLC, you may change your vote or revoke your proxy at any time prior to the final vote at the virtual Annual Meeting by:</w:t>
      </w:r>
    </w:p>
    <w:p>
      <w:pPr>
        <w:spacing w:after="0" w:line="113" w:lineRule="exact"/>
        <w:rPr>
          <w:sz w:val="20"/>
          <w:szCs w:val="20"/>
          <w:color w:val="auto"/>
        </w:rPr>
      </w:pPr>
    </w:p>
    <w:p>
      <w:pPr>
        <w:ind w:left="740" w:right="740" w:hanging="359"/>
        <w:spacing w:after="0" w:line="245"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a new proxy bearing a later date (which automatically revokes the earlier proxy) by internet, telephone, or mail (and until the applicable deadline for each method);</w:t>
      </w:r>
    </w:p>
    <w:p>
      <w:pPr>
        <w:ind w:left="740" w:hanging="359"/>
        <w:spacing w:after="0" w:line="23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written notice of revocation to the Secretary of the Company prior to the Annual Meeting; or</w:t>
      </w:r>
    </w:p>
    <w:p>
      <w:pPr>
        <w:ind w:left="740" w:hanging="359"/>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attending and voting at the virtual Annual Meeting.</w:t>
      </w:r>
    </w:p>
    <w:p>
      <w:pPr>
        <w:spacing w:after="0" w:line="167"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Your most recent proxy submitted by proxy card, internet, or telephone is the one that will count. Your attendance at the virtual Annual Meeting by itself will not revoke your proxy if you do not also vote at the virtual Annual Meeting.</w:t>
      </w:r>
    </w:p>
    <w:p>
      <w:pPr>
        <w:spacing w:after="0" w:line="113"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If you hold shares in an account with a broker, bank, trustee, or nominee, you may change your vote by submitting new voting instructions to your broker, bank, trustee, or nominee in accordance with the instructions they provide to you. If you have obtained a valid proxy from your broker, bank, trustee, or nominee giving you the right to vote your shares, you may change your vote by attending the virtual Annual Meeting and voting.</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are required to approve each proposal?</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20" w:type="dxa"/>
            <w:vAlign w:val="bottom"/>
            <w:shd w:val="clear" w:color="auto" w:fill="FFE8F5"/>
          </w:tcPr>
          <w:p>
            <w:pPr>
              <w:spacing w:after="0"/>
              <w:rPr>
                <w:sz w:val="22"/>
                <w:szCs w:val="22"/>
                <w:color w:val="auto"/>
              </w:rPr>
            </w:pPr>
          </w:p>
        </w:tc>
        <w:tc>
          <w:tcPr>
            <w:tcW w:w="1680" w:type="dxa"/>
            <w:vAlign w:val="bottom"/>
            <w:shd w:val="clear" w:color="auto" w:fill="FFE8F5"/>
          </w:tcPr>
          <w:p>
            <w:pPr>
              <w:spacing w:after="0"/>
              <w:rPr>
                <w:sz w:val="22"/>
                <w:szCs w:val="22"/>
                <w:color w:val="auto"/>
              </w:rPr>
            </w:pPr>
          </w:p>
        </w:tc>
        <w:tc>
          <w:tcPr>
            <w:tcW w:w="2980" w:type="dxa"/>
            <w:vAlign w:val="bottom"/>
            <w:shd w:val="clear" w:color="auto" w:fill="FFE8F5"/>
          </w:tcPr>
          <w:p>
            <w:pPr>
              <w:spacing w:after="0"/>
              <w:rPr>
                <w:sz w:val="22"/>
                <w:szCs w:val="22"/>
                <w:color w:val="auto"/>
              </w:rPr>
            </w:pPr>
          </w:p>
        </w:tc>
        <w:tc>
          <w:tcPr>
            <w:tcW w:w="1540" w:type="dxa"/>
            <w:vAlign w:val="bottom"/>
            <w:shd w:val="clear" w:color="auto" w:fill="FFE8F5"/>
          </w:tcPr>
          <w:p>
            <w:pPr>
              <w:ind w:left="100"/>
              <w:spacing w:after="0"/>
              <w:rPr>
                <w:sz w:val="20"/>
                <w:szCs w:val="20"/>
                <w:color w:val="auto"/>
              </w:rPr>
            </w:pPr>
            <w:r>
              <w:rPr>
                <w:rFonts w:ascii="Arial" w:cs="Arial" w:eastAsia="Arial" w:hAnsi="Arial"/>
                <w:sz w:val="14"/>
                <w:szCs w:val="14"/>
                <w:b w:val="1"/>
                <w:bCs w:val="1"/>
                <w:color w:val="auto"/>
              </w:rPr>
              <w:t>Effect of Votes</w:t>
            </w:r>
          </w:p>
        </w:tc>
        <w:tc>
          <w:tcPr>
            <w:tcW w:w="3180" w:type="dxa"/>
            <w:vAlign w:val="bottom"/>
            <w:shd w:val="clear" w:color="auto" w:fill="FFE8F5"/>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FFE8F5"/>
          </w:tcPr>
          <w:p>
            <w:pPr>
              <w:spacing w:after="0"/>
              <w:rPr>
                <w:sz w:val="14"/>
                <w:szCs w:val="14"/>
                <w:color w:val="auto"/>
              </w:rPr>
            </w:pPr>
          </w:p>
        </w:tc>
        <w:tc>
          <w:tcPr>
            <w:tcW w:w="1680" w:type="dxa"/>
            <w:vAlign w:val="bottom"/>
            <w:vMerge w:val="restart"/>
            <w:shd w:val="clear" w:color="auto" w:fill="FFE8F5"/>
          </w:tcPr>
          <w:p>
            <w:pPr>
              <w:ind w:left="40"/>
              <w:spacing w:after="0"/>
              <w:rPr>
                <w:sz w:val="20"/>
                <w:szCs w:val="20"/>
                <w:color w:val="auto"/>
              </w:rPr>
            </w:pPr>
            <w:r>
              <w:rPr>
                <w:rFonts w:ascii="Arial" w:cs="Arial" w:eastAsia="Arial" w:hAnsi="Arial"/>
                <w:sz w:val="14"/>
                <w:szCs w:val="14"/>
                <w:b w:val="1"/>
                <w:bCs w:val="1"/>
                <w:color w:val="auto"/>
              </w:rPr>
              <w:t>Proposal</w:t>
            </w:r>
          </w:p>
        </w:tc>
        <w:tc>
          <w:tcPr>
            <w:tcW w:w="2980" w:type="dxa"/>
            <w:vAlign w:val="bottom"/>
            <w:vMerge w:val="restart"/>
            <w:shd w:val="clear" w:color="auto" w:fill="FFE8F5"/>
          </w:tcPr>
          <w:p>
            <w:pPr>
              <w:ind w:left="140"/>
              <w:spacing w:after="0"/>
              <w:rPr>
                <w:sz w:val="20"/>
                <w:szCs w:val="20"/>
                <w:color w:val="auto"/>
              </w:rPr>
            </w:pPr>
            <w:r>
              <w:rPr>
                <w:rFonts w:ascii="Arial" w:cs="Arial" w:eastAsia="Arial" w:hAnsi="Arial"/>
                <w:sz w:val="14"/>
                <w:szCs w:val="14"/>
                <w:b w:val="1"/>
                <w:bCs w:val="1"/>
                <w:color w:val="auto"/>
              </w:rPr>
              <w:t>Vote Required for Approval</w:t>
            </w:r>
          </w:p>
        </w:tc>
        <w:tc>
          <w:tcPr>
            <w:tcW w:w="1540" w:type="dxa"/>
            <w:vAlign w:val="bottom"/>
            <w:shd w:val="clear" w:color="auto" w:fill="FFE8F5"/>
          </w:tcPr>
          <w:p>
            <w:pPr>
              <w:ind w:left="100"/>
              <w:spacing w:after="0"/>
              <w:rPr>
                <w:sz w:val="20"/>
                <w:szCs w:val="20"/>
                <w:color w:val="auto"/>
              </w:rPr>
            </w:pPr>
            <w:r>
              <w:rPr>
                <w:rFonts w:ascii="Arial" w:cs="Arial" w:eastAsia="Arial" w:hAnsi="Arial"/>
                <w:sz w:val="14"/>
                <w:szCs w:val="14"/>
                <w:b w:val="1"/>
                <w:bCs w:val="1"/>
                <w:color w:val="auto"/>
              </w:rPr>
              <w:t>Withheld or</w:t>
            </w:r>
          </w:p>
        </w:tc>
        <w:tc>
          <w:tcPr>
            <w:tcW w:w="3180" w:type="dxa"/>
            <w:vAlign w:val="bottom"/>
            <w:vMerge w:val="restart"/>
            <w:shd w:val="clear" w:color="auto" w:fill="FFE8F5"/>
          </w:tcPr>
          <w:p>
            <w:pPr>
              <w:ind w:left="340"/>
              <w:spacing w:after="0"/>
              <w:rPr>
                <w:sz w:val="20"/>
                <w:szCs w:val="20"/>
                <w:color w:val="auto"/>
              </w:rPr>
            </w:pPr>
            <w:r>
              <w:rPr>
                <w:rFonts w:ascii="Arial" w:cs="Arial" w:eastAsia="Arial" w:hAnsi="Arial"/>
                <w:sz w:val="14"/>
                <w:szCs w:val="14"/>
                <w:b w:val="1"/>
                <w:bCs w:val="1"/>
                <w:color w:val="auto"/>
              </w:rPr>
              <w:t>Effect of Broker Non-Votes*</w:t>
            </w:r>
          </w:p>
        </w:tc>
        <w:tc>
          <w:tcPr>
            <w:tcW w:w="0" w:type="dxa"/>
            <w:vAlign w:val="bottom"/>
          </w:tcPr>
          <w:p>
            <w:pPr>
              <w:spacing w:after="0"/>
              <w:rPr>
                <w:sz w:val="1"/>
                <w:szCs w:val="1"/>
                <w:color w:val="auto"/>
              </w:rPr>
            </w:pPr>
          </w:p>
        </w:tc>
      </w:tr>
      <w:tr>
        <w:trPr>
          <w:trHeight w:val="115"/>
        </w:trPr>
        <w:tc>
          <w:tcPr>
            <w:tcW w:w="120" w:type="dxa"/>
            <w:vAlign w:val="bottom"/>
            <w:shd w:val="clear" w:color="auto" w:fill="FFE8F5"/>
          </w:tcPr>
          <w:p>
            <w:pPr>
              <w:spacing w:after="0"/>
              <w:rPr>
                <w:sz w:val="10"/>
                <w:szCs w:val="10"/>
                <w:color w:val="auto"/>
              </w:rPr>
            </w:pPr>
          </w:p>
        </w:tc>
        <w:tc>
          <w:tcPr>
            <w:tcW w:w="1680" w:type="dxa"/>
            <w:vAlign w:val="bottom"/>
            <w:vMerge w:val="continue"/>
            <w:shd w:val="clear" w:color="auto" w:fill="FFE8F5"/>
          </w:tcPr>
          <w:p>
            <w:pPr>
              <w:spacing w:after="0"/>
              <w:rPr>
                <w:sz w:val="10"/>
                <w:szCs w:val="10"/>
                <w:color w:val="auto"/>
              </w:rPr>
            </w:pPr>
          </w:p>
        </w:tc>
        <w:tc>
          <w:tcPr>
            <w:tcW w:w="2980" w:type="dxa"/>
            <w:vAlign w:val="bottom"/>
            <w:vMerge w:val="continue"/>
            <w:shd w:val="clear" w:color="auto" w:fill="FFE8F5"/>
          </w:tcPr>
          <w:p>
            <w:pPr>
              <w:spacing w:after="0"/>
              <w:rPr>
                <w:sz w:val="10"/>
                <w:szCs w:val="10"/>
                <w:color w:val="auto"/>
              </w:rPr>
            </w:pPr>
          </w:p>
        </w:tc>
        <w:tc>
          <w:tcPr>
            <w:tcW w:w="1540" w:type="dxa"/>
            <w:vAlign w:val="bottom"/>
            <w:vMerge w:val="restart"/>
            <w:shd w:val="clear" w:color="auto" w:fill="FFE8F5"/>
          </w:tcPr>
          <w:p>
            <w:pPr>
              <w:ind w:left="100"/>
              <w:spacing w:after="0"/>
              <w:rPr>
                <w:sz w:val="20"/>
                <w:szCs w:val="20"/>
                <w:color w:val="auto"/>
              </w:rPr>
            </w:pPr>
            <w:r>
              <w:rPr>
                <w:rFonts w:ascii="Arial" w:cs="Arial" w:eastAsia="Arial" w:hAnsi="Arial"/>
                <w:sz w:val="14"/>
                <w:szCs w:val="14"/>
                <w:b w:val="1"/>
                <w:bCs w:val="1"/>
                <w:color w:val="auto"/>
              </w:rPr>
              <w:t>Abstentions, as</w:t>
            </w:r>
          </w:p>
        </w:tc>
        <w:tc>
          <w:tcPr>
            <w:tcW w:w="3180" w:type="dxa"/>
            <w:vAlign w:val="bottom"/>
            <w:vMerge w:val="continue"/>
            <w:shd w:val="clear" w:color="auto" w:fill="FFE8F5"/>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20" w:type="dxa"/>
            <w:vAlign w:val="bottom"/>
            <w:shd w:val="clear" w:color="auto" w:fill="FFE8F5"/>
          </w:tcPr>
          <w:p>
            <w:pPr>
              <w:spacing w:after="0"/>
              <w:rPr>
                <w:sz w:val="4"/>
                <w:szCs w:val="4"/>
                <w:color w:val="auto"/>
              </w:rPr>
            </w:pPr>
          </w:p>
        </w:tc>
        <w:tc>
          <w:tcPr>
            <w:tcW w:w="1680" w:type="dxa"/>
            <w:vAlign w:val="bottom"/>
            <w:shd w:val="clear" w:color="auto" w:fill="FFE8F5"/>
          </w:tcPr>
          <w:p>
            <w:pPr>
              <w:spacing w:after="0"/>
              <w:rPr>
                <w:sz w:val="4"/>
                <w:szCs w:val="4"/>
                <w:color w:val="auto"/>
              </w:rPr>
            </w:pPr>
          </w:p>
        </w:tc>
        <w:tc>
          <w:tcPr>
            <w:tcW w:w="2980" w:type="dxa"/>
            <w:vAlign w:val="bottom"/>
            <w:shd w:val="clear" w:color="auto" w:fill="FFE8F5"/>
          </w:tcPr>
          <w:p>
            <w:pPr>
              <w:spacing w:after="0"/>
              <w:rPr>
                <w:sz w:val="4"/>
                <w:szCs w:val="4"/>
                <w:color w:val="auto"/>
              </w:rPr>
            </w:pPr>
          </w:p>
        </w:tc>
        <w:tc>
          <w:tcPr>
            <w:tcW w:w="1540" w:type="dxa"/>
            <w:vAlign w:val="bottom"/>
            <w:vMerge w:val="continue"/>
            <w:shd w:val="clear" w:color="auto" w:fill="FFE8F5"/>
          </w:tcPr>
          <w:p>
            <w:pPr>
              <w:spacing w:after="0"/>
              <w:rPr>
                <w:sz w:val="4"/>
                <w:szCs w:val="4"/>
                <w:color w:val="auto"/>
              </w:rPr>
            </w:pPr>
          </w:p>
        </w:tc>
        <w:tc>
          <w:tcPr>
            <w:tcW w:w="3180" w:type="dxa"/>
            <w:vAlign w:val="bottom"/>
            <w:shd w:val="clear" w:color="auto" w:fill="FFE8F5"/>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0" w:type="dxa"/>
            <w:vAlign w:val="bottom"/>
            <w:shd w:val="clear" w:color="auto" w:fill="FFE8F5"/>
          </w:tcPr>
          <w:p>
            <w:pPr>
              <w:spacing w:after="0"/>
              <w:rPr>
                <w:sz w:val="17"/>
                <w:szCs w:val="17"/>
                <w:color w:val="auto"/>
              </w:rPr>
            </w:pPr>
          </w:p>
        </w:tc>
        <w:tc>
          <w:tcPr>
            <w:tcW w:w="1680" w:type="dxa"/>
            <w:vAlign w:val="bottom"/>
            <w:shd w:val="clear" w:color="auto" w:fill="FFE8F5"/>
          </w:tcPr>
          <w:p>
            <w:pPr>
              <w:spacing w:after="0"/>
              <w:rPr>
                <w:sz w:val="17"/>
                <w:szCs w:val="17"/>
                <w:color w:val="auto"/>
              </w:rPr>
            </w:pPr>
          </w:p>
        </w:tc>
        <w:tc>
          <w:tcPr>
            <w:tcW w:w="2980" w:type="dxa"/>
            <w:vAlign w:val="bottom"/>
            <w:shd w:val="clear" w:color="auto" w:fill="FFE8F5"/>
          </w:tcPr>
          <w:p>
            <w:pPr>
              <w:spacing w:after="0"/>
              <w:rPr>
                <w:sz w:val="17"/>
                <w:szCs w:val="17"/>
                <w:color w:val="auto"/>
              </w:rPr>
            </w:pPr>
          </w:p>
        </w:tc>
        <w:tc>
          <w:tcPr>
            <w:tcW w:w="1540" w:type="dxa"/>
            <w:vAlign w:val="bottom"/>
            <w:shd w:val="clear" w:color="auto" w:fill="FFE8F5"/>
          </w:tcPr>
          <w:p>
            <w:pPr>
              <w:ind w:left="100"/>
              <w:spacing w:after="0"/>
              <w:rPr>
                <w:sz w:val="20"/>
                <w:szCs w:val="20"/>
                <w:color w:val="auto"/>
              </w:rPr>
            </w:pPr>
            <w:r>
              <w:rPr>
                <w:rFonts w:ascii="Arial" w:cs="Arial" w:eastAsia="Arial" w:hAnsi="Arial"/>
                <w:sz w:val="14"/>
                <w:szCs w:val="14"/>
                <w:b w:val="1"/>
                <w:bCs w:val="1"/>
                <w:color w:val="auto"/>
              </w:rPr>
              <w:t>applicable</w:t>
            </w:r>
          </w:p>
        </w:tc>
        <w:tc>
          <w:tcPr>
            <w:tcW w:w="3180" w:type="dxa"/>
            <w:vAlign w:val="bottom"/>
            <w:shd w:val="clear" w:color="auto" w:fill="FFE8F5"/>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120" w:type="dxa"/>
            <w:vAlign w:val="bottom"/>
            <w:tcBorders>
              <w:bottom w:val="single" w:sz="8" w:color="auto"/>
            </w:tcBorders>
            <w:shd w:val="clear" w:color="auto" w:fill="FFE8F5"/>
          </w:tcPr>
          <w:p>
            <w:pPr>
              <w:spacing w:after="0"/>
              <w:rPr>
                <w:sz w:val="6"/>
                <w:szCs w:val="6"/>
                <w:color w:val="auto"/>
              </w:rPr>
            </w:pPr>
          </w:p>
        </w:tc>
        <w:tc>
          <w:tcPr>
            <w:tcW w:w="1680" w:type="dxa"/>
            <w:vAlign w:val="bottom"/>
            <w:tcBorders>
              <w:bottom w:val="single" w:sz="8" w:color="auto"/>
            </w:tcBorders>
            <w:shd w:val="clear" w:color="auto" w:fill="FFE8F5"/>
          </w:tcPr>
          <w:p>
            <w:pPr>
              <w:spacing w:after="0"/>
              <w:rPr>
                <w:sz w:val="6"/>
                <w:szCs w:val="6"/>
                <w:color w:val="auto"/>
              </w:rPr>
            </w:pPr>
          </w:p>
        </w:tc>
        <w:tc>
          <w:tcPr>
            <w:tcW w:w="2980" w:type="dxa"/>
            <w:vAlign w:val="bottom"/>
            <w:tcBorders>
              <w:bottom w:val="single" w:sz="8" w:color="auto"/>
            </w:tcBorders>
            <w:shd w:val="clear" w:color="auto" w:fill="FFE8F5"/>
          </w:tcPr>
          <w:p>
            <w:pPr>
              <w:spacing w:after="0"/>
              <w:rPr>
                <w:sz w:val="6"/>
                <w:szCs w:val="6"/>
                <w:color w:val="auto"/>
              </w:rPr>
            </w:pPr>
          </w:p>
        </w:tc>
        <w:tc>
          <w:tcPr>
            <w:tcW w:w="1540" w:type="dxa"/>
            <w:vAlign w:val="bottom"/>
            <w:tcBorders>
              <w:bottom w:val="single" w:sz="8" w:color="auto"/>
            </w:tcBorders>
            <w:shd w:val="clear" w:color="auto" w:fill="FFE8F5"/>
          </w:tcPr>
          <w:p>
            <w:pPr>
              <w:spacing w:after="0"/>
              <w:rPr>
                <w:sz w:val="6"/>
                <w:szCs w:val="6"/>
                <w:color w:val="auto"/>
              </w:rPr>
            </w:pPr>
          </w:p>
        </w:tc>
        <w:tc>
          <w:tcPr>
            <w:tcW w:w="3180" w:type="dxa"/>
            <w:vAlign w:val="bottom"/>
            <w:tcBorders>
              <w:bottom w:val="single" w:sz="8" w:color="auto"/>
            </w:tcBorders>
            <w:shd w:val="clear" w:color="auto" w:fill="FFE8F5"/>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1680" w:type="dxa"/>
            <w:vAlign w:val="bottom"/>
          </w:tcPr>
          <w:p>
            <w:pPr>
              <w:ind w:left="40"/>
              <w:spacing w:after="0"/>
              <w:rPr>
                <w:sz w:val="20"/>
                <w:szCs w:val="20"/>
                <w:color w:val="auto"/>
              </w:rPr>
            </w:pPr>
            <w:r>
              <w:rPr>
                <w:rFonts w:ascii="Arial" w:cs="Arial" w:eastAsia="Arial" w:hAnsi="Arial"/>
                <w:sz w:val="14"/>
                <w:szCs w:val="14"/>
                <w:color w:val="auto"/>
              </w:rPr>
              <w:t>1.  Election of Directors</w:t>
            </w:r>
          </w:p>
        </w:tc>
        <w:tc>
          <w:tcPr>
            <w:tcW w:w="2980" w:type="dxa"/>
            <w:vAlign w:val="bottom"/>
          </w:tcPr>
          <w:p>
            <w:pPr>
              <w:ind w:left="140"/>
              <w:spacing w:after="0"/>
              <w:rPr>
                <w:sz w:val="20"/>
                <w:szCs w:val="20"/>
                <w:color w:val="auto"/>
              </w:rPr>
            </w:pPr>
            <w:r>
              <w:rPr>
                <w:rFonts w:ascii="Arial" w:cs="Arial" w:eastAsia="Arial" w:hAnsi="Arial"/>
                <w:sz w:val="14"/>
                <w:szCs w:val="14"/>
                <w:color w:val="auto"/>
              </w:rPr>
              <w:t>Directors are elected by a plurality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No effect</w:t>
            </w:r>
          </w:p>
        </w:tc>
        <w:tc>
          <w:tcPr>
            <w:tcW w:w="3180" w:type="dxa"/>
            <w:vAlign w:val="bottom"/>
          </w:tcPr>
          <w:p>
            <w:pPr>
              <w:ind w:left="340"/>
              <w:spacing w:after="0"/>
              <w:rPr>
                <w:sz w:val="20"/>
                <w:szCs w:val="20"/>
                <w:color w:val="auto"/>
              </w:rPr>
            </w:pPr>
            <w:r>
              <w:rPr>
                <w:rFonts w:ascii="Arial" w:cs="Arial" w:eastAsia="Arial" w:hAnsi="Arial"/>
                <w:sz w:val="14"/>
                <w:szCs w:val="14"/>
                <w:color w:val="auto"/>
              </w:rPr>
              <w:t>No effect</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980" w:type="dxa"/>
            <w:vAlign w:val="bottom"/>
          </w:tcPr>
          <w:p>
            <w:pPr>
              <w:ind w:left="140"/>
              <w:spacing w:after="0"/>
              <w:rPr>
                <w:sz w:val="20"/>
                <w:szCs w:val="20"/>
                <w:color w:val="auto"/>
              </w:rPr>
            </w:pPr>
            <w:r>
              <w:rPr>
                <w:rFonts w:ascii="Arial" w:cs="Arial" w:eastAsia="Arial" w:hAnsi="Arial"/>
                <w:sz w:val="14"/>
                <w:szCs w:val="14"/>
                <w:color w:val="auto"/>
              </w:rPr>
              <w:t>votes cast.</w:t>
            </w: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29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680" w:type="dxa"/>
            <w:vAlign w:val="bottom"/>
          </w:tcPr>
          <w:p>
            <w:pPr>
              <w:ind w:left="40"/>
              <w:spacing w:after="0"/>
              <w:rPr>
                <w:sz w:val="20"/>
                <w:szCs w:val="20"/>
                <w:color w:val="auto"/>
              </w:rPr>
            </w:pPr>
            <w:r>
              <w:rPr>
                <w:rFonts w:ascii="Arial" w:cs="Arial" w:eastAsia="Arial" w:hAnsi="Arial"/>
                <w:sz w:val="14"/>
                <w:szCs w:val="14"/>
                <w:color w:val="auto"/>
              </w:rPr>
              <w:t>2.  Ratification of</w:t>
            </w:r>
          </w:p>
        </w:tc>
        <w:tc>
          <w:tcPr>
            <w:tcW w:w="2980" w:type="dxa"/>
            <w:vAlign w:val="bottom"/>
          </w:tcPr>
          <w:p>
            <w:pPr>
              <w:ind w:left="14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No effect</w:t>
            </w:r>
          </w:p>
        </w:tc>
        <w:tc>
          <w:tcPr>
            <w:tcW w:w="3180" w:type="dxa"/>
            <w:vAlign w:val="bottom"/>
          </w:tcPr>
          <w:p>
            <w:pPr>
              <w:ind w:left="340"/>
              <w:spacing w:after="0"/>
              <w:rPr>
                <w:sz w:val="20"/>
                <w:szCs w:val="20"/>
                <w:color w:val="auto"/>
              </w:rPr>
            </w:pPr>
            <w:r>
              <w:rPr>
                <w:rFonts w:ascii="Arial" w:cs="Arial" w:eastAsia="Arial" w:hAnsi="Arial"/>
                <w:sz w:val="14"/>
                <w:szCs w:val="14"/>
                <w:color w:val="auto"/>
              </w:rPr>
              <w:t>Not applicable. Brokers may vote the</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80" w:type="dxa"/>
            <w:vAlign w:val="bottom"/>
          </w:tcPr>
          <w:p>
            <w:pPr>
              <w:ind w:left="220"/>
              <w:spacing w:after="0"/>
              <w:rPr>
                <w:sz w:val="20"/>
                <w:szCs w:val="20"/>
                <w:color w:val="auto"/>
              </w:rPr>
            </w:pPr>
            <w:r>
              <w:rPr>
                <w:rFonts w:ascii="Arial" w:cs="Arial" w:eastAsia="Arial" w:hAnsi="Arial"/>
                <w:sz w:val="14"/>
                <w:szCs w:val="14"/>
                <w:color w:val="auto"/>
              </w:rPr>
              <w:t>Auditors</w:t>
            </w:r>
          </w:p>
        </w:tc>
        <w:tc>
          <w:tcPr>
            <w:tcW w:w="2980" w:type="dxa"/>
            <w:vAlign w:val="bottom"/>
          </w:tcPr>
          <w:p>
            <w:pPr>
              <w:ind w:left="140"/>
              <w:spacing w:after="0"/>
              <w:rPr>
                <w:sz w:val="20"/>
                <w:szCs w:val="20"/>
                <w:color w:val="auto"/>
              </w:rPr>
            </w:pPr>
            <w:r>
              <w:rPr>
                <w:rFonts w:ascii="Arial" w:cs="Arial" w:eastAsia="Arial" w:hAnsi="Arial"/>
                <w:sz w:val="14"/>
                <w:szCs w:val="14"/>
                <w:color w:val="auto"/>
              </w:rPr>
              <w:t>holders of a majority of votes cast.</w:t>
            </w:r>
          </w:p>
        </w:tc>
        <w:tc>
          <w:tcPr>
            <w:tcW w:w="1540" w:type="dxa"/>
            <w:vAlign w:val="bottom"/>
          </w:tcPr>
          <w:p>
            <w:pPr>
              <w:spacing w:after="0"/>
              <w:rPr>
                <w:sz w:val="14"/>
                <w:szCs w:val="14"/>
                <w:color w:val="auto"/>
              </w:rPr>
            </w:pPr>
          </w:p>
        </w:tc>
        <w:tc>
          <w:tcPr>
            <w:tcW w:w="3180" w:type="dxa"/>
            <w:vAlign w:val="bottom"/>
          </w:tcPr>
          <w:p>
            <w:pPr>
              <w:ind w:left="340"/>
              <w:spacing w:after="0"/>
              <w:rPr>
                <w:sz w:val="20"/>
                <w:szCs w:val="20"/>
                <w:color w:val="auto"/>
              </w:rPr>
            </w:pPr>
            <w:r>
              <w:rPr>
                <w:rFonts w:ascii="Arial" w:cs="Arial" w:eastAsia="Arial" w:hAnsi="Arial"/>
                <w:sz w:val="14"/>
                <w:szCs w:val="14"/>
                <w:color w:val="auto"/>
              </w:rPr>
              <w:t>shares if not instructed by the beneficial</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180" w:type="dxa"/>
            <w:vAlign w:val="bottom"/>
          </w:tcPr>
          <w:p>
            <w:pPr>
              <w:ind w:left="340"/>
              <w:spacing w:after="0"/>
              <w:rPr>
                <w:sz w:val="20"/>
                <w:szCs w:val="20"/>
                <w:color w:val="auto"/>
              </w:rPr>
            </w:pPr>
            <w:r>
              <w:rPr>
                <w:rFonts w:ascii="Arial" w:cs="Arial" w:eastAsia="Arial" w:hAnsi="Arial"/>
                <w:sz w:val="14"/>
                <w:szCs w:val="14"/>
                <w:color w:val="auto"/>
              </w:rPr>
              <w:t>owner, as this matter is considered</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180" w:type="dxa"/>
            <w:vAlign w:val="bottom"/>
          </w:tcPr>
          <w:p>
            <w:pPr>
              <w:ind w:left="340"/>
              <w:spacing w:after="0"/>
              <w:rPr>
                <w:sz w:val="20"/>
                <w:szCs w:val="20"/>
                <w:color w:val="auto"/>
              </w:rPr>
            </w:pPr>
            <w:r>
              <w:rPr>
                <w:rFonts w:ascii="Arial" w:cs="Arial" w:eastAsia="Arial" w:hAnsi="Arial"/>
                <w:sz w:val="14"/>
                <w:szCs w:val="14"/>
                <w:color w:val="auto"/>
              </w:rPr>
              <w:t>“routine.” Therefore, we would not expect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180" w:type="dxa"/>
            <w:vAlign w:val="bottom"/>
          </w:tcPr>
          <w:p>
            <w:pPr>
              <w:ind w:left="340"/>
              <w:spacing w:after="0"/>
              <w:rPr>
                <w:sz w:val="20"/>
                <w:szCs w:val="20"/>
                <w:color w:val="auto"/>
              </w:rPr>
            </w:pPr>
            <w:r>
              <w:rPr>
                <w:rFonts w:ascii="Arial" w:cs="Arial" w:eastAsia="Arial" w:hAnsi="Arial"/>
                <w:sz w:val="14"/>
                <w:szCs w:val="14"/>
                <w:color w:val="auto"/>
              </w:rPr>
              <w:t>broker non-votes to result from this</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180" w:type="dxa"/>
            <w:vAlign w:val="bottom"/>
          </w:tcPr>
          <w:p>
            <w:pPr>
              <w:ind w:left="340"/>
              <w:spacing w:after="0"/>
              <w:rPr>
                <w:sz w:val="20"/>
                <w:szCs w:val="20"/>
                <w:color w:val="auto"/>
              </w:rPr>
            </w:pPr>
            <w:r>
              <w:rPr>
                <w:rFonts w:ascii="Arial" w:cs="Arial" w:eastAsia="Arial" w:hAnsi="Arial"/>
                <w:sz w:val="14"/>
                <w:szCs w:val="14"/>
                <w:color w:val="auto"/>
              </w:rPr>
              <w:t>proposal</w:t>
            </w: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29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680" w:type="dxa"/>
            <w:vAlign w:val="bottom"/>
          </w:tcPr>
          <w:p>
            <w:pPr>
              <w:ind w:left="40"/>
              <w:spacing w:after="0"/>
              <w:rPr>
                <w:sz w:val="20"/>
                <w:szCs w:val="20"/>
                <w:color w:val="auto"/>
              </w:rPr>
            </w:pPr>
            <w:r>
              <w:rPr>
                <w:rFonts w:ascii="Arial" w:cs="Arial" w:eastAsia="Arial" w:hAnsi="Arial"/>
                <w:sz w:val="14"/>
                <w:szCs w:val="14"/>
                <w:color w:val="auto"/>
              </w:rPr>
              <w:t>3.  The Class B Stock</w:t>
            </w:r>
          </w:p>
        </w:tc>
        <w:tc>
          <w:tcPr>
            <w:tcW w:w="2980" w:type="dxa"/>
            <w:vAlign w:val="bottom"/>
          </w:tcPr>
          <w:p>
            <w:pPr>
              <w:ind w:left="14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Against</w:t>
            </w:r>
          </w:p>
        </w:tc>
        <w:tc>
          <w:tcPr>
            <w:tcW w:w="3180" w:type="dxa"/>
            <w:vAlign w:val="bottom"/>
          </w:tcPr>
          <w:p>
            <w:pPr>
              <w:ind w:left="340"/>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80" w:type="dxa"/>
            <w:vAlign w:val="bottom"/>
          </w:tcPr>
          <w:p>
            <w:pPr>
              <w:ind w:left="220"/>
              <w:spacing w:after="0"/>
              <w:rPr>
                <w:sz w:val="20"/>
                <w:szCs w:val="20"/>
                <w:color w:val="auto"/>
              </w:rPr>
            </w:pPr>
            <w:r>
              <w:rPr>
                <w:rFonts w:ascii="Arial" w:cs="Arial" w:eastAsia="Arial" w:hAnsi="Arial"/>
                <w:sz w:val="14"/>
                <w:szCs w:val="14"/>
                <w:color w:val="auto"/>
              </w:rPr>
              <w:t>Elimination Proposal</w:t>
            </w:r>
          </w:p>
        </w:tc>
        <w:tc>
          <w:tcPr>
            <w:tcW w:w="2980" w:type="dxa"/>
            <w:vAlign w:val="bottom"/>
          </w:tcPr>
          <w:p>
            <w:pPr>
              <w:ind w:left="140"/>
              <w:spacing w:after="0"/>
              <w:rPr>
                <w:sz w:val="20"/>
                <w:szCs w:val="20"/>
                <w:color w:val="auto"/>
              </w:rPr>
            </w:pPr>
            <w:r>
              <w:rPr>
                <w:rFonts w:ascii="Arial" w:cs="Arial" w:eastAsia="Arial" w:hAnsi="Arial"/>
                <w:sz w:val="14"/>
                <w:szCs w:val="14"/>
                <w:color w:val="auto"/>
              </w:rPr>
              <w:t>holders of at least two-thirds of the voting</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980" w:type="dxa"/>
            <w:vAlign w:val="bottom"/>
          </w:tcPr>
          <w:p>
            <w:pPr>
              <w:ind w:left="140"/>
              <w:spacing w:after="0"/>
              <w:rPr>
                <w:sz w:val="20"/>
                <w:szCs w:val="20"/>
                <w:color w:val="auto"/>
              </w:rPr>
            </w:pPr>
            <w:r>
              <w:rPr>
                <w:rFonts w:ascii="Arial" w:cs="Arial" w:eastAsia="Arial" w:hAnsi="Arial"/>
                <w:sz w:val="14"/>
                <w:szCs w:val="14"/>
                <w:color w:val="auto"/>
              </w:rPr>
              <w:t>power of all of the then outstanding shares</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980" w:type="dxa"/>
            <w:vAlign w:val="bottom"/>
          </w:tcPr>
          <w:p>
            <w:pPr>
              <w:ind w:left="140"/>
              <w:spacing w:after="0"/>
              <w:rPr>
                <w:sz w:val="20"/>
                <w:szCs w:val="20"/>
                <w:color w:val="auto"/>
              </w:rPr>
            </w:pPr>
            <w:r>
              <w:rPr>
                <w:rFonts w:ascii="Arial" w:cs="Arial" w:eastAsia="Arial" w:hAnsi="Arial"/>
                <w:sz w:val="14"/>
                <w:szCs w:val="14"/>
                <w:color w:val="auto"/>
              </w:rPr>
              <w:t>of voting stock of the Company entitled to</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980" w:type="dxa"/>
            <w:vAlign w:val="bottom"/>
          </w:tcPr>
          <w:p>
            <w:pPr>
              <w:ind w:left="140"/>
              <w:spacing w:after="0"/>
              <w:rPr>
                <w:sz w:val="20"/>
                <w:szCs w:val="20"/>
                <w:color w:val="auto"/>
              </w:rPr>
            </w:pPr>
            <w:r>
              <w:rPr>
                <w:rFonts w:ascii="Arial" w:cs="Arial" w:eastAsia="Arial" w:hAnsi="Arial"/>
                <w:sz w:val="14"/>
                <w:szCs w:val="14"/>
                <w:color w:val="auto"/>
              </w:rPr>
              <w:t>vote thereon.</w:t>
            </w: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20" w:type="dxa"/>
            <w:vAlign w:val="bottom"/>
            <w:shd w:val="clear" w:color="auto" w:fill="FFE8F5"/>
          </w:tcPr>
          <w:p>
            <w:pPr>
              <w:spacing w:after="0"/>
              <w:rPr>
                <w:sz w:val="22"/>
                <w:szCs w:val="22"/>
                <w:color w:val="auto"/>
              </w:rPr>
            </w:pPr>
          </w:p>
        </w:tc>
        <w:tc>
          <w:tcPr>
            <w:tcW w:w="1700" w:type="dxa"/>
            <w:vAlign w:val="bottom"/>
            <w:shd w:val="clear" w:color="auto" w:fill="FFE8F5"/>
          </w:tcPr>
          <w:p>
            <w:pPr>
              <w:spacing w:after="0"/>
              <w:rPr>
                <w:sz w:val="22"/>
                <w:szCs w:val="22"/>
                <w:color w:val="auto"/>
              </w:rPr>
            </w:pPr>
          </w:p>
        </w:tc>
        <w:tc>
          <w:tcPr>
            <w:tcW w:w="2960" w:type="dxa"/>
            <w:vAlign w:val="bottom"/>
            <w:shd w:val="clear" w:color="auto" w:fill="FFE8F5"/>
          </w:tcPr>
          <w:p>
            <w:pPr>
              <w:spacing w:after="0"/>
              <w:rPr>
                <w:sz w:val="22"/>
                <w:szCs w:val="22"/>
                <w:color w:val="auto"/>
              </w:rPr>
            </w:pPr>
          </w:p>
        </w:tc>
        <w:tc>
          <w:tcPr>
            <w:tcW w:w="1540" w:type="dxa"/>
            <w:vAlign w:val="bottom"/>
            <w:shd w:val="clear" w:color="auto" w:fill="FFE8F5"/>
          </w:tcPr>
          <w:p>
            <w:pPr>
              <w:ind w:left="100"/>
              <w:spacing w:after="0"/>
              <w:rPr>
                <w:sz w:val="20"/>
                <w:szCs w:val="20"/>
                <w:color w:val="auto"/>
              </w:rPr>
            </w:pPr>
            <w:r>
              <w:rPr>
                <w:rFonts w:ascii="Arial" w:cs="Arial" w:eastAsia="Arial" w:hAnsi="Arial"/>
                <w:sz w:val="14"/>
                <w:szCs w:val="14"/>
                <w:b w:val="1"/>
                <w:bCs w:val="1"/>
                <w:color w:val="auto"/>
              </w:rPr>
              <w:t>Effect of Votes</w:t>
            </w:r>
          </w:p>
        </w:tc>
        <w:tc>
          <w:tcPr>
            <w:tcW w:w="3180" w:type="dxa"/>
            <w:vAlign w:val="bottom"/>
            <w:shd w:val="clear" w:color="auto" w:fill="FFE8F5"/>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FFE8F5"/>
          </w:tcPr>
          <w:p>
            <w:pPr>
              <w:spacing w:after="0"/>
              <w:rPr>
                <w:sz w:val="14"/>
                <w:szCs w:val="14"/>
                <w:color w:val="auto"/>
              </w:rPr>
            </w:pPr>
          </w:p>
        </w:tc>
        <w:tc>
          <w:tcPr>
            <w:tcW w:w="1700" w:type="dxa"/>
            <w:vAlign w:val="bottom"/>
            <w:vMerge w:val="restart"/>
            <w:shd w:val="clear" w:color="auto" w:fill="FFE8F5"/>
          </w:tcPr>
          <w:p>
            <w:pPr>
              <w:ind w:left="40"/>
              <w:spacing w:after="0"/>
              <w:rPr>
                <w:sz w:val="20"/>
                <w:szCs w:val="20"/>
                <w:color w:val="auto"/>
              </w:rPr>
            </w:pPr>
            <w:r>
              <w:rPr>
                <w:rFonts w:ascii="Arial" w:cs="Arial" w:eastAsia="Arial" w:hAnsi="Arial"/>
                <w:sz w:val="14"/>
                <w:szCs w:val="14"/>
                <w:b w:val="1"/>
                <w:bCs w:val="1"/>
                <w:color w:val="auto"/>
              </w:rPr>
              <w:t>Proposal</w:t>
            </w:r>
          </w:p>
        </w:tc>
        <w:tc>
          <w:tcPr>
            <w:tcW w:w="2960" w:type="dxa"/>
            <w:vAlign w:val="bottom"/>
            <w:vMerge w:val="restart"/>
            <w:shd w:val="clear" w:color="auto" w:fill="FFE8F5"/>
          </w:tcPr>
          <w:p>
            <w:pPr>
              <w:ind w:left="120"/>
              <w:spacing w:after="0"/>
              <w:rPr>
                <w:sz w:val="20"/>
                <w:szCs w:val="20"/>
                <w:color w:val="auto"/>
              </w:rPr>
            </w:pPr>
            <w:r>
              <w:rPr>
                <w:rFonts w:ascii="Arial" w:cs="Arial" w:eastAsia="Arial" w:hAnsi="Arial"/>
                <w:sz w:val="14"/>
                <w:szCs w:val="14"/>
                <w:b w:val="1"/>
                <w:bCs w:val="1"/>
                <w:color w:val="auto"/>
              </w:rPr>
              <w:t>Vote Required for Approval</w:t>
            </w:r>
          </w:p>
        </w:tc>
        <w:tc>
          <w:tcPr>
            <w:tcW w:w="1540" w:type="dxa"/>
            <w:vAlign w:val="bottom"/>
            <w:shd w:val="clear" w:color="auto" w:fill="FFE8F5"/>
          </w:tcPr>
          <w:p>
            <w:pPr>
              <w:ind w:left="100"/>
              <w:spacing w:after="0"/>
              <w:rPr>
                <w:sz w:val="20"/>
                <w:szCs w:val="20"/>
                <w:color w:val="auto"/>
              </w:rPr>
            </w:pPr>
            <w:r>
              <w:rPr>
                <w:rFonts w:ascii="Arial" w:cs="Arial" w:eastAsia="Arial" w:hAnsi="Arial"/>
                <w:sz w:val="14"/>
                <w:szCs w:val="14"/>
                <w:b w:val="1"/>
                <w:bCs w:val="1"/>
                <w:color w:val="auto"/>
              </w:rPr>
              <w:t>Withheld or</w:t>
            </w:r>
          </w:p>
        </w:tc>
        <w:tc>
          <w:tcPr>
            <w:tcW w:w="3180" w:type="dxa"/>
            <w:vAlign w:val="bottom"/>
            <w:vMerge w:val="restart"/>
            <w:shd w:val="clear" w:color="auto" w:fill="FFE8F5"/>
          </w:tcPr>
          <w:p>
            <w:pPr>
              <w:ind w:left="340"/>
              <w:spacing w:after="0"/>
              <w:rPr>
                <w:sz w:val="20"/>
                <w:szCs w:val="20"/>
                <w:color w:val="auto"/>
              </w:rPr>
            </w:pPr>
            <w:r>
              <w:rPr>
                <w:rFonts w:ascii="Arial" w:cs="Arial" w:eastAsia="Arial" w:hAnsi="Arial"/>
                <w:sz w:val="14"/>
                <w:szCs w:val="14"/>
                <w:b w:val="1"/>
                <w:bCs w:val="1"/>
                <w:color w:val="auto"/>
              </w:rPr>
              <w:t>Effect of Broker Non-Votes*</w:t>
            </w:r>
          </w:p>
        </w:tc>
        <w:tc>
          <w:tcPr>
            <w:tcW w:w="0" w:type="dxa"/>
            <w:vAlign w:val="bottom"/>
          </w:tcPr>
          <w:p>
            <w:pPr>
              <w:spacing w:after="0"/>
              <w:rPr>
                <w:sz w:val="1"/>
                <w:szCs w:val="1"/>
                <w:color w:val="auto"/>
              </w:rPr>
            </w:pPr>
          </w:p>
        </w:tc>
      </w:tr>
      <w:tr>
        <w:trPr>
          <w:trHeight w:val="115"/>
        </w:trPr>
        <w:tc>
          <w:tcPr>
            <w:tcW w:w="120" w:type="dxa"/>
            <w:vAlign w:val="bottom"/>
            <w:shd w:val="clear" w:color="auto" w:fill="FFE8F5"/>
          </w:tcPr>
          <w:p>
            <w:pPr>
              <w:spacing w:after="0"/>
              <w:rPr>
                <w:sz w:val="10"/>
                <w:szCs w:val="10"/>
                <w:color w:val="auto"/>
              </w:rPr>
            </w:pPr>
          </w:p>
        </w:tc>
        <w:tc>
          <w:tcPr>
            <w:tcW w:w="1700" w:type="dxa"/>
            <w:vAlign w:val="bottom"/>
            <w:vMerge w:val="continue"/>
            <w:shd w:val="clear" w:color="auto" w:fill="FFE8F5"/>
          </w:tcPr>
          <w:p>
            <w:pPr>
              <w:spacing w:after="0"/>
              <w:rPr>
                <w:sz w:val="10"/>
                <w:szCs w:val="10"/>
                <w:color w:val="auto"/>
              </w:rPr>
            </w:pPr>
          </w:p>
        </w:tc>
        <w:tc>
          <w:tcPr>
            <w:tcW w:w="2960" w:type="dxa"/>
            <w:vAlign w:val="bottom"/>
            <w:vMerge w:val="continue"/>
            <w:shd w:val="clear" w:color="auto" w:fill="FFE8F5"/>
          </w:tcPr>
          <w:p>
            <w:pPr>
              <w:spacing w:after="0"/>
              <w:rPr>
                <w:sz w:val="10"/>
                <w:szCs w:val="10"/>
                <w:color w:val="auto"/>
              </w:rPr>
            </w:pPr>
          </w:p>
        </w:tc>
        <w:tc>
          <w:tcPr>
            <w:tcW w:w="1540" w:type="dxa"/>
            <w:vAlign w:val="bottom"/>
            <w:vMerge w:val="restart"/>
            <w:shd w:val="clear" w:color="auto" w:fill="FFE8F5"/>
          </w:tcPr>
          <w:p>
            <w:pPr>
              <w:ind w:left="100"/>
              <w:spacing w:after="0"/>
              <w:rPr>
                <w:sz w:val="20"/>
                <w:szCs w:val="20"/>
                <w:color w:val="auto"/>
              </w:rPr>
            </w:pPr>
            <w:r>
              <w:rPr>
                <w:rFonts w:ascii="Arial" w:cs="Arial" w:eastAsia="Arial" w:hAnsi="Arial"/>
                <w:sz w:val="14"/>
                <w:szCs w:val="14"/>
                <w:b w:val="1"/>
                <w:bCs w:val="1"/>
                <w:color w:val="auto"/>
              </w:rPr>
              <w:t>Abstentions, as</w:t>
            </w:r>
          </w:p>
        </w:tc>
        <w:tc>
          <w:tcPr>
            <w:tcW w:w="3180" w:type="dxa"/>
            <w:vAlign w:val="bottom"/>
            <w:vMerge w:val="continue"/>
            <w:shd w:val="clear" w:color="auto" w:fill="FFE8F5"/>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20" w:type="dxa"/>
            <w:vAlign w:val="bottom"/>
            <w:shd w:val="clear" w:color="auto" w:fill="FFE8F5"/>
          </w:tcPr>
          <w:p>
            <w:pPr>
              <w:spacing w:after="0"/>
              <w:rPr>
                <w:sz w:val="4"/>
                <w:szCs w:val="4"/>
                <w:color w:val="auto"/>
              </w:rPr>
            </w:pPr>
          </w:p>
        </w:tc>
        <w:tc>
          <w:tcPr>
            <w:tcW w:w="1700" w:type="dxa"/>
            <w:vAlign w:val="bottom"/>
            <w:shd w:val="clear" w:color="auto" w:fill="FFE8F5"/>
          </w:tcPr>
          <w:p>
            <w:pPr>
              <w:spacing w:after="0"/>
              <w:rPr>
                <w:sz w:val="4"/>
                <w:szCs w:val="4"/>
                <w:color w:val="auto"/>
              </w:rPr>
            </w:pPr>
          </w:p>
        </w:tc>
        <w:tc>
          <w:tcPr>
            <w:tcW w:w="2960" w:type="dxa"/>
            <w:vAlign w:val="bottom"/>
            <w:shd w:val="clear" w:color="auto" w:fill="FFE8F5"/>
          </w:tcPr>
          <w:p>
            <w:pPr>
              <w:spacing w:after="0"/>
              <w:rPr>
                <w:sz w:val="4"/>
                <w:szCs w:val="4"/>
                <w:color w:val="auto"/>
              </w:rPr>
            </w:pPr>
          </w:p>
        </w:tc>
        <w:tc>
          <w:tcPr>
            <w:tcW w:w="1540" w:type="dxa"/>
            <w:vAlign w:val="bottom"/>
            <w:vMerge w:val="continue"/>
            <w:shd w:val="clear" w:color="auto" w:fill="FFE8F5"/>
          </w:tcPr>
          <w:p>
            <w:pPr>
              <w:spacing w:after="0"/>
              <w:rPr>
                <w:sz w:val="4"/>
                <w:szCs w:val="4"/>
                <w:color w:val="auto"/>
              </w:rPr>
            </w:pPr>
          </w:p>
        </w:tc>
        <w:tc>
          <w:tcPr>
            <w:tcW w:w="3180" w:type="dxa"/>
            <w:vAlign w:val="bottom"/>
            <w:shd w:val="clear" w:color="auto" w:fill="FFE8F5"/>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0" w:type="dxa"/>
            <w:vAlign w:val="bottom"/>
            <w:shd w:val="clear" w:color="auto" w:fill="FFE8F5"/>
          </w:tcPr>
          <w:p>
            <w:pPr>
              <w:spacing w:after="0"/>
              <w:rPr>
                <w:sz w:val="17"/>
                <w:szCs w:val="17"/>
                <w:color w:val="auto"/>
              </w:rPr>
            </w:pPr>
          </w:p>
        </w:tc>
        <w:tc>
          <w:tcPr>
            <w:tcW w:w="1700" w:type="dxa"/>
            <w:vAlign w:val="bottom"/>
            <w:shd w:val="clear" w:color="auto" w:fill="FFE8F5"/>
          </w:tcPr>
          <w:p>
            <w:pPr>
              <w:spacing w:after="0"/>
              <w:rPr>
                <w:sz w:val="17"/>
                <w:szCs w:val="17"/>
                <w:color w:val="auto"/>
              </w:rPr>
            </w:pPr>
          </w:p>
        </w:tc>
        <w:tc>
          <w:tcPr>
            <w:tcW w:w="2960" w:type="dxa"/>
            <w:vAlign w:val="bottom"/>
            <w:shd w:val="clear" w:color="auto" w:fill="FFE8F5"/>
          </w:tcPr>
          <w:p>
            <w:pPr>
              <w:spacing w:after="0"/>
              <w:rPr>
                <w:sz w:val="17"/>
                <w:szCs w:val="17"/>
                <w:color w:val="auto"/>
              </w:rPr>
            </w:pPr>
          </w:p>
        </w:tc>
        <w:tc>
          <w:tcPr>
            <w:tcW w:w="1540" w:type="dxa"/>
            <w:vAlign w:val="bottom"/>
            <w:shd w:val="clear" w:color="auto" w:fill="FFE8F5"/>
          </w:tcPr>
          <w:p>
            <w:pPr>
              <w:ind w:left="100"/>
              <w:spacing w:after="0"/>
              <w:rPr>
                <w:sz w:val="20"/>
                <w:szCs w:val="20"/>
                <w:color w:val="auto"/>
              </w:rPr>
            </w:pPr>
            <w:r>
              <w:rPr>
                <w:rFonts w:ascii="Arial" w:cs="Arial" w:eastAsia="Arial" w:hAnsi="Arial"/>
                <w:sz w:val="14"/>
                <w:szCs w:val="14"/>
                <w:b w:val="1"/>
                <w:bCs w:val="1"/>
                <w:color w:val="auto"/>
              </w:rPr>
              <w:t>applicable</w:t>
            </w:r>
          </w:p>
        </w:tc>
        <w:tc>
          <w:tcPr>
            <w:tcW w:w="3180" w:type="dxa"/>
            <w:vAlign w:val="bottom"/>
            <w:shd w:val="clear" w:color="auto" w:fill="FFE8F5"/>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120" w:type="dxa"/>
            <w:vAlign w:val="bottom"/>
            <w:tcBorders>
              <w:bottom w:val="single" w:sz="8" w:color="auto"/>
            </w:tcBorders>
            <w:shd w:val="clear" w:color="auto" w:fill="FFE8F5"/>
          </w:tcPr>
          <w:p>
            <w:pPr>
              <w:spacing w:after="0"/>
              <w:rPr>
                <w:sz w:val="6"/>
                <w:szCs w:val="6"/>
                <w:color w:val="auto"/>
              </w:rPr>
            </w:pPr>
          </w:p>
        </w:tc>
        <w:tc>
          <w:tcPr>
            <w:tcW w:w="1700" w:type="dxa"/>
            <w:vAlign w:val="bottom"/>
            <w:tcBorders>
              <w:bottom w:val="single" w:sz="8" w:color="auto"/>
            </w:tcBorders>
            <w:shd w:val="clear" w:color="auto" w:fill="FFE8F5"/>
          </w:tcPr>
          <w:p>
            <w:pPr>
              <w:spacing w:after="0"/>
              <w:rPr>
                <w:sz w:val="6"/>
                <w:szCs w:val="6"/>
                <w:color w:val="auto"/>
              </w:rPr>
            </w:pPr>
          </w:p>
        </w:tc>
        <w:tc>
          <w:tcPr>
            <w:tcW w:w="2960" w:type="dxa"/>
            <w:vAlign w:val="bottom"/>
            <w:tcBorders>
              <w:bottom w:val="single" w:sz="8" w:color="auto"/>
            </w:tcBorders>
            <w:shd w:val="clear" w:color="auto" w:fill="FFE8F5"/>
          </w:tcPr>
          <w:p>
            <w:pPr>
              <w:spacing w:after="0"/>
              <w:rPr>
                <w:sz w:val="6"/>
                <w:szCs w:val="6"/>
                <w:color w:val="auto"/>
              </w:rPr>
            </w:pPr>
          </w:p>
        </w:tc>
        <w:tc>
          <w:tcPr>
            <w:tcW w:w="1540" w:type="dxa"/>
            <w:vAlign w:val="bottom"/>
            <w:tcBorders>
              <w:bottom w:val="single" w:sz="8" w:color="auto"/>
            </w:tcBorders>
            <w:shd w:val="clear" w:color="auto" w:fill="FFE8F5"/>
          </w:tcPr>
          <w:p>
            <w:pPr>
              <w:spacing w:after="0"/>
              <w:rPr>
                <w:sz w:val="6"/>
                <w:szCs w:val="6"/>
                <w:color w:val="auto"/>
              </w:rPr>
            </w:pPr>
          </w:p>
        </w:tc>
        <w:tc>
          <w:tcPr>
            <w:tcW w:w="3180" w:type="dxa"/>
            <w:vAlign w:val="bottom"/>
            <w:tcBorders>
              <w:bottom w:val="single" w:sz="8" w:color="auto"/>
            </w:tcBorders>
            <w:shd w:val="clear" w:color="auto" w:fill="FFE8F5"/>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rPr>
              <w:t>4.  The Preferred Stock</w:t>
            </w:r>
          </w:p>
        </w:tc>
        <w:tc>
          <w:tcPr>
            <w:tcW w:w="2960" w:type="dxa"/>
            <w:vAlign w:val="bottom"/>
          </w:tcPr>
          <w:p>
            <w:pPr>
              <w:ind w:left="12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Against</w:t>
            </w:r>
          </w:p>
        </w:tc>
        <w:tc>
          <w:tcPr>
            <w:tcW w:w="3180" w:type="dxa"/>
            <w:vAlign w:val="bottom"/>
          </w:tcPr>
          <w:p>
            <w:pPr>
              <w:ind w:left="340"/>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Elimination Proposal</w:t>
            </w:r>
          </w:p>
        </w:tc>
        <w:tc>
          <w:tcPr>
            <w:tcW w:w="2960" w:type="dxa"/>
            <w:vAlign w:val="bottom"/>
          </w:tcPr>
          <w:p>
            <w:pPr>
              <w:ind w:left="120"/>
              <w:spacing w:after="0"/>
              <w:rPr>
                <w:sz w:val="20"/>
                <w:szCs w:val="20"/>
                <w:color w:val="auto"/>
              </w:rPr>
            </w:pPr>
            <w:r>
              <w:rPr>
                <w:rFonts w:ascii="Arial" w:cs="Arial" w:eastAsia="Arial" w:hAnsi="Arial"/>
                <w:sz w:val="14"/>
                <w:szCs w:val="14"/>
                <w:color w:val="auto"/>
              </w:rPr>
              <w:t>holders of at least two-thirds of the voting</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power of all of the then outstanding shares</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of voting stock of the Company entitled to</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vote thereon.</w:t>
            </w: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rPr>
              <w:t>5.  The Supermajority</w:t>
            </w:r>
          </w:p>
        </w:tc>
        <w:tc>
          <w:tcPr>
            <w:tcW w:w="2960" w:type="dxa"/>
            <w:vAlign w:val="bottom"/>
          </w:tcPr>
          <w:p>
            <w:pPr>
              <w:ind w:left="12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Against</w:t>
            </w:r>
          </w:p>
        </w:tc>
        <w:tc>
          <w:tcPr>
            <w:tcW w:w="3180" w:type="dxa"/>
            <w:vAlign w:val="bottom"/>
          </w:tcPr>
          <w:p>
            <w:pPr>
              <w:ind w:left="340"/>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Voting Elimination</w:t>
            </w:r>
          </w:p>
        </w:tc>
        <w:tc>
          <w:tcPr>
            <w:tcW w:w="2960" w:type="dxa"/>
            <w:vAlign w:val="bottom"/>
          </w:tcPr>
          <w:p>
            <w:pPr>
              <w:ind w:left="120"/>
              <w:spacing w:after="0"/>
              <w:rPr>
                <w:sz w:val="20"/>
                <w:szCs w:val="20"/>
                <w:color w:val="auto"/>
              </w:rPr>
            </w:pPr>
            <w:r>
              <w:rPr>
                <w:rFonts w:ascii="Arial" w:cs="Arial" w:eastAsia="Arial" w:hAnsi="Arial"/>
                <w:sz w:val="14"/>
                <w:szCs w:val="14"/>
                <w:color w:val="auto"/>
              </w:rPr>
              <w:t>holders of at least two-thirds of the voting</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Proposal</w:t>
            </w:r>
          </w:p>
        </w:tc>
        <w:tc>
          <w:tcPr>
            <w:tcW w:w="2960" w:type="dxa"/>
            <w:vAlign w:val="bottom"/>
          </w:tcPr>
          <w:p>
            <w:pPr>
              <w:ind w:left="120"/>
              <w:spacing w:after="0"/>
              <w:rPr>
                <w:sz w:val="20"/>
                <w:szCs w:val="20"/>
                <w:color w:val="auto"/>
              </w:rPr>
            </w:pPr>
            <w:r>
              <w:rPr>
                <w:rFonts w:ascii="Arial" w:cs="Arial" w:eastAsia="Arial" w:hAnsi="Arial"/>
                <w:sz w:val="14"/>
                <w:szCs w:val="14"/>
                <w:color w:val="auto"/>
              </w:rPr>
              <w:t>power of all of the then outstanding shares</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of voting stock of the Company entitled to</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vote thereon.</w:t>
            </w: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rPr>
              <w:t>6.  The Board Quorum</w:t>
            </w:r>
          </w:p>
        </w:tc>
        <w:tc>
          <w:tcPr>
            <w:tcW w:w="2960" w:type="dxa"/>
            <w:vAlign w:val="bottom"/>
          </w:tcPr>
          <w:p>
            <w:pPr>
              <w:ind w:left="12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Against</w:t>
            </w:r>
          </w:p>
        </w:tc>
        <w:tc>
          <w:tcPr>
            <w:tcW w:w="3180" w:type="dxa"/>
            <w:vAlign w:val="bottom"/>
          </w:tcPr>
          <w:p>
            <w:pPr>
              <w:ind w:left="340"/>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Proposal</w:t>
            </w:r>
          </w:p>
        </w:tc>
        <w:tc>
          <w:tcPr>
            <w:tcW w:w="2960" w:type="dxa"/>
            <w:vAlign w:val="bottom"/>
          </w:tcPr>
          <w:p>
            <w:pPr>
              <w:ind w:left="120"/>
              <w:spacing w:after="0"/>
              <w:rPr>
                <w:sz w:val="20"/>
                <w:szCs w:val="20"/>
                <w:color w:val="auto"/>
              </w:rPr>
            </w:pPr>
            <w:r>
              <w:rPr>
                <w:rFonts w:ascii="Arial" w:cs="Arial" w:eastAsia="Arial" w:hAnsi="Arial"/>
                <w:sz w:val="14"/>
                <w:szCs w:val="14"/>
                <w:color w:val="auto"/>
              </w:rPr>
              <w:t>holders of at least two-thirds of the voting</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power of all of the then outstanding shares</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of voting stock of the Company entitled to</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vote thereon.</w:t>
            </w: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rPr>
              <w:t>7.  The Special Meeting</w:t>
            </w:r>
          </w:p>
        </w:tc>
        <w:tc>
          <w:tcPr>
            <w:tcW w:w="2960" w:type="dxa"/>
            <w:vAlign w:val="bottom"/>
          </w:tcPr>
          <w:p>
            <w:pPr>
              <w:ind w:left="12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Against</w:t>
            </w:r>
          </w:p>
        </w:tc>
        <w:tc>
          <w:tcPr>
            <w:tcW w:w="3180" w:type="dxa"/>
            <w:vAlign w:val="bottom"/>
          </w:tcPr>
          <w:p>
            <w:pPr>
              <w:ind w:left="340"/>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Proposal</w:t>
            </w:r>
          </w:p>
        </w:tc>
        <w:tc>
          <w:tcPr>
            <w:tcW w:w="2960" w:type="dxa"/>
            <w:vAlign w:val="bottom"/>
          </w:tcPr>
          <w:p>
            <w:pPr>
              <w:ind w:left="120"/>
              <w:spacing w:after="0"/>
              <w:rPr>
                <w:sz w:val="20"/>
                <w:szCs w:val="20"/>
                <w:color w:val="auto"/>
              </w:rPr>
            </w:pPr>
            <w:r>
              <w:rPr>
                <w:rFonts w:ascii="Arial" w:cs="Arial" w:eastAsia="Arial" w:hAnsi="Arial"/>
                <w:sz w:val="14"/>
                <w:szCs w:val="14"/>
                <w:color w:val="auto"/>
              </w:rPr>
              <w:t>holders of at least two-thirds of the voting</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power of all of the then outstanding shares</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of voting stock of the Company entitled to</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vote thereon.</w:t>
            </w: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rPr>
              <w:t>8.  The Written Consent</w:t>
            </w:r>
          </w:p>
        </w:tc>
        <w:tc>
          <w:tcPr>
            <w:tcW w:w="2960" w:type="dxa"/>
            <w:vAlign w:val="bottom"/>
          </w:tcPr>
          <w:p>
            <w:pPr>
              <w:ind w:left="12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Against</w:t>
            </w:r>
          </w:p>
        </w:tc>
        <w:tc>
          <w:tcPr>
            <w:tcW w:w="3180" w:type="dxa"/>
            <w:vAlign w:val="bottom"/>
          </w:tcPr>
          <w:p>
            <w:pPr>
              <w:ind w:left="340"/>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Proposal</w:t>
            </w:r>
          </w:p>
        </w:tc>
        <w:tc>
          <w:tcPr>
            <w:tcW w:w="2960" w:type="dxa"/>
            <w:vAlign w:val="bottom"/>
          </w:tcPr>
          <w:p>
            <w:pPr>
              <w:ind w:left="120"/>
              <w:spacing w:after="0"/>
              <w:rPr>
                <w:sz w:val="20"/>
                <w:szCs w:val="20"/>
                <w:color w:val="auto"/>
              </w:rPr>
            </w:pPr>
            <w:r>
              <w:rPr>
                <w:rFonts w:ascii="Arial" w:cs="Arial" w:eastAsia="Arial" w:hAnsi="Arial"/>
                <w:sz w:val="14"/>
                <w:szCs w:val="14"/>
                <w:color w:val="auto"/>
              </w:rPr>
              <w:t>holders of at least two-thirds of the voting</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power of all of the then outstanding shares</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of voting stock of the Company entitled to</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vote thereon.</w:t>
            </w: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rPr>
              <w:t>9.  The Officer</w:t>
            </w:r>
          </w:p>
        </w:tc>
        <w:tc>
          <w:tcPr>
            <w:tcW w:w="2960" w:type="dxa"/>
            <w:vAlign w:val="bottom"/>
          </w:tcPr>
          <w:p>
            <w:pPr>
              <w:ind w:left="12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Against</w:t>
            </w:r>
          </w:p>
        </w:tc>
        <w:tc>
          <w:tcPr>
            <w:tcW w:w="3180" w:type="dxa"/>
            <w:vAlign w:val="bottom"/>
          </w:tcPr>
          <w:p>
            <w:pPr>
              <w:ind w:left="340"/>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Exculpation Proposal</w:t>
            </w:r>
          </w:p>
        </w:tc>
        <w:tc>
          <w:tcPr>
            <w:tcW w:w="2960" w:type="dxa"/>
            <w:vAlign w:val="bottom"/>
          </w:tcPr>
          <w:p>
            <w:pPr>
              <w:ind w:left="120"/>
              <w:spacing w:after="0"/>
              <w:rPr>
                <w:sz w:val="20"/>
                <w:szCs w:val="20"/>
                <w:color w:val="auto"/>
              </w:rPr>
            </w:pPr>
            <w:r>
              <w:rPr>
                <w:rFonts w:ascii="Arial" w:cs="Arial" w:eastAsia="Arial" w:hAnsi="Arial"/>
                <w:sz w:val="14"/>
                <w:szCs w:val="14"/>
                <w:color w:val="auto"/>
              </w:rPr>
              <w:t>holders of at least two-thirds of the voting</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power of all of the then outstanding shares</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of voting stock of the Company entitled to</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vote thereon.</w:t>
            </w: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rPr>
              <w:t>10.  The Board  </w:t>
            </w:r>
          </w:p>
        </w:tc>
        <w:tc>
          <w:tcPr>
            <w:tcW w:w="2960" w:type="dxa"/>
            <w:vAlign w:val="bottom"/>
          </w:tcPr>
          <w:p>
            <w:pPr>
              <w:ind w:left="12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Against</w:t>
            </w:r>
          </w:p>
        </w:tc>
        <w:tc>
          <w:tcPr>
            <w:tcW w:w="3180" w:type="dxa"/>
            <w:vAlign w:val="bottom"/>
          </w:tcPr>
          <w:p>
            <w:pPr>
              <w:ind w:left="340"/>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Designation Rights  </w:t>
            </w:r>
          </w:p>
        </w:tc>
        <w:tc>
          <w:tcPr>
            <w:tcW w:w="2960" w:type="dxa"/>
            <w:vAlign w:val="bottom"/>
          </w:tcPr>
          <w:p>
            <w:pPr>
              <w:ind w:left="120"/>
              <w:spacing w:after="0"/>
              <w:rPr>
                <w:sz w:val="20"/>
                <w:szCs w:val="20"/>
                <w:color w:val="auto"/>
              </w:rPr>
            </w:pPr>
            <w:r>
              <w:rPr>
                <w:rFonts w:ascii="Arial" w:cs="Arial" w:eastAsia="Arial" w:hAnsi="Arial"/>
                <w:sz w:val="14"/>
                <w:szCs w:val="14"/>
                <w:color w:val="auto"/>
              </w:rPr>
              <w:t>holders of at least two-thirds of the voting</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Proposal</w:t>
            </w:r>
          </w:p>
        </w:tc>
        <w:tc>
          <w:tcPr>
            <w:tcW w:w="2960" w:type="dxa"/>
            <w:vAlign w:val="bottom"/>
          </w:tcPr>
          <w:p>
            <w:pPr>
              <w:ind w:left="120"/>
              <w:spacing w:after="0"/>
              <w:rPr>
                <w:sz w:val="20"/>
                <w:szCs w:val="20"/>
                <w:color w:val="auto"/>
              </w:rPr>
            </w:pPr>
            <w:r>
              <w:rPr>
                <w:rFonts w:ascii="Arial" w:cs="Arial" w:eastAsia="Arial" w:hAnsi="Arial"/>
                <w:sz w:val="14"/>
                <w:szCs w:val="14"/>
                <w:color w:val="auto"/>
              </w:rPr>
              <w:t>power of all of the then outstanding shares</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of voting stock of the Company entitled to</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vote thereon.</w:t>
            </w: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rPr>
              <w:t>11.  The Corporate</w:t>
            </w:r>
          </w:p>
        </w:tc>
        <w:tc>
          <w:tcPr>
            <w:tcW w:w="2960" w:type="dxa"/>
            <w:vAlign w:val="bottom"/>
          </w:tcPr>
          <w:p>
            <w:pPr>
              <w:ind w:left="12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Against</w:t>
            </w:r>
          </w:p>
        </w:tc>
        <w:tc>
          <w:tcPr>
            <w:tcW w:w="3180" w:type="dxa"/>
            <w:vAlign w:val="bottom"/>
          </w:tcPr>
          <w:p>
            <w:pPr>
              <w:ind w:left="340"/>
              <w:spacing w:after="0"/>
              <w:rPr>
                <w:sz w:val="20"/>
                <w:szCs w:val="20"/>
                <w:color w:val="auto"/>
              </w:rPr>
            </w:pPr>
            <w:r>
              <w:rPr>
                <w:rFonts w:ascii="Arial" w:cs="Arial" w:eastAsia="Arial" w:hAnsi="Arial"/>
                <w:sz w:val="14"/>
                <w:szCs w:val="14"/>
                <w:color w:val="auto"/>
              </w:rPr>
              <w:t>Against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Opportunity Proposal</w:t>
            </w:r>
          </w:p>
        </w:tc>
        <w:tc>
          <w:tcPr>
            <w:tcW w:w="2960" w:type="dxa"/>
            <w:vAlign w:val="bottom"/>
          </w:tcPr>
          <w:p>
            <w:pPr>
              <w:ind w:left="120"/>
              <w:spacing w:after="0"/>
              <w:rPr>
                <w:sz w:val="20"/>
                <w:szCs w:val="20"/>
                <w:color w:val="auto"/>
              </w:rPr>
            </w:pPr>
            <w:r>
              <w:rPr>
                <w:rFonts w:ascii="Arial" w:cs="Arial" w:eastAsia="Arial" w:hAnsi="Arial"/>
                <w:sz w:val="14"/>
                <w:szCs w:val="14"/>
                <w:color w:val="auto"/>
              </w:rPr>
              <w:t>holders of at least two-thirds of the voting</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power of all of the then outstanding shares</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of voting stock of the Company entitled to</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vote thereon.</w:t>
            </w: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29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rPr>
              <w:t>12.  The Plan  </w:t>
            </w:r>
          </w:p>
        </w:tc>
        <w:tc>
          <w:tcPr>
            <w:tcW w:w="2960" w:type="dxa"/>
            <w:vAlign w:val="bottom"/>
          </w:tcPr>
          <w:p>
            <w:pPr>
              <w:ind w:left="120"/>
              <w:spacing w:after="0"/>
              <w:rPr>
                <w:sz w:val="20"/>
                <w:szCs w:val="20"/>
                <w:color w:val="auto"/>
              </w:rPr>
            </w:pPr>
            <w:r>
              <w:rPr>
                <w:rFonts w:ascii="Arial" w:cs="Arial" w:eastAsia="Arial" w:hAnsi="Arial"/>
                <w:sz w:val="14"/>
                <w:szCs w:val="14"/>
                <w:color w:val="auto"/>
              </w:rPr>
              <w:t>Decided by the affirmative vote of the</w:t>
            </w:r>
          </w:p>
        </w:tc>
        <w:tc>
          <w:tcPr>
            <w:tcW w:w="1540" w:type="dxa"/>
            <w:vAlign w:val="bottom"/>
          </w:tcPr>
          <w:p>
            <w:pPr>
              <w:ind w:left="100"/>
              <w:spacing w:after="0"/>
              <w:rPr>
                <w:sz w:val="20"/>
                <w:szCs w:val="20"/>
                <w:color w:val="auto"/>
              </w:rPr>
            </w:pPr>
            <w:r>
              <w:rPr>
                <w:rFonts w:ascii="Arial" w:cs="Arial" w:eastAsia="Arial" w:hAnsi="Arial"/>
                <w:sz w:val="14"/>
                <w:szCs w:val="14"/>
                <w:color w:val="auto"/>
              </w:rPr>
              <w:t>No effect</w:t>
            </w:r>
          </w:p>
        </w:tc>
        <w:tc>
          <w:tcPr>
            <w:tcW w:w="3180" w:type="dxa"/>
            <w:vAlign w:val="bottom"/>
          </w:tcPr>
          <w:p>
            <w:pPr>
              <w:ind w:left="340"/>
              <w:spacing w:after="0"/>
              <w:rPr>
                <w:sz w:val="20"/>
                <w:szCs w:val="20"/>
                <w:color w:val="auto"/>
              </w:rPr>
            </w:pPr>
            <w:r>
              <w:rPr>
                <w:rFonts w:ascii="Arial" w:cs="Arial" w:eastAsia="Arial" w:hAnsi="Arial"/>
                <w:sz w:val="14"/>
                <w:szCs w:val="14"/>
                <w:color w:val="auto"/>
              </w:rPr>
              <w:t>No effect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Amendment  </w:t>
            </w:r>
          </w:p>
        </w:tc>
        <w:tc>
          <w:tcPr>
            <w:tcW w:w="2960" w:type="dxa"/>
            <w:vAlign w:val="bottom"/>
          </w:tcPr>
          <w:p>
            <w:pPr>
              <w:ind w:left="120"/>
              <w:spacing w:after="0"/>
              <w:rPr>
                <w:sz w:val="20"/>
                <w:szCs w:val="20"/>
                <w:color w:val="auto"/>
              </w:rPr>
            </w:pPr>
            <w:r>
              <w:rPr>
                <w:rFonts w:ascii="Arial" w:cs="Arial" w:eastAsia="Arial" w:hAnsi="Arial"/>
                <w:sz w:val="14"/>
                <w:szCs w:val="14"/>
                <w:color w:val="auto"/>
              </w:rPr>
              <w:t>holders of a majority of votes cast.</w:t>
            </w:r>
          </w:p>
        </w:tc>
        <w:tc>
          <w:tcPr>
            <w:tcW w:w="1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700" w:type="dxa"/>
            <w:vAlign w:val="bottom"/>
          </w:tcPr>
          <w:p>
            <w:pPr>
              <w:ind w:left="220"/>
              <w:spacing w:after="0"/>
              <w:rPr>
                <w:sz w:val="20"/>
                <w:szCs w:val="20"/>
                <w:color w:val="auto"/>
              </w:rPr>
            </w:pPr>
            <w:r>
              <w:rPr>
                <w:rFonts w:ascii="Arial" w:cs="Arial" w:eastAsia="Arial" w:hAnsi="Arial"/>
                <w:sz w:val="14"/>
                <w:szCs w:val="14"/>
                <w:color w:val="auto"/>
              </w:rPr>
              <w:t>Proposal</w:t>
            </w:r>
          </w:p>
        </w:tc>
        <w:tc>
          <w:tcPr>
            <w:tcW w:w="29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0" w:right="180"/>
        <w:spacing w:after="0" w:line="263" w:lineRule="auto"/>
        <w:rPr>
          <w:sz w:val="20"/>
          <w:szCs w:val="20"/>
          <w:color w:val="auto"/>
        </w:rPr>
      </w:pPr>
      <w:r>
        <w:rPr>
          <w:rFonts w:ascii="Arial" w:cs="Arial" w:eastAsia="Arial" w:hAnsi="Arial"/>
          <w:sz w:val="14"/>
          <w:szCs w:val="14"/>
          <w:color w:val="auto"/>
        </w:rPr>
        <w:t>*A “broker non-vote” occurs when a beneficial owner of shares held by a broker, bank, trustee or other nominee does not give voting instructions to his or her broker or other securities intermediary as to how to vote on matters deemed to be “non-routine” and, as a result, the broker or other securities intermediary may not vote the shares on those matters.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Who will count the votes?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representative of Broadridge Financial Services, Inc. will tabulate the votes and act as inspector of election.</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a quorum?</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quorum is the minimum number of shares required to be present at the Annual Meeting for any business to be conducted. The presence at the Annual Meeting of the holders of a majority of the voting power of outstanding shares of capital stock entitled to vote at the Annual Meeting, present electronically or represented by proxy, will constitute a quorum. If a quorum is not present, we will not be able to conduct any business, and the Annual Meeting will be adjourned, or postponed, by the chairperson of the meeting for a later date. Instructions to “withhold” authority to vote in the election of directors, abstentions, and broker non-votes will be counted as present for determining whether or not a quorum is present.</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Where can I find the voting results of the Annual Meeting?</w:t>
      </w:r>
    </w:p>
    <w:p>
      <w:pPr>
        <w:spacing w:after="0" w:line="166" w:lineRule="exact"/>
        <w:rPr>
          <w:sz w:val="20"/>
          <w:szCs w:val="20"/>
          <w:color w:val="auto"/>
        </w:rPr>
      </w:pPr>
    </w:p>
    <w:p>
      <w:pPr>
        <w:ind w:left="20" w:right="60"/>
        <w:spacing w:after="0" w:line="271" w:lineRule="auto"/>
        <w:rPr>
          <w:sz w:val="20"/>
          <w:szCs w:val="20"/>
          <w:color w:val="auto"/>
        </w:rPr>
      </w:pPr>
      <w:r>
        <w:rPr>
          <w:rFonts w:ascii="Arial" w:cs="Arial" w:eastAsia="Arial" w:hAnsi="Arial"/>
          <w:sz w:val="18"/>
          <w:szCs w:val="18"/>
          <w:color w:val="auto"/>
        </w:rPr>
        <w:t>We plan to announce preliminary voting results at the Annual Meeting and will report the final voting results in a current report on Form 8-K within four business days of the Annual Meeting.</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Who pays for the proxy solicitation expenses?</w:t>
      </w:r>
    </w:p>
    <w:p>
      <w:pPr>
        <w:spacing w:after="0" w:line="166" w:lineRule="exact"/>
        <w:rPr>
          <w:sz w:val="20"/>
          <w:szCs w:val="20"/>
          <w:color w:val="auto"/>
        </w:rPr>
      </w:pPr>
    </w:p>
    <w:p>
      <w:pPr>
        <w:ind w:left="20" w:right="60"/>
        <w:spacing w:after="0" w:line="266" w:lineRule="auto"/>
        <w:rPr>
          <w:sz w:val="20"/>
          <w:szCs w:val="20"/>
          <w:color w:val="auto"/>
        </w:rPr>
      </w:pPr>
      <w:r>
        <w:rPr>
          <w:rFonts w:ascii="Arial" w:cs="Arial" w:eastAsia="Arial" w:hAnsi="Arial"/>
          <w:sz w:val="17"/>
          <w:szCs w:val="17"/>
          <w:color w:val="auto"/>
        </w:rPr>
        <w:t>We are soliciting proxies on behalf of our Board of Directors and will pay the related costs. As part of this process, we reimburse brokers and other custodians, nominees, and fiduciaries for their out-of-pocket expenses for forwarding proxy materials to our stockholders. Our directors, officers, and employees may also solicit proxies in person, by telephone, or by other means of communication, and will not receive any additional compensation for soliciting proxies.</w:t>
      </w:r>
    </w:p>
    <w:p>
      <w:pPr>
        <w:spacing w:after="0" w:line="24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does it mean if I receive more than one set of materials?</w:t>
      </w:r>
    </w:p>
    <w:p>
      <w:pPr>
        <w:spacing w:after="0" w:line="166" w:lineRule="exact"/>
        <w:rPr>
          <w:sz w:val="20"/>
          <w:szCs w:val="20"/>
          <w:color w:val="auto"/>
        </w:rPr>
      </w:pPr>
    </w:p>
    <w:p>
      <w:pPr>
        <w:ind w:left="20" w:right="180"/>
        <w:spacing w:after="0" w:line="253" w:lineRule="auto"/>
        <w:rPr>
          <w:sz w:val="20"/>
          <w:szCs w:val="20"/>
          <w:color w:val="auto"/>
        </w:rPr>
      </w:pPr>
      <w:r>
        <w:rPr>
          <w:rFonts w:ascii="Arial" w:cs="Arial" w:eastAsia="Arial" w:hAnsi="Arial"/>
          <w:sz w:val="18"/>
          <w:szCs w:val="18"/>
          <w:color w:val="auto"/>
        </w:rPr>
        <w:t>If you receive more than one set of materials, it means you hold your shares in more than one name or account. In order to vote all of your shares, you should sign and return all of the proxy cards you receive or follow the instructions for any alternative voting procedures on the proxy cards or the Internet Notices you receive.</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do I obtain a separate set of proxy materials or request a single set for my household?</w:t>
      </w:r>
    </w:p>
    <w:p>
      <w:pPr>
        <w:spacing w:after="0" w:line="166"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We have adopted a practice approved by the Securities and Exchange Commission (the “SEC”) called “householding.” This means that stockholders who have the same address and last name and do not participate in electronic delivery of proxy materials will receive only one copy of our annual report and proxy statement unless one or more of these stockholders notifies us that they wish to continue receiving individual copies. This procedure reduces printing costs, postage fees, and the environmental impact. Each stockholder who participates in householding will continue to be able to access or receive a separate proxy card.</w:t>
      </w:r>
    </w:p>
    <w:p>
      <w:pPr>
        <w:spacing w:after="0" w:line="138" w:lineRule="exact"/>
        <w:rPr>
          <w:sz w:val="20"/>
          <w:szCs w:val="20"/>
          <w:color w:val="auto"/>
        </w:rPr>
      </w:pPr>
    </w:p>
    <w:p>
      <w:pPr>
        <w:ind w:left="20" w:right="60"/>
        <w:spacing w:after="0" w:line="244" w:lineRule="auto"/>
        <w:rPr>
          <w:sz w:val="20"/>
          <w:szCs w:val="20"/>
          <w:color w:val="auto"/>
        </w:rPr>
      </w:pPr>
      <w:r>
        <w:rPr>
          <w:rFonts w:ascii="Arial" w:cs="Arial" w:eastAsia="Arial" w:hAnsi="Arial"/>
          <w:sz w:val="18"/>
          <w:szCs w:val="18"/>
          <w:color w:val="auto"/>
        </w:rPr>
        <w:t>If you prefer to receive a separate set of proxy materials or if you currently receive multiple copies and would like to request “householding” of your communications, please contact Broadridge by phone at 1 (866) 540-7095 or by mail to Broadridge, Householding Department, 51 Mercedes Way, Edgewod, New York 11717. If any stockholders in your household would like to receive a separate annual report or proxy statement, please send an email to investors@renttherunway.com. We will strive to promptly address your request.</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right="1660"/>
        <w:spacing w:after="0" w:line="286" w:lineRule="auto"/>
        <w:rPr>
          <w:sz w:val="20"/>
          <w:szCs w:val="20"/>
          <w:color w:val="auto"/>
        </w:rPr>
      </w:pPr>
      <w:r>
        <w:rPr>
          <w:rFonts w:ascii="Arial" w:cs="Arial" w:eastAsia="Arial" w:hAnsi="Arial"/>
          <w:sz w:val="65"/>
          <w:szCs w:val="65"/>
          <w:b w:val="1"/>
          <w:bCs w:val="1"/>
          <w:color w:val="auto"/>
        </w:rPr>
        <w:t>The Board and Corporate Governance</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Recapitalization Transactions &amp; Recent Events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connection with the Recapitalization Transactions described above, Lender, Nexus, STORY3, Jennifer Y. Hyman, the former Chief Executive Officer of the Company, and certain other parties are party to an investor rights agreement, dated August 20, 2025 (the “Investor Rights Agreement”). Pursuant to the Investor Rights Agreement and the Exchange Agreement, the Company and Lender agreed to take all commercially reasonable actions as may be necessary to cause, as of the closing of the Recapitalization Transactions, the board of directors of the Company (the “Board”) to consist of seven members, including Jennifer Hyman, a director selected by Ms. Hyman and approved by the Investor Group, a director designated by Nexus, a director designated by STORY3 and three directors designated by the Board (such three directors, the “Investor Directors”).</w:t>
      </w:r>
    </w:p>
    <w:p>
      <w:pPr>
        <w:spacing w:after="0" w:line="140" w:lineRule="exact"/>
        <w:rPr>
          <w:sz w:val="20"/>
          <w:szCs w:val="20"/>
          <w:color w:val="auto"/>
        </w:rPr>
      </w:pPr>
    </w:p>
    <w:p>
      <w:pPr>
        <w:ind w:left="20" w:right="100"/>
        <w:spacing w:after="0"/>
        <w:rPr>
          <w:sz w:val="20"/>
          <w:szCs w:val="20"/>
          <w:color w:val="auto"/>
        </w:rPr>
      </w:pPr>
      <w:r>
        <w:rPr>
          <w:rFonts w:ascii="Arial" w:cs="Arial" w:eastAsia="Arial" w:hAnsi="Arial"/>
          <w:sz w:val="18"/>
          <w:szCs w:val="18"/>
          <w:color w:val="auto"/>
        </w:rPr>
        <w:t>On August 20, 2025, Tim Bixby, Jennifer Fleiss, Scott Friend, Beth Kaplan, Daniel Rosensweig and Michael Roth tendered their resignation from the Board and all committees on which they serve, contingent upon the consummation of the Recapitalization Transactions and the Board accepting such resignations, to be effective upon acceptance (the “Resignations”). On October 28, 2025, the Board accepted the Resignations, effective immediately. The Resignations were not a result of any disagreement with the Company on any matter relating to the Company’s operations, policies or practices, and were tendered solely to facilitate the Recapitalization Transactions and reconstitute the Board pursuant to the terms of the Exchange Agreement and Investor Rights Agreement, as described above. Gwyneth Paltrow voluntarily resigned from the Board on August 19, 2025.</w:t>
      </w:r>
    </w:p>
    <w:p>
      <w:pPr>
        <w:spacing w:after="0" w:line="153" w:lineRule="exact"/>
        <w:rPr>
          <w:sz w:val="20"/>
          <w:szCs w:val="20"/>
          <w:color w:val="auto"/>
        </w:rPr>
      </w:pPr>
    </w:p>
    <w:p>
      <w:pPr>
        <w:ind w:left="20" w:right="40"/>
        <w:spacing w:after="0" w:line="239" w:lineRule="auto"/>
        <w:rPr>
          <w:sz w:val="20"/>
          <w:szCs w:val="20"/>
          <w:color w:val="auto"/>
        </w:rPr>
      </w:pPr>
      <w:r>
        <w:rPr>
          <w:rFonts w:ascii="Arial" w:cs="Arial" w:eastAsia="Arial" w:hAnsi="Arial"/>
          <w:sz w:val="18"/>
          <w:szCs w:val="18"/>
          <w:color w:val="auto"/>
        </w:rPr>
        <w:t>On October 28, 2025, the Board appointed Teri Bariquit, Peter Comisar, Dhiren Fonseca, Damian Giangiacomo and Daniel Rosensweig to serve as directors pursuant to the Exchange Agreement and the Investor Rights Agreement, effective immediately. Mr. Comisar and Mr. Giangiacomo were appointed to serve as Class I directors, Ms. Bariquit and Mr. Rosensweig were appointed to serve as Class II directors and Mr. Fonseca was appointed to serve as a Class III director, with Ms. Hyman remaining on the Board as a Class III director. Upon the closing of the Recapitalization Transactions, the Board consisted of six directors. The Investor Group has advised the Company that it is continuing to use commercially reasonable efforts to identify and designate a third Investor Director to the Board. Concurrently with their appointments to the Board, Mr. Giangiacomo and Mr. Rosensweig were appointed to the Audit Committee, and Mr. Fonseca was appointed to serve as Executive Chair of the Board.</w:t>
      </w:r>
    </w:p>
    <w:p>
      <w:pPr>
        <w:spacing w:after="0" w:line="143" w:lineRule="exact"/>
        <w:rPr>
          <w:sz w:val="20"/>
          <w:szCs w:val="20"/>
          <w:color w:val="auto"/>
        </w:rPr>
      </w:pPr>
    </w:p>
    <w:p>
      <w:pPr>
        <w:ind w:left="20" w:right="20"/>
        <w:spacing w:after="0"/>
        <w:rPr>
          <w:sz w:val="20"/>
          <w:szCs w:val="20"/>
          <w:color w:val="auto"/>
        </w:rPr>
      </w:pPr>
      <w:r>
        <w:rPr>
          <w:rFonts w:ascii="Arial" w:cs="Arial" w:eastAsia="Arial" w:hAnsi="Arial"/>
          <w:sz w:val="18"/>
          <w:szCs w:val="18"/>
          <w:color w:val="auto"/>
        </w:rPr>
        <w:t>On May 12, 2026, Jennifer Hyman resigned as Chief Executive Officer and President of the Company and as a member of the Board, effective as of May 15, 2026 (the “Separation Date”). In connection with Ms. Hyman’s resignation, the Company entered into a side letter agreement (the “Side Letter”) with Ms. Hyman and her affiliates (the “Hyman Group”) pursuant to which, among other things, the Hyman Group agreed to terminate any and all of their respective rights under the Investor Rights Agreement, including rights to designate a director and a board observer to the Board. Ms. Bariquit was appointed as interim CEO and President effective as of the Separation Date and the Company plans to conduct a search for a permanent CEO and President.</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Leadership Structure</w:t>
      </w:r>
    </w:p>
    <w:p>
      <w:pPr>
        <w:spacing w:after="0" w:line="212" w:lineRule="exact"/>
        <w:rPr>
          <w:sz w:val="20"/>
          <w:szCs w:val="20"/>
          <w:color w:val="auto"/>
        </w:rPr>
      </w:pPr>
    </w:p>
    <w:p>
      <w:pPr>
        <w:ind w:left="20" w:right="140"/>
        <w:spacing w:after="0"/>
        <w:rPr>
          <w:sz w:val="20"/>
          <w:szCs w:val="20"/>
          <w:color w:val="auto"/>
        </w:rPr>
      </w:pPr>
      <w:r>
        <w:rPr>
          <w:rFonts w:ascii="Arial" w:cs="Arial" w:eastAsia="Arial" w:hAnsi="Arial"/>
          <w:sz w:val="18"/>
          <w:szCs w:val="18"/>
          <w:color w:val="auto"/>
        </w:rPr>
        <w:t>Dhiren Fonseca is the Executive Chairman of our Board of Directors and Ms. Bariquit is our interim Chief Executive Officer and President. Our Board of Directors believes that our current leadership structure provides us with effective leadership and is in the best interest of us and our stockholders. Ms. Bariquit is a veteran fashion retail executive and advisor recognized for her leadership in large-scale enterprise transformation, technology enablement, and business turnaround initiatives. Her strategic vision and in-depth knowledge of our industry makes her well qualified to serve as our interim Chief Executive Officer and President until the Board appoints a permanent Chief Executive Officer and President to succeed Ms. Hyman. Mr. Fonseca is a seasoned business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100"/>
        <w:spacing w:after="0" w:line="247" w:lineRule="auto"/>
        <w:rPr>
          <w:sz w:val="20"/>
          <w:szCs w:val="20"/>
          <w:color w:val="auto"/>
        </w:rPr>
      </w:pPr>
      <w:r>
        <w:rPr>
          <w:rFonts w:ascii="Arial" w:cs="Arial" w:eastAsia="Arial" w:hAnsi="Arial"/>
          <w:sz w:val="18"/>
          <w:szCs w:val="18"/>
          <w:color w:val="auto"/>
        </w:rPr>
        <w:t>leader with a distinguished track record of scaling high-growth technology and consumer companies. His extensive experience spans private equity, travel, and digital commerce, which the Board believes make him uniquely positioned to guide Rent the Runway as it continues to innovate its platform, deepen its supplier relationships, and explore strategic partnerships.</w:t>
      </w:r>
    </w:p>
    <w:p>
      <w:pPr>
        <w:spacing w:after="0" w:line="133" w:lineRule="exact"/>
        <w:rPr>
          <w:sz w:val="20"/>
          <w:szCs w:val="20"/>
          <w:color w:val="auto"/>
        </w:rPr>
      </w:pPr>
    </w:p>
    <w:p>
      <w:pPr>
        <w:ind w:left="20" w:right="580"/>
        <w:spacing w:after="0" w:line="271" w:lineRule="auto"/>
        <w:rPr>
          <w:sz w:val="20"/>
          <w:szCs w:val="20"/>
          <w:color w:val="auto"/>
        </w:rPr>
      </w:pPr>
      <w:r>
        <w:rPr>
          <w:rFonts w:ascii="Arial" w:cs="Arial" w:eastAsia="Arial" w:hAnsi="Arial"/>
          <w:sz w:val="18"/>
          <w:szCs w:val="18"/>
          <w:color w:val="auto"/>
        </w:rPr>
        <w:t>We believe having separate CEO and executive chairman positions is appropriate in light of our capital structure following the Recapitalization Transactions and the Investor Rights Agreement.</w:t>
      </w:r>
    </w:p>
    <w:p>
      <w:pPr>
        <w:spacing w:after="0" w:line="113" w:lineRule="exact"/>
        <w:rPr>
          <w:sz w:val="20"/>
          <w:szCs w:val="20"/>
          <w:color w:val="auto"/>
        </w:rPr>
      </w:pPr>
    </w:p>
    <w:p>
      <w:pPr>
        <w:ind w:left="20" w:right="60"/>
        <w:spacing w:after="0" w:line="242" w:lineRule="auto"/>
        <w:rPr>
          <w:sz w:val="20"/>
          <w:szCs w:val="20"/>
          <w:color w:val="auto"/>
        </w:rPr>
      </w:pPr>
      <w:r>
        <w:rPr>
          <w:rFonts w:ascii="Arial" w:cs="Arial" w:eastAsia="Arial" w:hAnsi="Arial"/>
          <w:sz w:val="18"/>
          <w:szCs w:val="18"/>
          <w:color w:val="auto"/>
        </w:rPr>
        <w:t>Our corporate governance guidelines provide the flexibility for our Board of Directors to modify our leadership structure in the future in a manner that it believes is in the best interest of the Company. The Board of Directors will continue to evaluate our leadership structure periodically and make changes in the future as it deems appropriate. The Board of Directors also believes that its approach to risk oversight, as more fully discussed below in “Board Oversight of Risk,” helps ensure that the Board of Directors is able to effectively perform its risk oversight responsibilities under various leadership structures.</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Diversity</w:t>
      </w:r>
    </w:p>
    <w:p>
      <w:pPr>
        <w:spacing w:after="0" w:line="212" w:lineRule="exact"/>
        <w:rPr>
          <w:sz w:val="20"/>
          <w:szCs w:val="20"/>
          <w:color w:val="auto"/>
        </w:rPr>
      </w:pPr>
    </w:p>
    <w:p>
      <w:pPr>
        <w:ind w:left="20" w:right="160"/>
        <w:spacing w:after="0" w:line="242" w:lineRule="auto"/>
        <w:rPr>
          <w:sz w:val="20"/>
          <w:szCs w:val="20"/>
          <w:color w:val="auto"/>
        </w:rPr>
      </w:pPr>
      <w:r>
        <w:rPr>
          <w:rFonts w:ascii="Arial" w:cs="Arial" w:eastAsia="Arial" w:hAnsi="Arial"/>
          <w:sz w:val="18"/>
          <w:szCs w:val="18"/>
          <w:color w:val="auto"/>
        </w:rPr>
        <w:t>Our Board of Directors is responsible for reviewing the appropriate characteristics, skills, and experience required for the Board of Directors as a whole and its individual members. In its evaluation of director candidates, our Board considers a diversity of backgrounds, experience, and area of expertise, as well as other individual qualities and attributes that contribute to the total diversity of viewpoints and experience represented on the Board. The Board also considers other factors, including issues of character, integrity, judgment, potential conflicts of interest, and other commitments, as described below.</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Oversight of Risk</w:t>
      </w:r>
    </w:p>
    <w:p>
      <w:pPr>
        <w:spacing w:after="0" w:line="199"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Our Board of Directors is responsible for overseeing our risk management process. The Board of Directors focuses on our general risk management strategy, the most significant risks facing us, and oversees the implementation of risk mitigation strategies by management. The Board of Directors administers its oversight function directly as a whole and through the Audit Committee. For example, the full Board of Directors is generally responsible for overseeing the Company’s legal, regulatory and ethical compliance, including the procedures in place to enforce the Code of Conduct, as well as risks relating to data privacy, technology and information security, including cybersecurity. Our Audit Committee is responsible for overseeing risks relating to financial reporting, accounting, and auditing matters.</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Meetings</w:t>
      </w:r>
    </w:p>
    <w:p>
      <w:pPr>
        <w:spacing w:after="0" w:line="199"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Our Board of Directors met 8 times during fiscal year 2025. Each current director attended at least 75% of the total number of fiscal year 2025 meetings of the Board of Directors and of each Committee on which he or she served, which were held during the period in which that director served. We encourage all directors and director nominees to attend the Annual Meeting; however, attendance is not mandatory. All of our directors then serving, except for Ms. Beth Kaplan, attended our 2025 Annual Meeting of Stockholders.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Director Independence</w:t>
      </w:r>
    </w:p>
    <w:p>
      <w:pPr>
        <w:spacing w:after="0" w:line="212" w:lineRule="exact"/>
        <w:rPr>
          <w:sz w:val="20"/>
          <w:szCs w:val="20"/>
          <w:color w:val="auto"/>
        </w:rPr>
      </w:pPr>
    </w:p>
    <w:p>
      <w:pPr>
        <w:ind w:left="20"/>
        <w:spacing w:after="0" w:line="253" w:lineRule="auto"/>
        <w:rPr>
          <w:sz w:val="20"/>
          <w:szCs w:val="20"/>
          <w:color w:val="auto"/>
        </w:rPr>
      </w:pPr>
      <w:r>
        <w:rPr>
          <w:rFonts w:ascii="Arial" w:cs="Arial" w:eastAsia="Arial" w:hAnsi="Arial"/>
          <w:sz w:val="17"/>
          <w:szCs w:val="17"/>
          <w:color w:val="auto"/>
        </w:rPr>
        <w:t>Our Board of Directors assesses the independence of each director at least annually and has determined that each of Mr. Giangiacomo and Mr. Rosensweig meets all of the applicable standards of independence for members of the Board established by (i) the laws, rules and regulations of the SEC and (ii) the listing standards of Nasdaq. Ms. Bariquit is not considered independent due to her role as our interim Chief Executive Officer and President and due to her Consulting Services Agreement (as defined below). There are no arrangements or understandings between Ms. Bariquit,</w:t>
      </w:r>
    </w:p>
    <w:p>
      <w:pPr>
        <w:ind w:left="20" w:right="300"/>
        <w:spacing w:after="0" w:line="250" w:lineRule="auto"/>
        <w:rPr>
          <w:sz w:val="20"/>
          <w:szCs w:val="20"/>
          <w:color w:val="auto"/>
        </w:rPr>
      </w:pPr>
      <w:r>
        <w:rPr>
          <w:rFonts w:ascii="Arial" w:cs="Arial" w:eastAsia="Arial" w:hAnsi="Arial"/>
          <w:sz w:val="18"/>
          <w:szCs w:val="18"/>
          <w:color w:val="auto"/>
        </w:rPr>
        <w:t>Mr. Comisar, Mr. Fonseca, Mr. Giangiacomo or Mr. Rosensweig and any other persons pursuant to which they were selected as directors, except as described herein with respect to the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Exchange Agreement and the Investor Rights Agreement. In addition, each of our former directors, Tim Bixby, Jennifer Fleiss, Scott Friend, Beth Kaplan, Gwyneth Paltrow and Michael Roth were also determined to be independent while serving on our Board of Directors during 2025. Ms. Hyman was not independent while she served on our Board of Directors due to her former role as our Chief Executive Officer.</w:t>
      </w:r>
    </w:p>
    <w:p>
      <w:pPr>
        <w:spacing w:after="0" w:line="133"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In addition, our Board of Directors has determined that each member of our Audit Committee is independent and, in the case of the Nominating and ESG Committee and Compensation Committee, was independent during their existence, and meets (or met, as applicable) the heightened independence requirements applicable to such Committee in accordance with the listing standards of Nasdaq and the applicable rules and regulations of the SEC.</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Committees</w:t>
      </w:r>
    </w:p>
    <w:p>
      <w:pPr>
        <w:spacing w:after="0" w:line="199"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Currently, our Board has an Audit Committee. During fiscal year 2025, our Board had the following additional standing committees: a Compensation Committee and a Nominating and ESG Committee. In addition, in fiscal year 2025, the Board had a Finance Committee, consisting of independent directors, Scott Friend, Beth Kaplan, Tim Bixby and Daniel Rosensweig, to review, direct and oversee potential financing and strategic transactions. Members of these committees served until their resignation or until otherwise determined by our Board.</w:t>
      </w:r>
    </w:p>
    <w:p>
      <w:pPr>
        <w:spacing w:after="0" w:line="149" w:lineRule="exact"/>
        <w:rPr>
          <w:sz w:val="20"/>
          <w:szCs w:val="20"/>
          <w:color w:val="auto"/>
        </w:rPr>
      </w:pPr>
    </w:p>
    <w:p>
      <w:pPr>
        <w:ind w:left="20" w:right="100"/>
        <w:spacing w:after="0" w:line="253" w:lineRule="auto"/>
        <w:rPr>
          <w:sz w:val="20"/>
          <w:szCs w:val="20"/>
          <w:color w:val="auto"/>
        </w:rPr>
      </w:pPr>
      <w:r>
        <w:rPr>
          <w:rFonts w:ascii="Arial" w:cs="Arial" w:eastAsia="Arial" w:hAnsi="Arial"/>
          <w:sz w:val="18"/>
          <w:szCs w:val="18"/>
          <w:color w:val="auto"/>
        </w:rPr>
        <w:t>The charter of the Audit Committee, our Corporate Governance Guidelines, and our Code of Conduct are available on our investor website (investors.renttherunway.com) under “Governance-Governance Documents” or by writing to our offices at 10 Jay Street, Brooklyn, New York 11201.</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Audit Committee</w:t>
      </w:r>
    </w:p>
    <w:p>
      <w:pPr>
        <w:spacing w:after="0" w:line="185" w:lineRule="exact"/>
        <w:rPr>
          <w:sz w:val="20"/>
          <w:szCs w:val="20"/>
          <w:color w:val="auto"/>
        </w:rPr>
      </w:pPr>
    </w:p>
    <w:p>
      <w:pPr>
        <w:ind w:left="20" w:right="140"/>
        <w:spacing w:after="0" w:line="247" w:lineRule="auto"/>
        <w:rPr>
          <w:sz w:val="20"/>
          <w:szCs w:val="20"/>
          <w:color w:val="auto"/>
        </w:rPr>
      </w:pPr>
      <w:r>
        <w:rPr>
          <w:rFonts w:ascii="Arial" w:cs="Arial" w:eastAsia="Arial" w:hAnsi="Arial"/>
          <w:sz w:val="18"/>
          <w:szCs w:val="18"/>
          <w:color w:val="auto"/>
        </w:rPr>
        <w:t>Prior to the completion of the Recapitalization Transactions, the Audit Committee consisted of Tim Bixby (</w:t>
      </w:r>
      <w:r>
        <w:rPr>
          <w:rFonts w:ascii="Arial" w:cs="Arial" w:eastAsia="Arial" w:hAnsi="Arial"/>
          <w:sz w:val="18"/>
          <w:szCs w:val="18"/>
          <w:i w:val="1"/>
          <w:iCs w:val="1"/>
          <w:color w:val="auto"/>
        </w:rPr>
        <w:t>Chair</w:t>
      </w:r>
      <w:r>
        <w:rPr>
          <w:rFonts w:ascii="Arial" w:cs="Arial" w:eastAsia="Arial" w:hAnsi="Arial"/>
          <w:sz w:val="18"/>
          <w:szCs w:val="18"/>
          <w:color w:val="auto"/>
        </w:rPr>
        <w:t>), Beth Kaplan, and Mike Roth (the “Pre-Transaction Audit Committee”). Following the completion of the Recapitalization Transactions, the Audit Committee consists of Dan Rosensweig (</w:t>
      </w:r>
      <w:r>
        <w:rPr>
          <w:rFonts w:ascii="Arial" w:cs="Arial" w:eastAsia="Arial" w:hAnsi="Arial"/>
          <w:sz w:val="18"/>
          <w:szCs w:val="18"/>
          <w:i w:val="1"/>
          <w:iCs w:val="1"/>
          <w:color w:val="auto"/>
        </w:rPr>
        <w:t>Chair)</w:t>
      </w:r>
      <w:r>
        <w:rPr>
          <w:rFonts w:ascii="Arial" w:cs="Arial" w:eastAsia="Arial" w:hAnsi="Arial"/>
          <w:sz w:val="18"/>
          <w:szCs w:val="18"/>
          <w:color w:val="auto"/>
        </w:rPr>
        <w:t xml:space="preserve"> and Damian Giangiacomo (the “Post-Transaction Audit Committee”).</w:t>
      </w:r>
    </w:p>
    <w:p>
      <w:pPr>
        <w:spacing w:after="0" w:line="133" w:lineRule="exact"/>
        <w:rPr>
          <w:sz w:val="20"/>
          <w:szCs w:val="20"/>
          <w:color w:val="auto"/>
        </w:rPr>
      </w:pPr>
    </w:p>
    <w:p>
      <w:pPr>
        <w:jc w:val="both"/>
        <w:ind w:left="20" w:right="20"/>
        <w:spacing w:after="0" w:line="255" w:lineRule="auto"/>
        <w:rPr>
          <w:sz w:val="20"/>
          <w:szCs w:val="20"/>
          <w:color w:val="auto"/>
        </w:rPr>
      </w:pPr>
      <w:r>
        <w:rPr>
          <w:rFonts w:ascii="Arial" w:cs="Arial" w:eastAsia="Arial" w:hAnsi="Arial"/>
          <w:sz w:val="17"/>
          <w:szCs w:val="17"/>
          <w:color w:val="auto"/>
        </w:rPr>
        <w:t>As a result of the Resignations, the Post-Transaction Audit Committee consists of two members. On October 28, 2025, we notified Nasdaq of our noncompliance with Nasdaq Rule 5605(c)(2)(A), which requires that the Audit Committee be comprised of three independent directors, and our intent to rely on the cure period provided by Nasdaq Rule 5605(c)(4)</w:t>
      </w:r>
    </w:p>
    <w:p>
      <w:pPr>
        <w:spacing w:after="0" w:line="2" w:lineRule="exact"/>
        <w:rPr>
          <w:sz w:val="20"/>
          <w:szCs w:val="20"/>
          <w:color w:val="auto"/>
        </w:rPr>
      </w:pPr>
    </w:p>
    <w:p>
      <w:pPr>
        <w:ind w:left="20"/>
        <w:spacing w:after="0" w:line="250" w:lineRule="auto"/>
        <w:rPr>
          <w:sz w:val="20"/>
          <w:szCs w:val="20"/>
          <w:color w:val="auto"/>
        </w:rPr>
      </w:pPr>
      <w:r>
        <w:rPr>
          <w:rFonts w:ascii="Arial" w:cs="Arial" w:eastAsia="Arial" w:hAnsi="Arial"/>
          <w:sz w:val="18"/>
          <w:szCs w:val="18"/>
          <w:color w:val="auto"/>
        </w:rPr>
        <w:t>(B). We intend to appoint an independent director to the Audit Committee no later than the Annual Meeting, as provided by Nasdaq Rule 5605(c)(4)(B).</w:t>
      </w:r>
    </w:p>
    <w:p>
      <w:pPr>
        <w:spacing w:after="0" w:line="131" w:lineRule="exact"/>
        <w:rPr>
          <w:sz w:val="20"/>
          <w:szCs w:val="20"/>
          <w:color w:val="auto"/>
        </w:rPr>
      </w:pPr>
    </w:p>
    <w:p>
      <w:pPr>
        <w:ind w:left="20" w:right="80"/>
        <w:spacing w:after="0" w:line="253" w:lineRule="auto"/>
        <w:rPr>
          <w:sz w:val="20"/>
          <w:szCs w:val="20"/>
          <w:color w:val="auto"/>
        </w:rPr>
      </w:pPr>
      <w:r>
        <w:rPr>
          <w:rFonts w:ascii="Arial" w:cs="Arial" w:eastAsia="Arial" w:hAnsi="Arial"/>
          <w:sz w:val="18"/>
          <w:szCs w:val="18"/>
          <w:color w:val="auto"/>
        </w:rPr>
        <w:t>Our Board of Directors has determined that Mr. Rosensweig qualifies as an “audit committee financial expert,” as such term is defined in Item 407(d)(5) of Regulation S-K. The Pre-Transaction Audit Committee met three (3) times during fiscal year 2025 and the Post-Transaction Audit Committee met one time during fiscal year 2025.</w:t>
      </w:r>
    </w:p>
    <w:p>
      <w:pPr>
        <w:spacing w:after="0" w:line="142" w:lineRule="exact"/>
        <w:rPr>
          <w:sz w:val="20"/>
          <w:szCs w:val="20"/>
          <w:color w:val="auto"/>
        </w:rPr>
      </w:pPr>
    </w:p>
    <w:p>
      <w:pPr>
        <w:ind w:left="20" w:right="580"/>
        <w:spacing w:after="0" w:line="271" w:lineRule="auto"/>
        <w:rPr>
          <w:sz w:val="20"/>
          <w:szCs w:val="20"/>
          <w:color w:val="auto"/>
        </w:rPr>
      </w:pPr>
      <w:r>
        <w:rPr>
          <w:rFonts w:ascii="Arial" w:cs="Arial" w:eastAsia="Arial" w:hAnsi="Arial"/>
          <w:sz w:val="18"/>
          <w:szCs w:val="18"/>
          <w:color w:val="auto"/>
        </w:rPr>
        <w:t>We have adopted an Audit Committee charter that outlines the principal functions of the Audit Committee, which include:</w:t>
      </w:r>
    </w:p>
    <w:p>
      <w:pPr>
        <w:spacing w:after="0" w:line="113" w:lineRule="exact"/>
        <w:rPr>
          <w:sz w:val="20"/>
          <w:szCs w:val="20"/>
          <w:color w:val="auto"/>
        </w:rPr>
      </w:pPr>
    </w:p>
    <w:p>
      <w:pPr>
        <w:ind w:left="740" w:hanging="359"/>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our corporate accounting and financial reporting processes;</w:t>
      </w:r>
    </w:p>
    <w:p>
      <w:pPr>
        <w:spacing w:after="0" w:line="13" w:lineRule="exact"/>
        <w:rPr>
          <w:rFonts w:ascii="Arial" w:cs="Arial" w:eastAsia="Arial" w:hAnsi="Arial"/>
          <w:sz w:val="18"/>
          <w:szCs w:val="18"/>
          <w:color w:val="auto"/>
        </w:rPr>
      </w:pPr>
    </w:p>
    <w:p>
      <w:pPr>
        <w:ind w:left="740" w:right="36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 and the effectiveness of our internal control over financial reporting, when required;</w:t>
      </w:r>
    </w:p>
    <w:p>
      <w:pPr>
        <w:spacing w:after="0" w:line="2" w:lineRule="exact"/>
        <w:rPr>
          <w:rFonts w:ascii="Arial" w:cs="Arial" w:eastAsia="Arial" w:hAnsi="Arial"/>
          <w:sz w:val="18"/>
          <w:szCs w:val="18"/>
          <w:color w:val="auto"/>
        </w:rPr>
      </w:pPr>
    </w:p>
    <w:p>
      <w:pPr>
        <w:ind w:left="740" w:right="10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registered public accounting firm, our interim and year end results of operations;</w:t>
      </w:r>
    </w:p>
    <w:p>
      <w:pPr>
        <w:spacing w:after="0" w:line="2" w:lineRule="exact"/>
        <w:rPr>
          <w:rFonts w:ascii="Arial" w:cs="Arial" w:eastAsia="Arial" w:hAnsi="Arial"/>
          <w:sz w:val="18"/>
          <w:szCs w:val="18"/>
          <w:color w:val="auto"/>
        </w:rPr>
      </w:pPr>
    </w:p>
    <w:p>
      <w:pPr>
        <w:ind w:left="740" w:right="12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procedures for the receipt, retention and treatment of complaints received by our company regarding accounting, internal accounting controls, or auditing matters and for employees to submit concerns anonymously about questionable accounting or auditing matters;</w:t>
      </w:r>
    </w:p>
    <w:p>
      <w:pPr>
        <w:spacing w:after="0" w:line="2"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related party transactions;</w:t>
      </w:r>
    </w:p>
    <w:p>
      <w:pPr>
        <w:ind w:left="740" w:right="12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pre-approving audit and permissible non-audit services to be performed by the independent registered public accounting firm; and</w:t>
      </w:r>
    </w:p>
    <w:p>
      <w:pPr>
        <w:spacing w:after="0" w:line="1" w:lineRule="exact"/>
        <w:rPr>
          <w:rFonts w:ascii="Arial" w:cs="Arial" w:eastAsia="Arial" w:hAnsi="Arial"/>
          <w:sz w:val="18"/>
          <w:szCs w:val="18"/>
          <w:color w:val="auto"/>
        </w:rPr>
      </w:pPr>
    </w:p>
    <w:p>
      <w:pPr>
        <w:ind w:left="740" w:hanging="359"/>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Compensation Committee</w:t>
      </w:r>
    </w:p>
    <w:p>
      <w:pPr>
        <w:spacing w:after="0" w:line="171" w:lineRule="exact"/>
        <w:rPr>
          <w:sz w:val="20"/>
          <w:szCs w:val="20"/>
          <w:color w:val="auto"/>
        </w:rPr>
      </w:pPr>
    </w:p>
    <w:p>
      <w:pPr>
        <w:ind w:left="20" w:right="220"/>
        <w:spacing w:after="0" w:line="244" w:lineRule="auto"/>
        <w:rPr>
          <w:sz w:val="20"/>
          <w:szCs w:val="20"/>
          <w:color w:val="auto"/>
        </w:rPr>
      </w:pPr>
      <w:r>
        <w:rPr>
          <w:rFonts w:ascii="Arial" w:cs="Arial" w:eastAsia="Arial" w:hAnsi="Arial"/>
          <w:sz w:val="18"/>
          <w:szCs w:val="18"/>
          <w:color w:val="auto"/>
        </w:rPr>
        <w:t>Following the Recapitalization Transactions, the Board dissolved the Compensation Committee effective October 28, 2025. The Compensation Committee held four meetings in 2025 prior to its dissolution. Upon the dissolution of the Compensation Committee, the full Board absorbed the Compensation Committee’s duties and responsibilities to the extent required by Nasdaq Listing Rule 5605(d). The Board currently believes that all directors should be responsible for oversight of these matters.</w:t>
      </w:r>
    </w:p>
    <w:p>
      <w:pPr>
        <w:spacing w:after="0" w:line="136" w:lineRule="exact"/>
        <w:rPr>
          <w:sz w:val="20"/>
          <w:szCs w:val="20"/>
          <w:color w:val="auto"/>
        </w:rPr>
      </w:pPr>
    </w:p>
    <w:p>
      <w:pPr>
        <w:ind w:left="20" w:right="320"/>
        <w:spacing w:after="0" w:line="253" w:lineRule="auto"/>
        <w:rPr>
          <w:sz w:val="20"/>
          <w:szCs w:val="20"/>
          <w:color w:val="auto"/>
        </w:rPr>
      </w:pPr>
      <w:r>
        <w:rPr>
          <w:rFonts w:ascii="Arial" w:cs="Arial" w:eastAsia="Arial" w:hAnsi="Arial"/>
          <w:sz w:val="18"/>
          <w:szCs w:val="18"/>
          <w:color w:val="auto"/>
        </w:rPr>
        <w:t>Prior to its dissolution, our Compensation Committee consisted of Beth Kaplan (</w:t>
      </w:r>
      <w:r>
        <w:rPr>
          <w:rFonts w:ascii="Arial" w:cs="Arial" w:eastAsia="Arial" w:hAnsi="Arial"/>
          <w:sz w:val="18"/>
          <w:szCs w:val="18"/>
          <w:i w:val="1"/>
          <w:iCs w:val="1"/>
          <w:color w:val="auto"/>
        </w:rPr>
        <w:t>Chair</w:t>
      </w:r>
      <w:r>
        <w:rPr>
          <w:rFonts w:ascii="Arial" w:cs="Arial" w:eastAsia="Arial" w:hAnsi="Arial"/>
          <w:sz w:val="18"/>
          <w:szCs w:val="18"/>
          <w:color w:val="auto"/>
        </w:rPr>
        <w:t>), Scott Friend, and Mike Roth and had a Compensation Committee charter that outlined the principal functions of the Compensation Committee, which included:</w:t>
      </w:r>
    </w:p>
    <w:p>
      <w:pPr>
        <w:spacing w:after="0" w:line="142" w:lineRule="exact"/>
        <w:rPr>
          <w:sz w:val="20"/>
          <w:szCs w:val="20"/>
          <w:color w:val="auto"/>
        </w:rPr>
      </w:pPr>
    </w:p>
    <w:p>
      <w:pPr>
        <w:ind w:left="740" w:right="220" w:hanging="359"/>
        <w:spacing w:after="0" w:line="245"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Chief Executive Officer and other executive officers;</w:t>
      </w:r>
    </w:p>
    <w:p>
      <w:pPr>
        <w:ind w:left="74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ind w:left="74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ind w:left="74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severance arrangements for our executive officers;</w:t>
      </w:r>
    </w:p>
    <w:p>
      <w:pPr>
        <w:ind w:left="74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administering our compensation recovery policy; and</w:t>
      </w:r>
    </w:p>
    <w:p>
      <w:pPr>
        <w:ind w:left="740" w:right="320" w:hanging="359"/>
        <w:spacing w:after="0" w:line="25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our talent and employee development programs and our strategy, efforts, and results regarding diversity, equity, and inclusion.</w:t>
      </w:r>
    </w:p>
    <w:p>
      <w:pPr>
        <w:spacing w:after="0" w:line="131" w:lineRule="exact"/>
        <w:rPr>
          <w:sz w:val="20"/>
          <w:szCs w:val="20"/>
          <w:color w:val="auto"/>
        </w:rPr>
      </w:pPr>
    </w:p>
    <w:p>
      <w:pPr>
        <w:ind w:left="20" w:right="320"/>
        <w:spacing w:after="0" w:line="253" w:lineRule="auto"/>
        <w:rPr>
          <w:sz w:val="20"/>
          <w:szCs w:val="20"/>
          <w:color w:val="auto"/>
        </w:rPr>
      </w:pPr>
      <w:r>
        <w:rPr>
          <w:rFonts w:ascii="Arial" w:cs="Arial" w:eastAsia="Arial" w:hAnsi="Arial"/>
          <w:sz w:val="18"/>
          <w:szCs w:val="18"/>
          <w:color w:val="auto"/>
        </w:rPr>
        <w:t>Prior to its dissolution, our Board of Directors determined that each member of our Compensation Committee was a “non-employee director” as defined in Rule 16b-3 promulgated under the Securities Exchange Act of 1934, as amended (the “Exchange Act”).</w:t>
      </w:r>
    </w:p>
    <w:p>
      <w:pPr>
        <w:spacing w:after="0" w:line="128"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Prior to its dissolution, the Compensation Committee, and, following the Recapitalization Transactions, the Board, generally considered our Chief Executive Officer’s recommendations when making decisions regarding the compensation of non-employee directors and executive officers (other than the Chief Executive Officer). Pursuant to the Compensation Committee’s charter, the Compensation Committee had the authority to retain or obtain the advice of compensation consultants, legal counsel and other advisors to assist in carrying out its responsibilities. In fiscal year 2025, the Compensation Committee engaged Compensia, Inc. (“Compensia”) a compensation consulting firm, to advise on executive and director compensation. The Compensation Committee considered the adviser independence factors required under SEC rules as they relate to Compensia and determined that Compensia’s work does not raise a conflict of interest.</w:t>
      </w:r>
    </w:p>
    <w:p>
      <w:pPr>
        <w:spacing w:after="0" w:line="156" w:lineRule="exact"/>
        <w:rPr>
          <w:sz w:val="20"/>
          <w:szCs w:val="20"/>
          <w:color w:val="auto"/>
        </w:rPr>
      </w:pPr>
    </w:p>
    <w:p>
      <w:pPr>
        <w:ind w:left="20" w:right="120"/>
        <w:spacing w:after="0" w:line="247" w:lineRule="auto"/>
        <w:rPr>
          <w:sz w:val="20"/>
          <w:szCs w:val="20"/>
          <w:color w:val="auto"/>
        </w:rPr>
      </w:pPr>
      <w:r>
        <w:rPr>
          <w:rFonts w:ascii="Arial" w:cs="Arial" w:eastAsia="Arial" w:hAnsi="Arial"/>
          <w:sz w:val="18"/>
          <w:szCs w:val="18"/>
          <w:color w:val="auto"/>
        </w:rPr>
        <w:t>In addition, the Compensation Committee engaged Willis Towers Watson (“WTW”), a compensation consulting firm, to advise on executive and director compensation in connection with the Recapitalization Transactions. The Compensation Committee considered the adviser independence factors required under SEC rules as they relate to WTW and determined that WTW’s work did not raise a conflict of interest.</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Nominating and ESG Committee</w:t>
      </w:r>
    </w:p>
    <w:p>
      <w:pPr>
        <w:spacing w:after="0" w:line="171" w:lineRule="exact"/>
        <w:rPr>
          <w:sz w:val="20"/>
          <w:szCs w:val="20"/>
          <w:color w:val="auto"/>
        </w:rPr>
      </w:pPr>
    </w:p>
    <w:p>
      <w:pPr>
        <w:ind w:left="20" w:right="140"/>
        <w:spacing w:after="0" w:line="244" w:lineRule="auto"/>
        <w:rPr>
          <w:sz w:val="20"/>
          <w:szCs w:val="20"/>
          <w:color w:val="auto"/>
        </w:rPr>
      </w:pPr>
      <w:r>
        <w:rPr>
          <w:rFonts w:ascii="Arial" w:cs="Arial" w:eastAsia="Arial" w:hAnsi="Arial"/>
          <w:sz w:val="18"/>
          <w:szCs w:val="18"/>
          <w:color w:val="auto"/>
        </w:rPr>
        <w:t>Following the Recapitalization Transactions, the Board dissolved the Nominating and ESG Committee effective October 28, 2025. The Nominating and ESG Committee did not meet in 2025 prior to its dissolution. Upon the dissolution of the Nominating and ESG Committee, the full Board absorbed the Nominating and ESG Committee’s duties and responsibilities to the extent required by Nasdaq Listing Rule 5605(e). The Board currently believes that all directors should be responsible for oversight of these matters.</w:t>
      </w:r>
    </w:p>
    <w:p>
      <w:pPr>
        <w:spacing w:after="0" w:line="149"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Prior to dissolution, our Nominating and ESG Committee included Jennifer Fleiss (</w:t>
      </w:r>
      <w:r>
        <w:rPr>
          <w:rFonts w:ascii="Arial" w:cs="Arial" w:eastAsia="Arial" w:hAnsi="Arial"/>
          <w:sz w:val="18"/>
          <w:szCs w:val="18"/>
          <w:i w:val="1"/>
          <w:iCs w:val="1"/>
          <w:color w:val="auto"/>
        </w:rPr>
        <w:t>Chair</w:t>
      </w:r>
      <w:r>
        <w:rPr>
          <w:rFonts w:ascii="Arial" w:cs="Arial" w:eastAsia="Arial" w:hAnsi="Arial"/>
          <w:sz w:val="18"/>
          <w:szCs w:val="18"/>
          <w:color w:val="auto"/>
        </w:rPr>
        <w:t>) and Gwyneth Paltrow and had a Nominating and ESG Committee charter.</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Code of Conduct</w:t>
      </w:r>
    </w:p>
    <w:p>
      <w:pPr>
        <w:spacing w:after="0" w:line="199" w:lineRule="exact"/>
        <w:rPr>
          <w:sz w:val="20"/>
          <w:szCs w:val="20"/>
          <w:color w:val="auto"/>
        </w:rPr>
      </w:pPr>
    </w:p>
    <w:p>
      <w:pPr>
        <w:ind w:left="20" w:right="160"/>
        <w:spacing w:after="0" w:line="242" w:lineRule="auto"/>
        <w:rPr>
          <w:sz w:val="20"/>
          <w:szCs w:val="20"/>
          <w:color w:val="auto"/>
        </w:rPr>
      </w:pPr>
      <w:r>
        <w:rPr>
          <w:rFonts w:ascii="Arial" w:cs="Arial" w:eastAsia="Arial" w:hAnsi="Arial"/>
          <w:sz w:val="18"/>
          <w:szCs w:val="18"/>
          <w:color w:val="auto"/>
        </w:rPr>
        <w:t>Our Code of Conduct describes the standards of conduct expected of everyone at RTR. The code applies to all of our directors, officers, and employees, including our principal executive officer, principal financial officer, principal accounting officer and controller, or persons performing similar functions. A copy of the code is available on our Investor Relations website at investors.renttherunway.com in the “Governance” section. In addition, we intend to post on our website all disclosures that are required by law or by Nasdaq rules concerning any amendments to, or waivers from, any provision of our Code of Conduct.</w:t>
      </w:r>
    </w:p>
    <w:p>
      <w:pPr>
        <w:spacing w:after="0" w:line="308" w:lineRule="exact"/>
        <w:rPr>
          <w:sz w:val="20"/>
          <w:szCs w:val="20"/>
          <w:color w:val="auto"/>
        </w:rPr>
      </w:pPr>
    </w:p>
    <w:p>
      <w:pPr>
        <w:ind w:left="20" w:right="1220"/>
        <w:spacing w:after="0" w:line="290" w:lineRule="auto"/>
        <w:rPr>
          <w:sz w:val="20"/>
          <w:szCs w:val="20"/>
          <w:color w:val="auto"/>
        </w:rPr>
      </w:pPr>
      <w:r>
        <w:rPr>
          <w:rFonts w:ascii="Arial" w:cs="Arial" w:eastAsia="Arial" w:hAnsi="Arial"/>
          <w:sz w:val="36"/>
          <w:szCs w:val="36"/>
          <w:b w:val="1"/>
          <w:bCs w:val="1"/>
          <w:color w:val="auto"/>
        </w:rPr>
        <w:t>Compensation Committee Interlocks and Insider Participation</w:t>
      </w:r>
    </w:p>
    <w:p>
      <w:pPr>
        <w:spacing w:after="0" w:line="31" w:lineRule="exact"/>
        <w:rPr>
          <w:sz w:val="20"/>
          <w:szCs w:val="20"/>
          <w:color w:val="auto"/>
        </w:rPr>
      </w:pPr>
    </w:p>
    <w:p>
      <w:pPr>
        <w:ind w:left="20" w:right="240"/>
        <w:spacing w:after="0" w:line="242" w:lineRule="auto"/>
        <w:rPr>
          <w:sz w:val="20"/>
          <w:szCs w:val="20"/>
          <w:color w:val="auto"/>
        </w:rPr>
      </w:pPr>
      <w:r>
        <w:rPr>
          <w:rFonts w:ascii="Arial" w:cs="Arial" w:eastAsia="Arial" w:hAnsi="Arial"/>
          <w:sz w:val="18"/>
          <w:szCs w:val="18"/>
          <w:color w:val="auto"/>
        </w:rPr>
        <w:t>Beth Kaplan, Scott Friend, and Mike Roth served on our Compensation Committee during the portion of fiscal year 2025 before the completion of the Recapitalization Transactions. None of these individuals is currently, or has been within the past three years, an officer or an employee of RTR. None of our executive officers currently serve, or have served during the last year, as a member of the board of directors or compensation committee of any entity that has one or more executive officers serving as a member of our Board of Directors or, prior to the completion of the Recapitalization Transactions, our Compensation Committee.</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Director Nomination Process</w:t>
      </w:r>
    </w:p>
    <w:p>
      <w:pPr>
        <w:spacing w:after="0" w:line="199"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The Board of Directors is responsible for identifying and reviewing the qualifications of potential director candidates and recommending to the Board of Directors those candidates to be nominated for election to the Board of Directors, subject to any obligations and procedures governing the designation of directors to the Board of Directors that are included in the Investor Rights Agreement.</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Identifying and Evaluating Nominees</w:t>
      </w:r>
    </w:p>
    <w:p>
      <w:pPr>
        <w:spacing w:after="0" w:line="171" w:lineRule="exact"/>
        <w:rPr>
          <w:sz w:val="20"/>
          <w:szCs w:val="20"/>
          <w:color w:val="auto"/>
        </w:rPr>
      </w:pPr>
    </w:p>
    <w:p>
      <w:pPr>
        <w:ind w:left="20" w:right="140"/>
        <w:spacing w:after="0" w:line="253" w:lineRule="auto"/>
        <w:rPr>
          <w:sz w:val="20"/>
          <w:szCs w:val="20"/>
          <w:color w:val="auto"/>
        </w:rPr>
      </w:pPr>
      <w:r>
        <w:rPr>
          <w:rFonts w:ascii="Arial" w:cs="Arial" w:eastAsia="Arial" w:hAnsi="Arial"/>
          <w:sz w:val="18"/>
          <w:szCs w:val="18"/>
          <w:color w:val="auto"/>
        </w:rPr>
        <w:t>When identifying and evaluating potential director nominees, including current members of the Board of Directors who are eligible for re-election, the Board of Directors seeks a balance of knowledge, experience, and capability and may consider the following (see also “The Board and Corporate Governance – Investor Rights Agreement” below):</w:t>
      </w:r>
    </w:p>
    <w:p>
      <w:pPr>
        <w:spacing w:after="0" w:line="128" w:lineRule="exact"/>
        <w:rPr>
          <w:sz w:val="20"/>
          <w:szCs w:val="20"/>
          <w:color w:val="auto"/>
        </w:rPr>
      </w:pPr>
    </w:p>
    <w:p>
      <w:pPr>
        <w:ind w:left="740" w:right="720" w:hanging="359"/>
        <w:spacing w:after="0" w:line="245"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 held company;</w:t>
      </w:r>
    </w:p>
    <w:p>
      <w:pPr>
        <w:ind w:left="74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ind w:left="74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as a board member of another publicly held company;</w:t>
      </w:r>
    </w:p>
    <w:p>
      <w:pPr>
        <w:ind w:left="74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professional and academic experience relevant to our industry, operations, and target markets;</w:t>
      </w:r>
    </w:p>
    <w:p>
      <w:pPr>
        <w:ind w:left="740" w:right="42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exercise mature business judgment, including, but not limited to, the ability to make independent analytical inquiries;</w:t>
      </w:r>
    </w:p>
    <w:p>
      <w:pPr>
        <w:spacing w:after="0" w:line="1"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leadership skills;</w:t>
      </w:r>
    </w:p>
    <w:p>
      <w:pPr>
        <w:ind w:left="74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in finance and accounting and/or executive compensation practices;</w:t>
      </w:r>
    </w:p>
    <w:p>
      <w:pPr>
        <w:ind w:left="740" w:right="2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sufficiency of time for preparation, participation, and attendance at Board of Directors meetings and committee meetings; and</w:t>
      </w:r>
    </w:p>
    <w:p>
      <w:pPr>
        <w:spacing w:after="0" w:line="1" w:lineRule="exact"/>
        <w:rPr>
          <w:rFonts w:ascii="Arial" w:cs="Arial" w:eastAsia="Arial" w:hAnsi="Arial"/>
          <w:sz w:val="18"/>
          <w:szCs w:val="18"/>
          <w:color w:val="auto"/>
        </w:rPr>
      </w:pPr>
    </w:p>
    <w:p>
      <w:pPr>
        <w:ind w:left="740" w:hanging="359"/>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diversity of background and perspective as well as diversity of expertise and experience in substantive matters pertaining to our business relative to other members of the Board of Directors.</w:t>
      </w:r>
    </w:p>
    <w:p>
      <w:pPr>
        <w:spacing w:after="0" w:line="145" w:lineRule="exact"/>
        <w:rPr>
          <w:sz w:val="20"/>
          <w:szCs w:val="20"/>
          <w:color w:val="auto"/>
        </w:rPr>
      </w:pPr>
    </w:p>
    <w:p>
      <w:pPr>
        <w:ind w:left="20" w:right="300"/>
        <w:spacing w:after="0" w:line="242" w:lineRule="auto"/>
        <w:rPr>
          <w:sz w:val="20"/>
          <w:szCs w:val="20"/>
          <w:color w:val="auto"/>
        </w:rPr>
      </w:pPr>
      <w:r>
        <w:rPr>
          <w:rFonts w:ascii="Arial" w:cs="Arial" w:eastAsia="Arial" w:hAnsi="Arial"/>
          <w:sz w:val="18"/>
          <w:szCs w:val="18"/>
          <w:color w:val="auto"/>
        </w:rPr>
        <w:t>To facilitate the search process for director candidates, the Board of Directors may solicit our current directors and executives for the names of potentially qualified candidates or may ask directors and executives to pursue their own business contacts for the names of potentially qualified candidates. Teri Bariquit, a director nominee, was recommended for election by an investor pursuant to the Investor Rights Agreement. Dan Rosensweig, a director nominee, was recommended for election by Ms. Hyman pursuant to the Investor Rights Agreement. The Board of Directors may also consult with outside advisors or retain search firms to assist in the search for qualified</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candidates or consider director candidates recommended by our stockholders. Once potential candidates are identified, the Board of Directors reviews the backgrounds of those candidates, evaluates candidates’ independence from us and potential conflicts of interest, and determines if candidates meet the qualifications desired by the Board of Directors of candidates for election as director.</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Stockholder Recommendations and Nominees</w:t>
      </w:r>
    </w:p>
    <w:p>
      <w:pPr>
        <w:spacing w:after="0" w:line="171"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color w:val="auto"/>
        </w:rPr>
        <w:t>The Board of Directors will consider stockholder recommendations, so long as they comply with applicable law, our Bylaws, and the procedures described below. Stockholder recommendations for candidates to the Board of Directors must be received in writing and emailed to corporatesecretary@renttherunway.com or sent to our headquarters, Rent the Runway, Inc., 10 Jay Street, Brooklyn, NY 11201, to the attention of our Chief Legal &amp; Administrative Officer and Secretary. The recommendation must be received sufficiently in advance of our consideration of our director nominees for the next annual meeting and must include the candidate’s name, home and business contact information, detailed biographical data and qualifications, information regarding any relationships between the candidate and RTR within the last three years, and evidence of the recommending person’s ownership of RTR stock. Recommendations must also include a statement from the recommending stockholder in support of the candidate that addresses the criteria for Board of Directors membership, personal references, and the consent of the candidate to serve.</w:t>
      </w:r>
    </w:p>
    <w:p>
      <w:pPr>
        <w:spacing w:after="0" w:line="153"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The Board of Directors will review the qualifications of any candidate recommended by stockholders in accordance with the criteria described above. In addition, in the Board of Directors’ discretion, its review may include interviewing references, performing background checks, direct interviews with the candidate, or other actions it deems necessary or proper. Stockholders may also nominate candidates for election to our Board of Directors by following the procedures described in “Additional Information – Stockholder Proposals” below.</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Investor Rights Agreement</w:t>
      </w:r>
    </w:p>
    <w:p>
      <w:pPr>
        <w:spacing w:after="0" w:line="199" w:lineRule="exact"/>
        <w:rPr>
          <w:sz w:val="20"/>
          <w:szCs w:val="20"/>
          <w:color w:val="auto"/>
        </w:rPr>
      </w:pPr>
    </w:p>
    <w:p>
      <w:pPr>
        <w:ind w:left="20" w:right="120"/>
        <w:spacing w:after="0" w:line="244" w:lineRule="auto"/>
        <w:rPr>
          <w:sz w:val="20"/>
          <w:szCs w:val="20"/>
          <w:color w:val="auto"/>
        </w:rPr>
      </w:pPr>
      <w:r>
        <w:rPr>
          <w:rFonts w:ascii="Arial" w:cs="Arial" w:eastAsia="Arial" w:hAnsi="Arial"/>
          <w:sz w:val="18"/>
          <w:szCs w:val="18"/>
          <w:color w:val="auto"/>
        </w:rPr>
        <w:t>In connection with the Recapitalization Transactions, on August 20, 2025, the Company entered into the Investor Rights Agreement. Pursuant to the Investor Rights Agreement, the Company was required to prepare and file with the SEC, within 20 days following the Closing, a shelf registration statement registering the resale of Class A common stock held by Ms. Hyman and the Investor Group, and grant certain demand, piggyback and shelf registration rights to Ms. Hyman and the Investor Group.</w:t>
      </w:r>
    </w:p>
    <w:p>
      <w:pPr>
        <w:spacing w:after="0" w:line="136" w:lineRule="exact"/>
        <w:rPr>
          <w:sz w:val="20"/>
          <w:szCs w:val="20"/>
          <w:color w:val="auto"/>
        </w:rPr>
      </w:pPr>
    </w:p>
    <w:p>
      <w:pPr>
        <w:ind w:left="20" w:right="60"/>
        <w:spacing w:after="0"/>
        <w:rPr>
          <w:sz w:val="20"/>
          <w:szCs w:val="20"/>
          <w:color w:val="auto"/>
        </w:rPr>
      </w:pPr>
      <w:r>
        <w:rPr>
          <w:rFonts w:ascii="Arial" w:cs="Arial" w:eastAsia="Arial" w:hAnsi="Arial"/>
          <w:sz w:val="18"/>
          <w:szCs w:val="18"/>
          <w:color w:val="auto"/>
        </w:rPr>
        <w:t>The Investor Rights Agreement also provided for certain Board designation rights of the Investor Group and Ms. Hyman. Pursuant to the Investor Rights Agreement, for so long as they meet certain minimum ownership thresholds, each of Nexus and STORY3 will be entitled to designate one director to the Board, and the Board will designate three directors to the Board, subject to the approval of the Investor Majority and after considering in good faith Ms. Hyman’s views in connection therewith. In addition, the Investor Rights Agreement provided that, so long as Ms. Hyman served as Chief Executive Officer of the Company, she would be designated as a member of the Board, and, for so long as she continued to own a specified minimum number of Class A common stock, Ms. Hyman would be entitled to appoint one additional director to the Board, subject to the reasonable approval of the Investor Majority. Subject to certain minimum ownership thresholds, Nexus and STORY3 would also be entitled to each appoint a non-voting Board observer, and the Lender would be entitled to appoint two non-voting Board observers pursuant to the Investor Rights Agreement and the New Credit Agreement. Furthermore, subject to certain minimum ownership thresholds, Ms. Hyman would also be entitled to appoint a non-voting Board observer pursuant to the Investor Rights Agreement.</w:t>
      </w:r>
    </w:p>
    <w:p>
      <w:pPr>
        <w:spacing w:after="0" w:line="338"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On May 12, 2026, Jennifer Hyman resigned as Chief Executive Officer and President of the Company and as a member of the Board, effective as of May 15, 2026 (the “Separation Date”). In connection with Ms. Hyman’s resignation, the Company entered into a side letter agreement (the “Side Letter”) with Ms. Hyman and her affiliates (the “Hyman Group”) pursuant to which, among other things, the Hyman Group agreed to terminate any and all of their respective rights under the Investor Rights Agreement, including rights to designate a director and a board observer to the Board.</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The description of the terms of the Investor Rights Agreement and the Side Letter does not purport to be complete and is qualified in its entirety by the full text of the respective agreements. A copy of the Investor Rights Agreement was filed and incorporated by reference as Exhibit 10.27 in our Annual Report on Form 10-K. A copy of the Side Letter was filed as Exhibit 10.2 in our Current Report on Form 8-K, filed with the SEC on May 13, 2026.</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Communications with the Board</w:t>
      </w:r>
    </w:p>
    <w:p>
      <w:pPr>
        <w:spacing w:after="0" w:line="199"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Stockholders or other interested parties may contact the Board of Directors or one or more of our directors with issues or questions about RTR, by emailing corporatesecretary@renttherunway.com or mailing correspondence to our Chief Legal &amp; Administrative Officer and Secretary at our Brooklyn headquarters, Rent the Runway, Inc., 10 Jay Street, Brooklyn, NY 11201. Our legal team will review incoming communications directed to the Board of Directors and, if appropriate, will forward such communications to the appropriate member(s) of the Board of Directors or, if none is specified, to the chair of the Board of Directors. For example, we will generally not forward a communication that is primarily commercial in nature, is improper or irrelevant, or is a request for general information about RTR.</w:t>
      </w:r>
    </w:p>
    <w:p>
      <w:pPr>
        <w:spacing w:after="0" w:line="355" w:lineRule="exact"/>
        <w:rPr>
          <w:sz w:val="20"/>
          <w:szCs w:val="20"/>
          <w:color w:val="auto"/>
        </w:rPr>
      </w:pPr>
    </w:p>
    <w:p>
      <w:pPr>
        <w:ind w:left="20" w:right="1800"/>
        <w:spacing w:after="0" w:line="290" w:lineRule="auto"/>
        <w:rPr>
          <w:sz w:val="20"/>
          <w:szCs w:val="20"/>
          <w:color w:val="auto"/>
        </w:rPr>
      </w:pPr>
      <w:r>
        <w:rPr>
          <w:rFonts w:ascii="Arial" w:cs="Arial" w:eastAsia="Arial" w:hAnsi="Arial"/>
          <w:sz w:val="36"/>
          <w:szCs w:val="36"/>
          <w:b w:val="1"/>
          <w:bCs w:val="1"/>
          <w:color w:val="auto"/>
        </w:rPr>
        <w:t>Policy for Recovery of Erroneously Awarded Compensation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Policy for Recovery of Erroneously Awarded Compensation (the “Clawback Policy”) is intended to comply with SEC and Nasdaq listing standards and maintain a culture of focused, diligent, and responsible management that discourages conduct detrimental to the growth of the Company. Accordingly, as set forth in the Clawback Policy, the Company is required to recover certain erroneously paid incentive-based compensation, including cash incentive or performance-vesting equity compensation, of its current and former executive officers in the event the Company is required to prepare a qualifying accounting restatement. A copy of the Clawback Policy was filed as Exhibit 97.1 to our 2025 Annual Report.</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Insider Trading Policy</w:t>
      </w:r>
    </w:p>
    <w:p>
      <w:pPr>
        <w:spacing w:after="0" w:line="212" w:lineRule="exact"/>
        <w:rPr>
          <w:sz w:val="20"/>
          <w:szCs w:val="20"/>
          <w:color w:val="auto"/>
        </w:rPr>
      </w:pPr>
    </w:p>
    <w:p>
      <w:pPr>
        <w:ind w:left="20" w:right="180"/>
        <w:spacing w:after="0" w:line="244" w:lineRule="auto"/>
        <w:rPr>
          <w:sz w:val="20"/>
          <w:szCs w:val="20"/>
          <w:color w:val="auto"/>
        </w:rPr>
      </w:pPr>
      <w:r>
        <w:rPr>
          <w:rFonts w:ascii="Arial" w:cs="Arial" w:eastAsia="Arial" w:hAnsi="Arial"/>
          <w:sz w:val="18"/>
          <w:szCs w:val="18"/>
          <w:color w:val="auto"/>
        </w:rPr>
        <w:t>We have adopted an Insider Trading Policy and procedures applicable to our directors, officers, and employees, that are reasonably designed to promote compliance with insider trading laws, rules and regulations, and Nasdaq listing standards. Under our Insider Trading Policy, our directors and employees, including our executive officers, are prohibited from pledging our securities or using such securities as collateral for a loan. A copy of our Insider Trading Policy was filed as Exhibit 19.1 to our 2025 Annual Report.</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40"/>
          </w:cols>
          <w:pgMar w:left="1180" w:top="114" w:right="1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Director Compensation</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discloses compensation earned by our non-employee directors during fiscal year 2025.</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120" w:type="dxa"/>
            <w:vAlign w:val="bottom"/>
            <w:shd w:val="clear" w:color="auto" w:fill="FFE8F5"/>
          </w:tcPr>
          <w:p>
            <w:pPr>
              <w:spacing w:after="0"/>
              <w:rPr>
                <w:sz w:val="22"/>
                <w:szCs w:val="22"/>
                <w:color w:val="auto"/>
              </w:rPr>
            </w:pPr>
          </w:p>
        </w:tc>
        <w:tc>
          <w:tcPr>
            <w:tcW w:w="2700" w:type="dxa"/>
            <w:vAlign w:val="bottom"/>
            <w:vMerge w:val="restart"/>
            <w:shd w:val="clear" w:color="auto" w:fill="FFE8F5"/>
          </w:tcPr>
          <w:p>
            <w:pPr>
              <w:ind w:left="40"/>
              <w:spacing w:after="0"/>
              <w:rPr>
                <w:sz w:val="20"/>
                <w:szCs w:val="20"/>
                <w:color w:val="auto"/>
              </w:rPr>
            </w:pPr>
            <w:r>
              <w:rPr>
                <w:rFonts w:ascii="Arial" w:cs="Arial" w:eastAsia="Arial" w:hAnsi="Arial"/>
                <w:sz w:val="14"/>
                <w:szCs w:val="14"/>
                <w:b w:val="1"/>
                <w:bCs w:val="1"/>
                <w:color w:val="auto"/>
              </w:rPr>
              <w:t>Director</w:t>
            </w:r>
          </w:p>
        </w:tc>
        <w:tc>
          <w:tcPr>
            <w:tcW w:w="2400" w:type="dxa"/>
            <w:vAlign w:val="bottom"/>
            <w:shd w:val="clear" w:color="auto" w:fill="FFE8F5"/>
          </w:tcPr>
          <w:p>
            <w:pPr>
              <w:ind w:left="1120"/>
              <w:spacing w:after="0"/>
              <w:rPr>
                <w:sz w:val="20"/>
                <w:szCs w:val="20"/>
                <w:color w:val="auto"/>
              </w:rPr>
            </w:pPr>
            <w:r>
              <w:rPr>
                <w:rFonts w:ascii="Arial" w:cs="Arial" w:eastAsia="Arial" w:hAnsi="Arial"/>
                <w:sz w:val="14"/>
                <w:szCs w:val="14"/>
                <w:b w:val="1"/>
                <w:bCs w:val="1"/>
                <w:color w:val="auto"/>
              </w:rPr>
              <w:t>Fees Earned or</w:t>
            </w:r>
          </w:p>
        </w:tc>
        <w:tc>
          <w:tcPr>
            <w:tcW w:w="1260" w:type="dxa"/>
            <w:vAlign w:val="bottom"/>
            <w:shd w:val="clear" w:color="auto" w:fill="FFE8F5"/>
          </w:tcPr>
          <w:p>
            <w:pPr>
              <w:ind w:left="180"/>
              <w:spacing w:after="0"/>
              <w:rPr>
                <w:sz w:val="20"/>
                <w:szCs w:val="20"/>
                <w:color w:val="auto"/>
              </w:rPr>
            </w:pPr>
            <w:r>
              <w:rPr>
                <w:rFonts w:ascii="Arial" w:cs="Arial" w:eastAsia="Arial" w:hAnsi="Arial"/>
                <w:sz w:val="14"/>
                <w:szCs w:val="14"/>
                <w:b w:val="1"/>
                <w:bCs w:val="1"/>
                <w:color w:val="auto"/>
              </w:rPr>
              <w:t>Stock</w:t>
            </w:r>
          </w:p>
        </w:tc>
        <w:tc>
          <w:tcPr>
            <w:tcW w:w="1420" w:type="dxa"/>
            <w:vAlign w:val="bottom"/>
            <w:shd w:val="clear" w:color="auto" w:fill="FFE8F5"/>
          </w:tcPr>
          <w:p>
            <w:pPr>
              <w:ind w:left="180"/>
              <w:spacing w:after="0"/>
              <w:rPr>
                <w:sz w:val="20"/>
                <w:szCs w:val="20"/>
                <w:color w:val="auto"/>
              </w:rPr>
            </w:pPr>
            <w:r>
              <w:rPr>
                <w:rFonts w:ascii="Arial" w:cs="Arial" w:eastAsia="Arial" w:hAnsi="Arial"/>
                <w:sz w:val="14"/>
                <w:szCs w:val="14"/>
                <w:b w:val="1"/>
                <w:bCs w:val="1"/>
                <w:color w:val="auto"/>
              </w:rPr>
              <w:t>All Other</w:t>
            </w:r>
          </w:p>
        </w:tc>
        <w:tc>
          <w:tcPr>
            <w:tcW w:w="1600" w:type="dxa"/>
            <w:vAlign w:val="bottom"/>
            <w:shd w:val="clear" w:color="auto" w:fill="FFE8F5"/>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2"/>
        </w:trPr>
        <w:tc>
          <w:tcPr>
            <w:tcW w:w="120" w:type="dxa"/>
            <w:vAlign w:val="bottom"/>
            <w:shd w:val="clear" w:color="auto" w:fill="FFE8F5"/>
          </w:tcPr>
          <w:p>
            <w:pPr>
              <w:spacing w:after="0"/>
              <w:rPr>
                <w:sz w:val="11"/>
                <w:szCs w:val="11"/>
                <w:color w:val="auto"/>
              </w:rPr>
            </w:pPr>
          </w:p>
        </w:tc>
        <w:tc>
          <w:tcPr>
            <w:tcW w:w="2700" w:type="dxa"/>
            <w:vAlign w:val="bottom"/>
            <w:vMerge w:val="continue"/>
            <w:shd w:val="clear" w:color="auto" w:fill="FFE8F5"/>
          </w:tcPr>
          <w:p>
            <w:pPr>
              <w:spacing w:after="0"/>
              <w:rPr>
                <w:sz w:val="11"/>
                <w:szCs w:val="11"/>
                <w:color w:val="auto"/>
              </w:rPr>
            </w:pPr>
          </w:p>
        </w:tc>
        <w:tc>
          <w:tcPr>
            <w:tcW w:w="2400" w:type="dxa"/>
            <w:vAlign w:val="bottom"/>
            <w:vMerge w:val="restart"/>
            <w:shd w:val="clear" w:color="auto" w:fill="FFE8F5"/>
          </w:tcPr>
          <w:p>
            <w:pPr>
              <w:ind w:left="1120"/>
              <w:spacing w:after="0"/>
              <w:rPr>
                <w:sz w:val="20"/>
                <w:szCs w:val="20"/>
                <w:color w:val="auto"/>
              </w:rPr>
            </w:pPr>
            <w:r>
              <w:rPr>
                <w:rFonts w:ascii="Arial" w:cs="Arial" w:eastAsia="Arial" w:hAnsi="Arial"/>
                <w:sz w:val="14"/>
                <w:szCs w:val="14"/>
                <w:b w:val="1"/>
                <w:bCs w:val="1"/>
                <w:color w:val="auto"/>
              </w:rPr>
              <w:t>Paid in Cash ($)</w:t>
            </w:r>
          </w:p>
        </w:tc>
        <w:tc>
          <w:tcPr>
            <w:tcW w:w="1260" w:type="dxa"/>
            <w:vAlign w:val="bottom"/>
            <w:vMerge w:val="restart"/>
            <w:shd w:val="clear" w:color="auto" w:fill="FFE8F5"/>
          </w:tcPr>
          <w:p>
            <w:pPr>
              <w:ind w:left="180"/>
              <w:spacing w:after="0"/>
              <w:rPr>
                <w:sz w:val="20"/>
                <w:szCs w:val="20"/>
                <w:color w:val="auto"/>
              </w:rPr>
            </w:pPr>
            <w:r>
              <w:rPr>
                <w:rFonts w:ascii="Arial" w:cs="Arial" w:eastAsia="Arial" w:hAnsi="Arial"/>
                <w:sz w:val="14"/>
                <w:szCs w:val="14"/>
                <w:b w:val="1"/>
                <w:bCs w:val="1"/>
                <w:color w:val="auto"/>
              </w:rPr>
              <w:t>Awards ($)</w:t>
            </w:r>
            <w:r>
              <w:rPr>
                <w:rFonts w:ascii="Arial" w:cs="Arial" w:eastAsia="Arial" w:hAnsi="Arial"/>
                <w:sz w:val="23"/>
                <w:szCs w:val="23"/>
                <w:b w:val="1"/>
                <w:bCs w:val="1"/>
                <w:color w:val="auto"/>
                <w:vertAlign w:val="superscript"/>
              </w:rPr>
              <w:t>(1)</w:t>
            </w:r>
          </w:p>
        </w:tc>
        <w:tc>
          <w:tcPr>
            <w:tcW w:w="1420" w:type="dxa"/>
            <w:vAlign w:val="bottom"/>
            <w:vMerge w:val="restart"/>
            <w:shd w:val="clear" w:color="auto" w:fill="FFE8F5"/>
          </w:tcPr>
          <w:p>
            <w:pPr>
              <w:ind w:left="180"/>
              <w:spacing w:after="0"/>
              <w:rPr>
                <w:sz w:val="20"/>
                <w:szCs w:val="20"/>
                <w:color w:val="auto"/>
              </w:rPr>
            </w:pPr>
            <w:r>
              <w:rPr>
                <w:rFonts w:ascii="Arial" w:cs="Arial" w:eastAsia="Arial" w:hAnsi="Arial"/>
                <w:sz w:val="14"/>
                <w:szCs w:val="14"/>
                <w:b w:val="1"/>
                <w:bCs w:val="1"/>
                <w:color w:val="auto"/>
              </w:rPr>
              <w:t>Compensation</w:t>
            </w:r>
          </w:p>
        </w:tc>
        <w:tc>
          <w:tcPr>
            <w:tcW w:w="1600" w:type="dxa"/>
            <w:vAlign w:val="bottom"/>
            <w:vMerge w:val="restart"/>
            <w:shd w:val="clear" w:color="auto" w:fill="FFE8F5"/>
          </w:tcPr>
          <w:p>
            <w:pPr>
              <w:ind w:left="180"/>
              <w:spacing w:after="0"/>
              <w:rPr>
                <w:sz w:val="20"/>
                <w:szCs w:val="20"/>
                <w:color w:val="auto"/>
              </w:rPr>
            </w:pPr>
            <w:r>
              <w:rPr>
                <w:rFonts w:ascii="Arial" w:cs="Arial" w:eastAsia="Arial" w:hAnsi="Arial"/>
                <w:sz w:val="14"/>
                <w:szCs w:val="14"/>
                <w:b w:val="1"/>
                <w:bCs w:val="1"/>
                <w:color w:val="auto"/>
              </w:rPr>
              <w:t>Compensation ($)</w:t>
            </w:r>
          </w:p>
        </w:tc>
        <w:tc>
          <w:tcPr>
            <w:tcW w:w="0" w:type="dxa"/>
            <w:vAlign w:val="bottom"/>
          </w:tcPr>
          <w:p>
            <w:pPr>
              <w:spacing w:after="0"/>
              <w:rPr>
                <w:sz w:val="1"/>
                <w:szCs w:val="1"/>
                <w:color w:val="auto"/>
              </w:rPr>
            </w:pPr>
          </w:p>
        </w:tc>
      </w:tr>
      <w:tr>
        <w:trPr>
          <w:trHeight w:val="164"/>
        </w:trPr>
        <w:tc>
          <w:tcPr>
            <w:tcW w:w="120" w:type="dxa"/>
            <w:vAlign w:val="bottom"/>
            <w:tcBorders>
              <w:bottom w:val="single" w:sz="8" w:color="auto"/>
            </w:tcBorders>
            <w:shd w:val="clear" w:color="auto" w:fill="FFE8F5"/>
          </w:tcPr>
          <w:p>
            <w:pPr>
              <w:spacing w:after="0"/>
              <w:rPr>
                <w:sz w:val="14"/>
                <w:szCs w:val="14"/>
                <w:color w:val="auto"/>
              </w:rPr>
            </w:pPr>
          </w:p>
        </w:tc>
        <w:tc>
          <w:tcPr>
            <w:tcW w:w="2700" w:type="dxa"/>
            <w:vAlign w:val="bottom"/>
            <w:tcBorders>
              <w:bottom w:val="single" w:sz="8" w:color="auto"/>
            </w:tcBorders>
            <w:shd w:val="clear" w:color="auto" w:fill="FFE8F5"/>
          </w:tcPr>
          <w:p>
            <w:pPr>
              <w:spacing w:after="0"/>
              <w:rPr>
                <w:sz w:val="14"/>
                <w:szCs w:val="14"/>
                <w:color w:val="auto"/>
              </w:rPr>
            </w:pPr>
          </w:p>
        </w:tc>
        <w:tc>
          <w:tcPr>
            <w:tcW w:w="2400" w:type="dxa"/>
            <w:vAlign w:val="bottom"/>
            <w:tcBorders>
              <w:bottom w:val="single" w:sz="8" w:color="auto"/>
            </w:tcBorders>
            <w:vMerge w:val="continue"/>
            <w:shd w:val="clear" w:color="auto" w:fill="FFE8F5"/>
          </w:tcPr>
          <w:p>
            <w:pPr>
              <w:spacing w:after="0"/>
              <w:rPr>
                <w:sz w:val="14"/>
                <w:szCs w:val="14"/>
                <w:color w:val="auto"/>
              </w:rPr>
            </w:pPr>
          </w:p>
        </w:tc>
        <w:tc>
          <w:tcPr>
            <w:tcW w:w="1260" w:type="dxa"/>
            <w:vAlign w:val="bottom"/>
            <w:tcBorders>
              <w:bottom w:val="single" w:sz="8" w:color="auto"/>
            </w:tcBorders>
            <w:vMerge w:val="continue"/>
            <w:shd w:val="clear" w:color="auto" w:fill="FFE8F5"/>
          </w:tcPr>
          <w:p>
            <w:pPr>
              <w:spacing w:after="0"/>
              <w:rPr>
                <w:sz w:val="14"/>
                <w:szCs w:val="14"/>
                <w:color w:val="auto"/>
              </w:rPr>
            </w:pPr>
          </w:p>
        </w:tc>
        <w:tc>
          <w:tcPr>
            <w:tcW w:w="1420" w:type="dxa"/>
            <w:vAlign w:val="bottom"/>
            <w:tcBorders>
              <w:bottom w:val="single" w:sz="8" w:color="auto"/>
            </w:tcBorders>
            <w:vMerge w:val="continue"/>
            <w:shd w:val="clear" w:color="auto" w:fill="FFE8F5"/>
          </w:tcPr>
          <w:p>
            <w:pPr>
              <w:spacing w:after="0"/>
              <w:rPr>
                <w:sz w:val="14"/>
                <w:szCs w:val="14"/>
                <w:color w:val="auto"/>
              </w:rPr>
            </w:pPr>
          </w:p>
        </w:tc>
        <w:tc>
          <w:tcPr>
            <w:tcW w:w="1600" w:type="dxa"/>
            <w:vAlign w:val="bottom"/>
            <w:tcBorders>
              <w:bottom w:val="single" w:sz="8" w:color="auto"/>
            </w:tcBorders>
            <w:vMerge w:val="continue"/>
            <w:shd w:val="clear" w:color="auto" w:fill="FFE8F5"/>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Teri Bariquit</w:t>
            </w:r>
          </w:p>
        </w:tc>
        <w:tc>
          <w:tcPr>
            <w:tcW w:w="2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19,565</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141,446</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30,000</w:t>
            </w:r>
            <w:r>
              <w:rPr>
                <w:rFonts w:ascii="Arial" w:cs="Arial" w:eastAsia="Arial" w:hAnsi="Arial"/>
                <w:sz w:val="23"/>
                <w:szCs w:val="23"/>
                <w:color w:val="auto"/>
                <w:vertAlign w:val="superscript"/>
              </w:rPr>
              <w:t>(2)</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191,011</w:t>
            </w: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2700" w:type="dxa"/>
            <w:vAlign w:val="bottom"/>
          </w:tcPr>
          <w:p>
            <w:pPr>
              <w:ind w:left="40"/>
              <w:spacing w:after="0"/>
              <w:rPr>
                <w:sz w:val="20"/>
                <w:szCs w:val="20"/>
                <w:color w:val="auto"/>
              </w:rPr>
            </w:pPr>
            <w:r>
              <w:rPr>
                <w:rFonts w:ascii="Arial" w:cs="Arial" w:eastAsia="Arial" w:hAnsi="Arial"/>
                <w:sz w:val="14"/>
                <w:szCs w:val="14"/>
                <w:color w:val="auto"/>
              </w:rPr>
              <w:t>Tim Bixby</w:t>
            </w:r>
          </w:p>
        </w:tc>
        <w:tc>
          <w:tcPr>
            <w:tcW w:w="2400" w:type="dxa"/>
            <w:vAlign w:val="bottom"/>
          </w:tcPr>
          <w:p>
            <w:pPr>
              <w:jc w:val="right"/>
              <w:ind w:right="88"/>
              <w:spacing w:after="0"/>
              <w:rPr>
                <w:sz w:val="20"/>
                <w:szCs w:val="20"/>
                <w:color w:val="auto"/>
              </w:rPr>
            </w:pPr>
            <w:r>
              <w:rPr>
                <w:rFonts w:ascii="Arial" w:cs="Arial" w:eastAsia="Arial" w:hAnsi="Arial"/>
                <w:sz w:val="14"/>
                <w:szCs w:val="14"/>
                <w:color w:val="auto"/>
              </w:rPr>
              <w:t>123,573</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8,543</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132,116</w:t>
            </w:r>
          </w:p>
        </w:tc>
        <w:tc>
          <w:tcPr>
            <w:tcW w:w="0" w:type="dxa"/>
            <w:vAlign w:val="bottom"/>
          </w:tcPr>
          <w:p>
            <w:pPr>
              <w:spacing w:after="0"/>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Peter Comisar</w:t>
            </w:r>
            <w:r>
              <w:rPr>
                <w:rFonts w:ascii="Arial" w:cs="Arial" w:eastAsia="Arial" w:hAnsi="Arial"/>
                <w:sz w:val="23"/>
                <w:szCs w:val="23"/>
                <w:color w:val="auto"/>
                <w:vertAlign w:val="superscript"/>
              </w:rPr>
              <w:t>(3)</w:t>
            </w:r>
          </w:p>
        </w:tc>
        <w:tc>
          <w:tcPr>
            <w:tcW w:w="2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2700" w:type="dxa"/>
            <w:vAlign w:val="bottom"/>
          </w:tcPr>
          <w:p>
            <w:pPr>
              <w:ind w:left="40"/>
              <w:spacing w:after="0"/>
              <w:rPr>
                <w:sz w:val="20"/>
                <w:szCs w:val="20"/>
                <w:color w:val="auto"/>
              </w:rPr>
            </w:pPr>
            <w:r>
              <w:rPr>
                <w:rFonts w:ascii="Arial" w:cs="Arial" w:eastAsia="Arial" w:hAnsi="Arial"/>
                <w:sz w:val="14"/>
                <w:szCs w:val="14"/>
                <w:color w:val="auto"/>
              </w:rPr>
              <w:t>Jennifer Fleiss</w:t>
            </w:r>
          </w:p>
        </w:tc>
        <w:tc>
          <w:tcPr>
            <w:tcW w:w="2400" w:type="dxa"/>
            <w:vAlign w:val="bottom"/>
          </w:tcPr>
          <w:p>
            <w:pPr>
              <w:jc w:val="right"/>
              <w:ind w:right="88"/>
              <w:spacing w:after="0"/>
              <w:rPr>
                <w:sz w:val="20"/>
                <w:szCs w:val="20"/>
                <w:color w:val="auto"/>
              </w:rPr>
            </w:pPr>
            <w:r>
              <w:rPr>
                <w:rFonts w:ascii="Arial" w:cs="Arial" w:eastAsia="Arial" w:hAnsi="Arial"/>
                <w:sz w:val="14"/>
                <w:szCs w:val="14"/>
                <w:color w:val="auto"/>
              </w:rPr>
              <w:t>59,348</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8,543</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67,891</w:t>
            </w: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Scott Friend</w:t>
            </w:r>
            <w:r>
              <w:rPr>
                <w:rFonts w:ascii="Arial" w:cs="Arial" w:eastAsia="Arial" w:hAnsi="Arial"/>
                <w:sz w:val="23"/>
                <w:szCs w:val="23"/>
                <w:color w:val="auto"/>
                <w:vertAlign w:val="superscript"/>
              </w:rPr>
              <w:t>(4)</w:t>
            </w:r>
          </w:p>
        </w:tc>
        <w:tc>
          <w:tcPr>
            <w:tcW w:w="2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Damian Giangiacomo</w:t>
            </w:r>
            <w:r>
              <w:rPr>
                <w:rFonts w:ascii="Arial" w:cs="Arial" w:eastAsia="Arial" w:hAnsi="Arial"/>
                <w:sz w:val="23"/>
                <w:szCs w:val="23"/>
                <w:color w:val="auto"/>
                <w:vertAlign w:val="superscript"/>
              </w:rPr>
              <w:t>(3)</w:t>
            </w:r>
          </w:p>
        </w:tc>
        <w:tc>
          <w:tcPr>
            <w:tcW w:w="2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2700" w:type="dxa"/>
            <w:vAlign w:val="bottom"/>
          </w:tcPr>
          <w:p>
            <w:pPr>
              <w:ind w:left="40"/>
              <w:spacing w:after="0"/>
              <w:rPr>
                <w:sz w:val="20"/>
                <w:szCs w:val="20"/>
                <w:color w:val="auto"/>
              </w:rPr>
            </w:pPr>
            <w:r>
              <w:rPr>
                <w:rFonts w:ascii="Arial" w:cs="Arial" w:eastAsia="Arial" w:hAnsi="Arial"/>
                <w:sz w:val="14"/>
                <w:szCs w:val="14"/>
                <w:color w:val="auto"/>
              </w:rPr>
              <w:t>Beth Kaplan</w:t>
            </w:r>
          </w:p>
        </w:tc>
        <w:tc>
          <w:tcPr>
            <w:tcW w:w="2400" w:type="dxa"/>
            <w:vAlign w:val="bottom"/>
          </w:tcPr>
          <w:p>
            <w:pPr>
              <w:jc w:val="right"/>
              <w:ind w:right="88"/>
              <w:spacing w:after="0"/>
              <w:rPr>
                <w:sz w:val="20"/>
                <w:szCs w:val="20"/>
                <w:color w:val="auto"/>
              </w:rPr>
            </w:pPr>
            <w:r>
              <w:rPr>
                <w:rFonts w:ascii="Arial" w:cs="Arial" w:eastAsia="Arial" w:hAnsi="Arial"/>
                <w:sz w:val="14"/>
                <w:szCs w:val="14"/>
                <w:color w:val="auto"/>
              </w:rPr>
              <w:t>122,405</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8,543</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130,948</w:t>
            </w:r>
          </w:p>
        </w:tc>
        <w:tc>
          <w:tcPr>
            <w:tcW w:w="0" w:type="dxa"/>
            <w:vAlign w:val="bottom"/>
          </w:tcPr>
          <w:p>
            <w:pPr>
              <w:spacing w:after="0"/>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Emil Michael</w:t>
            </w:r>
            <w:r>
              <w:rPr>
                <w:rFonts w:ascii="Arial" w:cs="Arial" w:eastAsia="Arial" w:hAnsi="Arial"/>
                <w:sz w:val="23"/>
                <w:szCs w:val="23"/>
                <w:color w:val="auto"/>
                <w:vertAlign w:val="superscript"/>
              </w:rPr>
              <w:t>(5)</w:t>
            </w:r>
          </w:p>
        </w:tc>
        <w:tc>
          <w:tcPr>
            <w:tcW w:w="2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12,500</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Gwyneth Paltrow</w:t>
            </w:r>
            <w:r>
              <w:rPr>
                <w:rFonts w:ascii="Arial" w:cs="Arial" w:eastAsia="Arial" w:hAnsi="Arial"/>
                <w:sz w:val="23"/>
                <w:szCs w:val="23"/>
                <w:color w:val="auto"/>
                <w:vertAlign w:val="superscript"/>
              </w:rPr>
              <w:t>(6)</w:t>
            </w:r>
          </w:p>
        </w:tc>
        <w:tc>
          <w:tcPr>
            <w:tcW w:w="2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41,372</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8,543</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49,915</w:t>
            </w: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2700" w:type="dxa"/>
            <w:vAlign w:val="bottom"/>
          </w:tcPr>
          <w:p>
            <w:pPr>
              <w:ind w:left="40"/>
              <w:spacing w:after="0"/>
              <w:rPr>
                <w:sz w:val="20"/>
                <w:szCs w:val="20"/>
                <w:color w:val="auto"/>
              </w:rPr>
            </w:pPr>
            <w:r>
              <w:rPr>
                <w:rFonts w:ascii="Arial" w:cs="Arial" w:eastAsia="Arial" w:hAnsi="Arial"/>
                <w:sz w:val="14"/>
                <w:szCs w:val="14"/>
                <w:color w:val="auto"/>
              </w:rPr>
              <w:t>Daniel Rosensweig</w:t>
            </w:r>
          </w:p>
        </w:tc>
        <w:tc>
          <w:tcPr>
            <w:tcW w:w="2400" w:type="dxa"/>
            <w:vAlign w:val="bottom"/>
          </w:tcPr>
          <w:p>
            <w:pPr>
              <w:jc w:val="right"/>
              <w:ind w:right="88"/>
              <w:spacing w:after="0"/>
              <w:rPr>
                <w:sz w:val="20"/>
                <w:szCs w:val="20"/>
                <w:color w:val="auto"/>
              </w:rPr>
            </w:pPr>
            <w:r>
              <w:rPr>
                <w:rFonts w:ascii="Arial" w:cs="Arial" w:eastAsia="Arial" w:hAnsi="Arial"/>
                <w:sz w:val="14"/>
                <w:szCs w:val="14"/>
                <w:color w:val="auto"/>
              </w:rPr>
              <w:t>95,380</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149,989</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245,369</w:t>
            </w: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2700" w:type="dxa"/>
            <w:vAlign w:val="bottom"/>
          </w:tcPr>
          <w:p>
            <w:pPr>
              <w:ind w:left="40"/>
              <w:spacing w:after="0"/>
              <w:rPr>
                <w:sz w:val="20"/>
                <w:szCs w:val="20"/>
                <w:color w:val="auto"/>
              </w:rPr>
            </w:pPr>
            <w:r>
              <w:rPr>
                <w:rFonts w:ascii="Arial" w:cs="Arial" w:eastAsia="Arial" w:hAnsi="Arial"/>
                <w:sz w:val="14"/>
                <w:szCs w:val="14"/>
                <w:color w:val="auto"/>
              </w:rPr>
              <w:t>Mike Roth</w:t>
            </w:r>
          </w:p>
        </w:tc>
        <w:tc>
          <w:tcPr>
            <w:tcW w:w="2400" w:type="dxa"/>
            <w:vAlign w:val="bottom"/>
          </w:tcPr>
          <w:p>
            <w:pPr>
              <w:jc w:val="right"/>
              <w:ind w:right="88"/>
              <w:spacing w:after="0"/>
              <w:rPr>
                <w:sz w:val="20"/>
                <w:szCs w:val="20"/>
                <w:color w:val="auto"/>
              </w:rPr>
            </w:pPr>
            <w:r>
              <w:rPr>
                <w:rFonts w:ascii="Arial" w:cs="Arial" w:eastAsia="Arial" w:hAnsi="Arial"/>
                <w:sz w:val="14"/>
                <w:szCs w:val="14"/>
                <w:color w:val="auto"/>
              </w:rPr>
              <w:t>55,639</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8,543</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64,182</w:t>
            </w:r>
          </w:p>
        </w:tc>
        <w:tc>
          <w:tcPr>
            <w:tcW w:w="0" w:type="dxa"/>
            <w:vAlign w:val="bottom"/>
          </w:tcPr>
          <w:p>
            <w:pPr>
              <w:spacing w:after="0"/>
              <w:rPr>
                <w:sz w:val="1"/>
                <w:szCs w:val="1"/>
                <w:color w:val="auto"/>
              </w:rPr>
            </w:pPr>
          </w:p>
        </w:tc>
      </w:tr>
      <w:tr>
        <w:trPr>
          <w:trHeight w:val="35"/>
        </w:trPr>
        <w:tc>
          <w:tcPr>
            <w:tcW w:w="12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right="60" w:hanging="359"/>
        <w:spacing w:after="0" w:line="245"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value disclosed is the aggregate grant date fair value of restricted stock units (“RSUs”) granted to the non-employee directors in fiscal year 2025 (except Messrs. Comisar, Friend, Giangiacomo and Michael, each of whom did not receive a grant of RSUs during fiscal year 2025), computed in accordance with FASB ASC Topic 718, rather than the amounts paid to or realized by the named individual (including with respect to the RSUs that accelerated and vested on the Recapitalization Date). Assumptions used in the calculation of the grant date fair value are set forth in Note 14—Share-based Compensation Plans in our 2025 Annual Report. RSUs granted to our non-employee directors in fiscal year</w:t>
      </w:r>
    </w:p>
    <w:p>
      <w:pPr>
        <w:spacing w:after="0" w:line="2" w:lineRule="exact"/>
        <w:rPr>
          <w:rFonts w:ascii="Arial" w:cs="Arial" w:eastAsia="Arial" w:hAnsi="Arial"/>
          <w:sz w:val="14"/>
          <w:szCs w:val="14"/>
          <w:color w:val="auto"/>
        </w:rPr>
      </w:pPr>
    </w:p>
    <w:p>
      <w:pPr>
        <w:ind w:left="380" w:right="200"/>
        <w:spacing w:after="0" w:line="252" w:lineRule="auto"/>
        <w:rPr>
          <w:rFonts w:ascii="Arial" w:cs="Arial" w:eastAsia="Arial" w:hAnsi="Arial"/>
          <w:sz w:val="14"/>
          <w:szCs w:val="14"/>
          <w:color w:val="auto"/>
        </w:rPr>
      </w:pPr>
      <w:r>
        <w:rPr>
          <w:rFonts w:ascii="Arial" w:cs="Arial" w:eastAsia="Arial" w:hAnsi="Arial"/>
          <w:sz w:val="14"/>
          <w:szCs w:val="14"/>
          <w:color w:val="auto"/>
        </w:rPr>
        <w:t>2025 generally vest on the earlier of (i) the next occurring annual meeting of our Stockholders or (ii) the first anniversary of the grant date (or, with respect to RSUs granted to our non-employee directors after the Recapitalization Date), July 8, 2026, subject to the non-employee director’s continued service through the applicable vesting date.</w:t>
      </w:r>
    </w:p>
    <w:p>
      <w:pPr>
        <w:spacing w:after="0" w:line="18" w:lineRule="exact"/>
        <w:rPr>
          <w:rFonts w:ascii="Arial" w:cs="Arial" w:eastAsia="Arial" w:hAnsi="Arial"/>
          <w:sz w:val="14"/>
          <w:szCs w:val="14"/>
          <w:color w:val="auto"/>
        </w:rPr>
      </w:pPr>
    </w:p>
    <w:p>
      <w:pPr>
        <w:ind w:left="380" w:hanging="359"/>
        <w:spacing w:after="0" w:line="263" w:lineRule="auto"/>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consulting fees earned pursuant to the Consulting Services Agreement entered into between the Company and Ms. Bariquit, dated as of November 1, 2025 (the “Consulting Services Agreement”). For a description of the Consulting Services Agreement, please see the section of this Proxy Statement entitled “Non-Employee Director Compensation Following the Recapitalization Transactions”.</w:t>
      </w:r>
    </w:p>
    <w:p>
      <w:pPr>
        <w:spacing w:after="0" w:line="10" w:lineRule="exact"/>
        <w:rPr>
          <w:rFonts w:ascii="Arial" w:cs="Arial" w:eastAsia="Arial" w:hAnsi="Arial"/>
          <w:sz w:val="14"/>
          <w:szCs w:val="14"/>
          <w:color w:val="auto"/>
        </w:rPr>
      </w:pPr>
    </w:p>
    <w:p>
      <w:pPr>
        <w:ind w:left="380" w:hanging="359"/>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Mr. Comisar and Mr. Giangiacomo waived all future director compensation fees effective October 28, 2025.</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Mr. Friend waived all future director compensation fees effective October 8, 2024.</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Mr. Michael resigned from the Board of Directors effective March 1, 2025, and received fees prorated through the date of his resignation.</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Ms. Paltrow resigned from the Board of Directors effective August 19, 2025 and received fees prorated through the date of her resignation.</w:t>
      </w:r>
    </w:p>
    <w:p>
      <w:pPr>
        <w:spacing w:after="0" w:line="180" w:lineRule="exact"/>
        <w:rPr>
          <w:sz w:val="20"/>
          <w:szCs w:val="20"/>
          <w:color w:val="auto"/>
        </w:rPr>
      </w:pPr>
    </w:p>
    <w:p>
      <w:pPr>
        <w:ind w:left="20" w:right="320"/>
        <w:spacing w:after="0" w:line="271" w:lineRule="auto"/>
        <w:rPr>
          <w:sz w:val="20"/>
          <w:szCs w:val="20"/>
          <w:color w:val="auto"/>
        </w:rPr>
      </w:pPr>
      <w:r>
        <w:rPr>
          <w:rFonts w:ascii="Arial" w:cs="Arial" w:eastAsia="Arial" w:hAnsi="Arial"/>
          <w:sz w:val="18"/>
          <w:szCs w:val="18"/>
          <w:color w:val="auto"/>
        </w:rPr>
        <w:t>The table below shows for each non-employee director who was serving, and held outstanding equity awards, as of January 31, 2026, the aggregate number of RSUs held by each such non-employee director as of such date.</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356"/>
        </w:trPr>
        <w:tc>
          <w:tcPr>
            <w:tcW w:w="5080" w:type="dxa"/>
            <w:vAlign w:val="bottom"/>
            <w:tcBorders>
              <w:bottom w:val="single" w:sz="8" w:color="FFE8F5"/>
            </w:tcBorders>
            <w:shd w:val="clear" w:color="auto" w:fill="FFE8F5"/>
          </w:tcPr>
          <w:p>
            <w:pPr>
              <w:ind w:left="140"/>
              <w:spacing w:after="0"/>
              <w:rPr>
                <w:sz w:val="20"/>
                <w:szCs w:val="20"/>
                <w:color w:val="auto"/>
              </w:rPr>
            </w:pPr>
            <w:r>
              <w:rPr>
                <w:rFonts w:ascii="Arial" w:cs="Arial" w:eastAsia="Arial" w:hAnsi="Arial"/>
                <w:sz w:val="14"/>
                <w:szCs w:val="14"/>
                <w:b w:val="1"/>
                <w:bCs w:val="1"/>
                <w:color w:val="auto"/>
              </w:rPr>
              <w:t>Director</w:t>
            </w:r>
          </w:p>
        </w:tc>
        <w:tc>
          <w:tcPr>
            <w:tcW w:w="4420" w:type="dxa"/>
            <w:vAlign w:val="bottom"/>
            <w:tcBorders>
              <w:bottom w:val="single" w:sz="8" w:color="FFE8F5"/>
            </w:tcBorders>
            <w:shd w:val="clear" w:color="auto" w:fill="FFE8F5"/>
          </w:tcPr>
          <w:p>
            <w:pPr>
              <w:jc w:val="right"/>
              <w:ind w:right="48"/>
              <w:spacing w:after="0"/>
              <w:rPr>
                <w:sz w:val="20"/>
                <w:szCs w:val="20"/>
                <w:color w:val="auto"/>
              </w:rPr>
            </w:pPr>
            <w:r>
              <w:rPr>
                <w:rFonts w:ascii="Arial" w:cs="Arial" w:eastAsia="Arial" w:hAnsi="Arial"/>
                <w:sz w:val="14"/>
                <w:szCs w:val="14"/>
                <w:b w:val="1"/>
                <w:bCs w:val="1"/>
                <w:color w:val="auto"/>
              </w:rPr>
              <w:t>RSUs (#)</w:t>
            </w:r>
          </w:p>
        </w:tc>
      </w:tr>
      <w:tr>
        <w:trPr>
          <w:trHeight w:val="242"/>
        </w:trPr>
        <w:tc>
          <w:tcPr>
            <w:tcW w:w="508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Teri Bariquit</w:t>
            </w:r>
          </w:p>
        </w:tc>
        <w:tc>
          <w:tcPr>
            <w:tcW w:w="44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16,759</w:t>
            </w:r>
          </w:p>
        </w:tc>
      </w:tr>
      <w:tr>
        <w:trPr>
          <w:trHeight w:val="48"/>
        </w:trPr>
        <w:tc>
          <w:tcPr>
            <w:tcW w:w="508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r>
      <w:tr>
        <w:trPr>
          <w:trHeight w:val="242"/>
        </w:trPr>
        <w:tc>
          <w:tcPr>
            <w:tcW w:w="5080" w:type="dxa"/>
            <w:vAlign w:val="bottom"/>
          </w:tcPr>
          <w:p>
            <w:pPr>
              <w:ind w:left="140"/>
              <w:spacing w:after="0"/>
              <w:rPr>
                <w:sz w:val="20"/>
                <w:szCs w:val="20"/>
                <w:color w:val="auto"/>
              </w:rPr>
            </w:pPr>
            <w:r>
              <w:rPr>
                <w:rFonts w:ascii="Arial" w:cs="Arial" w:eastAsia="Arial" w:hAnsi="Arial"/>
                <w:sz w:val="14"/>
                <w:szCs w:val="14"/>
                <w:color w:val="auto"/>
              </w:rPr>
              <w:t>Daniel Rosensweig</w:t>
            </w:r>
          </w:p>
        </w:tc>
        <w:tc>
          <w:tcPr>
            <w:tcW w:w="4420" w:type="dxa"/>
            <w:vAlign w:val="bottom"/>
          </w:tcPr>
          <w:p>
            <w:pPr>
              <w:jc w:val="right"/>
              <w:ind w:right="28"/>
              <w:spacing w:after="0"/>
              <w:rPr>
                <w:sz w:val="20"/>
                <w:szCs w:val="20"/>
                <w:color w:val="auto"/>
              </w:rPr>
            </w:pPr>
            <w:r>
              <w:rPr>
                <w:rFonts w:ascii="Arial" w:cs="Arial" w:eastAsia="Arial" w:hAnsi="Arial"/>
                <w:sz w:val="14"/>
                <w:szCs w:val="14"/>
                <w:color w:val="auto"/>
              </w:rPr>
              <w:t>16,759</w:t>
            </w:r>
          </w:p>
        </w:tc>
      </w:tr>
      <w:tr>
        <w:trPr>
          <w:trHeight w:val="35"/>
        </w:trPr>
        <w:tc>
          <w:tcPr>
            <w:tcW w:w="508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Non-Employee Director Compensation Prior to the Recapitalization Date</w:t>
      </w:r>
    </w:p>
    <w:p>
      <w:pPr>
        <w:spacing w:after="0" w:line="171" w:lineRule="exact"/>
        <w:rPr>
          <w:sz w:val="20"/>
          <w:szCs w:val="20"/>
          <w:color w:val="auto"/>
        </w:rPr>
      </w:pPr>
    </w:p>
    <w:p>
      <w:pPr>
        <w:ind w:left="20" w:right="160"/>
        <w:spacing w:after="0" w:line="242" w:lineRule="auto"/>
        <w:rPr>
          <w:sz w:val="20"/>
          <w:szCs w:val="20"/>
          <w:color w:val="auto"/>
        </w:rPr>
      </w:pPr>
      <w:r>
        <w:rPr>
          <w:rFonts w:ascii="Arial" w:cs="Arial" w:eastAsia="Arial" w:hAnsi="Arial"/>
          <w:sz w:val="18"/>
          <w:szCs w:val="18"/>
          <w:color w:val="auto"/>
        </w:rPr>
        <w:t>In October 2021, we adopted a formal non-employee director compensation program upon the completion of our IPO, which was further updated for fiscal year 2024 and remained in effect for fiscal year 2025 as described below until the Recapitalization Date (the “Pre-Recap NED Policy”). Pursuant to the Pre-Recap NED Policy, each non-employee director received a mixture of equity and cash compensation. Following the Recapitalization Date, the Non-Employee Director Compensation program was terminated by the Board, effective as of October 28, 2025, and replaced by the Post-Recap NED Policy (as discussed below).</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Compensation</w:t>
      </w:r>
    </w:p>
    <w:p>
      <w:pPr>
        <w:spacing w:after="0" w:line="171"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For the portion of fiscal year 2025 prior to the Recapitalization Date, each non-employee director was eligible to receive an annual cash retainer of $75,000 paid quarterly in arrears under the Pre-Recap NED Policy as well as an additional fee (as set forth in the table below) for certain service on a committee of our Board. Cash compensation payable under the Pre-Recap NED Policy was pro-rated through the Recapitalization Date.</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Committee Service</w:t>
      </w:r>
    </w:p>
    <w:p>
      <w:pPr>
        <w:spacing w:after="0" w:line="134" w:lineRule="exact"/>
        <w:rPr>
          <w:sz w:val="20"/>
          <w:szCs w:val="20"/>
          <w:color w:val="auto"/>
        </w:rPr>
      </w:pPr>
    </w:p>
    <w:tbl>
      <w:tblPr>
        <w:tblLayout w:type="fixed"/>
        <w:tblInd w:w="1960" w:type="dxa"/>
        <w:tblCellMar>
          <w:top w:w="0" w:type="dxa"/>
          <w:left w:w="0" w:type="dxa"/>
          <w:bottom w:w="0" w:type="dxa"/>
          <w:right w:w="0" w:type="dxa"/>
        </w:tblCellMar>
      </w:tblPr>
      <w:tr>
        <w:trPr>
          <w:trHeight w:val="295"/>
        </w:trPr>
        <w:tc>
          <w:tcPr>
            <w:tcW w:w="3700" w:type="dxa"/>
            <w:vAlign w:val="bottom"/>
            <w:shd w:val="clear" w:color="auto" w:fill="FFE8F5"/>
          </w:tcPr>
          <w:p>
            <w:pPr>
              <w:spacing w:after="0"/>
              <w:rPr>
                <w:sz w:val="24"/>
                <w:szCs w:val="24"/>
                <w:color w:val="auto"/>
              </w:rPr>
            </w:pPr>
          </w:p>
        </w:tc>
        <w:tc>
          <w:tcPr>
            <w:tcW w:w="1920" w:type="dxa"/>
            <w:vAlign w:val="bottom"/>
            <w:shd w:val="clear" w:color="auto" w:fill="FFE8F5"/>
          </w:tcPr>
          <w:p>
            <w:pPr>
              <w:jc w:val="right"/>
              <w:ind w:right="68"/>
              <w:spacing w:after="0"/>
              <w:rPr>
                <w:sz w:val="20"/>
                <w:szCs w:val="20"/>
                <w:color w:val="auto"/>
              </w:rPr>
            </w:pPr>
            <w:r>
              <w:rPr>
                <w:rFonts w:ascii="Arial" w:cs="Arial" w:eastAsia="Arial" w:hAnsi="Arial"/>
                <w:sz w:val="14"/>
                <w:szCs w:val="14"/>
                <w:b w:val="1"/>
                <w:bCs w:val="1"/>
                <w:color w:val="auto"/>
              </w:rPr>
              <w:t>Retainer</w:t>
            </w:r>
          </w:p>
        </w:tc>
      </w:tr>
      <w:tr>
        <w:trPr>
          <w:trHeight w:val="70"/>
        </w:trPr>
        <w:tc>
          <w:tcPr>
            <w:tcW w:w="3700" w:type="dxa"/>
            <w:vAlign w:val="bottom"/>
            <w:tcBorders>
              <w:bottom w:val="single" w:sz="8" w:color="auto"/>
            </w:tcBorders>
            <w:shd w:val="clear" w:color="auto" w:fill="FFE8F5"/>
          </w:tcPr>
          <w:p>
            <w:pPr>
              <w:spacing w:after="0"/>
              <w:rPr>
                <w:sz w:val="6"/>
                <w:szCs w:val="6"/>
                <w:color w:val="auto"/>
              </w:rPr>
            </w:pPr>
          </w:p>
        </w:tc>
        <w:tc>
          <w:tcPr>
            <w:tcW w:w="1920" w:type="dxa"/>
            <w:vAlign w:val="bottom"/>
            <w:tcBorders>
              <w:bottom w:val="single" w:sz="8" w:color="auto"/>
            </w:tcBorders>
            <w:shd w:val="clear" w:color="auto" w:fill="FFE8F5"/>
          </w:tcPr>
          <w:p>
            <w:pPr>
              <w:spacing w:after="0"/>
              <w:rPr>
                <w:sz w:val="6"/>
                <w:szCs w:val="6"/>
                <w:color w:val="auto"/>
              </w:rPr>
            </w:pPr>
          </w:p>
        </w:tc>
      </w:tr>
      <w:tr>
        <w:trPr>
          <w:trHeight w:val="269"/>
        </w:trPr>
        <w:tc>
          <w:tcPr>
            <w:tcW w:w="3700" w:type="dxa"/>
            <w:vAlign w:val="bottom"/>
          </w:tcPr>
          <w:p>
            <w:pPr>
              <w:ind w:left="160"/>
              <w:spacing w:after="0"/>
              <w:rPr>
                <w:sz w:val="20"/>
                <w:szCs w:val="20"/>
                <w:color w:val="auto"/>
              </w:rPr>
            </w:pPr>
            <w:r>
              <w:rPr>
                <w:rFonts w:ascii="Arial" w:cs="Arial" w:eastAsia="Arial" w:hAnsi="Arial"/>
                <w:sz w:val="14"/>
                <w:szCs w:val="14"/>
                <w:color w:val="auto"/>
              </w:rPr>
              <w:t>Finance Committee Member</w:t>
            </w: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$75,000</w:t>
            </w:r>
          </w:p>
        </w:tc>
      </w:tr>
      <w:tr>
        <w:trPr>
          <w:trHeight w:val="75"/>
        </w:trPr>
        <w:tc>
          <w:tcPr>
            <w:tcW w:w="370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r>
      <w:tr>
        <w:trPr>
          <w:trHeight w:val="256"/>
        </w:trPr>
        <w:tc>
          <w:tcPr>
            <w:tcW w:w="3700" w:type="dxa"/>
            <w:vAlign w:val="bottom"/>
          </w:tcPr>
          <w:p>
            <w:pPr>
              <w:ind w:left="160"/>
              <w:spacing w:after="0"/>
              <w:rPr>
                <w:sz w:val="20"/>
                <w:szCs w:val="20"/>
                <w:color w:val="auto"/>
              </w:rPr>
            </w:pPr>
            <w:r>
              <w:rPr>
                <w:rFonts w:ascii="Arial" w:cs="Arial" w:eastAsia="Arial" w:hAnsi="Arial"/>
                <w:sz w:val="14"/>
                <w:szCs w:val="14"/>
                <w:color w:val="auto"/>
              </w:rPr>
              <w:t>Audit Committee Chair</w:t>
            </w: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$25,000</w:t>
            </w:r>
          </w:p>
        </w:tc>
      </w:tr>
      <w:tr>
        <w:trPr>
          <w:trHeight w:val="76"/>
        </w:trPr>
        <w:tc>
          <w:tcPr>
            <w:tcW w:w="370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r>
      <w:tr>
        <w:trPr>
          <w:trHeight w:val="255"/>
        </w:trPr>
        <w:tc>
          <w:tcPr>
            <w:tcW w:w="3700" w:type="dxa"/>
            <w:vAlign w:val="bottom"/>
          </w:tcPr>
          <w:p>
            <w:pPr>
              <w:ind w:left="160"/>
              <w:spacing w:after="0"/>
              <w:rPr>
                <w:sz w:val="20"/>
                <w:szCs w:val="20"/>
                <w:color w:val="auto"/>
              </w:rPr>
            </w:pPr>
            <w:r>
              <w:rPr>
                <w:rFonts w:ascii="Arial" w:cs="Arial" w:eastAsia="Arial" w:hAnsi="Arial"/>
                <w:sz w:val="14"/>
                <w:szCs w:val="14"/>
                <w:color w:val="auto"/>
              </w:rPr>
              <w:t>Compensation Committee Chair</w:t>
            </w: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$15,000</w:t>
            </w:r>
          </w:p>
        </w:tc>
      </w:tr>
      <w:tr>
        <w:trPr>
          <w:trHeight w:val="76"/>
        </w:trPr>
        <w:tc>
          <w:tcPr>
            <w:tcW w:w="370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r>
      <w:tr>
        <w:trPr>
          <w:trHeight w:val="255"/>
        </w:trPr>
        <w:tc>
          <w:tcPr>
            <w:tcW w:w="3700" w:type="dxa"/>
            <w:vAlign w:val="bottom"/>
          </w:tcPr>
          <w:p>
            <w:pPr>
              <w:ind w:left="160"/>
              <w:spacing w:after="0"/>
              <w:rPr>
                <w:sz w:val="20"/>
                <w:szCs w:val="20"/>
                <w:color w:val="auto"/>
              </w:rPr>
            </w:pPr>
            <w:r>
              <w:rPr>
                <w:rFonts w:ascii="Arial" w:cs="Arial" w:eastAsia="Arial" w:hAnsi="Arial"/>
                <w:sz w:val="14"/>
                <w:szCs w:val="14"/>
                <w:color w:val="auto"/>
              </w:rPr>
              <w:t>Nominating &amp; ESG Committee Chair</w:t>
            </w: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$5,000</w:t>
            </w:r>
          </w:p>
        </w:tc>
      </w:tr>
      <w:tr>
        <w:trPr>
          <w:trHeight w:val="35"/>
        </w:trPr>
        <w:tc>
          <w:tcPr>
            <w:tcW w:w="370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bl>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Equity Compensation</w:t>
      </w:r>
    </w:p>
    <w:p>
      <w:pPr>
        <w:spacing w:after="0" w:line="171" w:lineRule="exact"/>
        <w:rPr>
          <w:sz w:val="20"/>
          <w:szCs w:val="20"/>
          <w:color w:val="auto"/>
        </w:rPr>
      </w:pPr>
    </w:p>
    <w:p>
      <w:pPr>
        <w:ind w:left="20" w:right="120"/>
        <w:spacing w:after="0" w:line="259" w:lineRule="auto"/>
        <w:rPr>
          <w:sz w:val="20"/>
          <w:szCs w:val="20"/>
          <w:color w:val="auto"/>
        </w:rPr>
      </w:pPr>
      <w:r>
        <w:rPr>
          <w:rFonts w:ascii="Arial" w:cs="Arial" w:eastAsia="Arial" w:hAnsi="Arial"/>
          <w:sz w:val="17"/>
          <w:szCs w:val="17"/>
          <w:color w:val="auto"/>
        </w:rPr>
        <w:t>Pursuant to the Pre-Recap NED Policy, each non-employee director was granted 1,685 RSUs on the date of the 2025 annual meeting of our Stockholders (other than Mr. Michael and Mr. Friend). These awards vest in full on the earlier of</w:t>
      </w:r>
    </w:p>
    <w:p>
      <w:pPr>
        <w:spacing w:after="0" w:line="1" w:lineRule="exact"/>
        <w:rPr>
          <w:sz w:val="20"/>
          <w:szCs w:val="20"/>
          <w:color w:val="auto"/>
        </w:rPr>
      </w:pPr>
    </w:p>
    <w:p>
      <w:pPr>
        <w:jc w:val="both"/>
        <w:ind w:left="20" w:right="200" w:firstLine="1"/>
        <w:spacing w:after="0"/>
        <w:tabs>
          <w:tab w:leader="none" w:pos="2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next occurring annual meeting of our Stockholders or (ii) the first anniversary of the grant date, subject to the non-employee director’s continued service through the applicable vesting date. RSUs granted under the Pre-Recap NED Policy accelerated and vested in full upon the closing of the Recapitalization Transactions to the extent the non-employee directors were in service as of the Recapitalization Date.</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Non-Employee Director Compensation Following the Recapitalization Date</w:t>
      </w:r>
    </w:p>
    <w:p>
      <w:pPr>
        <w:spacing w:after="0" w:line="171" w:lineRule="exact"/>
        <w:rPr>
          <w:sz w:val="20"/>
          <w:szCs w:val="20"/>
          <w:color w:val="auto"/>
        </w:rPr>
      </w:pPr>
    </w:p>
    <w:p>
      <w:pPr>
        <w:ind w:left="20" w:right="40"/>
        <w:spacing w:after="0" w:line="253" w:lineRule="auto"/>
        <w:rPr>
          <w:sz w:val="20"/>
          <w:szCs w:val="20"/>
          <w:color w:val="auto"/>
        </w:rPr>
      </w:pPr>
      <w:r>
        <w:rPr>
          <w:rFonts w:ascii="Arial" w:cs="Arial" w:eastAsia="Arial" w:hAnsi="Arial"/>
          <w:sz w:val="18"/>
          <w:szCs w:val="18"/>
          <w:color w:val="auto"/>
        </w:rPr>
        <w:t>On December 16, 2025, the Board adopted a new non-employee director compensation program, effective as of October 28, 2025 (the “Post-Recap NED Policy”). Pursuant to the Post-Recap NED Policy, each non-employee director receives a mixture of equity and cash compensation.</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Following the Recapitalization Date, each non-employee director was eligible to receive an annual cash retainer of</w:t>
      </w:r>
    </w:p>
    <w:p>
      <w:pPr>
        <w:spacing w:after="0" w:line="14"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$75,000 paid quarterly in arrears under the Post-Recap NED Policy as well as an additional fee of $25,000 for service as the chair of the Audit Committee. Cash compensation payable under the Post-Recap NED Policy was pro-rated from the Recapitalization Date.</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Equity Compensation</w:t>
      </w:r>
    </w:p>
    <w:p>
      <w:pPr>
        <w:spacing w:after="0" w:line="171"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Pursuant to the Post-Recap NED Policy, Ms. Bariquit and Mr. Rosensweig each received a grant of RSUs having a grant date fair value equal to $120,000, prorated for the portion of fiscal year 2025 that spanned October 28, 2025, through but not including July 8, 2026 (the “Pro-Rated Director RSU Awards”). The Pro-Rated Director RSU Awards will vest on the earlier of (i) July 8, 2026 or (ii) immediately before the 2026 Annual Meeting, subject to the non-employee director’s continued service through the vesting date.</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Consulting Services Agreement with Ms. Bariquit</w:t>
      </w:r>
    </w:p>
    <w:p>
      <w:pPr>
        <w:spacing w:after="0" w:line="171"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The Consulting Services Agreement provides that Ms. Bariquit is eligible to receive a $10,000 monthly consulting fee in exchange for providing certain consulting services to the Company. The Consulting Services Agreement shall continue for an indefinite term and may be terminated at any time by either party by providing at least 10 days’ prior written notice.</w:t>
      </w:r>
    </w:p>
    <w:p>
      <w:pPr>
        <w:spacing w:after="0" w:line="133"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On May 12, 2026, we appointed Teri Bariquit as interim Chief Executive Officer and President of the Company, effective as of May 15, 2026. In connection with her appointment, we entered into a new statement of work under the Consulting Services Agreement pursuant to which Ms. Bariquit will serve as interim Chief Executive Officer and President of the Company. For a summary of Ms. Bariquit’s appointment and the statement of work, please see the Company’s Current Report on Form 8-K filed with the SEC on May 13, 2026.</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right="3120"/>
        <w:spacing w:after="0" w:line="277" w:lineRule="auto"/>
        <w:rPr>
          <w:sz w:val="20"/>
          <w:szCs w:val="20"/>
          <w:color w:val="auto"/>
        </w:rPr>
      </w:pPr>
      <w:r>
        <w:rPr>
          <w:rFonts w:ascii="Arial" w:cs="Arial" w:eastAsia="Arial" w:hAnsi="Arial"/>
          <w:sz w:val="64"/>
          <w:szCs w:val="64"/>
          <w:b w:val="1"/>
          <w:bCs w:val="1"/>
          <w:color w:val="auto"/>
        </w:rPr>
        <w:t>Proposal No. 1 Election of Directors</w:t>
      </w:r>
    </w:p>
    <w:p>
      <w:pPr>
        <w:spacing w:after="0" w:line="3" w:lineRule="exact"/>
        <w:rPr>
          <w:sz w:val="20"/>
          <w:szCs w:val="20"/>
          <w:color w:val="auto"/>
        </w:rPr>
      </w:pPr>
    </w:p>
    <w:p>
      <w:pPr>
        <w:jc w:val="both"/>
        <w:ind w:left="20"/>
        <w:spacing w:after="0" w:line="255" w:lineRule="auto"/>
        <w:rPr>
          <w:sz w:val="20"/>
          <w:szCs w:val="20"/>
          <w:color w:val="auto"/>
        </w:rPr>
      </w:pPr>
      <w:r>
        <w:rPr>
          <w:rFonts w:ascii="Arial" w:cs="Arial" w:eastAsia="Arial" w:hAnsi="Arial"/>
          <w:sz w:val="17"/>
          <w:szCs w:val="17"/>
          <w:color w:val="auto"/>
        </w:rPr>
        <w:t>Our Board of Directors currently consists of five directors, who are divided into three classes with staggered three-year terms. The current Class I directors are Peter Comisar and Damian Giangiacomo; the current Class II directors are Teri Bariquit and Daniel Rosensweig; and the current Class III director is Dhiren Fonseca. At the Annual Meeting, the Class</w:t>
      </w:r>
    </w:p>
    <w:p>
      <w:pPr>
        <w:spacing w:after="0" w:line="2" w:lineRule="exact"/>
        <w:rPr>
          <w:sz w:val="20"/>
          <w:szCs w:val="20"/>
          <w:color w:val="auto"/>
        </w:rPr>
      </w:pPr>
    </w:p>
    <w:p>
      <w:pPr>
        <w:ind w:left="20" w:right="120" w:firstLine="1"/>
        <w:spacing w:after="0" w:line="279" w:lineRule="auto"/>
        <w:tabs>
          <w:tab w:leader="none" w:pos="17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directors named above are standing for election, each for a three-year term. The terms of office of directors in Class III and Class I do not expire until the annual meetings of stockholders to be held in 2027 and 2028, respectively.</w:t>
      </w:r>
    </w:p>
    <w:p>
      <w:pPr>
        <w:spacing w:after="0" w:line="122" w:lineRule="exact"/>
        <w:rPr>
          <w:sz w:val="20"/>
          <w:szCs w:val="20"/>
          <w:color w:val="auto"/>
        </w:rPr>
      </w:pPr>
    </w:p>
    <w:p>
      <w:pPr>
        <w:ind w:left="20" w:right="60"/>
        <w:spacing w:after="0"/>
        <w:rPr>
          <w:sz w:val="20"/>
          <w:szCs w:val="20"/>
          <w:color w:val="auto"/>
        </w:rPr>
      </w:pPr>
      <w:r>
        <w:rPr>
          <w:rFonts w:ascii="Arial" w:cs="Arial" w:eastAsia="Arial" w:hAnsi="Arial"/>
          <w:sz w:val="18"/>
          <w:szCs w:val="18"/>
          <w:b w:val="1"/>
          <w:bCs w:val="1"/>
          <w:color w:val="auto"/>
        </w:rPr>
        <w:t xml:space="preserve">The Board of Directors has nominated Teri Bariquit and Daniel Rosensweig for election as Class II directors at the Annual Meeting. </w:t>
      </w:r>
      <w:r>
        <w:rPr>
          <w:rFonts w:ascii="Arial" w:cs="Arial" w:eastAsia="Arial" w:hAnsi="Arial"/>
          <w:sz w:val="18"/>
          <w:szCs w:val="18"/>
          <w:color w:val="auto"/>
        </w:rPr>
        <w:t>If elected at the Annual Meeting, the nominees will serve until our 2029 annual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and until their successors have been elected and qualified or until they resign, die, are disqualified or are removed from the Board of Directors. The nominees have consented to serve as director, if elected. We have no reason to believe that either of the nominees will be unable or unwilling to serve as director. If, however, a nominee is unavailable for election, your proxy authorizes us to vote for a replacement nominee if the Board of Directors names one. Proxies cannot be voted for a greater number of persons than the number of nominees named.</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The Board of Directors recommends a vote “FOR” each of the director nominees named above.</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114" w:right="1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right="1480"/>
        <w:spacing w:after="0" w:line="262" w:lineRule="auto"/>
        <w:rPr>
          <w:sz w:val="20"/>
          <w:szCs w:val="20"/>
          <w:color w:val="auto"/>
        </w:rPr>
      </w:pPr>
      <w:r>
        <w:rPr>
          <w:rFonts w:ascii="Arial" w:cs="Arial" w:eastAsia="Arial" w:hAnsi="Arial"/>
          <w:sz w:val="65"/>
          <w:szCs w:val="65"/>
          <w:b w:val="1"/>
          <w:bCs w:val="1"/>
          <w:color w:val="auto"/>
        </w:rPr>
        <w:t>Information About Board Nominees and Continuing Directors</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2260" w:type="dxa"/>
            <w:vAlign w:val="bottom"/>
            <w:shd w:val="clear" w:color="auto" w:fill="FFE8F5"/>
          </w:tcPr>
          <w:p>
            <w:pPr>
              <w:ind w:left="160"/>
              <w:spacing w:after="0"/>
              <w:rPr>
                <w:sz w:val="20"/>
                <w:szCs w:val="20"/>
                <w:color w:val="auto"/>
              </w:rPr>
            </w:pPr>
            <w:r>
              <w:rPr>
                <w:rFonts w:ascii="Arial" w:cs="Arial" w:eastAsia="Arial" w:hAnsi="Arial"/>
                <w:sz w:val="14"/>
                <w:szCs w:val="14"/>
                <w:b w:val="1"/>
                <w:bCs w:val="1"/>
                <w:color w:val="auto"/>
              </w:rPr>
              <w:t>Name</w:t>
            </w:r>
          </w:p>
        </w:tc>
        <w:tc>
          <w:tcPr>
            <w:tcW w:w="1480" w:type="dxa"/>
            <w:vAlign w:val="bottom"/>
            <w:shd w:val="clear" w:color="auto" w:fill="FFE8F5"/>
          </w:tcPr>
          <w:p>
            <w:pPr>
              <w:ind w:left="580"/>
              <w:spacing w:after="0"/>
              <w:rPr>
                <w:sz w:val="20"/>
                <w:szCs w:val="20"/>
                <w:color w:val="auto"/>
              </w:rPr>
            </w:pPr>
            <w:r>
              <w:rPr>
                <w:rFonts w:ascii="Arial" w:cs="Arial" w:eastAsia="Arial" w:hAnsi="Arial"/>
                <w:sz w:val="14"/>
                <w:szCs w:val="14"/>
                <w:b w:val="1"/>
                <w:bCs w:val="1"/>
                <w:color w:val="auto"/>
              </w:rPr>
              <w:t>Age</w:t>
            </w:r>
          </w:p>
        </w:tc>
        <w:tc>
          <w:tcPr>
            <w:tcW w:w="3120" w:type="dxa"/>
            <w:vAlign w:val="bottom"/>
            <w:shd w:val="clear" w:color="auto" w:fill="FFE8F5"/>
          </w:tcPr>
          <w:p>
            <w:pPr>
              <w:ind w:left="640"/>
              <w:spacing w:after="0"/>
              <w:rPr>
                <w:sz w:val="20"/>
                <w:szCs w:val="20"/>
                <w:color w:val="auto"/>
              </w:rPr>
            </w:pPr>
            <w:r>
              <w:rPr>
                <w:rFonts w:ascii="Arial" w:cs="Arial" w:eastAsia="Arial" w:hAnsi="Arial"/>
                <w:sz w:val="14"/>
                <w:szCs w:val="14"/>
                <w:b w:val="1"/>
                <w:bCs w:val="1"/>
                <w:color w:val="auto"/>
              </w:rPr>
              <w:t>Position</w:t>
            </w:r>
          </w:p>
        </w:tc>
        <w:tc>
          <w:tcPr>
            <w:tcW w:w="2640" w:type="dxa"/>
            <w:vAlign w:val="bottom"/>
            <w:shd w:val="clear" w:color="auto" w:fill="FFE8F5"/>
          </w:tcPr>
          <w:p>
            <w:pPr>
              <w:ind w:left="340"/>
              <w:spacing w:after="0"/>
              <w:rPr>
                <w:sz w:val="20"/>
                <w:szCs w:val="20"/>
                <w:color w:val="auto"/>
              </w:rPr>
            </w:pPr>
            <w:r>
              <w:rPr>
                <w:rFonts w:ascii="Arial" w:cs="Arial" w:eastAsia="Arial" w:hAnsi="Arial"/>
                <w:sz w:val="14"/>
                <w:szCs w:val="14"/>
                <w:b w:val="1"/>
                <w:bCs w:val="1"/>
                <w:color w:val="auto"/>
              </w:rPr>
              <w:t>Director Since</w:t>
            </w:r>
          </w:p>
        </w:tc>
      </w:tr>
      <w:tr>
        <w:trPr>
          <w:trHeight w:val="70"/>
        </w:trPr>
        <w:tc>
          <w:tcPr>
            <w:tcW w:w="2260" w:type="dxa"/>
            <w:vAlign w:val="bottom"/>
            <w:tcBorders>
              <w:bottom w:val="single" w:sz="8" w:color="auto"/>
            </w:tcBorders>
            <w:shd w:val="clear" w:color="auto" w:fill="FFE8F5"/>
          </w:tcPr>
          <w:p>
            <w:pPr>
              <w:spacing w:after="0"/>
              <w:rPr>
                <w:sz w:val="6"/>
                <w:szCs w:val="6"/>
                <w:color w:val="auto"/>
              </w:rPr>
            </w:pPr>
          </w:p>
        </w:tc>
        <w:tc>
          <w:tcPr>
            <w:tcW w:w="1480" w:type="dxa"/>
            <w:vAlign w:val="bottom"/>
            <w:tcBorders>
              <w:bottom w:val="single" w:sz="8" w:color="auto"/>
            </w:tcBorders>
            <w:shd w:val="clear" w:color="auto" w:fill="FFE8F5"/>
          </w:tcPr>
          <w:p>
            <w:pPr>
              <w:spacing w:after="0"/>
              <w:rPr>
                <w:sz w:val="6"/>
                <w:szCs w:val="6"/>
                <w:color w:val="auto"/>
              </w:rPr>
            </w:pPr>
          </w:p>
        </w:tc>
        <w:tc>
          <w:tcPr>
            <w:tcW w:w="3120" w:type="dxa"/>
            <w:vAlign w:val="bottom"/>
            <w:tcBorders>
              <w:bottom w:val="single" w:sz="8" w:color="auto"/>
            </w:tcBorders>
            <w:shd w:val="clear" w:color="auto" w:fill="FFE8F5"/>
          </w:tcPr>
          <w:p>
            <w:pPr>
              <w:spacing w:after="0"/>
              <w:rPr>
                <w:sz w:val="6"/>
                <w:szCs w:val="6"/>
                <w:color w:val="auto"/>
              </w:rPr>
            </w:pPr>
          </w:p>
        </w:tc>
        <w:tc>
          <w:tcPr>
            <w:tcW w:w="2640" w:type="dxa"/>
            <w:vAlign w:val="bottom"/>
            <w:tcBorders>
              <w:bottom w:val="single" w:sz="8" w:color="auto"/>
            </w:tcBorders>
            <w:shd w:val="clear" w:color="auto" w:fill="FFE8F5"/>
          </w:tcPr>
          <w:p>
            <w:pPr>
              <w:spacing w:after="0"/>
              <w:rPr>
                <w:sz w:val="6"/>
                <w:szCs w:val="6"/>
                <w:color w:val="auto"/>
              </w:rPr>
            </w:pPr>
          </w:p>
        </w:tc>
      </w:tr>
      <w:tr>
        <w:trPr>
          <w:trHeight w:val="275"/>
        </w:trPr>
        <w:tc>
          <w:tcPr>
            <w:tcW w:w="226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Class I Directors</w:t>
            </w:r>
          </w:p>
        </w:tc>
        <w:tc>
          <w:tcPr>
            <w:tcW w:w="1480" w:type="dxa"/>
            <w:vAlign w:val="bottom"/>
          </w:tcPr>
          <w:p>
            <w:pPr>
              <w:ind w:left="580"/>
              <w:spacing w:after="0"/>
              <w:rPr>
                <w:sz w:val="20"/>
                <w:szCs w:val="20"/>
                <w:color w:val="auto"/>
              </w:rPr>
            </w:pPr>
            <w:r>
              <w:rPr>
                <w:rFonts w:ascii="Arial" w:cs="Arial" w:eastAsia="Arial" w:hAnsi="Arial"/>
                <w:sz w:val="14"/>
                <w:szCs w:val="14"/>
                <w:color w:val="auto"/>
              </w:rPr>
              <w:t>​</w:t>
            </w:r>
          </w:p>
        </w:tc>
        <w:tc>
          <w:tcPr>
            <w:tcW w:w="3120" w:type="dxa"/>
            <w:vAlign w:val="bottom"/>
          </w:tcPr>
          <w:p>
            <w:pPr>
              <w:ind w:left="640"/>
              <w:spacing w:after="0"/>
              <w:rPr>
                <w:sz w:val="20"/>
                <w:szCs w:val="20"/>
                <w:color w:val="auto"/>
              </w:rPr>
            </w:pPr>
            <w:r>
              <w:rPr>
                <w:rFonts w:ascii="Arial" w:cs="Arial" w:eastAsia="Arial" w:hAnsi="Arial"/>
                <w:sz w:val="14"/>
                <w:szCs w:val="14"/>
                <w:color w:val="auto"/>
              </w:rPr>
              <w:t>​</w:t>
            </w:r>
          </w:p>
        </w:tc>
        <w:tc>
          <w:tcPr>
            <w:tcW w:w="2640" w:type="dxa"/>
            <w:vAlign w:val="bottom"/>
          </w:tcPr>
          <w:p>
            <w:pPr>
              <w:spacing w:after="0"/>
              <w:rPr>
                <w:sz w:val="23"/>
                <w:szCs w:val="23"/>
                <w:color w:val="auto"/>
              </w:rPr>
            </w:pPr>
          </w:p>
        </w:tc>
      </w:tr>
      <w:tr>
        <w:trPr>
          <w:trHeight w:val="70"/>
        </w:trPr>
        <w:tc>
          <w:tcPr>
            <w:tcW w:w="22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3120" w:type="dxa"/>
            <w:vAlign w:val="bottom"/>
            <w:tcBorders>
              <w:bottom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r>
      <w:tr>
        <w:trPr>
          <w:trHeight w:val="255"/>
        </w:trPr>
        <w:tc>
          <w:tcPr>
            <w:tcW w:w="2260" w:type="dxa"/>
            <w:vAlign w:val="bottom"/>
          </w:tcPr>
          <w:p>
            <w:pPr>
              <w:ind w:left="160"/>
              <w:spacing w:after="0"/>
              <w:rPr>
                <w:sz w:val="20"/>
                <w:szCs w:val="20"/>
                <w:color w:val="auto"/>
              </w:rPr>
            </w:pPr>
            <w:r>
              <w:rPr>
                <w:rFonts w:ascii="Arial" w:cs="Arial" w:eastAsia="Arial" w:hAnsi="Arial"/>
                <w:sz w:val="14"/>
                <w:szCs w:val="14"/>
                <w:color w:val="auto"/>
              </w:rPr>
              <w:t>Peter Comisar</w:t>
            </w:r>
          </w:p>
        </w:tc>
        <w:tc>
          <w:tcPr>
            <w:tcW w:w="1480" w:type="dxa"/>
            <w:vAlign w:val="bottom"/>
          </w:tcPr>
          <w:p>
            <w:pPr>
              <w:ind w:left="580"/>
              <w:spacing w:after="0"/>
              <w:rPr>
                <w:sz w:val="20"/>
                <w:szCs w:val="20"/>
                <w:color w:val="auto"/>
              </w:rPr>
            </w:pPr>
            <w:r>
              <w:rPr>
                <w:rFonts w:ascii="Arial" w:cs="Arial" w:eastAsia="Arial" w:hAnsi="Arial"/>
                <w:sz w:val="14"/>
                <w:szCs w:val="14"/>
                <w:color w:val="auto"/>
              </w:rPr>
              <w:t>59</w:t>
            </w:r>
          </w:p>
        </w:tc>
        <w:tc>
          <w:tcPr>
            <w:tcW w:w="3120" w:type="dxa"/>
            <w:vAlign w:val="bottom"/>
          </w:tcPr>
          <w:p>
            <w:pPr>
              <w:ind w:left="640"/>
              <w:spacing w:after="0"/>
              <w:rPr>
                <w:sz w:val="20"/>
                <w:szCs w:val="20"/>
                <w:color w:val="auto"/>
              </w:rPr>
            </w:pPr>
            <w:r>
              <w:rPr>
                <w:rFonts w:ascii="Arial" w:cs="Arial" w:eastAsia="Arial" w:hAnsi="Arial"/>
                <w:sz w:val="14"/>
                <w:szCs w:val="14"/>
                <w:color w:val="auto"/>
              </w:rPr>
              <w:t>Director</w:t>
            </w:r>
          </w:p>
        </w:tc>
        <w:tc>
          <w:tcPr>
            <w:tcW w:w="2640" w:type="dxa"/>
            <w:vAlign w:val="bottom"/>
          </w:tcPr>
          <w:p>
            <w:pPr>
              <w:ind w:left="340"/>
              <w:spacing w:after="0"/>
              <w:rPr>
                <w:sz w:val="20"/>
                <w:szCs w:val="20"/>
                <w:color w:val="auto"/>
              </w:rPr>
            </w:pPr>
            <w:r>
              <w:rPr>
                <w:rFonts w:ascii="Arial" w:cs="Arial" w:eastAsia="Arial" w:hAnsi="Arial"/>
                <w:sz w:val="14"/>
                <w:szCs w:val="14"/>
                <w:color w:val="auto"/>
              </w:rPr>
              <w:t>October 2025</w:t>
            </w:r>
          </w:p>
        </w:tc>
      </w:tr>
      <w:tr>
        <w:trPr>
          <w:trHeight w:val="76"/>
        </w:trPr>
        <w:tc>
          <w:tcPr>
            <w:tcW w:w="22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3120" w:type="dxa"/>
            <w:vAlign w:val="bottom"/>
            <w:tcBorders>
              <w:bottom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r>
      <w:tr>
        <w:trPr>
          <w:trHeight w:val="358"/>
        </w:trPr>
        <w:tc>
          <w:tcPr>
            <w:tcW w:w="2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Damian Giangiacomo</w:t>
            </w:r>
            <w:r>
              <w:rPr>
                <w:rFonts w:ascii="Arial" w:cs="Arial" w:eastAsia="Arial" w:hAnsi="Arial"/>
                <w:sz w:val="23"/>
                <w:szCs w:val="23"/>
                <w:color w:val="auto"/>
                <w:vertAlign w:val="superscript"/>
              </w:rPr>
              <w:t>(1)</w:t>
            </w: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49</w:t>
            </w:r>
          </w:p>
        </w:tc>
        <w:tc>
          <w:tcPr>
            <w:tcW w:w="312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Director</w:t>
            </w:r>
          </w:p>
        </w:tc>
        <w:tc>
          <w:tcPr>
            <w:tcW w:w="26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October 2025</w:t>
            </w:r>
          </w:p>
        </w:tc>
      </w:tr>
      <w:tr>
        <w:trPr>
          <w:trHeight w:val="262"/>
        </w:trPr>
        <w:tc>
          <w:tcPr>
            <w:tcW w:w="226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Class II Directors</w:t>
            </w:r>
          </w:p>
        </w:tc>
        <w:tc>
          <w:tcPr>
            <w:tcW w:w="1480" w:type="dxa"/>
            <w:vAlign w:val="bottom"/>
          </w:tcPr>
          <w:p>
            <w:pPr>
              <w:ind w:left="580"/>
              <w:spacing w:after="0"/>
              <w:rPr>
                <w:sz w:val="20"/>
                <w:szCs w:val="20"/>
                <w:color w:val="auto"/>
              </w:rPr>
            </w:pPr>
            <w:r>
              <w:rPr>
                <w:rFonts w:ascii="Arial" w:cs="Arial" w:eastAsia="Arial" w:hAnsi="Arial"/>
                <w:sz w:val="14"/>
                <w:szCs w:val="14"/>
                <w:color w:val="auto"/>
              </w:rPr>
              <w:t>​</w:t>
            </w:r>
          </w:p>
        </w:tc>
        <w:tc>
          <w:tcPr>
            <w:tcW w:w="3120" w:type="dxa"/>
            <w:vAlign w:val="bottom"/>
          </w:tcPr>
          <w:p>
            <w:pPr>
              <w:ind w:left="640"/>
              <w:spacing w:after="0"/>
              <w:rPr>
                <w:sz w:val="20"/>
                <w:szCs w:val="20"/>
                <w:color w:val="auto"/>
              </w:rPr>
            </w:pPr>
            <w:r>
              <w:rPr>
                <w:rFonts w:ascii="Arial" w:cs="Arial" w:eastAsia="Arial" w:hAnsi="Arial"/>
                <w:sz w:val="14"/>
                <w:szCs w:val="14"/>
                <w:color w:val="auto"/>
              </w:rPr>
              <w:t>​</w:t>
            </w:r>
          </w:p>
        </w:tc>
        <w:tc>
          <w:tcPr>
            <w:tcW w:w="2640" w:type="dxa"/>
            <w:vAlign w:val="bottom"/>
          </w:tcPr>
          <w:p>
            <w:pPr>
              <w:spacing w:after="0"/>
              <w:rPr>
                <w:sz w:val="22"/>
                <w:szCs w:val="22"/>
                <w:color w:val="auto"/>
              </w:rPr>
            </w:pPr>
          </w:p>
        </w:tc>
      </w:tr>
      <w:tr>
        <w:trPr>
          <w:trHeight w:val="69"/>
        </w:trPr>
        <w:tc>
          <w:tcPr>
            <w:tcW w:w="22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3120" w:type="dxa"/>
            <w:vAlign w:val="bottom"/>
            <w:tcBorders>
              <w:bottom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r>
      <w:tr>
        <w:trPr>
          <w:trHeight w:val="256"/>
        </w:trPr>
        <w:tc>
          <w:tcPr>
            <w:tcW w:w="2260" w:type="dxa"/>
            <w:vAlign w:val="bottom"/>
          </w:tcPr>
          <w:p>
            <w:pPr>
              <w:ind w:left="160"/>
              <w:spacing w:after="0"/>
              <w:rPr>
                <w:sz w:val="20"/>
                <w:szCs w:val="20"/>
                <w:color w:val="auto"/>
              </w:rPr>
            </w:pPr>
            <w:r>
              <w:rPr>
                <w:rFonts w:ascii="Arial" w:cs="Arial" w:eastAsia="Arial" w:hAnsi="Arial"/>
                <w:sz w:val="14"/>
                <w:szCs w:val="14"/>
                <w:color w:val="auto"/>
              </w:rPr>
              <w:t>Teri Bariquit</w:t>
            </w:r>
          </w:p>
        </w:tc>
        <w:tc>
          <w:tcPr>
            <w:tcW w:w="1480" w:type="dxa"/>
            <w:vAlign w:val="bottom"/>
          </w:tcPr>
          <w:p>
            <w:pPr>
              <w:ind w:left="580"/>
              <w:spacing w:after="0"/>
              <w:rPr>
                <w:sz w:val="20"/>
                <w:szCs w:val="20"/>
                <w:color w:val="auto"/>
              </w:rPr>
            </w:pPr>
            <w:r>
              <w:rPr>
                <w:rFonts w:ascii="Arial" w:cs="Arial" w:eastAsia="Arial" w:hAnsi="Arial"/>
                <w:sz w:val="14"/>
                <w:szCs w:val="14"/>
                <w:color w:val="auto"/>
              </w:rPr>
              <w:t>65</w:t>
            </w:r>
          </w:p>
        </w:tc>
        <w:tc>
          <w:tcPr>
            <w:tcW w:w="3120" w:type="dxa"/>
            <w:vAlign w:val="bottom"/>
          </w:tcPr>
          <w:p>
            <w:pPr>
              <w:ind w:left="640"/>
              <w:spacing w:after="0"/>
              <w:rPr>
                <w:sz w:val="20"/>
                <w:szCs w:val="20"/>
                <w:color w:val="auto"/>
              </w:rPr>
            </w:pPr>
            <w:r>
              <w:rPr>
                <w:rFonts w:ascii="Arial" w:cs="Arial" w:eastAsia="Arial" w:hAnsi="Arial"/>
                <w:sz w:val="14"/>
                <w:szCs w:val="14"/>
                <w:color w:val="auto"/>
              </w:rPr>
              <w:t>Director, Interim CEO &amp; President</w:t>
            </w:r>
          </w:p>
        </w:tc>
        <w:tc>
          <w:tcPr>
            <w:tcW w:w="2640" w:type="dxa"/>
            <w:vAlign w:val="bottom"/>
          </w:tcPr>
          <w:p>
            <w:pPr>
              <w:ind w:left="340"/>
              <w:spacing w:after="0"/>
              <w:rPr>
                <w:sz w:val="20"/>
                <w:szCs w:val="20"/>
                <w:color w:val="auto"/>
              </w:rPr>
            </w:pPr>
            <w:r>
              <w:rPr>
                <w:rFonts w:ascii="Arial" w:cs="Arial" w:eastAsia="Arial" w:hAnsi="Arial"/>
                <w:sz w:val="14"/>
                <w:szCs w:val="14"/>
                <w:color w:val="auto"/>
              </w:rPr>
              <w:t>October 2025</w:t>
            </w:r>
          </w:p>
        </w:tc>
      </w:tr>
      <w:tr>
        <w:trPr>
          <w:trHeight w:val="76"/>
        </w:trPr>
        <w:tc>
          <w:tcPr>
            <w:tcW w:w="22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3120" w:type="dxa"/>
            <w:vAlign w:val="bottom"/>
            <w:tcBorders>
              <w:bottom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r>
      <w:tr>
        <w:trPr>
          <w:trHeight w:val="358"/>
        </w:trPr>
        <w:tc>
          <w:tcPr>
            <w:tcW w:w="2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Daniel Rosensweig</w:t>
            </w:r>
            <w:r>
              <w:rPr>
                <w:rFonts w:ascii="Arial" w:cs="Arial" w:eastAsia="Arial" w:hAnsi="Arial"/>
                <w:sz w:val="23"/>
                <w:szCs w:val="23"/>
                <w:color w:val="auto"/>
                <w:vertAlign w:val="superscript"/>
              </w:rPr>
              <w:t>(1)*†</w:t>
            </w: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65</w:t>
            </w:r>
          </w:p>
        </w:tc>
        <w:tc>
          <w:tcPr>
            <w:tcW w:w="312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Director</w:t>
            </w:r>
          </w:p>
        </w:tc>
        <w:tc>
          <w:tcPr>
            <w:tcW w:w="26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May 2025</w:t>
            </w:r>
          </w:p>
        </w:tc>
      </w:tr>
      <w:tr>
        <w:trPr>
          <w:trHeight w:val="256"/>
        </w:trPr>
        <w:tc>
          <w:tcPr>
            <w:tcW w:w="2260" w:type="dxa"/>
            <w:vAlign w:val="bottom"/>
          </w:tcPr>
          <w:p>
            <w:pPr>
              <w:ind w:left="160"/>
              <w:spacing w:after="0"/>
              <w:rPr>
                <w:sz w:val="20"/>
                <w:szCs w:val="20"/>
                <w:color w:val="auto"/>
              </w:rPr>
            </w:pPr>
            <w:r>
              <w:rPr>
                <w:rFonts w:ascii="Arial" w:cs="Arial" w:eastAsia="Arial" w:hAnsi="Arial"/>
                <w:sz w:val="14"/>
                <w:szCs w:val="14"/>
                <w:i w:val="1"/>
                <w:iCs w:val="1"/>
                <w:color w:val="auto"/>
              </w:rPr>
              <w:t>Class III Director</w:t>
            </w:r>
          </w:p>
        </w:tc>
        <w:tc>
          <w:tcPr>
            <w:tcW w:w="1480" w:type="dxa"/>
            <w:vAlign w:val="bottom"/>
          </w:tcPr>
          <w:p>
            <w:pPr>
              <w:ind w:left="580"/>
              <w:spacing w:after="0"/>
              <w:rPr>
                <w:sz w:val="20"/>
                <w:szCs w:val="20"/>
                <w:color w:val="auto"/>
              </w:rPr>
            </w:pPr>
            <w:r>
              <w:rPr>
                <w:rFonts w:ascii="Arial" w:cs="Arial" w:eastAsia="Arial" w:hAnsi="Arial"/>
                <w:sz w:val="14"/>
                <w:szCs w:val="14"/>
                <w:color w:val="auto"/>
              </w:rPr>
              <w:t>​</w:t>
            </w:r>
          </w:p>
        </w:tc>
        <w:tc>
          <w:tcPr>
            <w:tcW w:w="3120" w:type="dxa"/>
            <w:vAlign w:val="bottom"/>
          </w:tcPr>
          <w:p>
            <w:pPr>
              <w:ind w:left="640"/>
              <w:spacing w:after="0"/>
              <w:rPr>
                <w:sz w:val="20"/>
                <w:szCs w:val="20"/>
                <w:color w:val="auto"/>
              </w:rPr>
            </w:pPr>
            <w:r>
              <w:rPr>
                <w:rFonts w:ascii="Arial" w:cs="Arial" w:eastAsia="Arial" w:hAnsi="Arial"/>
                <w:sz w:val="14"/>
                <w:szCs w:val="14"/>
                <w:color w:val="auto"/>
              </w:rPr>
              <w:t>​</w:t>
            </w:r>
          </w:p>
        </w:tc>
        <w:tc>
          <w:tcPr>
            <w:tcW w:w="2640" w:type="dxa"/>
            <w:vAlign w:val="bottom"/>
          </w:tcPr>
          <w:p>
            <w:pPr>
              <w:spacing w:after="0"/>
              <w:rPr>
                <w:sz w:val="22"/>
                <w:szCs w:val="22"/>
                <w:color w:val="auto"/>
              </w:rPr>
            </w:pPr>
          </w:p>
        </w:tc>
      </w:tr>
      <w:tr>
        <w:trPr>
          <w:trHeight w:val="75"/>
        </w:trPr>
        <w:tc>
          <w:tcPr>
            <w:tcW w:w="22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3120" w:type="dxa"/>
            <w:vAlign w:val="bottom"/>
            <w:tcBorders>
              <w:bottom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r>
      <w:tr>
        <w:trPr>
          <w:trHeight w:val="256"/>
        </w:trPr>
        <w:tc>
          <w:tcPr>
            <w:tcW w:w="2260" w:type="dxa"/>
            <w:vAlign w:val="bottom"/>
          </w:tcPr>
          <w:p>
            <w:pPr>
              <w:ind w:left="160"/>
              <w:spacing w:after="0"/>
              <w:rPr>
                <w:sz w:val="20"/>
                <w:szCs w:val="20"/>
                <w:color w:val="auto"/>
              </w:rPr>
            </w:pPr>
            <w:r>
              <w:rPr>
                <w:rFonts w:ascii="Arial" w:cs="Arial" w:eastAsia="Arial" w:hAnsi="Arial"/>
                <w:sz w:val="14"/>
                <w:szCs w:val="14"/>
                <w:color w:val="auto"/>
              </w:rPr>
              <w:t>Dhiren Fonseca</w:t>
            </w:r>
          </w:p>
        </w:tc>
        <w:tc>
          <w:tcPr>
            <w:tcW w:w="1480" w:type="dxa"/>
            <w:vAlign w:val="bottom"/>
          </w:tcPr>
          <w:p>
            <w:pPr>
              <w:ind w:left="580"/>
              <w:spacing w:after="0"/>
              <w:rPr>
                <w:sz w:val="20"/>
                <w:szCs w:val="20"/>
                <w:color w:val="auto"/>
              </w:rPr>
            </w:pPr>
            <w:r>
              <w:rPr>
                <w:rFonts w:ascii="Arial" w:cs="Arial" w:eastAsia="Arial" w:hAnsi="Arial"/>
                <w:sz w:val="14"/>
                <w:szCs w:val="14"/>
                <w:color w:val="auto"/>
              </w:rPr>
              <w:t>61</w:t>
            </w:r>
          </w:p>
        </w:tc>
        <w:tc>
          <w:tcPr>
            <w:tcW w:w="3120" w:type="dxa"/>
            <w:vAlign w:val="bottom"/>
          </w:tcPr>
          <w:p>
            <w:pPr>
              <w:ind w:left="640"/>
              <w:spacing w:after="0"/>
              <w:rPr>
                <w:sz w:val="20"/>
                <w:szCs w:val="20"/>
                <w:color w:val="auto"/>
              </w:rPr>
            </w:pPr>
            <w:r>
              <w:rPr>
                <w:rFonts w:ascii="Arial" w:cs="Arial" w:eastAsia="Arial" w:hAnsi="Arial"/>
                <w:sz w:val="14"/>
                <w:szCs w:val="14"/>
                <w:color w:val="auto"/>
              </w:rPr>
              <w:t>Director; Executive Chairman</w:t>
            </w:r>
          </w:p>
        </w:tc>
        <w:tc>
          <w:tcPr>
            <w:tcW w:w="2640" w:type="dxa"/>
            <w:vAlign w:val="bottom"/>
          </w:tcPr>
          <w:p>
            <w:pPr>
              <w:ind w:left="340"/>
              <w:spacing w:after="0"/>
              <w:rPr>
                <w:sz w:val="20"/>
                <w:szCs w:val="20"/>
                <w:color w:val="auto"/>
              </w:rPr>
            </w:pPr>
            <w:r>
              <w:rPr>
                <w:rFonts w:ascii="Arial" w:cs="Arial" w:eastAsia="Arial" w:hAnsi="Arial"/>
                <w:sz w:val="14"/>
                <w:szCs w:val="14"/>
                <w:color w:val="auto"/>
              </w:rPr>
              <w:t>October 2025</w:t>
            </w:r>
          </w:p>
        </w:tc>
      </w:tr>
      <w:tr>
        <w:trPr>
          <w:trHeight w:val="35"/>
        </w:trPr>
        <w:tc>
          <w:tcPr>
            <w:tcW w:w="2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r>
    </w:tbl>
    <w:p>
      <w:pPr>
        <w:spacing w:after="0" w:line="180" w:lineRule="exact"/>
        <w:rPr>
          <w:sz w:val="20"/>
          <w:szCs w:val="20"/>
          <w:color w:val="auto"/>
        </w:rPr>
      </w:pPr>
    </w:p>
    <w:p>
      <w:pPr>
        <w:ind w:left="20" w:right="7220" w:firstLine="1"/>
        <w:spacing w:after="0" w:line="362" w:lineRule="auto"/>
        <w:tabs>
          <w:tab w:leader="none" w:pos="236" w:val="left"/>
        </w:tabs>
        <w:numPr>
          <w:ilvl w:val="0"/>
          <w:numId w:val="17"/>
        </w:numPr>
        <w:rPr>
          <w:rFonts w:ascii="Arial" w:cs="Arial" w:eastAsia="Arial" w:hAnsi="Arial"/>
          <w:sz w:val="14"/>
          <w:szCs w:val="14"/>
          <w:color w:val="auto"/>
        </w:rPr>
      </w:pPr>
      <w:r>
        <w:rPr>
          <w:rFonts w:ascii="Arial" w:cs="Arial" w:eastAsia="Arial" w:hAnsi="Arial"/>
          <w:sz w:val="14"/>
          <w:szCs w:val="14"/>
          <w:color w:val="auto"/>
        </w:rPr>
        <w:t>Member of the Audit Committee. * Committee chair.</w:t>
      </w:r>
    </w:p>
    <w:p>
      <w:pPr>
        <w:ind w:left="20"/>
        <w:spacing w:after="0"/>
        <w:rPr>
          <w:rFonts w:ascii="Arial" w:cs="Arial" w:eastAsia="Arial" w:hAnsi="Arial"/>
          <w:sz w:val="14"/>
          <w:szCs w:val="14"/>
          <w:color w:val="auto"/>
        </w:rPr>
      </w:pPr>
      <w:r>
        <w:rPr>
          <w:rFonts w:ascii="Arial" w:cs="Arial" w:eastAsia="Arial" w:hAnsi="Arial"/>
          <w:sz w:val="14"/>
          <w:szCs w:val="14"/>
          <w:color w:val="auto"/>
        </w:rPr>
        <w:t>† Financial expert.</w:t>
      </w:r>
    </w:p>
    <w:p>
      <w:pPr>
        <w:spacing w:after="0" w:line="36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Nominees to our Board of Directors - Class II Directors</w:t>
      </w:r>
    </w:p>
    <w:p>
      <w:pPr>
        <w:spacing w:after="0" w:line="199"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b w:val="1"/>
          <w:bCs w:val="1"/>
          <w:color w:val="auto"/>
        </w:rPr>
        <w:t xml:space="preserve">Teri Bariquit </w:t>
      </w:r>
      <w:r>
        <w:rPr>
          <w:rFonts w:ascii="Arial" w:cs="Arial" w:eastAsia="Arial" w:hAnsi="Arial"/>
          <w:sz w:val="18"/>
          <w:szCs w:val="18"/>
          <w:color w:val="auto"/>
        </w:rPr>
        <w:t>has served as the interim Chief Executive Officer and President since May 2026 and as a member of our</w:t>
      </w:r>
      <w:r>
        <w:rPr>
          <w:rFonts w:ascii="Arial" w:cs="Arial" w:eastAsia="Arial" w:hAnsi="Arial"/>
          <w:sz w:val="18"/>
          <w:szCs w:val="18"/>
          <w:b w:val="1"/>
          <w:bCs w:val="1"/>
          <w:color w:val="auto"/>
        </w:rPr>
        <w:t xml:space="preserve"> </w:t>
      </w:r>
      <w:r>
        <w:rPr>
          <w:rFonts w:ascii="Arial" w:cs="Arial" w:eastAsia="Arial" w:hAnsi="Arial"/>
          <w:sz w:val="18"/>
          <w:szCs w:val="18"/>
          <w:color w:val="auto"/>
        </w:rPr>
        <w:t>Board since October 2025. Teri Bariquit is a seasoned fashion retail executive and advisor with more than 37 years of experience at Nordstrom, Inc. (JWN), where she most recently served as Chief Merchandising Officer from 2019 to 2023. Since December 2023, Ms. Bariquit has served as an independent advisor and consultant. She is also a member of the Board of Directors of the Central Washington University Foundation. Ms. Bariquit holds a B.S. in Accounting and Finance, magna cum laude, from Central Washington University and a Retail Master’s Certification from Santa Clara University. We believe Ms. Bariquit is qualified to serve on our Board because of her leadership in large-scale enterprise transformation, technology enablement, and business turnaround initiatives, as well as her skill in inspiring leaders to navigate complexity and drive growth and efficiency.</w:t>
      </w:r>
    </w:p>
    <w:p>
      <w:pPr>
        <w:spacing w:after="0" w:line="156" w:lineRule="exact"/>
        <w:rPr>
          <w:sz w:val="20"/>
          <w:szCs w:val="20"/>
          <w:color w:val="auto"/>
        </w:rPr>
      </w:pPr>
    </w:p>
    <w:p>
      <w:pPr>
        <w:ind w:left="20"/>
        <w:spacing w:after="0" w:line="252" w:lineRule="auto"/>
        <w:rPr>
          <w:sz w:val="20"/>
          <w:szCs w:val="20"/>
          <w:color w:val="auto"/>
        </w:rPr>
      </w:pPr>
      <w:r>
        <w:rPr>
          <w:rFonts w:ascii="Arial" w:cs="Arial" w:eastAsia="Arial" w:hAnsi="Arial"/>
          <w:sz w:val="17"/>
          <w:szCs w:val="17"/>
          <w:b w:val="1"/>
          <w:bCs w:val="1"/>
          <w:color w:val="auto"/>
        </w:rPr>
        <w:t xml:space="preserve">Daniel Rosensweig </w:t>
      </w:r>
      <w:r>
        <w:rPr>
          <w:rFonts w:ascii="Arial" w:cs="Arial" w:eastAsia="Arial" w:hAnsi="Arial"/>
          <w:sz w:val="17"/>
          <w:szCs w:val="17"/>
          <w:color w:val="auto"/>
        </w:rPr>
        <w:t>has served as a member of our Board since October 2025 and an advisor since April 2023, and</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served on the Board of Directors from November 2012 to April 2023, and then again from May 2025. Mr. Rosensweig serves as the Chief Executive Officer, Executive Chairman and Co-Chairperson of the board of directors of Chegg, Inc., an online textbook rental company. Prior to that, Mr. Rosensweig served as President and Chief Executive Officer of Chegg from February 2010 until June 2024. Prior to Chegg, he served as CEO of Guitar Hero, COO of Yahoo!, and CEO of ZDNet. He serves on the Board of Directors for Adobe Systems, Inc., UpGrad, Inc., and Yumi.</w:t>
      </w:r>
    </w:p>
    <w:p>
      <w:pPr>
        <w:spacing w:after="0" w:line="2" w:lineRule="exact"/>
        <w:rPr>
          <w:sz w:val="20"/>
          <w:szCs w:val="20"/>
          <w:color w:val="auto"/>
        </w:rPr>
      </w:pPr>
    </w:p>
    <w:p>
      <w:pPr>
        <w:jc w:val="both"/>
        <w:ind w:left="20" w:right="100"/>
        <w:spacing w:after="0" w:line="242" w:lineRule="auto"/>
        <w:rPr>
          <w:sz w:val="20"/>
          <w:szCs w:val="20"/>
          <w:color w:val="auto"/>
        </w:rPr>
      </w:pPr>
      <w:r>
        <w:rPr>
          <w:rFonts w:ascii="Arial" w:cs="Arial" w:eastAsia="Arial" w:hAnsi="Arial"/>
          <w:sz w:val="18"/>
          <w:szCs w:val="18"/>
          <w:color w:val="auto"/>
        </w:rPr>
        <w:t>Mr. Rosensweig holds a B.A. in Political Science from Hobart and William Smith Colleges. We believe Mr. Rosensweig is qualified to serve on our Board because of his extensive experience as a public company chief executive officer and his knowledge of technology companies.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right="1060"/>
        <w:spacing w:after="0" w:line="290" w:lineRule="auto"/>
        <w:rPr>
          <w:sz w:val="20"/>
          <w:szCs w:val="20"/>
          <w:color w:val="auto"/>
        </w:rPr>
      </w:pPr>
      <w:r>
        <w:rPr>
          <w:rFonts w:ascii="Arial" w:cs="Arial" w:eastAsia="Arial" w:hAnsi="Arial"/>
          <w:sz w:val="36"/>
          <w:szCs w:val="36"/>
          <w:b w:val="1"/>
          <w:bCs w:val="1"/>
          <w:color w:val="auto"/>
        </w:rPr>
        <w:t>Class III Director Whose Term Expires at the 2027 Annual Meeting</w:t>
      </w:r>
    </w:p>
    <w:p>
      <w:pPr>
        <w:spacing w:after="0" w:line="31" w:lineRule="exact"/>
        <w:rPr>
          <w:sz w:val="20"/>
          <w:szCs w:val="20"/>
          <w:color w:val="auto"/>
        </w:rPr>
      </w:pPr>
    </w:p>
    <w:p>
      <w:pPr>
        <w:ind w:left="20" w:right="40"/>
        <w:spacing w:after="0" w:line="252" w:lineRule="auto"/>
        <w:rPr>
          <w:sz w:val="20"/>
          <w:szCs w:val="20"/>
          <w:color w:val="auto"/>
        </w:rPr>
      </w:pPr>
      <w:r>
        <w:rPr>
          <w:rFonts w:ascii="Arial" w:cs="Arial" w:eastAsia="Arial" w:hAnsi="Arial"/>
          <w:sz w:val="17"/>
          <w:szCs w:val="17"/>
          <w:b w:val="1"/>
          <w:bCs w:val="1"/>
          <w:color w:val="auto"/>
        </w:rPr>
        <w:t xml:space="preserve">Dhiren Fonseca </w:t>
      </w:r>
      <w:r>
        <w:rPr>
          <w:rFonts w:ascii="Arial" w:cs="Arial" w:eastAsia="Arial" w:hAnsi="Arial"/>
          <w:sz w:val="17"/>
          <w:szCs w:val="17"/>
          <w:color w:val="auto"/>
        </w:rPr>
        <w:t>has served as a member of our Board and Executive Chairman since October 2025. He previously</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Chief Executive Officer and President from December 2020 to August 2021, and as a member of the Board of Directors from January 2014 to April 2021, at RentPath, Inc., an online marketplace for residential apartment rentals. Prior to RentPath, Inc., he was Chief Commercial Officer of Expedia, Inc. from 2012 through April 2014 and served as Co-President, Partner Services Group, from 2009 through 2012. He previously served as Senior Vice President, Corporate Development and Strategy, beginning in 2005 and, prior to that role, held several roles responsible for the development of external-facing relationships and business development at Expedia. Prior to Expedia, Mr. Fonseca was an early Microsoft Corporation employee and a member of the management team responsible for creating Expedia.com in 1995. Mr. Fonseca serves on the board of Tripadvisor and DRF Logistics, as an Advisor to GetPica S.p.A. and Certares LP, a firm specializing in investments in the travel, transportation, hospitality, and payments sectors, where he was previously a Partner. Mr. Fonseca previously served as a board member for organizations including Alaska Air Group, Caesars Acquisition Corp., Cynosure, Diamond Resorts, HotelTonight, Inmar, Osiris Acquisition Corp., RentPath, Rackspace, Redbox, and Wilbur-Ellis. Mr. Fonseca attended the University of Manitoba. We believe Mr. Fonseca is qualified to chair our Board because of his experience guiding companies through transformation and innovation and his deep operational and investment experience across global markets.</w:t>
      </w:r>
    </w:p>
    <w:p>
      <w:pPr>
        <w:spacing w:after="0" w:line="304" w:lineRule="exact"/>
        <w:rPr>
          <w:sz w:val="20"/>
          <w:szCs w:val="20"/>
          <w:color w:val="auto"/>
        </w:rPr>
      </w:pPr>
    </w:p>
    <w:p>
      <w:pPr>
        <w:ind w:left="20" w:right="1060"/>
        <w:spacing w:after="0" w:line="290" w:lineRule="auto"/>
        <w:rPr>
          <w:sz w:val="20"/>
          <w:szCs w:val="20"/>
          <w:color w:val="auto"/>
        </w:rPr>
      </w:pPr>
      <w:r>
        <w:rPr>
          <w:rFonts w:ascii="Arial" w:cs="Arial" w:eastAsia="Arial" w:hAnsi="Arial"/>
          <w:sz w:val="36"/>
          <w:szCs w:val="36"/>
          <w:b w:val="1"/>
          <w:bCs w:val="1"/>
          <w:color w:val="auto"/>
        </w:rPr>
        <w:t>Class I Directors Whose Terms Expire at the 2028 Annual Meeting</w:t>
      </w:r>
    </w:p>
    <w:p>
      <w:pPr>
        <w:spacing w:after="0" w:line="31" w:lineRule="exact"/>
        <w:rPr>
          <w:sz w:val="20"/>
          <w:szCs w:val="20"/>
          <w:color w:val="auto"/>
        </w:rPr>
      </w:pPr>
    </w:p>
    <w:p>
      <w:pPr>
        <w:ind w:left="20"/>
        <w:spacing w:after="0" w:line="239" w:lineRule="auto"/>
        <w:rPr>
          <w:sz w:val="20"/>
          <w:szCs w:val="20"/>
          <w:color w:val="auto"/>
        </w:rPr>
      </w:pPr>
      <w:r>
        <w:rPr>
          <w:rFonts w:ascii="Arial" w:cs="Arial" w:eastAsia="Arial" w:hAnsi="Arial"/>
          <w:sz w:val="18"/>
          <w:szCs w:val="18"/>
          <w:b w:val="1"/>
          <w:bCs w:val="1"/>
          <w:color w:val="auto"/>
        </w:rPr>
        <w:t xml:space="preserve">Peter Comisar </w:t>
      </w:r>
      <w:r>
        <w:rPr>
          <w:rFonts w:ascii="Arial" w:cs="Arial" w:eastAsia="Arial" w:hAnsi="Arial"/>
          <w:sz w:val="18"/>
          <w:szCs w:val="18"/>
          <w:color w:val="auto"/>
        </w:rPr>
        <w:t>has served as a member of our Board since October 2025. Peter Comisar is Founder and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of STORY3 Capital Partners, a leading alternative investment manager focused on the consumer sector. Currently, Mr. Comisar serves on the board of directors of several private companies including Mammoth Brands, Recover Fiber, and Coco Republic. Previously, he was Vice Chairman of Guggenheim Partners, LLC from 2009 to 2017, where he helped build the firm’s securities team along with managing the firm’s consumer &amp; retail investment banking efforts. Prior to that, Mr. Comisar held a variety of positions at Goldman Sachs over a 20-year career, including most recently as Partner and Managing Director responsible for the consumer &amp; retail investment banking efforts on the West Coast. Mr. Comisar holds a B.A. from Colgate University. We believe Mr. Comisar is qualified to serve on our Board because of his extensive experience as an investor and advisor to leading consumer brands.</w:t>
      </w:r>
    </w:p>
    <w:p>
      <w:pPr>
        <w:spacing w:after="0" w:line="156" w:lineRule="exact"/>
        <w:rPr>
          <w:sz w:val="20"/>
          <w:szCs w:val="20"/>
          <w:color w:val="auto"/>
        </w:rPr>
      </w:pPr>
    </w:p>
    <w:p>
      <w:pPr>
        <w:ind w:left="20"/>
        <w:spacing w:after="0" w:line="239" w:lineRule="auto"/>
        <w:rPr>
          <w:sz w:val="20"/>
          <w:szCs w:val="20"/>
          <w:color w:val="auto"/>
        </w:rPr>
      </w:pPr>
      <w:r>
        <w:rPr>
          <w:rFonts w:ascii="Arial" w:cs="Arial" w:eastAsia="Arial" w:hAnsi="Arial"/>
          <w:sz w:val="18"/>
          <w:szCs w:val="18"/>
          <w:b w:val="1"/>
          <w:bCs w:val="1"/>
          <w:color w:val="auto"/>
        </w:rPr>
        <w:t xml:space="preserve">Damian Giangiacomo </w:t>
      </w:r>
      <w:r>
        <w:rPr>
          <w:rFonts w:ascii="Arial" w:cs="Arial" w:eastAsia="Arial" w:hAnsi="Arial"/>
          <w:sz w:val="18"/>
          <w:szCs w:val="18"/>
          <w:color w:val="auto"/>
        </w:rPr>
        <w:t>has served as a member of our Board since October 2025. In 2013, Damian co-founded Nexus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Management LP, a private equity firm, and is a Managing Partner of the firm. Mr. Giangiacomo currently serves on the Board of Directors of Encoura, Ethos Pet, Lamps Plus, Savvas Learning Company, Sperber Landscape Companies and TruRoots. Damian previously served on the Board of Directors of Cypress Performance Group, Resident Inc., Rexnord Corporation (NYSE: RXN), McGraw-Hill Global Education, Jacuzzi Brands, Linens ‘n Things, and Connections Education. Prior to co-founding Nexus, Damian spent 13 years at Apollo Global Management in its Private Equity Group. He began his career in the Mergers, Acquisitions &amp; Restructurings Department of Morgan Stanley. Mr. Giangiacomo holds a B.B.A. from the University of Notre Dame. We believe Mr. Giangiacomo is qualified to serve on our Board because of his deep corporate strategy, financial, and board experience.</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Audit Committee Report</w:t>
      </w:r>
    </w:p>
    <w:p>
      <w:pPr>
        <w:spacing w:after="0" w:line="212" w:lineRule="exact"/>
        <w:rPr>
          <w:sz w:val="20"/>
          <w:szCs w:val="20"/>
          <w:color w:val="auto"/>
        </w:rPr>
      </w:pPr>
    </w:p>
    <w:p>
      <w:pPr>
        <w:ind w:left="20" w:right="2140"/>
        <w:spacing w:after="0" w:line="271" w:lineRule="auto"/>
        <w:rPr>
          <w:sz w:val="20"/>
          <w:szCs w:val="20"/>
          <w:color w:val="auto"/>
        </w:rPr>
      </w:pPr>
      <w:r>
        <w:rPr>
          <w:rFonts w:ascii="Arial" w:cs="Arial" w:eastAsia="Arial" w:hAnsi="Arial"/>
          <w:sz w:val="18"/>
          <w:szCs w:val="18"/>
          <w:color w:val="auto"/>
        </w:rPr>
        <w:t>The Audit Committee operates pursuant to a charter that is available on our investor website (investors.renttherunway.com).</w:t>
      </w:r>
    </w:p>
    <w:p>
      <w:pPr>
        <w:spacing w:after="0" w:line="127"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As described above in more detail, the principal purpose of the Audit Committee is to assist the Board of Directors in its oversight of our accounting practices, system of internal controls, audit processes, and financial reporting processes. The Audit Committee is responsible for appointing and retaining our independent auditor and approving the audit and non-audit services to be provided by the independent auditor. The Audit Committee’s function is more fully described in its charter.</w:t>
      </w:r>
    </w:p>
    <w:p>
      <w:pPr>
        <w:spacing w:after="0" w:line="136" w:lineRule="exact"/>
        <w:rPr>
          <w:sz w:val="20"/>
          <w:szCs w:val="20"/>
          <w:color w:val="auto"/>
        </w:rPr>
      </w:pPr>
    </w:p>
    <w:p>
      <w:pPr>
        <w:ind w:left="20" w:right="140"/>
        <w:spacing w:after="0" w:line="244" w:lineRule="auto"/>
        <w:rPr>
          <w:sz w:val="20"/>
          <w:szCs w:val="20"/>
          <w:color w:val="auto"/>
        </w:rPr>
      </w:pPr>
      <w:r>
        <w:rPr>
          <w:rFonts w:ascii="Arial" w:cs="Arial" w:eastAsia="Arial" w:hAnsi="Arial"/>
          <w:sz w:val="18"/>
          <w:szCs w:val="18"/>
          <w:color w:val="auto"/>
        </w:rPr>
        <w:t>Management is responsible for preparing our financial statements and ensuring they are complete and accurate and prepared in accordance with generally accepted accounting principles. PricewaterhouseCoopers LLP (“PwC”), our independent registered public accounting firm, is responsible for performing an independent audit of our Consolidated Financial Statements and expressing an opinion on the conformity of those financial statements with generally accepted accounting principles.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performing its responsibilities, the Audit Committee has:</w:t>
      </w:r>
    </w:p>
    <w:p>
      <w:pPr>
        <w:spacing w:after="0" w:line="171" w:lineRule="exact"/>
        <w:rPr>
          <w:sz w:val="20"/>
          <w:szCs w:val="20"/>
          <w:color w:val="auto"/>
        </w:rPr>
      </w:pPr>
    </w:p>
    <w:p>
      <w:pPr>
        <w:ind w:left="740" w:right="820" w:hanging="359"/>
        <w:spacing w:after="0" w:line="245"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reviewed and discussed with management our audited financial statements for the fiscal year ended January 31, 2026;</w:t>
      </w:r>
    </w:p>
    <w:p>
      <w:pPr>
        <w:ind w:left="740" w:right="120" w:hanging="359"/>
        <w:spacing w:after="0" w:line="234"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discussed with our independent registered public accounting firm, PwC, the matters required to be discussed by the applicable requirements of the Public Company Accounting Oversight Board (the “PCAOB”) and the SEC; and</w:t>
      </w:r>
    </w:p>
    <w:p>
      <w:pPr>
        <w:spacing w:after="0" w:line="2" w:lineRule="exact"/>
        <w:rPr>
          <w:rFonts w:ascii="Arial" w:cs="Arial" w:eastAsia="Arial" w:hAnsi="Arial"/>
          <w:sz w:val="18"/>
          <w:szCs w:val="18"/>
          <w:color w:val="auto"/>
        </w:rPr>
      </w:pPr>
    </w:p>
    <w:p>
      <w:pPr>
        <w:ind w:left="740" w:right="160" w:hanging="359"/>
        <w:spacing w:after="0" w:line="242"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PwC required by the applicable PCAOB requirements for the independent accountant communications with audit committees concerning auditor independence, and has discussed with PwC its independence.</w:t>
      </w:r>
    </w:p>
    <w:p>
      <w:pPr>
        <w:spacing w:after="0" w:line="152" w:lineRule="exact"/>
        <w:rPr>
          <w:sz w:val="20"/>
          <w:szCs w:val="20"/>
          <w:color w:val="auto"/>
        </w:rPr>
      </w:pPr>
    </w:p>
    <w:p>
      <w:pPr>
        <w:jc w:val="both"/>
        <w:ind w:left="20" w:right="80"/>
        <w:spacing w:after="0" w:line="253"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the audited financial statements be included in our Annual Report on Form 10-K for the fiscal year ended January 31, 2026.</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Respectfully submitted by:</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Daniel Rosensweig - </w:t>
      </w:r>
      <w:r>
        <w:rPr>
          <w:rFonts w:ascii="Arial" w:cs="Arial" w:eastAsia="Arial" w:hAnsi="Arial"/>
          <w:sz w:val="18"/>
          <w:szCs w:val="18"/>
          <w:i w:val="1"/>
          <w:iCs w:val="1"/>
          <w:color w:val="auto"/>
        </w:rPr>
        <w:t>Chair</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Damian Giangiacomo</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64"/>
          <w:szCs w:val="64"/>
          <w:b w:val="1"/>
          <w:bCs w:val="1"/>
          <w:color w:val="auto"/>
        </w:rPr>
        <w:t>Ratification of the Appointment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of Independent Registered</w:t>
      </w:r>
    </w:p>
    <w:p>
      <w:pPr>
        <w:ind w:left="20"/>
        <w:spacing w:after="0"/>
        <w:rPr>
          <w:sz w:val="20"/>
          <w:szCs w:val="20"/>
          <w:color w:val="auto"/>
        </w:rPr>
      </w:pPr>
      <w:r>
        <w:rPr>
          <w:rFonts w:ascii="Arial" w:cs="Arial" w:eastAsia="Arial" w:hAnsi="Arial"/>
          <w:sz w:val="65"/>
          <w:szCs w:val="65"/>
          <w:b w:val="1"/>
          <w:bCs w:val="1"/>
          <w:color w:val="auto"/>
        </w:rPr>
        <w:t>Public Accounting Firm</w:t>
      </w:r>
    </w:p>
    <w:p>
      <w:pPr>
        <w:spacing w:after="0" w:line="144" w:lineRule="exact"/>
        <w:rPr>
          <w:sz w:val="20"/>
          <w:szCs w:val="20"/>
          <w:color w:val="auto"/>
        </w:rPr>
      </w:pPr>
    </w:p>
    <w:p>
      <w:pPr>
        <w:ind w:left="20" w:right="220"/>
        <w:spacing w:after="0" w:line="242" w:lineRule="auto"/>
        <w:rPr>
          <w:sz w:val="20"/>
          <w:szCs w:val="20"/>
          <w:color w:val="auto"/>
        </w:rPr>
      </w:pPr>
      <w:r>
        <w:rPr>
          <w:rFonts w:ascii="Arial" w:cs="Arial" w:eastAsia="Arial" w:hAnsi="Arial"/>
          <w:sz w:val="18"/>
          <w:szCs w:val="18"/>
          <w:color w:val="auto"/>
        </w:rPr>
        <w:t>The Audit Committee has appointed PricewaterhouseCoopers LLP (“PwC”) as our independent registered public accounting firm for fiscal year 2026 and recommends that stockholders vote to ratify the appointment. Although we are not required by law to obtain such ratification from our stockholders, we believe it is good practice to do so. If our stockholders do not ratify the appointment of PwC, the Audit Committee may reconsider its appointment. The Audit Committee, in its discretion, may appoint a new independent registered public accounting firm at any time during the year if the Audit Committee believes that such a change would be in the best interests of RTR and our stockholders.</w:t>
      </w:r>
    </w:p>
    <w:p>
      <w:pPr>
        <w:spacing w:after="0" w:line="152" w:lineRule="exact"/>
        <w:rPr>
          <w:sz w:val="20"/>
          <w:szCs w:val="20"/>
          <w:color w:val="auto"/>
        </w:rPr>
      </w:pPr>
    </w:p>
    <w:p>
      <w:pPr>
        <w:ind w:left="20" w:right="600"/>
        <w:spacing w:after="0" w:line="271" w:lineRule="auto"/>
        <w:rPr>
          <w:sz w:val="20"/>
          <w:szCs w:val="20"/>
          <w:color w:val="auto"/>
        </w:rPr>
      </w:pPr>
      <w:r>
        <w:rPr>
          <w:rFonts w:ascii="Arial" w:cs="Arial" w:eastAsia="Arial" w:hAnsi="Arial"/>
          <w:sz w:val="18"/>
          <w:szCs w:val="18"/>
          <w:color w:val="auto"/>
        </w:rPr>
        <w:t>PwC has audited our consolidated financial statements since 2020. A representative of PwC will be present at our Annual Meeting to respond to appropriate questions and to make a statement if they so desire.</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Fees and Services</w:t>
      </w:r>
    </w:p>
    <w:p>
      <w:pPr>
        <w:spacing w:after="0" w:line="199" w:lineRule="exact"/>
        <w:rPr>
          <w:sz w:val="20"/>
          <w:szCs w:val="20"/>
          <w:color w:val="auto"/>
        </w:rPr>
      </w:pPr>
    </w:p>
    <w:p>
      <w:pPr>
        <w:ind w:left="20" w:right="160"/>
        <w:spacing w:after="0" w:line="271" w:lineRule="auto"/>
        <w:rPr>
          <w:sz w:val="20"/>
          <w:szCs w:val="20"/>
          <w:color w:val="auto"/>
        </w:rPr>
      </w:pPr>
      <w:r>
        <w:rPr>
          <w:rFonts w:ascii="Arial" w:cs="Arial" w:eastAsia="Arial" w:hAnsi="Arial"/>
          <w:sz w:val="18"/>
          <w:szCs w:val="18"/>
          <w:color w:val="auto"/>
        </w:rPr>
        <w:t>The following table presents fees for professional audit services and other services rendered to us by PwC for the fiscal years ended January 31, 2026 and January 31, 2025.</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4300" w:type="dxa"/>
            <w:vAlign w:val="bottom"/>
            <w:shd w:val="clear" w:color="auto" w:fill="FFE8F5"/>
          </w:tcPr>
          <w:p>
            <w:pPr>
              <w:ind w:left="160"/>
              <w:spacing w:after="0"/>
              <w:rPr>
                <w:sz w:val="20"/>
                <w:szCs w:val="20"/>
                <w:color w:val="auto"/>
              </w:rPr>
            </w:pPr>
            <w:r>
              <w:rPr>
                <w:rFonts w:ascii="Arial" w:cs="Arial" w:eastAsia="Arial" w:hAnsi="Arial"/>
                <w:sz w:val="14"/>
                <w:szCs w:val="14"/>
                <w:b w:val="1"/>
                <w:bCs w:val="1"/>
                <w:color w:val="auto"/>
              </w:rPr>
              <w:t>Fee Categories</w:t>
            </w:r>
          </w:p>
        </w:tc>
        <w:tc>
          <w:tcPr>
            <w:tcW w:w="4060" w:type="dxa"/>
            <w:vAlign w:val="bottom"/>
            <w:shd w:val="clear" w:color="auto" w:fill="FFE8F5"/>
          </w:tcPr>
          <w:p>
            <w:pPr>
              <w:jc w:val="right"/>
              <w:ind w:right="268"/>
              <w:spacing w:after="0"/>
              <w:rPr>
                <w:sz w:val="20"/>
                <w:szCs w:val="20"/>
                <w:color w:val="auto"/>
              </w:rPr>
            </w:pPr>
            <w:r>
              <w:rPr>
                <w:rFonts w:ascii="Arial" w:cs="Arial" w:eastAsia="Arial" w:hAnsi="Arial"/>
                <w:sz w:val="14"/>
                <w:szCs w:val="14"/>
                <w:b w:val="1"/>
                <w:bCs w:val="1"/>
                <w:color w:val="auto"/>
              </w:rPr>
              <w:t>FY25 Fees</w:t>
            </w:r>
          </w:p>
        </w:tc>
        <w:tc>
          <w:tcPr>
            <w:tcW w:w="1140" w:type="dxa"/>
            <w:vAlign w:val="bottom"/>
            <w:shd w:val="clear" w:color="auto" w:fill="FFE8F5"/>
          </w:tcPr>
          <w:p>
            <w:pPr>
              <w:jc w:val="right"/>
              <w:ind w:right="108"/>
              <w:spacing w:after="0"/>
              <w:rPr>
                <w:sz w:val="20"/>
                <w:szCs w:val="20"/>
                <w:color w:val="auto"/>
              </w:rPr>
            </w:pPr>
            <w:r>
              <w:rPr>
                <w:rFonts w:ascii="Arial" w:cs="Arial" w:eastAsia="Arial" w:hAnsi="Arial"/>
                <w:sz w:val="14"/>
                <w:szCs w:val="14"/>
                <w:b w:val="1"/>
                <w:bCs w:val="1"/>
                <w:color w:val="auto"/>
              </w:rPr>
              <w:t>FY24 Fees</w:t>
            </w:r>
          </w:p>
        </w:tc>
      </w:tr>
      <w:tr>
        <w:trPr>
          <w:trHeight w:val="70"/>
        </w:trPr>
        <w:tc>
          <w:tcPr>
            <w:tcW w:w="4300" w:type="dxa"/>
            <w:vAlign w:val="bottom"/>
            <w:tcBorders>
              <w:bottom w:val="single" w:sz="8" w:color="auto"/>
            </w:tcBorders>
            <w:shd w:val="clear" w:color="auto" w:fill="FFE8F5"/>
          </w:tcPr>
          <w:p>
            <w:pPr>
              <w:spacing w:after="0"/>
              <w:rPr>
                <w:sz w:val="6"/>
                <w:szCs w:val="6"/>
                <w:color w:val="auto"/>
              </w:rPr>
            </w:pPr>
          </w:p>
        </w:tc>
        <w:tc>
          <w:tcPr>
            <w:tcW w:w="4060" w:type="dxa"/>
            <w:vAlign w:val="bottom"/>
            <w:tcBorders>
              <w:bottom w:val="single" w:sz="8" w:color="auto"/>
            </w:tcBorders>
            <w:shd w:val="clear" w:color="auto" w:fill="FFE8F5"/>
          </w:tcPr>
          <w:p>
            <w:pPr>
              <w:spacing w:after="0"/>
              <w:rPr>
                <w:sz w:val="6"/>
                <w:szCs w:val="6"/>
                <w:color w:val="auto"/>
              </w:rPr>
            </w:pPr>
          </w:p>
        </w:tc>
        <w:tc>
          <w:tcPr>
            <w:tcW w:w="1140" w:type="dxa"/>
            <w:vAlign w:val="bottom"/>
            <w:tcBorders>
              <w:bottom w:val="single" w:sz="8" w:color="auto"/>
            </w:tcBorders>
            <w:shd w:val="clear" w:color="auto" w:fill="FFE8F5"/>
          </w:tcPr>
          <w:p>
            <w:pPr>
              <w:spacing w:after="0"/>
              <w:rPr>
                <w:sz w:val="6"/>
                <w:szCs w:val="6"/>
                <w:color w:val="auto"/>
              </w:rPr>
            </w:pPr>
          </w:p>
        </w:tc>
      </w:tr>
      <w:tr>
        <w:trPr>
          <w:trHeight w:val="269"/>
        </w:trPr>
        <w:tc>
          <w:tcPr>
            <w:tcW w:w="4300" w:type="dxa"/>
            <w:vAlign w:val="bottom"/>
          </w:tcPr>
          <w:p>
            <w:pPr>
              <w:ind w:left="160"/>
              <w:spacing w:after="0"/>
              <w:rPr>
                <w:sz w:val="20"/>
                <w:szCs w:val="20"/>
                <w:color w:val="auto"/>
              </w:rPr>
            </w:pPr>
            <w:r>
              <w:rPr>
                <w:rFonts w:ascii="Arial" w:cs="Arial" w:eastAsia="Arial" w:hAnsi="Arial"/>
                <w:sz w:val="14"/>
                <w:szCs w:val="14"/>
                <w:color w:val="auto"/>
              </w:rPr>
              <w:t>Audit fees</w:t>
            </w:r>
          </w:p>
        </w:tc>
        <w:tc>
          <w:tcPr>
            <w:tcW w:w="4060" w:type="dxa"/>
            <w:vAlign w:val="bottom"/>
          </w:tcPr>
          <w:p>
            <w:pPr>
              <w:jc w:val="right"/>
              <w:ind w:right="188"/>
              <w:spacing w:after="0"/>
              <w:rPr>
                <w:sz w:val="20"/>
                <w:szCs w:val="20"/>
                <w:color w:val="auto"/>
              </w:rPr>
            </w:pPr>
            <w:r>
              <w:rPr>
                <w:rFonts w:ascii="Arial" w:cs="Arial" w:eastAsia="Arial" w:hAnsi="Arial"/>
                <w:sz w:val="14"/>
                <w:szCs w:val="14"/>
                <w:color w:val="auto"/>
              </w:rPr>
              <w:t>$1,930,000</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$1,279,000</w:t>
            </w:r>
          </w:p>
        </w:tc>
      </w:tr>
      <w:tr>
        <w:trPr>
          <w:trHeight w:val="75"/>
        </w:trPr>
        <w:tc>
          <w:tcPr>
            <w:tcW w:w="4300" w:type="dxa"/>
            <w:vAlign w:val="bottom"/>
            <w:tcBorders>
              <w:bottom w:val="single" w:sz="8" w:color="auto"/>
            </w:tcBorders>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5"/>
        </w:trPr>
        <w:tc>
          <w:tcPr>
            <w:tcW w:w="4300" w:type="dxa"/>
            <w:vAlign w:val="bottom"/>
          </w:tcPr>
          <w:p>
            <w:pPr>
              <w:ind w:left="160"/>
              <w:spacing w:after="0"/>
              <w:rPr>
                <w:sz w:val="20"/>
                <w:szCs w:val="20"/>
                <w:color w:val="auto"/>
              </w:rPr>
            </w:pPr>
            <w:r>
              <w:rPr>
                <w:rFonts w:ascii="Arial" w:cs="Arial" w:eastAsia="Arial" w:hAnsi="Arial"/>
                <w:sz w:val="14"/>
                <w:szCs w:val="14"/>
                <w:color w:val="auto"/>
              </w:rPr>
              <w:t>Audit-related fees</w:t>
            </w:r>
          </w:p>
        </w:tc>
        <w:tc>
          <w:tcPr>
            <w:tcW w:w="40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76"/>
        </w:trPr>
        <w:tc>
          <w:tcPr>
            <w:tcW w:w="4300" w:type="dxa"/>
            <w:vAlign w:val="bottom"/>
            <w:tcBorders>
              <w:bottom w:val="single" w:sz="8" w:color="auto"/>
            </w:tcBorders>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5"/>
        </w:trPr>
        <w:tc>
          <w:tcPr>
            <w:tcW w:w="4300" w:type="dxa"/>
            <w:vAlign w:val="bottom"/>
          </w:tcPr>
          <w:p>
            <w:pPr>
              <w:ind w:left="160"/>
              <w:spacing w:after="0"/>
              <w:rPr>
                <w:sz w:val="20"/>
                <w:szCs w:val="20"/>
                <w:color w:val="auto"/>
              </w:rPr>
            </w:pPr>
            <w:r>
              <w:rPr>
                <w:rFonts w:ascii="Arial" w:cs="Arial" w:eastAsia="Arial" w:hAnsi="Arial"/>
                <w:sz w:val="14"/>
                <w:szCs w:val="14"/>
                <w:color w:val="auto"/>
              </w:rPr>
              <w:t>Tax fees</w:t>
            </w:r>
          </w:p>
        </w:tc>
        <w:tc>
          <w:tcPr>
            <w:tcW w:w="4060" w:type="dxa"/>
            <w:vAlign w:val="bottom"/>
          </w:tcPr>
          <w:p>
            <w:pPr>
              <w:jc w:val="right"/>
              <w:ind w:right="188"/>
              <w:spacing w:after="0"/>
              <w:rPr>
                <w:sz w:val="20"/>
                <w:szCs w:val="20"/>
                <w:color w:val="auto"/>
              </w:rPr>
            </w:pPr>
            <w:r>
              <w:rPr>
                <w:rFonts w:ascii="Arial" w:cs="Arial" w:eastAsia="Arial" w:hAnsi="Arial"/>
                <w:sz w:val="14"/>
                <w:szCs w:val="14"/>
                <w:color w:val="auto"/>
              </w:rPr>
              <w:t>$127,400</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$108,950</w:t>
            </w:r>
          </w:p>
        </w:tc>
      </w:tr>
      <w:tr>
        <w:trPr>
          <w:trHeight w:val="76"/>
        </w:trPr>
        <w:tc>
          <w:tcPr>
            <w:tcW w:w="4300" w:type="dxa"/>
            <w:vAlign w:val="bottom"/>
            <w:tcBorders>
              <w:bottom w:val="single" w:sz="8" w:color="auto"/>
            </w:tcBorders>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5"/>
        </w:trPr>
        <w:tc>
          <w:tcPr>
            <w:tcW w:w="4300" w:type="dxa"/>
            <w:vAlign w:val="bottom"/>
          </w:tcPr>
          <w:p>
            <w:pPr>
              <w:ind w:left="160"/>
              <w:spacing w:after="0"/>
              <w:rPr>
                <w:sz w:val="20"/>
                <w:szCs w:val="20"/>
                <w:color w:val="auto"/>
              </w:rPr>
            </w:pPr>
            <w:r>
              <w:rPr>
                <w:rFonts w:ascii="Arial" w:cs="Arial" w:eastAsia="Arial" w:hAnsi="Arial"/>
                <w:sz w:val="14"/>
                <w:szCs w:val="14"/>
                <w:color w:val="auto"/>
              </w:rPr>
              <w:t>All other fees</w:t>
            </w:r>
          </w:p>
        </w:tc>
        <w:tc>
          <w:tcPr>
            <w:tcW w:w="4060" w:type="dxa"/>
            <w:vAlign w:val="bottom"/>
          </w:tcPr>
          <w:p>
            <w:pPr>
              <w:jc w:val="right"/>
              <w:ind w:right="188"/>
              <w:spacing w:after="0"/>
              <w:rPr>
                <w:sz w:val="20"/>
                <w:szCs w:val="20"/>
                <w:color w:val="auto"/>
              </w:rPr>
            </w:pPr>
            <w:r>
              <w:rPr>
                <w:rFonts w:ascii="Arial" w:cs="Arial" w:eastAsia="Arial" w:hAnsi="Arial"/>
                <w:sz w:val="14"/>
                <w:szCs w:val="14"/>
                <w:color w:val="auto"/>
              </w:rPr>
              <w:t>$2,178</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$2,900</w:t>
            </w:r>
          </w:p>
        </w:tc>
      </w:tr>
      <w:tr>
        <w:trPr>
          <w:trHeight w:val="75"/>
        </w:trPr>
        <w:tc>
          <w:tcPr>
            <w:tcW w:w="4300" w:type="dxa"/>
            <w:vAlign w:val="bottom"/>
            <w:tcBorders>
              <w:bottom w:val="single" w:sz="8" w:color="auto"/>
            </w:tcBorders>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5"/>
        </w:trPr>
        <w:tc>
          <w:tcPr>
            <w:tcW w:w="4300" w:type="dxa"/>
            <w:vAlign w:val="bottom"/>
          </w:tcPr>
          <w:p>
            <w:pPr>
              <w:ind w:left="160"/>
              <w:spacing w:after="0"/>
              <w:rPr>
                <w:sz w:val="20"/>
                <w:szCs w:val="20"/>
                <w:color w:val="auto"/>
              </w:rPr>
            </w:pPr>
            <w:r>
              <w:rPr>
                <w:rFonts w:ascii="Arial" w:cs="Arial" w:eastAsia="Arial" w:hAnsi="Arial"/>
                <w:sz w:val="14"/>
                <w:szCs w:val="14"/>
                <w:color w:val="auto"/>
              </w:rPr>
              <w:t>Total fees</w:t>
            </w:r>
          </w:p>
        </w:tc>
        <w:tc>
          <w:tcPr>
            <w:tcW w:w="4060" w:type="dxa"/>
            <w:vAlign w:val="bottom"/>
          </w:tcPr>
          <w:p>
            <w:pPr>
              <w:jc w:val="right"/>
              <w:ind w:right="188"/>
              <w:spacing w:after="0"/>
              <w:rPr>
                <w:sz w:val="20"/>
                <w:szCs w:val="20"/>
                <w:color w:val="auto"/>
              </w:rPr>
            </w:pPr>
            <w:r>
              <w:rPr>
                <w:rFonts w:ascii="Arial" w:cs="Arial" w:eastAsia="Arial" w:hAnsi="Arial"/>
                <w:sz w:val="14"/>
                <w:szCs w:val="14"/>
                <w:color w:val="auto"/>
              </w:rPr>
              <w:t>$2,059,578</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$1,390,850</w:t>
            </w:r>
          </w:p>
        </w:tc>
      </w:tr>
      <w:tr>
        <w:trPr>
          <w:trHeight w:val="35"/>
        </w:trPr>
        <w:tc>
          <w:tcPr>
            <w:tcW w:w="430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pacing w:after="0" w:line="265" w:lineRule="exact"/>
        <w:rPr>
          <w:sz w:val="20"/>
          <w:szCs w:val="20"/>
          <w:color w:val="auto"/>
        </w:rPr>
      </w:pPr>
    </w:p>
    <w:p>
      <w:pPr>
        <w:ind w:left="20" w:right="420"/>
        <w:spacing w:after="0" w:line="244" w:lineRule="auto"/>
        <w:rPr>
          <w:sz w:val="20"/>
          <w:szCs w:val="20"/>
          <w:color w:val="auto"/>
        </w:rPr>
      </w:pPr>
      <w:r>
        <w:rPr>
          <w:rFonts w:ascii="Arial" w:cs="Arial" w:eastAsia="Arial" w:hAnsi="Arial"/>
          <w:sz w:val="18"/>
          <w:szCs w:val="18"/>
          <w:b w:val="1"/>
          <w:bCs w:val="1"/>
          <w:color w:val="auto"/>
        </w:rPr>
        <w:t>Audit fees</w:t>
      </w:r>
      <w:r>
        <w:rPr>
          <w:rFonts w:ascii="Arial" w:cs="Arial" w:eastAsia="Arial" w:hAnsi="Arial"/>
          <w:sz w:val="18"/>
          <w:szCs w:val="18"/>
          <w:color w:val="auto"/>
        </w:rPr>
        <w:t>. These amounts consist of fees and expenses for professional services necessary to perform an audit or</w:t>
      </w:r>
      <w:r>
        <w:rPr>
          <w:rFonts w:ascii="Arial" w:cs="Arial" w:eastAsia="Arial" w:hAnsi="Arial"/>
          <w:sz w:val="18"/>
          <w:szCs w:val="18"/>
          <w:b w:val="1"/>
          <w:bCs w:val="1"/>
          <w:color w:val="auto"/>
        </w:rPr>
        <w:t xml:space="preserve"> </w:t>
      </w:r>
      <w:r>
        <w:rPr>
          <w:rFonts w:ascii="Arial" w:cs="Arial" w:eastAsia="Arial" w:hAnsi="Arial"/>
          <w:sz w:val="18"/>
          <w:szCs w:val="18"/>
          <w:color w:val="auto"/>
        </w:rPr>
        <w:t>review in accordance with the standards of the PCAOB, including services rendered for the audit of RTR’s annual financial statements and review of quarterly financial statements starting in fiscal year 2024. These amounts also include fees for services that are normally incurred in connection with regulatory filings, such as comfort letters, consents, and review of documents filed with the SEC, and service fees related to specific transactions and events.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Audit-related fees</w:t>
      </w:r>
      <w:r>
        <w:rPr>
          <w:rFonts w:ascii="Arial" w:cs="Arial" w:eastAsia="Arial" w:hAnsi="Arial"/>
          <w:sz w:val="18"/>
          <w:szCs w:val="18"/>
          <w:color w:val="auto"/>
        </w:rPr>
        <w:t>. These amounts consist of fees to review management's material weakness remediation plans.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Tax fees</w:t>
      </w:r>
      <w:r>
        <w:rPr>
          <w:rFonts w:ascii="Arial" w:cs="Arial" w:eastAsia="Arial" w:hAnsi="Arial"/>
          <w:sz w:val="18"/>
          <w:szCs w:val="18"/>
          <w:color w:val="auto"/>
        </w:rPr>
        <w:t>. These amounts consist of fees for tax compliance, tax planning, and tax advice.</w:t>
      </w:r>
    </w:p>
    <w:p>
      <w:pPr>
        <w:spacing w:after="0" w:line="171" w:lineRule="exact"/>
        <w:rPr>
          <w:sz w:val="20"/>
          <w:szCs w:val="20"/>
          <w:color w:val="auto"/>
        </w:rPr>
      </w:pPr>
    </w:p>
    <w:p>
      <w:pPr>
        <w:ind w:left="20" w:right="220"/>
        <w:spacing w:after="0" w:line="271" w:lineRule="auto"/>
        <w:rPr>
          <w:sz w:val="20"/>
          <w:szCs w:val="20"/>
          <w:color w:val="auto"/>
        </w:rPr>
      </w:pPr>
      <w:r>
        <w:rPr>
          <w:rFonts w:ascii="Arial" w:cs="Arial" w:eastAsia="Arial" w:hAnsi="Arial"/>
          <w:sz w:val="18"/>
          <w:szCs w:val="18"/>
          <w:b w:val="1"/>
          <w:bCs w:val="1"/>
          <w:color w:val="auto"/>
        </w:rPr>
        <w:t>All other fees</w:t>
      </w:r>
      <w:r>
        <w:rPr>
          <w:rFonts w:ascii="Arial" w:cs="Arial" w:eastAsia="Arial" w:hAnsi="Arial"/>
          <w:sz w:val="18"/>
          <w:szCs w:val="18"/>
          <w:color w:val="auto"/>
        </w:rPr>
        <w:t>. These amounts consist of the aggregate fees for access to disclosure requirements software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provided by PwC.</w:t>
      </w:r>
    </w:p>
    <w:p>
      <w:pPr>
        <w:spacing w:after="0" w:line="26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660"/>
          </w:cols>
          <w:pgMar w:left="1180" w:top="114" w:right="10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Pre-Approval Policies and Procedures</w:t>
      </w:r>
    </w:p>
    <w:p>
      <w:pPr>
        <w:spacing w:after="0" w:line="199" w:lineRule="exact"/>
        <w:rPr>
          <w:sz w:val="20"/>
          <w:szCs w:val="20"/>
          <w:color w:val="auto"/>
        </w:rPr>
      </w:pPr>
    </w:p>
    <w:p>
      <w:pPr>
        <w:ind w:left="20" w:right="120"/>
        <w:spacing w:after="0" w:line="253" w:lineRule="auto"/>
        <w:rPr>
          <w:sz w:val="20"/>
          <w:szCs w:val="20"/>
          <w:color w:val="auto"/>
        </w:rPr>
      </w:pPr>
      <w:r>
        <w:rPr>
          <w:rFonts w:ascii="Arial" w:cs="Arial" w:eastAsia="Arial" w:hAnsi="Arial"/>
          <w:sz w:val="18"/>
          <w:szCs w:val="18"/>
          <w:color w:val="auto"/>
        </w:rPr>
        <w:t>The Audit Committee is required to pre-approve all audit and non-audit services performed by PwC to ensure that the provision of such services does not impair the public accounting firm’s independence. The Audit Committee pre-approved all of the services described above.</w:t>
      </w:r>
    </w:p>
    <w:p>
      <w:pPr>
        <w:spacing w:after="0" w:line="132" w:lineRule="exact"/>
        <w:rPr>
          <w:sz w:val="20"/>
          <w:szCs w:val="20"/>
          <w:color w:val="auto"/>
        </w:rPr>
      </w:pPr>
    </w:p>
    <w:p>
      <w:pPr>
        <w:jc w:val="both"/>
        <w:ind w:left="20"/>
        <w:spacing w:after="0" w:line="251" w:lineRule="auto"/>
        <w:rPr>
          <w:sz w:val="20"/>
          <w:szCs w:val="20"/>
          <w:color w:val="auto"/>
        </w:rPr>
      </w:pPr>
      <w:r>
        <w:rPr>
          <w:rFonts w:ascii="Arial" w:cs="Arial" w:eastAsia="Arial" w:hAnsi="Arial"/>
          <w:sz w:val="22"/>
          <w:szCs w:val="22"/>
          <w:b w:val="1"/>
          <w:bCs w:val="1"/>
          <w:color w:val="auto"/>
        </w:rPr>
        <w:t>The Board of Directors recommends that you vote “FOR” the ratification of the appointment of PricewaterhouseCoopers LLP as independent registered public accounting firm for fiscal year 2026.</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114" w:right="1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right="1060"/>
        <w:spacing w:after="0" w:line="273" w:lineRule="auto"/>
        <w:rPr>
          <w:sz w:val="20"/>
          <w:szCs w:val="20"/>
          <w:color w:val="auto"/>
        </w:rPr>
      </w:pPr>
      <w:r>
        <w:rPr>
          <w:rFonts w:ascii="Arial" w:cs="Arial" w:eastAsia="Arial" w:hAnsi="Arial"/>
          <w:sz w:val="65"/>
          <w:szCs w:val="65"/>
          <w:b w:val="1"/>
          <w:bCs w:val="1"/>
          <w:color w:val="auto"/>
        </w:rPr>
        <w:t>Introduction to Proposals 3 through 11</w:t>
      </w:r>
    </w:p>
    <w:p>
      <w:pPr>
        <w:spacing w:after="0" w:line="2"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Pursuant to the law of the State of Delaware, our state of incorporation, the Board must adopt any amendment to the Charter and submit the amendment to stockholders for their approval. Our Board has unanimously adopted, declaring the advisability of, and is recommending, in Proposals 3 through 11, that our stockholders approve certain amendments to our Charter, as more fully described in each Proposal. For each of Proposal 3 through 11, the form of the proposed amendments to our Charter is attached to this proxy statement.</w:t>
      </w:r>
    </w:p>
    <w:p>
      <w:pPr>
        <w:spacing w:after="0" w:line="149"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We are submitting each of the amendments described in Proposals 3 through 11 to stockholders as separate and independent Proposals, and none of Proposals 3 through 11 is conditioned on the approval of the others. Each of the proposed amendments set forth in Proposals 3 through 11 that are approved by the Company’s stockholders at the Annual Meeting will be reflected in a related certificate of amendment to the Charter and will become effective upon the filing of such certificate of amendment with the Secretary of State of the State of Delaware, which the Company intends to file as soon as reasonably practicable following the Annual Meeting.</w:t>
      </w:r>
    </w:p>
    <w:p>
      <w:pPr>
        <w:spacing w:after="0" w:line="138" w:lineRule="exact"/>
        <w:rPr>
          <w:sz w:val="20"/>
          <w:szCs w:val="20"/>
          <w:color w:val="auto"/>
        </w:rPr>
      </w:pPr>
    </w:p>
    <w:p>
      <w:pPr>
        <w:ind w:left="20" w:right="360"/>
        <w:spacing w:after="0" w:line="271" w:lineRule="auto"/>
        <w:rPr>
          <w:sz w:val="20"/>
          <w:szCs w:val="20"/>
          <w:color w:val="auto"/>
        </w:rPr>
      </w:pPr>
      <w:r>
        <w:rPr>
          <w:rFonts w:ascii="Arial" w:cs="Arial" w:eastAsia="Arial" w:hAnsi="Arial"/>
          <w:sz w:val="18"/>
          <w:szCs w:val="18"/>
          <w:color w:val="auto"/>
        </w:rPr>
        <w:t>The Board also has the authority to abandon any or all proposed amendments to the Charter, notwithstanding prior Board and/or stockholder approval of such amendments.</w:t>
      </w:r>
    </w:p>
    <w:p>
      <w:pPr>
        <w:spacing w:after="0" w:line="113" w:lineRule="exact"/>
        <w:rPr>
          <w:sz w:val="20"/>
          <w:szCs w:val="20"/>
          <w:color w:val="auto"/>
        </w:rPr>
      </w:pPr>
    </w:p>
    <w:p>
      <w:pPr>
        <w:ind w:left="20" w:right="240"/>
        <w:spacing w:after="0" w:line="253" w:lineRule="auto"/>
        <w:rPr>
          <w:sz w:val="20"/>
          <w:szCs w:val="20"/>
          <w:color w:val="auto"/>
        </w:rPr>
      </w:pPr>
      <w:r>
        <w:rPr>
          <w:rFonts w:ascii="Arial" w:cs="Arial" w:eastAsia="Arial" w:hAnsi="Arial"/>
          <w:sz w:val="18"/>
          <w:szCs w:val="18"/>
          <w:color w:val="auto"/>
        </w:rPr>
        <w:t>If the stockholders approve Proposals 4, 5, 6, 7, 9, 10, and 11 and the Board enacts the amendments to the Charter, the Board intends to approve conforming amendments to the Bylaws to update the corresponding provisions in the Bylaws.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3</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Class B Stock Elimination</w:t>
      </w:r>
    </w:p>
    <w:p>
      <w:pPr>
        <w:ind w:left="20"/>
        <w:spacing w:after="0"/>
        <w:rPr>
          <w:sz w:val="20"/>
          <w:szCs w:val="20"/>
          <w:color w:val="auto"/>
        </w:rPr>
      </w:pPr>
      <w:r>
        <w:rPr>
          <w:rFonts w:ascii="Arial" w:cs="Arial" w:eastAsia="Arial" w:hAnsi="Arial"/>
          <w:sz w:val="65"/>
          <w:szCs w:val="65"/>
          <w:b w:val="1"/>
          <w:bCs w:val="1"/>
          <w:color w:val="auto"/>
        </w:rPr>
        <w:t>Proposal</w:t>
      </w:r>
    </w:p>
    <w:p>
      <w:pPr>
        <w:spacing w:after="0" w:line="144" w:lineRule="exact"/>
        <w:rPr>
          <w:sz w:val="20"/>
          <w:szCs w:val="20"/>
          <w:color w:val="auto"/>
        </w:rPr>
      </w:pPr>
    </w:p>
    <w:p>
      <w:pPr>
        <w:ind w:left="20" w:right="180"/>
        <w:spacing w:after="0" w:line="247" w:lineRule="auto"/>
        <w:rPr>
          <w:sz w:val="20"/>
          <w:szCs w:val="20"/>
          <w:color w:val="auto"/>
        </w:rPr>
      </w:pPr>
      <w:r>
        <w:rPr>
          <w:rFonts w:ascii="Arial" w:cs="Arial" w:eastAsia="Arial" w:hAnsi="Arial"/>
          <w:sz w:val="18"/>
          <w:szCs w:val="18"/>
          <w:color w:val="auto"/>
        </w:rPr>
        <w:t>In this Proposal, we are seeking stockholder approval to amend the Charter to eliminate the 50,000,000 authorized shares of our Class B common stock, none of which are currently outstanding, and eliminate all references to the Class B common stock, including but not limited to provisions relating to the rights, preferences and limitations of the Class B common stock, or the Class B Stock Elimination Proposal.</w:t>
      </w:r>
    </w:p>
    <w:p>
      <w:pPr>
        <w:spacing w:after="0" w:line="147"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The form of the proposed amendments to our Charter to reflect the changes contemplated by this Proposal are attached to this proxy statement as Annex B-1 (shown as a redline against the corresponding provision in the Charter). We are also seeking to make any other conforming changes consistent with this proposal throughout the Charter, as shown in Annex B-10 (shown as a redline against the Charter).</w:t>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Reasons for the Proposed Amendments</w:t>
      </w:r>
    </w:p>
    <w:p>
      <w:pPr>
        <w:spacing w:after="0" w:line="185" w:lineRule="exact"/>
        <w:rPr>
          <w:sz w:val="20"/>
          <w:szCs w:val="20"/>
          <w:color w:val="auto"/>
        </w:rPr>
      </w:pPr>
    </w:p>
    <w:p>
      <w:pPr>
        <w:ind w:left="20" w:right="260"/>
        <w:spacing w:after="0"/>
        <w:rPr>
          <w:sz w:val="20"/>
          <w:szCs w:val="20"/>
          <w:color w:val="auto"/>
        </w:rPr>
      </w:pPr>
      <w:r>
        <w:rPr>
          <w:rFonts w:ascii="Arial" w:cs="Arial" w:eastAsia="Arial" w:hAnsi="Arial"/>
          <w:sz w:val="18"/>
          <w:szCs w:val="18"/>
          <w:color w:val="auto"/>
        </w:rPr>
        <w:t>Our Charter currently authorizes 50,000,000 shares of Class B common stock, par value $0.001 per share (the “Class B Common Stock”). In connection with the closing of the Recapitalization Transactions, all of the outstanding Class B Common Stock was converted into shares of Class A common stock on a one-for-one-basis, such that no shares of Class B Common Stock remain outstanding. As a result, there are currently no shares of our Class B Common Stock outstanding. In addition, the Company currently has no plans or intentions to issue any shares of Class B Common Stock in the future. The Board has proposed the amendment because it believes the dual class structure and continuing reference to the Class B Common Stock in the Charter is unnecessary, burdensome and potentially confusing to investors and the capital markets.</w:t>
      </w:r>
    </w:p>
    <w:p>
      <w:pPr>
        <w:spacing w:after="0" w:line="3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Appraisal Rights</w:t>
      </w:r>
    </w:p>
    <w:p>
      <w:pPr>
        <w:spacing w:after="0" w:line="185" w:lineRule="exact"/>
        <w:rPr>
          <w:sz w:val="20"/>
          <w:szCs w:val="20"/>
          <w:color w:val="auto"/>
        </w:rPr>
      </w:pPr>
    </w:p>
    <w:p>
      <w:pPr>
        <w:jc w:val="both"/>
        <w:ind w:left="20" w:right="540"/>
        <w:spacing w:after="0" w:line="301" w:lineRule="auto"/>
        <w:rPr>
          <w:sz w:val="20"/>
          <w:szCs w:val="20"/>
          <w:color w:val="auto"/>
        </w:rPr>
      </w:pPr>
      <w:r>
        <w:rPr>
          <w:rFonts w:ascii="Arial" w:cs="Arial" w:eastAsia="Arial" w:hAnsi="Arial"/>
          <w:sz w:val="17"/>
          <w:szCs w:val="17"/>
          <w:color w:val="auto"/>
        </w:rPr>
        <w:t>Under Delaware law, our stockholders are not entitled to dissenter’s rights or appraisal rights with respect to the Class B Stock Elimination Proposal and we will not independently provide our stockholders with any such rights.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Interest of Certain Persons in Matters to be Acted Upon</w:t>
      </w:r>
    </w:p>
    <w:p>
      <w:pPr>
        <w:spacing w:after="0" w:line="185" w:lineRule="exact"/>
        <w:rPr>
          <w:sz w:val="20"/>
          <w:szCs w:val="20"/>
          <w:color w:val="auto"/>
        </w:rPr>
      </w:pPr>
    </w:p>
    <w:p>
      <w:pPr>
        <w:ind w:left="20" w:right="280"/>
        <w:spacing w:after="0" w:line="271" w:lineRule="auto"/>
        <w:rPr>
          <w:sz w:val="20"/>
          <w:szCs w:val="20"/>
          <w:color w:val="auto"/>
        </w:rPr>
      </w:pPr>
      <w:r>
        <w:rPr>
          <w:rFonts w:ascii="Arial" w:cs="Arial" w:eastAsia="Arial" w:hAnsi="Arial"/>
          <w:sz w:val="18"/>
          <w:szCs w:val="18"/>
          <w:color w:val="auto"/>
        </w:rPr>
        <w:t>No officer or director has any substantial interest, direct or indirect, by security holdings or otherwise, in the Class B Stock Elimination Proposal that is not shared by all of our other stockholders.</w:t>
      </w:r>
    </w:p>
    <w:p>
      <w:pPr>
        <w:spacing w:after="0" w:line="103" w:lineRule="exact"/>
        <w:rPr>
          <w:sz w:val="20"/>
          <w:szCs w:val="20"/>
          <w:color w:val="auto"/>
        </w:rPr>
      </w:pPr>
    </w:p>
    <w:p>
      <w:pPr>
        <w:ind w:left="20" w:right="660"/>
        <w:spacing w:after="0" w:line="272" w:lineRule="auto"/>
        <w:rPr>
          <w:sz w:val="20"/>
          <w:szCs w:val="20"/>
          <w:color w:val="auto"/>
        </w:rPr>
      </w:pPr>
      <w:r>
        <w:rPr>
          <w:rFonts w:ascii="Arial" w:cs="Arial" w:eastAsia="Arial" w:hAnsi="Arial"/>
          <w:sz w:val="22"/>
          <w:szCs w:val="22"/>
          <w:b w:val="1"/>
          <w:bCs w:val="1"/>
          <w:color w:val="auto"/>
        </w:rPr>
        <w:t>Our Board unanimously recommends a vote “FOR” the approval of the Class B Stock Elimination Proposal.</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114" w:right="1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4</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Preferred Stock</w:t>
      </w:r>
    </w:p>
    <w:p>
      <w:pPr>
        <w:ind w:left="20"/>
        <w:spacing w:after="0"/>
        <w:rPr>
          <w:sz w:val="20"/>
          <w:szCs w:val="20"/>
          <w:color w:val="auto"/>
        </w:rPr>
      </w:pPr>
      <w:r>
        <w:rPr>
          <w:rFonts w:ascii="Arial" w:cs="Arial" w:eastAsia="Arial" w:hAnsi="Arial"/>
          <w:sz w:val="65"/>
          <w:szCs w:val="65"/>
          <w:b w:val="1"/>
          <w:bCs w:val="1"/>
          <w:color w:val="auto"/>
        </w:rPr>
        <w:t>Elimination Proposal</w:t>
      </w:r>
    </w:p>
    <w:p>
      <w:pPr>
        <w:spacing w:after="0" w:line="144" w:lineRule="exact"/>
        <w:rPr>
          <w:sz w:val="20"/>
          <w:szCs w:val="20"/>
          <w:color w:val="auto"/>
        </w:rPr>
      </w:pPr>
    </w:p>
    <w:p>
      <w:pPr>
        <w:ind w:left="20" w:right="100"/>
        <w:spacing w:after="0" w:line="247" w:lineRule="auto"/>
        <w:rPr>
          <w:sz w:val="20"/>
          <w:szCs w:val="20"/>
          <w:color w:val="auto"/>
        </w:rPr>
      </w:pPr>
      <w:r>
        <w:rPr>
          <w:rFonts w:ascii="Arial" w:cs="Arial" w:eastAsia="Arial" w:hAnsi="Arial"/>
          <w:sz w:val="18"/>
          <w:szCs w:val="18"/>
          <w:color w:val="auto"/>
        </w:rPr>
        <w:t>In this Proposal, we are seeking stockholder approval to amend the Charter to eliminate the 10,000,000 authorized shares of our preferred stock, none of which are currently outstanding, and eliminate all references to the preferred stock, including but not limited to provisions relating to the rights, preferences and limitations of the preferred stock, or the Preferred Stock Elimination Proposal.</w:t>
      </w:r>
    </w:p>
    <w:p>
      <w:pPr>
        <w:spacing w:after="0" w:line="147"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The form of the proposed amendments to our Charter to reflect the changes contemplated by this Proposal are attached to this proxy statement as Annex B-2 (shown as a redline against the corresponding provision in the Charter). We are also seeking to make any other conforming changes consistent with this proposal throughout the Charter, as shown in Annex B-10 (shown as a redline against the Charter).</w:t>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Reasons for the Proposed Amendments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Charter currently authorizes 10,000,000 shares of preferred stock, par value $0.001 per share (the “Preferred Stock”). In connection with the closing of the Recapitalization Transactions, all of the outstanding Preferred Stock, if any, was converted into shares of Class A common stock on a one-for-one-basis, such that no shares of Preferred Stock remain outstanding. As a result, there are currently no shares of our Preferred Stock outstanding. In addition, the Company currently has no plans or intentions to issue any shares of Preferred Stock in the future. The Board has proposed the amendment because it believes the continuing reference to the Preferred Stock in the Charter is unnecessary, burdensome and potentially confusing to investors and the capital markets.</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Appraisal Rights</w:t>
      </w:r>
    </w:p>
    <w:p>
      <w:pPr>
        <w:spacing w:after="0" w:line="185" w:lineRule="exact"/>
        <w:rPr>
          <w:sz w:val="20"/>
          <w:szCs w:val="20"/>
          <w:color w:val="auto"/>
        </w:rPr>
      </w:pPr>
    </w:p>
    <w:p>
      <w:pPr>
        <w:ind w:left="20" w:right="420"/>
        <w:spacing w:after="0" w:line="271" w:lineRule="auto"/>
        <w:rPr>
          <w:sz w:val="20"/>
          <w:szCs w:val="20"/>
          <w:color w:val="auto"/>
        </w:rPr>
      </w:pPr>
      <w:r>
        <w:rPr>
          <w:rFonts w:ascii="Arial" w:cs="Arial" w:eastAsia="Arial" w:hAnsi="Arial"/>
          <w:sz w:val="18"/>
          <w:szCs w:val="18"/>
          <w:color w:val="auto"/>
        </w:rPr>
        <w:t>Under Delaware law, our stockholders are not entitled to dissenter’s rights or appraisal rights with respect to the Preferred Stock Elimination Proposal and we will not independently provide our stockholders with any such rights.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Interest of Certain Persons in Matters to be Acted Upon</w:t>
      </w:r>
    </w:p>
    <w:p>
      <w:pPr>
        <w:spacing w:after="0" w:line="185" w:lineRule="exact"/>
        <w:rPr>
          <w:sz w:val="20"/>
          <w:szCs w:val="20"/>
          <w:color w:val="auto"/>
        </w:rPr>
      </w:pPr>
    </w:p>
    <w:p>
      <w:pPr>
        <w:ind w:left="20" w:right="180"/>
        <w:spacing w:after="0" w:line="271" w:lineRule="auto"/>
        <w:rPr>
          <w:sz w:val="20"/>
          <w:szCs w:val="20"/>
          <w:color w:val="auto"/>
        </w:rPr>
      </w:pPr>
      <w:r>
        <w:rPr>
          <w:rFonts w:ascii="Arial" w:cs="Arial" w:eastAsia="Arial" w:hAnsi="Arial"/>
          <w:sz w:val="18"/>
          <w:szCs w:val="18"/>
          <w:color w:val="auto"/>
        </w:rPr>
        <w:t>No officer or director has any substantial interest, direct or indirect, by security holdings or otherwise, in the Preferred Stock Elimination Proposal that is not shared by all of our other stockholders.</w:t>
      </w:r>
    </w:p>
    <w:p>
      <w:pPr>
        <w:spacing w:after="0" w:line="103" w:lineRule="exact"/>
        <w:rPr>
          <w:sz w:val="20"/>
          <w:szCs w:val="20"/>
          <w:color w:val="auto"/>
        </w:rPr>
      </w:pPr>
    </w:p>
    <w:p>
      <w:pPr>
        <w:ind w:left="20" w:right="520"/>
        <w:spacing w:after="0" w:line="272" w:lineRule="auto"/>
        <w:rPr>
          <w:sz w:val="20"/>
          <w:szCs w:val="20"/>
          <w:color w:val="auto"/>
        </w:rPr>
      </w:pPr>
      <w:r>
        <w:rPr>
          <w:rFonts w:ascii="Arial" w:cs="Arial" w:eastAsia="Arial" w:hAnsi="Arial"/>
          <w:sz w:val="22"/>
          <w:szCs w:val="22"/>
          <w:b w:val="1"/>
          <w:bCs w:val="1"/>
          <w:color w:val="auto"/>
        </w:rPr>
        <w:t>Our Board unanimously recommends a vote “FOR” the approval of the Preferred Stock Elimination Proposal.</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114" w:right="1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5</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Supermajority Voting</w:t>
      </w:r>
    </w:p>
    <w:p>
      <w:pPr>
        <w:ind w:left="20"/>
        <w:spacing w:after="0"/>
        <w:rPr>
          <w:sz w:val="20"/>
          <w:szCs w:val="20"/>
          <w:color w:val="auto"/>
        </w:rPr>
      </w:pPr>
      <w:r>
        <w:rPr>
          <w:rFonts w:ascii="Arial" w:cs="Arial" w:eastAsia="Arial" w:hAnsi="Arial"/>
          <w:sz w:val="65"/>
          <w:szCs w:val="65"/>
          <w:b w:val="1"/>
          <w:bCs w:val="1"/>
          <w:color w:val="auto"/>
        </w:rPr>
        <w:t>Elimination Proposal</w:t>
      </w:r>
    </w:p>
    <w:p>
      <w:pPr>
        <w:spacing w:after="0" w:line="144" w:lineRule="exact"/>
        <w:rPr>
          <w:sz w:val="20"/>
          <w:szCs w:val="20"/>
          <w:color w:val="auto"/>
        </w:rPr>
      </w:pPr>
    </w:p>
    <w:p>
      <w:pPr>
        <w:ind w:left="20" w:right="260"/>
        <w:spacing w:after="0" w:line="271" w:lineRule="auto"/>
        <w:rPr>
          <w:sz w:val="20"/>
          <w:szCs w:val="20"/>
          <w:color w:val="auto"/>
        </w:rPr>
      </w:pPr>
      <w:r>
        <w:rPr>
          <w:rFonts w:ascii="Arial" w:cs="Arial" w:eastAsia="Arial" w:hAnsi="Arial"/>
          <w:sz w:val="18"/>
          <w:szCs w:val="18"/>
          <w:color w:val="auto"/>
        </w:rPr>
        <w:t>In this Proposal, we are seeking stockholder approval to amend the Charter to eliminate certain supermajority voting provisions, or the Supermajority Voting Elimination Proposal.</w:t>
      </w:r>
    </w:p>
    <w:p>
      <w:pPr>
        <w:spacing w:after="0" w:line="127" w:lineRule="exact"/>
        <w:rPr>
          <w:sz w:val="20"/>
          <w:szCs w:val="20"/>
          <w:color w:val="auto"/>
        </w:rPr>
      </w:pPr>
    </w:p>
    <w:p>
      <w:pPr>
        <w:ind w:left="20" w:right="60"/>
        <w:spacing w:after="0" w:line="253" w:lineRule="auto"/>
        <w:rPr>
          <w:sz w:val="20"/>
          <w:szCs w:val="20"/>
          <w:color w:val="auto"/>
        </w:rPr>
      </w:pPr>
      <w:r>
        <w:rPr>
          <w:rFonts w:ascii="Arial" w:cs="Arial" w:eastAsia="Arial" w:hAnsi="Arial"/>
          <w:sz w:val="18"/>
          <w:szCs w:val="18"/>
          <w:color w:val="auto"/>
        </w:rPr>
        <w:t>Our Charter includes certain supermajority voting provisions requiring the affirmative vote of the holders of at least two-thirds of the voting power of all of the then outstanding shares of voting stock of the Company entitled to vote. Such voting standards are included in:</w:t>
      </w:r>
    </w:p>
    <w:p>
      <w:pPr>
        <w:spacing w:after="0" w:line="128" w:lineRule="exact"/>
        <w:rPr>
          <w:sz w:val="20"/>
          <w:szCs w:val="20"/>
          <w:color w:val="auto"/>
        </w:rPr>
      </w:pPr>
    </w:p>
    <w:p>
      <w:pPr>
        <w:ind w:left="740" w:right="240" w:hanging="359"/>
        <w:spacing w:after="0" w:line="245"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Article V, outlining the vote required to approve any adoption, repeal, alteration, amendment or rescission of the Company’s bylaws by the stockholders;</w:t>
      </w:r>
    </w:p>
    <w:p>
      <w:pPr>
        <w:ind w:left="740" w:hanging="359"/>
        <w:spacing w:after="0" w:line="234"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Article VI, section 6.6, outlining the vote required to remove directors for cause; and</w:t>
      </w:r>
    </w:p>
    <w:p>
      <w:pPr>
        <w:ind w:left="740" w:right="400" w:hanging="359"/>
        <w:spacing w:after="0" w:line="25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Article VIII, outlining the vote required, with specified exceptions, to approve the adoption, amendment, or repeal of the Charter.</w:t>
      </w:r>
    </w:p>
    <w:p>
      <w:pPr>
        <w:spacing w:after="0" w:line="131"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This Proposal is intended to eliminate the foregoing supermajority voting. The form of the proposed amendments to our Charter to reflect the changes contemplated by this Proposal are attached to this proxy statement as Annex B-3 (shown as a redline against the corresponding provision in the Charter). We are also seeking to make any other conforming changes consistent with this proposal throughout the Charter, as shown in Annex B-10 (shown as a redline against the Charter).</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Reasons for the Proposed Amendments</w:t>
      </w:r>
    </w:p>
    <w:p>
      <w:pPr>
        <w:spacing w:after="0" w:line="171" w:lineRule="exact"/>
        <w:rPr>
          <w:sz w:val="20"/>
          <w:szCs w:val="20"/>
          <w:color w:val="auto"/>
        </w:rPr>
      </w:pPr>
    </w:p>
    <w:p>
      <w:pPr>
        <w:ind w:left="20" w:right="100"/>
        <w:spacing w:after="0" w:line="242" w:lineRule="auto"/>
        <w:rPr>
          <w:sz w:val="20"/>
          <w:szCs w:val="20"/>
          <w:color w:val="auto"/>
        </w:rPr>
      </w:pPr>
      <w:r>
        <w:rPr>
          <w:rFonts w:ascii="Arial" w:cs="Arial" w:eastAsia="Arial" w:hAnsi="Arial"/>
          <w:sz w:val="18"/>
          <w:szCs w:val="18"/>
          <w:color w:val="auto"/>
        </w:rPr>
        <w:t>The Board has carefully considered the advantages and disadvantages of maintaining the supermajority voting provisions in our Charter and our Bylaws. While the higher voting requirements are intended to ensure that certain fundamental matters are supported by a broad consensus of the Company’s stockholders, our Board recognizes that there are different perspectives on this matter. After weighing these considerations, our Board has determined that it is in the best interests of the Company and its stockholders to amend our Charter to eliminate the supermajority voting requirements.</w:t>
      </w:r>
    </w:p>
    <w:p>
      <w:pPr>
        <w:spacing w:after="0" w:line="142" w:lineRule="exact"/>
        <w:rPr>
          <w:sz w:val="20"/>
          <w:szCs w:val="20"/>
          <w:color w:val="auto"/>
        </w:rPr>
      </w:pPr>
    </w:p>
    <w:p>
      <w:pPr>
        <w:ind w:left="20"/>
        <w:spacing w:after="0" w:line="272" w:lineRule="auto"/>
        <w:rPr>
          <w:sz w:val="20"/>
          <w:szCs w:val="20"/>
          <w:color w:val="auto"/>
        </w:rPr>
      </w:pPr>
      <w:r>
        <w:rPr>
          <w:rFonts w:ascii="Arial" w:cs="Arial" w:eastAsia="Arial" w:hAnsi="Arial"/>
          <w:sz w:val="22"/>
          <w:szCs w:val="22"/>
          <w:b w:val="1"/>
          <w:bCs w:val="1"/>
          <w:color w:val="auto"/>
        </w:rPr>
        <w:t>Our Board unanimously recommends a vote “FOR” the approval of the Supermajority Voting Elimination Proposal.</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6</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Board Quorum Proposal</w:t>
      </w:r>
    </w:p>
    <w:p>
      <w:pPr>
        <w:spacing w:after="0" w:line="144" w:lineRule="exact"/>
        <w:rPr>
          <w:sz w:val="20"/>
          <w:szCs w:val="20"/>
          <w:color w:val="auto"/>
        </w:rPr>
      </w:pPr>
    </w:p>
    <w:p>
      <w:pPr>
        <w:ind w:left="20" w:right="500"/>
        <w:spacing w:after="0" w:line="271" w:lineRule="auto"/>
        <w:rPr>
          <w:sz w:val="20"/>
          <w:szCs w:val="20"/>
          <w:color w:val="auto"/>
        </w:rPr>
      </w:pPr>
      <w:r>
        <w:rPr>
          <w:rFonts w:ascii="Arial" w:cs="Arial" w:eastAsia="Arial" w:hAnsi="Arial"/>
          <w:sz w:val="18"/>
          <w:szCs w:val="18"/>
          <w:color w:val="auto"/>
        </w:rPr>
        <w:t>In this Proposal, we are seeking stockholder approval to amend the Charter to establish quorum requirements for directors to take action at all meetings of the Board of Directors, or the Board Quorum Proposal.</w:t>
      </w:r>
    </w:p>
    <w:p>
      <w:pPr>
        <w:spacing w:after="0" w:line="127"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The form of the proposed amendments to our Charter to reflect the changes contemplated by this Proposal are attached to this proxy statement as Annex B-4 (shown as a redline against the corresponding provision in the Charter). We are also seeking to make any other conforming changes consistent with this proposal throughout the Charter, as shown in Annex B-10 (shown as a redline against the Charter).</w:t>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Reasons for the Proposed Amendments</w:t>
      </w:r>
    </w:p>
    <w:p>
      <w:pPr>
        <w:spacing w:after="0" w:line="185" w:lineRule="exact"/>
        <w:rPr>
          <w:sz w:val="20"/>
          <w:szCs w:val="20"/>
          <w:color w:val="auto"/>
        </w:rPr>
      </w:pPr>
    </w:p>
    <w:p>
      <w:pPr>
        <w:ind w:left="20" w:right="120"/>
        <w:spacing w:after="0" w:line="242" w:lineRule="auto"/>
        <w:rPr>
          <w:sz w:val="20"/>
          <w:szCs w:val="20"/>
          <w:color w:val="auto"/>
        </w:rPr>
      </w:pPr>
      <w:r>
        <w:rPr>
          <w:rFonts w:ascii="Arial" w:cs="Arial" w:eastAsia="Arial" w:hAnsi="Arial"/>
          <w:sz w:val="18"/>
          <w:szCs w:val="18"/>
          <w:color w:val="auto"/>
        </w:rPr>
        <w:t>The current Charter is silent on the quorum required for the transaction of business at all meetings of the Board of Directors. The Company’s Bylaws currently state that at all meetings of the Board of Directors, a majority of the Whole Board of Directors (which is defined as the total number of authorized directors whether or not there exist any vacancies in previously authorized directorships) shall constitute a quorum for the transaction of business; provided that, solely for the purposes of filling vacancies, a meeting of the Board of Directors may be held if a majority of the directors then in office participate in such meeting.</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Quorum Proposal is intended to amend the Charter to provide that:</w:t>
      </w:r>
    </w:p>
    <w:p>
      <w:pPr>
        <w:spacing w:after="0" w:line="171" w:lineRule="exact"/>
        <w:rPr>
          <w:sz w:val="20"/>
          <w:szCs w:val="20"/>
          <w:color w:val="auto"/>
        </w:rPr>
      </w:pPr>
    </w:p>
    <w:p>
      <w:pPr>
        <w:ind w:left="740" w:right="140" w:hanging="359"/>
        <w:spacing w:after="0" w:line="245"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all meetings of the Board of Directors, a majority of the Whole Board of Directors shall constitute a quorum for the transaction of business;</w:t>
      </w:r>
    </w:p>
    <w:p>
      <w:pPr>
        <w:ind w:left="740" w:hanging="359"/>
        <w:spacing w:after="0" w:line="234"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 long as Nexus has the right to appoint the Nexus Director in accordance with the Investor Rights Agreement, the Nexus Director must be present (in person or by means of conference telephone or other communications equipment by means of which all Persons participating in the meeting can hear each other) at any meeting of the Board of Directors for a quorum to exist; and</w:t>
      </w:r>
    </w:p>
    <w:p>
      <w:pPr>
        <w:spacing w:after="0" w:line="2" w:lineRule="exact"/>
        <w:rPr>
          <w:rFonts w:ascii="Arial" w:cs="Arial" w:eastAsia="Arial" w:hAnsi="Arial"/>
          <w:sz w:val="18"/>
          <w:szCs w:val="18"/>
          <w:color w:val="auto"/>
        </w:rPr>
      </w:pPr>
    </w:p>
    <w:p>
      <w:pPr>
        <w:ind w:left="740" w:hanging="359"/>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 long as STORY3 has the right to appoint the STORY3 Director in accordance with the Investor Rights Agreement, the STORY3 Director must be present (in person or by means of conference telephone or other communications equipment by means of which all Persons participating in the meeting can hear each other) at any meeting of the Board of Directors for a quorum to exist.</w:t>
      </w:r>
    </w:p>
    <w:p>
      <w:pPr>
        <w:spacing w:after="0" w:line="140" w:lineRule="exact"/>
        <w:rPr>
          <w:sz w:val="20"/>
          <w:szCs w:val="20"/>
          <w:color w:val="auto"/>
        </w:rPr>
      </w:pPr>
    </w:p>
    <w:p>
      <w:pPr>
        <w:ind w:left="20" w:right="300"/>
        <w:spacing w:after="0" w:line="247" w:lineRule="auto"/>
        <w:rPr>
          <w:sz w:val="20"/>
          <w:szCs w:val="20"/>
          <w:color w:val="auto"/>
        </w:rPr>
      </w:pPr>
      <w:r>
        <w:rPr>
          <w:rFonts w:ascii="Arial" w:cs="Arial" w:eastAsia="Arial" w:hAnsi="Arial"/>
          <w:sz w:val="18"/>
          <w:szCs w:val="18"/>
          <w:color w:val="auto"/>
        </w:rPr>
        <w:t>Following the consummation of the Recapitalization Transactions, it is important for all members of the Board and representatives of the Investor Group to be able to actively participate in decisions made by the Board. Revising the quorum requirement to ensure that all designated directors under the Investor Rights Agreement are available will ensure that appropriate investor representation is present to maintain governance integrity.</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Our Board unanimously recommends a vote “FOR” the approval of the Board Quorum Proposal.</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7</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Special Meeting Proposal</w:t>
      </w:r>
    </w:p>
    <w:p>
      <w:pPr>
        <w:spacing w:after="0" w:line="144"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In this Proposal, we are seeking stockholder approval to amend the Charter to permit stockholders holding at least 40% of the voting power of all then-outstanding common stock to call special meetings of stockholders of the Company, or the Special Meeting Proposal.</w:t>
      </w:r>
    </w:p>
    <w:p>
      <w:pPr>
        <w:spacing w:after="0" w:line="142" w:lineRule="exact"/>
        <w:rPr>
          <w:sz w:val="20"/>
          <w:szCs w:val="20"/>
          <w:color w:val="auto"/>
        </w:rPr>
      </w:pPr>
    </w:p>
    <w:p>
      <w:pPr>
        <w:ind w:left="20" w:right="200"/>
        <w:spacing w:after="0" w:line="253" w:lineRule="auto"/>
        <w:rPr>
          <w:sz w:val="20"/>
          <w:szCs w:val="20"/>
          <w:color w:val="auto"/>
        </w:rPr>
      </w:pPr>
      <w:r>
        <w:rPr>
          <w:rFonts w:ascii="Arial" w:cs="Arial" w:eastAsia="Arial" w:hAnsi="Arial"/>
          <w:sz w:val="18"/>
          <w:szCs w:val="18"/>
          <w:color w:val="auto"/>
        </w:rPr>
        <w:t>Currently, under the Company’s Bylaws, special meetings of stockholders for any purpose or purposes may be called only by a chairperson or co-chairperson of the Board or pursuant to a resolution adopted by a majority of the Whole Board of Directors.</w:t>
      </w:r>
    </w:p>
    <w:p>
      <w:pPr>
        <w:spacing w:after="0" w:line="128"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The form of the proposed amendments to our Charter to reflect the changes contemplated by this Proposal are attached to this proxy statement as Annex B-5 (shown as a redline against the corresponding provision in the Charter). We are also seeking to make any other conforming changes consistent with this proposal throughout the Charter, as shown in Annex B-10 (shown as a redline against the Charter).</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Reasons for the Proposed Amendments</w:t>
      </w:r>
    </w:p>
    <w:p>
      <w:pPr>
        <w:spacing w:after="0" w:line="171"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As part of the Board of Directors’ review of the Company’s corporate governance practices, the Board of Directors has determined that it is appropriate and timely to present stockholders with the opportunity to approve a proposal that would allow stockholders owning 40% of the voting power of all of the then-outstanding Class A common stock to call a special meeting of stockholders.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Following the Recapitalization Transactions, the Board believes that requiring stockholders owning at least 40% of the voting power of all of the then-outstanding Class A common stock strikes a reasonable and appropriate balance between permitting stockholders to request that the Board call special meetings and ensuring that special meetings are held only when supported by a meaningful proportion of our stockholders, since special meetings should be limited to address significant, time-sensitive issues that cannot be delayed until the Company’s next annual meeting. Recognizing the benefits of providing a right to call special meetings, the Board believes that a failure to receive at least 40% of stockholders to support the need to convene a special meeting is a strong indicator that the relevant issue is unduly narrow and not deemed sufficiently significant by our stockholders generally.</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Our Board unanimously recommends a vote “FOR” the approval of the Special Meeting Proposal.</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8</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Written Consent Proposal</w:t>
      </w:r>
    </w:p>
    <w:p>
      <w:pPr>
        <w:spacing w:after="0" w:line="144" w:lineRule="exact"/>
        <w:rPr>
          <w:sz w:val="20"/>
          <w:szCs w:val="20"/>
          <w:color w:val="auto"/>
        </w:rPr>
      </w:pPr>
    </w:p>
    <w:p>
      <w:pPr>
        <w:ind w:left="20" w:right="780"/>
        <w:spacing w:after="0" w:line="271" w:lineRule="auto"/>
        <w:rPr>
          <w:sz w:val="20"/>
          <w:szCs w:val="20"/>
          <w:color w:val="auto"/>
        </w:rPr>
      </w:pPr>
      <w:r>
        <w:rPr>
          <w:rFonts w:ascii="Arial" w:cs="Arial" w:eastAsia="Arial" w:hAnsi="Arial"/>
          <w:sz w:val="18"/>
          <w:szCs w:val="18"/>
          <w:color w:val="auto"/>
        </w:rPr>
        <w:t>In this Proposal, we are seeking stockholder approval to amend the Charter to remove the prohibition against stockholders taking action by written consent without holding a meeting, or the Written Consent Proposal.</w:t>
      </w:r>
    </w:p>
    <w:p>
      <w:pPr>
        <w:spacing w:after="0" w:line="127"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Currently, Article VII of the Charter provides that no action required or permitted to be taken at any annual or special meeting of stockholders may be taken without a meeting, and no action shall be taken by stockholders of the Company by consent.</w:t>
      </w:r>
    </w:p>
    <w:p>
      <w:pPr>
        <w:spacing w:after="0" w:line="128"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The form of the proposed amendments to our Charter to reflect the changes contemplated by this Proposal are attached to this proxy statement as Annex B-6 (shown as a redline against the corresponding provision in the Charter). We are also seeking to make any other conforming changes consistent with this proposal throughout the Charter, as shown in Annex B-10 (shown as a redline against the Charter).</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Reasons for the Proposed Amendments</w:t>
      </w:r>
    </w:p>
    <w:p>
      <w:pPr>
        <w:spacing w:after="0" w:line="171"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In connection with the Recapitalization Transactions, the Board considered the advantages and disadvantages of prohibiting stockholder action by written consent similar to that currently found in our Charter. This type of prohibition generally is intended to facilitate corporate stability by requiring stockholder action to occur at a duly called and convened stockholder meeting. These voting limitations prohibiting stockholder action by written consent may also have the effect of providing anti-takeover protection to the Company. However, many investors and others view prohibitions against stockholder action by written consent as conflicting with principles of good corporate governance by preventing stockholders from fully exercising their voting rights as stockholders due to the need to convene at an annual or special meeting to effect change. Section 228 of the Delaware General Corporation Law (the “DGCL”) allows stockholders to act by written consent unless otherwise provided in a corporation’s certificate of incorporation.</w:t>
      </w:r>
    </w:p>
    <w:p>
      <w:pPr>
        <w:spacing w:after="0" w:line="143"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In reaching its determination, the Board concluded that the benefits of prohibiting stockholder action by written consent were outweighed by the Board’s belief that removing the prohibition is a meaningful step towards achieving our goal of ensuring that our corporate governance policies conform to current best practices and maximizing the ability of our stockholders to appropriately participate in the affairs of the Company.</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Our Board unanimously recommends a vote “FOR” the approval of the Written Consent Proposal.</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114" w:right="1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9</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Officer Exculpation</w:t>
      </w:r>
    </w:p>
    <w:p>
      <w:pPr>
        <w:ind w:left="20"/>
        <w:spacing w:after="0"/>
        <w:rPr>
          <w:sz w:val="20"/>
          <w:szCs w:val="20"/>
          <w:color w:val="auto"/>
        </w:rPr>
      </w:pPr>
      <w:r>
        <w:rPr>
          <w:rFonts w:ascii="Arial" w:cs="Arial" w:eastAsia="Arial" w:hAnsi="Arial"/>
          <w:sz w:val="65"/>
          <w:szCs w:val="65"/>
          <w:b w:val="1"/>
          <w:bCs w:val="1"/>
          <w:color w:val="auto"/>
        </w:rPr>
        <w:t>Proposal</w:t>
      </w:r>
    </w:p>
    <w:p>
      <w:pPr>
        <w:spacing w:after="0" w:line="144" w:lineRule="exact"/>
        <w:rPr>
          <w:sz w:val="20"/>
          <w:szCs w:val="20"/>
          <w:color w:val="auto"/>
        </w:rPr>
      </w:pPr>
    </w:p>
    <w:p>
      <w:pPr>
        <w:ind w:left="20" w:right="100"/>
        <w:spacing w:after="0" w:line="271" w:lineRule="auto"/>
        <w:rPr>
          <w:sz w:val="20"/>
          <w:szCs w:val="20"/>
          <w:color w:val="auto"/>
        </w:rPr>
      </w:pPr>
      <w:r>
        <w:rPr>
          <w:rFonts w:ascii="Arial" w:cs="Arial" w:eastAsia="Arial" w:hAnsi="Arial"/>
          <w:sz w:val="18"/>
          <w:szCs w:val="18"/>
          <w:color w:val="auto"/>
        </w:rPr>
        <w:t>In this Proposal, we are seeking stockholder approval to amend the Charter to limit the liability of certain of our officers in certain circumstances as permitted by the DGCL, or the Officer Exculpation Proposal.</w:t>
      </w:r>
    </w:p>
    <w:p>
      <w:pPr>
        <w:spacing w:after="0" w:line="127" w:lineRule="exact"/>
        <w:rPr>
          <w:sz w:val="20"/>
          <w:szCs w:val="20"/>
          <w:color w:val="auto"/>
        </w:rPr>
      </w:pPr>
    </w:p>
    <w:p>
      <w:pPr>
        <w:ind w:left="20" w:right="40"/>
        <w:spacing w:after="0" w:line="237" w:lineRule="auto"/>
        <w:rPr>
          <w:sz w:val="20"/>
          <w:szCs w:val="20"/>
          <w:color w:val="auto"/>
        </w:rPr>
      </w:pPr>
      <w:r>
        <w:rPr>
          <w:rFonts w:ascii="Arial" w:cs="Arial" w:eastAsia="Arial" w:hAnsi="Arial"/>
          <w:sz w:val="18"/>
          <w:szCs w:val="18"/>
          <w:color w:val="auto"/>
        </w:rPr>
        <w:t>Pursuant to and consistent with Section 102(b)(7) of the DGCL, Article IX of the Charter already eliminates the monetary liability of directors to the fullest extent permitted by the DGCL. Effective August 1, 2022, Section 102(b)(7) was amended to permit companies to include in their certificates of incorporation limitations of monetary liability for certain senior corporate officers, such as a president, chief executive officer, chief operating officer, chief financial officer, chief legal officer, controller, treasurer, and chief accounting officer, and any other person who is or was identified in our public filings with the SEC as a named executive officer and any persons who have consented to be identified as an officer. Consistent with Section 102(b)(7), the proposed amendments would permit exculpation of these officers for breaches of their fiduciary duty of care in any direct claim to the fullest extent permitted by Delaware law, as it currently exists or as it may be amended in the future. Like the provision limiting the monetary liability of directors, the DGCL does not permit the elimination of liability of these officers for any breach of their duty of loyalty to the Company or its stockholders, any acts or omissions not in good faith or which involve intentional misconduct or a knowing violation of the law, or any transaction from which the officer derived an improper personal benefit. The DGCL also does not permit the limitation of monetary liability of these officers in any action by or in the right of the Company, such as a derivative claim.</w:t>
      </w:r>
    </w:p>
    <w:p>
      <w:pPr>
        <w:spacing w:after="0" w:line="149"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The form of the proposed amendments to our Charter to reflect the changes contemplated by this Proposal are attached to this proxy statement as Annex B-7 (shown as a redline against the corresponding provision in the Charter). We are also seeking to make any other conforming changes consistent with this proposal throughout the Charter, as shown in Annex B-10 (shown as a redline against the Charter).</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Reasons for the Proposed Amendments</w:t>
      </w:r>
    </w:p>
    <w:p>
      <w:pPr>
        <w:spacing w:after="0" w:line="171"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After a review of evolving corporate governance practices, the Board has determined that it is advisable and in the best interests of the Company and its stockholders to limit the liability of officers as and to the extent permitted by the DGCL. The Officer Exculpation Proposal would approve changes to the Charter that would mitigate the risk of personal financial liability in certain circumstances and help attract and retain officers, while keeping narrow the type of claims for which officers may be exculpated from liability.</w:t>
      </w:r>
    </w:p>
    <w:p>
      <w:pPr>
        <w:spacing w:after="0" w:line="126" w:lineRule="exact"/>
        <w:rPr>
          <w:sz w:val="20"/>
          <w:szCs w:val="20"/>
          <w:color w:val="auto"/>
        </w:rPr>
      </w:pPr>
    </w:p>
    <w:p>
      <w:pPr>
        <w:ind w:left="20" w:right="180"/>
        <w:spacing w:after="0" w:line="272" w:lineRule="auto"/>
        <w:rPr>
          <w:sz w:val="20"/>
          <w:szCs w:val="20"/>
          <w:color w:val="auto"/>
        </w:rPr>
      </w:pPr>
      <w:r>
        <w:rPr>
          <w:rFonts w:ascii="Arial" w:cs="Arial" w:eastAsia="Arial" w:hAnsi="Arial"/>
          <w:sz w:val="22"/>
          <w:szCs w:val="22"/>
          <w:b w:val="1"/>
          <w:bCs w:val="1"/>
          <w:color w:val="auto"/>
        </w:rPr>
        <w:t>Our Board unanimously recommends a vote “FOR” the approval of the Officer Exculpation Proposal.</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10</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Board Designation Rights</w:t>
      </w:r>
    </w:p>
    <w:p>
      <w:pPr>
        <w:ind w:left="20"/>
        <w:spacing w:after="0"/>
        <w:rPr>
          <w:sz w:val="20"/>
          <w:szCs w:val="20"/>
          <w:color w:val="auto"/>
        </w:rPr>
      </w:pPr>
      <w:r>
        <w:rPr>
          <w:rFonts w:ascii="Arial" w:cs="Arial" w:eastAsia="Arial" w:hAnsi="Arial"/>
          <w:sz w:val="65"/>
          <w:szCs w:val="65"/>
          <w:b w:val="1"/>
          <w:bCs w:val="1"/>
          <w:color w:val="auto"/>
        </w:rPr>
        <w:t>Proposal</w:t>
      </w:r>
    </w:p>
    <w:p>
      <w:pPr>
        <w:spacing w:after="0" w:line="144" w:lineRule="exact"/>
        <w:rPr>
          <w:sz w:val="20"/>
          <w:szCs w:val="20"/>
          <w:color w:val="auto"/>
        </w:rPr>
      </w:pPr>
    </w:p>
    <w:p>
      <w:pPr>
        <w:ind w:left="20" w:right="160"/>
        <w:spacing w:after="0" w:line="253" w:lineRule="auto"/>
        <w:rPr>
          <w:sz w:val="20"/>
          <w:szCs w:val="20"/>
          <w:color w:val="auto"/>
        </w:rPr>
      </w:pPr>
      <w:r>
        <w:rPr>
          <w:rFonts w:ascii="Arial" w:cs="Arial" w:eastAsia="Arial" w:hAnsi="Arial"/>
          <w:sz w:val="18"/>
          <w:szCs w:val="18"/>
          <w:color w:val="auto"/>
        </w:rPr>
        <w:t>In this Proposal, we are seeking stockholder approval to amend the Charter to provide for certain director designation rights to the Investor Group (as defined below) and to make certain other conforming changes consistent with the Investor Rights Agreement, or the Board Designation Rights Proposal.</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connection with the consummation of the Recapitalization Transactions, the Investor Group, and certain other parties entered into the Investor Rights Agreement, as amended by that certain side letter agreement, dated as of May 12, 2026, by and among Jennifer Hyman, the Company and the other parties thereto, pursuant to which, among other things, the Company and the Investor Group agreed to take all commercially reasonable actions necessary to cause the Board to include one director designated by Nexus, one director designated by STORY3 and three directors designated by the Board, for so long as they maintain a certain percentage of ownership of our outstanding Class A common stock.</w:t>
      </w:r>
    </w:p>
    <w:p>
      <w:pPr>
        <w:spacing w:after="0" w:line="144" w:lineRule="exact"/>
        <w:rPr>
          <w:sz w:val="20"/>
          <w:szCs w:val="20"/>
          <w:color w:val="auto"/>
        </w:rPr>
      </w:pPr>
    </w:p>
    <w:p>
      <w:pPr>
        <w:jc w:val="both"/>
        <w:ind w:left="20" w:right="100"/>
        <w:spacing w:after="0" w:line="253" w:lineRule="auto"/>
        <w:rPr>
          <w:sz w:val="20"/>
          <w:szCs w:val="20"/>
          <w:color w:val="auto"/>
        </w:rPr>
      </w:pPr>
      <w:r>
        <w:rPr>
          <w:rFonts w:ascii="Arial" w:cs="Arial" w:eastAsia="Arial" w:hAnsi="Arial"/>
          <w:sz w:val="18"/>
          <w:szCs w:val="18"/>
          <w:color w:val="auto"/>
        </w:rPr>
        <w:t>Pursuant to this amendment, in addition to the Investor Rights Agreement, the Charter would also provide the Investor Group with the right to designate persons to the Board, who will be the Investor Group’s appointees under Charter, as follows:</w:t>
      </w:r>
    </w:p>
    <w:p>
      <w:pPr>
        <w:spacing w:after="0" w:line="128" w:lineRule="exact"/>
        <w:rPr>
          <w:sz w:val="20"/>
          <w:szCs w:val="20"/>
          <w:color w:val="auto"/>
        </w:rPr>
      </w:pPr>
    </w:p>
    <w:p>
      <w:pPr>
        <w:ind w:left="740" w:hanging="359"/>
        <w:spacing w:after="0" w:line="253"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so long as Nexus continues to own at least twenty-five percent (25%) of the shares of Class A common stock as of the closing of the Recapitalization Transactions (the “Minimum Ownership Threshold”), Nexus shall be entitled to designate for appointment to the Board one (1) Director from time to time;</w:t>
      </w:r>
    </w:p>
    <w:p>
      <w:pPr>
        <w:spacing w:after="0" w:line="141" w:lineRule="exact"/>
        <w:rPr>
          <w:rFonts w:ascii="Arial" w:cs="Arial" w:eastAsia="Arial" w:hAnsi="Arial"/>
          <w:sz w:val="18"/>
          <w:szCs w:val="18"/>
          <w:color w:val="auto"/>
        </w:rPr>
      </w:pPr>
    </w:p>
    <w:p>
      <w:pPr>
        <w:ind w:left="740" w:right="180" w:hanging="359"/>
        <w:spacing w:after="0" w:line="271"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so long as STORY3 continues to own at the Minimum Ownership Threshold, STORY3 shall be entitled to designate for appointment to the Board one (1) Director from time to time; and  </w:t>
      </w:r>
    </w:p>
    <w:p>
      <w:pPr>
        <w:spacing w:after="0" w:line="113" w:lineRule="exact"/>
        <w:rPr>
          <w:rFonts w:ascii="Arial" w:cs="Arial" w:eastAsia="Arial" w:hAnsi="Arial"/>
          <w:sz w:val="18"/>
          <w:szCs w:val="18"/>
          <w:color w:val="auto"/>
        </w:rPr>
      </w:pPr>
    </w:p>
    <w:p>
      <w:pPr>
        <w:ind w:left="740" w:right="20" w:hanging="359"/>
        <w:spacing w:after="0" w:line="244"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 shall be entitled to designate for appointment to the Board three (3) Directors from time to time to fill any remaining vacancies on the Board (such Directors, the “Investor Directors”); provided that such Investor Directors shall be subject to the approval, prior to such appointment, of those Investors that continue to satisfy the Minimum Ownership Threshold and that collectively hold a majority of the shares of Class A Common Stock held by all Investors then satisfying the Minimum Ownership Threshold.</w:t>
      </w:r>
    </w:p>
    <w:p>
      <w:pPr>
        <w:spacing w:after="0" w:line="136"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The form of the proposed amendments to our Charter to reflect the changes contemplated by this Proposal are attached to this proxy statement as Annex B-8 (with a redline against the corresponding provision in the Charter). We are also seeking to make any other conforming changes consistent with this proposal throughout the Charter, as shown in Annex B-10 (shown as a redline against the Charter).</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Reasons for the Proposed Amendments</w:t>
      </w:r>
    </w:p>
    <w:p>
      <w:pPr>
        <w:spacing w:after="0" w:line="171" w:lineRule="exact"/>
        <w:rPr>
          <w:sz w:val="20"/>
          <w:szCs w:val="20"/>
          <w:color w:val="auto"/>
        </w:rPr>
      </w:pPr>
    </w:p>
    <w:p>
      <w:pPr>
        <w:ind w:left="20" w:right="120"/>
        <w:spacing w:after="0" w:line="247" w:lineRule="auto"/>
        <w:rPr>
          <w:sz w:val="20"/>
          <w:szCs w:val="20"/>
          <w:color w:val="auto"/>
        </w:rPr>
      </w:pPr>
      <w:r>
        <w:rPr>
          <w:rFonts w:ascii="Arial" w:cs="Arial" w:eastAsia="Arial" w:hAnsi="Arial"/>
          <w:sz w:val="18"/>
          <w:szCs w:val="18"/>
          <w:color w:val="auto"/>
        </w:rPr>
        <w:t>The Board believes that it is important to provide the Investor Group with such board designation rights and believes that providing such board designation rights in the Company’s Charter will enhance the ability of the Investor Group to more freely exercise their respective independent business judgment to advance the goals of the Company and maximize value for the Company’s stockholders.</w:t>
      </w:r>
    </w:p>
    <w:p>
      <w:pPr>
        <w:spacing w:after="0" w:line="137" w:lineRule="exact"/>
        <w:rPr>
          <w:sz w:val="20"/>
          <w:szCs w:val="20"/>
          <w:color w:val="auto"/>
        </w:rPr>
      </w:pPr>
    </w:p>
    <w:p>
      <w:pPr>
        <w:ind w:left="20" w:right="220"/>
        <w:spacing w:after="0" w:line="272" w:lineRule="auto"/>
        <w:rPr>
          <w:sz w:val="20"/>
          <w:szCs w:val="20"/>
          <w:color w:val="auto"/>
        </w:rPr>
      </w:pPr>
      <w:r>
        <w:rPr>
          <w:rFonts w:ascii="Arial" w:cs="Arial" w:eastAsia="Arial" w:hAnsi="Arial"/>
          <w:sz w:val="22"/>
          <w:szCs w:val="22"/>
          <w:b w:val="1"/>
          <w:bCs w:val="1"/>
          <w:color w:val="auto"/>
        </w:rPr>
        <w:t>Our Board unanimously recommends a vote “FOR” the approval of the Board Designation Rights Proposal.</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11</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Corporate Opportunity</w:t>
      </w:r>
    </w:p>
    <w:p>
      <w:pPr>
        <w:ind w:left="20"/>
        <w:spacing w:after="0"/>
        <w:rPr>
          <w:sz w:val="20"/>
          <w:szCs w:val="20"/>
          <w:color w:val="auto"/>
        </w:rPr>
      </w:pPr>
      <w:r>
        <w:rPr>
          <w:rFonts w:ascii="Arial" w:cs="Arial" w:eastAsia="Arial" w:hAnsi="Arial"/>
          <w:sz w:val="65"/>
          <w:szCs w:val="65"/>
          <w:b w:val="1"/>
          <w:bCs w:val="1"/>
          <w:color w:val="auto"/>
        </w:rPr>
        <w:t>Proposal</w:t>
      </w:r>
    </w:p>
    <w:p>
      <w:pPr>
        <w:spacing w:after="0" w:line="144" w:lineRule="exact"/>
        <w:rPr>
          <w:sz w:val="20"/>
          <w:szCs w:val="20"/>
          <w:color w:val="auto"/>
        </w:rPr>
      </w:pPr>
    </w:p>
    <w:p>
      <w:pPr>
        <w:jc w:val="both"/>
        <w:ind w:left="20" w:right="40"/>
        <w:spacing w:after="0" w:line="247" w:lineRule="auto"/>
        <w:rPr>
          <w:sz w:val="20"/>
          <w:szCs w:val="20"/>
          <w:color w:val="auto"/>
        </w:rPr>
      </w:pPr>
      <w:r>
        <w:rPr>
          <w:rFonts w:ascii="Arial" w:cs="Arial" w:eastAsia="Arial" w:hAnsi="Arial"/>
          <w:sz w:val="18"/>
          <w:szCs w:val="18"/>
          <w:color w:val="auto"/>
        </w:rPr>
        <w:t>In this Proposal, we are seeking stockholder approval to amend the Charter to limit the definition of “Exempt Person” to designated directors of STORY3 and Nexus rather than all non-employee directors, and eliminate the provision that no director shall be liable to the Company, its subsidiaries, or its stockholders for breach of any duty relating to compliance with such corporate opportunity provisions, or the Corporate Opportunity Proposal.</w:t>
      </w:r>
    </w:p>
    <w:p>
      <w:pPr>
        <w:spacing w:after="0" w:line="147" w:lineRule="exact"/>
        <w:rPr>
          <w:sz w:val="20"/>
          <w:szCs w:val="20"/>
          <w:color w:val="auto"/>
        </w:rPr>
      </w:pPr>
    </w:p>
    <w:p>
      <w:pPr>
        <w:ind w:left="20" w:right="20"/>
        <w:spacing w:after="0" w:line="253" w:lineRule="auto"/>
        <w:rPr>
          <w:sz w:val="20"/>
          <w:szCs w:val="20"/>
          <w:color w:val="auto"/>
        </w:rPr>
      </w:pPr>
      <w:r>
        <w:rPr>
          <w:rFonts w:ascii="Arial" w:cs="Arial" w:eastAsia="Arial" w:hAnsi="Arial"/>
          <w:sz w:val="17"/>
          <w:szCs w:val="17"/>
          <w:color w:val="auto"/>
        </w:rPr>
        <w:t>The “corporate opportunity” doctrine provides that directors and officers of a corporation, as part of their duty of loyalty to the corporation and its stockholders, generally have a fiduciary duty to disclose opportunities to the corporation that are related to its business and are prohibited from pursuing those opportunities unless the corporation determines that it is not going to pursue them. Section 122(17) of the DGCL expressly permits Delaware corporations, such as the Company, to renounce any interest or expectancy of the corporation in certain business opportunities. Article X of the Charter currently provides that certain business opportunities presented to any director (or his or her respective affiliates) who is not employed by the Company or its subsidiaries (each such Person, an “Exempt Person”) are not subject to the “corporate opportunity” doctrine, and that the maximum extent permitted under the DGCL, the Company renounces any interest or expectancy in, or right to be offered an opportunity to participate in, any business opportunity that may be a corporate opportunity for the parties named therein. Furthermore, the Charter provides that any “Exempt Person” will not be liable to the Company, or to any of the Company’s stockholders, for breach of any fiduciary duty that would otherwise exist because such individual directs a corporate opportunity to themselves instead of the Company.</w:t>
      </w:r>
    </w:p>
    <w:p>
      <w:pPr>
        <w:spacing w:after="0" w:line="133"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The form of the proposed amendments to our Charter to reflect the changes contemplated by this Proposal are attached to this proxy statement as Annex B-9 (with a redline against the corresponding provision in the Charter). We are also seeking to make any other conforming changes consistent with this proposal throughout the Charter, as shown in Annex B-10 (shown as a redline against the Charter).</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Reasons for the Proposed Amendments</w:t>
      </w:r>
    </w:p>
    <w:p>
      <w:pPr>
        <w:spacing w:after="0" w:line="171"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Given the changes to the composition of the Board of Directors following the Recapitalization Transactions, the Board of Directors has determined that it is appropriate to limit the category of “Exempt Persons” for purposes of the corporate opportunity provisions to only the designated directors of STORY3 and Nexus, rather than all non-employee directors. Consistent with this amendment, the Board of Directors also believes it is appropriate to eliminate the provision stating that no director shall be liable to the Company, its subsidiaries or its stockholders for any breach of duty arising from compliance with such corporate opportunity provisions.</w:t>
      </w:r>
    </w:p>
    <w:p>
      <w:pPr>
        <w:spacing w:after="0" w:line="129" w:lineRule="exact"/>
        <w:rPr>
          <w:sz w:val="20"/>
          <w:szCs w:val="20"/>
          <w:color w:val="auto"/>
        </w:rPr>
      </w:pPr>
    </w:p>
    <w:p>
      <w:pPr>
        <w:ind w:left="20" w:right="1140"/>
        <w:spacing w:after="0" w:line="272" w:lineRule="auto"/>
        <w:rPr>
          <w:sz w:val="20"/>
          <w:szCs w:val="20"/>
          <w:color w:val="auto"/>
        </w:rPr>
      </w:pPr>
      <w:r>
        <w:rPr>
          <w:rFonts w:ascii="Arial" w:cs="Arial" w:eastAsia="Arial" w:hAnsi="Arial"/>
          <w:sz w:val="22"/>
          <w:szCs w:val="22"/>
          <w:b w:val="1"/>
          <w:bCs w:val="1"/>
          <w:color w:val="auto"/>
        </w:rPr>
        <w:t>Our Board unanimously recommends a vote “FOR” the approval of the Corporate Opportunity Proposal.</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12</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Plan Amendment</w:t>
      </w:r>
    </w:p>
    <w:p>
      <w:pPr>
        <w:ind w:left="20"/>
        <w:spacing w:after="0"/>
        <w:rPr>
          <w:sz w:val="20"/>
          <w:szCs w:val="20"/>
          <w:color w:val="auto"/>
        </w:rPr>
      </w:pPr>
      <w:r>
        <w:rPr>
          <w:rFonts w:ascii="Arial" w:cs="Arial" w:eastAsia="Arial" w:hAnsi="Arial"/>
          <w:sz w:val="65"/>
          <w:szCs w:val="65"/>
          <w:b w:val="1"/>
          <w:bCs w:val="1"/>
          <w:color w:val="auto"/>
        </w:rPr>
        <w:t>Proposal</w:t>
      </w:r>
    </w:p>
    <w:p>
      <w:pPr>
        <w:spacing w:after="0" w:line="144" w:lineRule="exact"/>
        <w:rPr>
          <w:sz w:val="20"/>
          <w:szCs w:val="20"/>
          <w:color w:val="auto"/>
        </w:rPr>
      </w:pPr>
    </w:p>
    <w:p>
      <w:pPr>
        <w:ind w:left="20" w:right="260"/>
        <w:spacing w:after="0" w:line="247" w:lineRule="auto"/>
        <w:rPr>
          <w:sz w:val="20"/>
          <w:szCs w:val="20"/>
          <w:color w:val="auto"/>
        </w:rPr>
      </w:pPr>
      <w:r>
        <w:rPr>
          <w:rFonts w:ascii="Arial" w:cs="Arial" w:eastAsia="Arial" w:hAnsi="Arial"/>
          <w:sz w:val="18"/>
          <w:szCs w:val="18"/>
          <w:color w:val="auto"/>
        </w:rPr>
        <w:t>We are seeking stockholder approval to adopt the First Amendment to increase the maximum number of shares of Class A common stock authorized for issuance under the 2021 Plan by 3,899,439 shares to 10,171,225 shares. The Board approved the First Amendment on December 15, 2025, subject to stockholder approval, and our stockholders are now being asked to approve the First Amendment.</w:t>
      </w:r>
    </w:p>
    <w:p>
      <w:pPr>
        <w:spacing w:after="0" w:line="147" w:lineRule="exact"/>
        <w:rPr>
          <w:sz w:val="20"/>
          <w:szCs w:val="20"/>
          <w:color w:val="auto"/>
        </w:rPr>
      </w:pPr>
    </w:p>
    <w:p>
      <w:pPr>
        <w:ind w:left="20" w:right="220"/>
        <w:spacing w:after="0" w:line="253" w:lineRule="auto"/>
        <w:rPr>
          <w:sz w:val="20"/>
          <w:szCs w:val="20"/>
          <w:color w:val="auto"/>
        </w:rPr>
      </w:pPr>
      <w:r>
        <w:rPr>
          <w:rFonts w:ascii="Arial" w:cs="Arial" w:eastAsia="Arial" w:hAnsi="Arial"/>
          <w:sz w:val="18"/>
          <w:szCs w:val="18"/>
          <w:color w:val="auto"/>
        </w:rPr>
        <w:t>The Company filed a registration statement on Form S-8 with the SEC on December 15, 2025, to register the 3,899,439 shares of Class A common stock which will become available under the Amended Plan if our stockholders approve the First Amendment.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Rationale for the Amended Plan</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the Plan Amendment Proposal is approved by our stockholders, the Amended Plan will allow us to continue to provide our employees with the opportunity to acquire an ownership interest in the Company through the Amended Plan, encouraging them to remain in our employ or service, motivating them to achieve superior performance for the Company and more closely aligning their interests with those of our stockholders. We believe that offering ownership interests in the Company through the Amended Plan is a key factor in retaining existing employees, recruiting, and retaining new employees and is vital to the long-term success of the Company by aligning and increasing the interest of all employees in our success.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considers long-term equity-based incentive compensation as an important element of the Company’s compensation program. The Board believes that equity awards provide our executive officers and employees with a strong link to long-term performance, create an ownership culture and help to align the interests of our executive officers and employees with those of our stockholders. The Amended Plan is designed to advance these interests to the benefit of the Company and its stockholders and encourage sustained excellence from our employees to drive long-term stockholder value. Equity-based compensation under the Amended Plan would encourage executive officers and employees to act as owners with an equity stake in the Company, discourage inappropriate risk-taking and contribute to continuity and stability within the Company’s workforce.</w:t>
      </w:r>
    </w:p>
    <w:p>
      <w:pPr>
        <w:spacing w:after="0" w:line="153"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The ability to grant long-term equity-based compensation would allow the Company to continue to align the interests of executive officers and employees with the interests of the Company’s stockholders and to create substantial incentives for the Company’s executive officers and employees to achieve the Company’s long-term goals. In addition, long-term equity-based compensation enables the Company to provide competitive compensation to help in recruitment of executive officers and employees, and, through vesting requirements, helps to promote retention and long-term service of executive officers and employees.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Summary of the Amended Plan</w:t>
      </w:r>
    </w:p>
    <w:p>
      <w:pPr>
        <w:spacing w:after="0" w:line="169" w:lineRule="exact"/>
        <w:rPr>
          <w:sz w:val="20"/>
          <w:szCs w:val="20"/>
          <w:color w:val="auto"/>
        </w:rPr>
      </w:pPr>
    </w:p>
    <w:p>
      <w:pPr>
        <w:ind w:left="20" w:right="20"/>
        <w:spacing w:after="0" w:line="253" w:lineRule="auto"/>
        <w:rPr>
          <w:sz w:val="20"/>
          <w:szCs w:val="20"/>
          <w:color w:val="auto"/>
        </w:rPr>
      </w:pPr>
      <w:r>
        <w:rPr>
          <w:rFonts w:ascii="Arial" w:cs="Arial" w:eastAsia="Arial" w:hAnsi="Arial"/>
          <w:sz w:val="18"/>
          <w:szCs w:val="18"/>
          <w:color w:val="auto"/>
        </w:rPr>
        <w:t>The following summary discussion describes the principal features of the Amended Plan. This summary, however, does not purport to be a complete description of all of the provisions of the Amended Plan. It is qualified in its entirety by reference to the full text and terms of the Amended Plan, a copy of which is attached as Annex C.</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Eligibility and Administration</w:t>
      </w:r>
    </w:p>
    <w:p>
      <w:pPr>
        <w:spacing w:after="0" w:line="169" w:lineRule="exact"/>
        <w:rPr>
          <w:sz w:val="20"/>
          <w:szCs w:val="20"/>
          <w:color w:val="auto"/>
        </w:rPr>
      </w:pPr>
    </w:p>
    <w:p>
      <w:pPr>
        <w:ind w:left="20" w:right="180"/>
        <w:spacing w:after="0"/>
        <w:rPr>
          <w:sz w:val="20"/>
          <w:szCs w:val="20"/>
          <w:color w:val="auto"/>
        </w:rPr>
      </w:pPr>
      <w:r>
        <w:rPr>
          <w:rFonts w:ascii="Arial" w:cs="Arial" w:eastAsia="Arial" w:hAnsi="Arial"/>
          <w:sz w:val="18"/>
          <w:szCs w:val="18"/>
          <w:color w:val="auto"/>
        </w:rPr>
        <w:t>Our employees, non -employee directors and consultants, and employees, non-employee directors and consultants of our subsidiaries, are eligible to receive awards under the Amended Plan. The Amended Plan is expected to be administered by the Board, which may delegate its duties and responsibilities to committees of our directors and/or officers (referred to collectively as the “plan administrator” below), subject to certain limitations that may be imposed under Section 16 of the Exchange Act, and/or stock exchange rules, as applicable. The plan administrator has the authority to make all determinations and interpretations under, prescribe all forms for use with, and adopt rules for the administration of, the Amended Plan, subject to its express</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160"/>
        <w:spacing w:after="0" w:line="247" w:lineRule="auto"/>
        <w:rPr>
          <w:sz w:val="20"/>
          <w:szCs w:val="20"/>
          <w:color w:val="auto"/>
        </w:rPr>
      </w:pPr>
      <w:r>
        <w:rPr>
          <w:rFonts w:ascii="Arial" w:cs="Arial" w:eastAsia="Arial" w:hAnsi="Arial"/>
          <w:sz w:val="18"/>
          <w:szCs w:val="18"/>
          <w:color w:val="auto"/>
        </w:rPr>
        <w:t>terms and conditions. The plan administrator will also set the terms and conditions of all awards under the Amended Plan, including any vesting and vesting acceleration conditions. As of May 20, 2026, approximately 188 employees, four (4) non-employee directors, and no consultants of the Company and its subsidiaries were eligible to participate in the Amended Plan.</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Limitation on Awards and Shares Available</w:t>
      </w:r>
    </w:p>
    <w:p>
      <w:pPr>
        <w:spacing w:after="0" w:line="169" w:lineRule="exact"/>
        <w:rPr>
          <w:sz w:val="20"/>
          <w:szCs w:val="20"/>
          <w:color w:val="auto"/>
        </w:rPr>
      </w:pPr>
    </w:p>
    <w:p>
      <w:pPr>
        <w:ind w:left="20" w:right="220"/>
        <w:spacing w:after="0" w:line="271" w:lineRule="auto"/>
        <w:rPr>
          <w:sz w:val="20"/>
          <w:szCs w:val="20"/>
          <w:color w:val="auto"/>
        </w:rPr>
      </w:pPr>
      <w:r>
        <w:rPr>
          <w:rFonts w:ascii="Arial" w:cs="Arial" w:eastAsia="Arial" w:hAnsi="Arial"/>
          <w:sz w:val="18"/>
          <w:szCs w:val="18"/>
          <w:color w:val="auto"/>
        </w:rPr>
        <w:t>Previously, the maximum number of shares of our Class A common stock available for issuance under the 2021 Plan was 6,271,786 shares of our Class A common stock.</w:t>
      </w:r>
    </w:p>
    <w:p>
      <w:pPr>
        <w:spacing w:after="0" w:line="127" w:lineRule="exact"/>
        <w:rPr>
          <w:sz w:val="20"/>
          <w:szCs w:val="20"/>
          <w:color w:val="auto"/>
        </w:rPr>
      </w:pPr>
    </w:p>
    <w:p>
      <w:pPr>
        <w:ind w:left="20" w:right="40"/>
        <w:spacing w:after="0" w:line="244" w:lineRule="auto"/>
        <w:rPr>
          <w:sz w:val="20"/>
          <w:szCs w:val="20"/>
          <w:color w:val="auto"/>
        </w:rPr>
      </w:pPr>
      <w:r>
        <w:rPr>
          <w:rFonts w:ascii="Arial" w:cs="Arial" w:eastAsia="Arial" w:hAnsi="Arial"/>
          <w:sz w:val="18"/>
          <w:szCs w:val="18"/>
          <w:color w:val="auto"/>
        </w:rPr>
        <w:t>If the Plan Amendment Proposal is approved by our stockholders, the maximum number of shares of Class A common stock authorized for issuance under the Amended Plan will be increased by 3,899,439 to 10,171,225, and is intended to provide us with enough shares of Class A common stock to grant awards to executive officers, non-employee directors, and other employees, to promote retention of our executive officers and employees, and to align the interests of our executive officers and employees with those of our stockholders.</w:t>
      </w:r>
    </w:p>
    <w:p>
      <w:pPr>
        <w:spacing w:after="0" w:line="136" w:lineRule="exact"/>
        <w:rPr>
          <w:sz w:val="20"/>
          <w:szCs w:val="20"/>
          <w:color w:val="auto"/>
        </w:rPr>
      </w:pPr>
    </w:p>
    <w:p>
      <w:pPr>
        <w:ind w:left="20" w:right="60"/>
        <w:spacing w:after="0" w:line="271" w:lineRule="auto"/>
        <w:rPr>
          <w:sz w:val="20"/>
          <w:szCs w:val="20"/>
          <w:color w:val="auto"/>
        </w:rPr>
      </w:pPr>
      <w:r>
        <w:rPr>
          <w:rFonts w:ascii="Arial" w:cs="Arial" w:eastAsia="Arial" w:hAnsi="Arial"/>
          <w:sz w:val="18"/>
          <w:szCs w:val="18"/>
          <w:color w:val="auto"/>
        </w:rPr>
        <w:t>No more than 15,665,544 shares of Class A common stock may be issued upon the exercise of incentive stock options (“ISOs”) under the Amended Plan.</w:t>
      </w:r>
    </w:p>
    <w:p>
      <w:pPr>
        <w:spacing w:after="0" w:line="113" w:lineRule="exact"/>
        <w:rPr>
          <w:sz w:val="20"/>
          <w:szCs w:val="20"/>
          <w:color w:val="auto"/>
        </w:rPr>
      </w:pPr>
    </w:p>
    <w:p>
      <w:pPr>
        <w:ind w:left="20" w:right="120"/>
        <w:spacing w:after="0" w:line="242" w:lineRule="auto"/>
        <w:rPr>
          <w:sz w:val="20"/>
          <w:szCs w:val="20"/>
          <w:color w:val="auto"/>
        </w:rPr>
      </w:pPr>
      <w:r>
        <w:rPr>
          <w:rFonts w:ascii="Arial" w:cs="Arial" w:eastAsia="Arial" w:hAnsi="Arial"/>
          <w:sz w:val="18"/>
          <w:szCs w:val="18"/>
          <w:color w:val="auto"/>
        </w:rPr>
        <w:t>Awards granted under the Amended Plan upon the assumption of, or in substitution for, outstanding equity awards previously granted by an entity in connection with a corporate transaction with us, such as a merger, combination, consolidation or acquisition of property or stock will not reduce the shares authorized for grant under the Amended Plan. The maximum grant date fair value of cash and equity awards granted to any non-employee director pursuant to the Amended Plan during any calendar year is $750,000, increased to $1,000,000 for the non-employee director’s initial year of service as a non-employee director.</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Awards</w:t>
      </w:r>
    </w:p>
    <w:p>
      <w:pPr>
        <w:spacing w:after="0" w:line="169" w:lineRule="exact"/>
        <w:rPr>
          <w:sz w:val="20"/>
          <w:szCs w:val="20"/>
          <w:color w:val="auto"/>
        </w:rPr>
      </w:pPr>
    </w:p>
    <w:p>
      <w:pPr>
        <w:ind w:left="20" w:right="80"/>
        <w:spacing w:after="0" w:line="253" w:lineRule="auto"/>
        <w:rPr>
          <w:sz w:val="20"/>
          <w:szCs w:val="20"/>
          <w:color w:val="auto"/>
        </w:rPr>
      </w:pPr>
      <w:r>
        <w:rPr>
          <w:rFonts w:ascii="Arial" w:cs="Arial" w:eastAsia="Arial" w:hAnsi="Arial"/>
          <w:sz w:val="18"/>
          <w:szCs w:val="18"/>
          <w:color w:val="auto"/>
        </w:rPr>
        <w:t>The Amended Plan provides for the grant of stock options, including ISOs and nonqualified stock options (“NSOs”), restricted stock, dividend equivalents, stock payments, restricted stock units, which may be subject to time- and / or performance-vesting conditions (“RSUs”), other incentive awards, stock appreciation rights (“SARs”) and cash awards.</w:t>
      </w:r>
    </w:p>
    <w:p>
      <w:pPr>
        <w:spacing w:after="0" w:line="128" w:lineRule="exact"/>
        <w:rPr>
          <w:sz w:val="20"/>
          <w:szCs w:val="20"/>
          <w:color w:val="auto"/>
        </w:rPr>
      </w:pPr>
    </w:p>
    <w:p>
      <w:pPr>
        <w:ind w:left="20" w:right="120"/>
        <w:spacing w:after="0"/>
        <w:rPr>
          <w:sz w:val="20"/>
          <w:szCs w:val="20"/>
          <w:color w:val="auto"/>
        </w:rPr>
      </w:pPr>
      <w:r>
        <w:rPr>
          <w:rFonts w:ascii="Arial" w:cs="Arial" w:eastAsia="Arial" w:hAnsi="Arial"/>
          <w:sz w:val="18"/>
          <w:szCs w:val="18"/>
          <w:color w:val="auto"/>
        </w:rPr>
        <w:t>Certain awards under the Amended Plan may constitute or provide for a deferral of compensation, subject to Section 409A of the Internal Revenue Code as amended, and the regulations and guidance promulgated thereunder (the “Code”), which may impose additional requirements on the terms and conditions of such awards. All awards under the Amended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158" w:lineRule="exact"/>
        <w:rPr>
          <w:sz w:val="20"/>
          <w:szCs w:val="20"/>
          <w:color w:val="auto"/>
        </w:rPr>
      </w:pPr>
    </w:p>
    <w:p>
      <w:pPr>
        <w:ind w:left="20" w:right="80"/>
        <w:spacing w:after="0"/>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provide for the purchase of shares of Class A common stock in the future at an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set on the grant date.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of Class A common stock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w:t>
      </w:r>
    </w:p>
    <w:p>
      <w:pPr>
        <w:spacing w:after="0" w:line="144" w:lineRule="exact"/>
        <w:rPr>
          <w:sz w:val="20"/>
          <w:szCs w:val="20"/>
          <w:color w:val="auto"/>
        </w:rPr>
      </w:pPr>
    </w:p>
    <w:p>
      <w:pPr>
        <w:ind w:left="20"/>
        <w:spacing w:after="0" w:line="244" w:lineRule="auto"/>
        <w:rPr>
          <w:sz w:val="20"/>
          <w:szCs w:val="20"/>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SARs entitle their holder, upon exercise, to receive from us an amount equal to the appreciation of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common stock subject to the award between the grant date and the exercise date. The exercise price of a SAR may not be less than 100% of the fair market value of the underlying share of Class A common stock on the date of grant (except with respect to certain substitute SARs granted in connection with a corporate transaction). The term of a SAR may not be longer than ten years.</w:t>
      </w:r>
    </w:p>
    <w:p>
      <w:pPr>
        <w:spacing w:after="0" w:line="136" w:lineRule="exact"/>
        <w:rPr>
          <w:sz w:val="20"/>
          <w:szCs w:val="20"/>
          <w:color w:val="auto"/>
        </w:rPr>
      </w:pPr>
    </w:p>
    <w:p>
      <w:pPr>
        <w:ind w:left="20" w:right="200"/>
        <w:spacing w:after="0" w:line="253" w:lineRule="auto"/>
        <w:rPr>
          <w:sz w:val="20"/>
          <w:szCs w:val="20"/>
          <w:color w:val="auto"/>
        </w:rPr>
      </w:pPr>
      <w:r>
        <w:rPr>
          <w:rFonts w:ascii="Arial" w:cs="Arial" w:eastAsia="Arial" w:hAnsi="Arial"/>
          <w:sz w:val="18"/>
          <w:szCs w:val="18"/>
          <w:i w:val="1"/>
          <w:iCs w:val="1"/>
          <w:color w:val="auto"/>
        </w:rPr>
        <w:t>Restricted Stock and RSUs</w:t>
      </w:r>
      <w:r>
        <w:rPr>
          <w:rFonts w:ascii="Arial" w:cs="Arial" w:eastAsia="Arial" w:hAnsi="Arial"/>
          <w:sz w:val="18"/>
          <w:szCs w:val="18"/>
          <w:color w:val="auto"/>
        </w:rPr>
        <w:t>. Restricted stock is an award of nontransferable shares of Class A common stock that</w:t>
      </w:r>
      <w:r>
        <w:rPr>
          <w:rFonts w:ascii="Arial" w:cs="Arial" w:eastAsia="Arial" w:hAnsi="Arial"/>
          <w:sz w:val="18"/>
          <w:szCs w:val="18"/>
          <w:i w:val="1"/>
          <w:iCs w:val="1"/>
          <w:color w:val="auto"/>
        </w:rPr>
        <w:t xml:space="preserve"> </w:t>
      </w:r>
      <w:r>
        <w:rPr>
          <w:rFonts w:ascii="Arial" w:cs="Arial" w:eastAsia="Arial" w:hAnsi="Arial"/>
          <w:sz w:val="18"/>
          <w:szCs w:val="18"/>
          <w:color w:val="auto"/>
        </w:rPr>
        <w:t>remain forfeitable unless and until specified conditions are met, and which may be subject to a purchase price. RSUs are contractual promises to deliver shares of Class A common stock in the future, which may also remain</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forfeitable unless and until specified conditions are met. Delivery of the shares underlying RSUs may be deferred under the terms of the award or at the election of the participant, if the plan administrator permits such a deferral.</w:t>
      </w:r>
    </w:p>
    <w:p>
      <w:pPr>
        <w:spacing w:after="0" w:line="113"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i w:val="1"/>
          <w:iCs w:val="1"/>
          <w:color w:val="auto"/>
        </w:rPr>
        <w:t>Stock Payments, Other Incentive Awards and Cash Awards</w:t>
      </w:r>
      <w:r>
        <w:rPr>
          <w:rFonts w:ascii="Arial" w:cs="Arial" w:eastAsia="Arial" w:hAnsi="Arial"/>
          <w:sz w:val="18"/>
          <w:szCs w:val="18"/>
          <w:color w:val="auto"/>
        </w:rPr>
        <w:t>. Stock payments are awards of fully vested shares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that may, but need not, be made in lieu of base salary, bonus, fees or other cash compensation otherwise payable to any individual who is eligible to receive awards. Other incentive awards are awards other than those enumerated in this summary that are denominated in, linked to or derived from shares of Class A common stock or value metrics related to our shares, and may remain forfeitable unless and until specified conditions are met. Cash awards are cash incentive bonuses subject to performance goals.</w:t>
      </w:r>
    </w:p>
    <w:p>
      <w:pPr>
        <w:spacing w:after="0" w:line="138" w:lineRule="exact"/>
        <w:rPr>
          <w:sz w:val="20"/>
          <w:szCs w:val="20"/>
          <w:color w:val="auto"/>
        </w:rPr>
      </w:pPr>
    </w:p>
    <w:p>
      <w:pPr>
        <w:ind w:left="20" w:right="100"/>
        <w:spacing w:after="0" w:line="266" w:lineRule="auto"/>
        <w:rPr>
          <w:sz w:val="20"/>
          <w:szCs w:val="20"/>
          <w:color w:val="auto"/>
        </w:rPr>
      </w:pPr>
      <w:r>
        <w:rPr>
          <w:rFonts w:ascii="Arial" w:cs="Arial" w:eastAsia="Arial" w:hAnsi="Arial"/>
          <w:sz w:val="17"/>
          <w:szCs w:val="17"/>
          <w:i w:val="1"/>
          <w:iCs w:val="1"/>
          <w:color w:val="auto"/>
        </w:rPr>
        <w:t>Dividend Equivalents</w:t>
      </w:r>
      <w:r>
        <w:rPr>
          <w:rFonts w:ascii="Arial" w:cs="Arial" w:eastAsia="Arial" w:hAnsi="Arial"/>
          <w:sz w:val="17"/>
          <w:szCs w:val="17"/>
          <w:color w:val="auto"/>
        </w:rPr>
        <w:t>. Dividend equivalents represent the right to receive the equivalent value of dividends paid on</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Class A common stock and 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Vesting</w:t>
      </w:r>
    </w:p>
    <w:p>
      <w:pPr>
        <w:spacing w:after="0" w:line="183" w:lineRule="exact"/>
        <w:rPr>
          <w:sz w:val="20"/>
          <w:szCs w:val="20"/>
          <w:color w:val="auto"/>
        </w:rPr>
      </w:pPr>
    </w:p>
    <w:p>
      <w:pPr>
        <w:ind w:left="20" w:right="160"/>
        <w:spacing w:after="0" w:line="271" w:lineRule="auto"/>
        <w:rPr>
          <w:sz w:val="20"/>
          <w:szCs w:val="20"/>
          <w:color w:val="auto"/>
        </w:rPr>
      </w:pPr>
      <w:r>
        <w:rPr>
          <w:rFonts w:ascii="Arial" w:cs="Arial" w:eastAsia="Arial" w:hAnsi="Arial"/>
          <w:sz w:val="18"/>
          <w:szCs w:val="18"/>
          <w:color w:val="auto"/>
        </w:rPr>
        <w:t>Vesting conditions determined by the plan administrator may apply to each award and may include continued service, performance and/or other conditions.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Certain Transactions</w:t>
      </w:r>
    </w:p>
    <w:p>
      <w:pPr>
        <w:spacing w:after="0" w:line="169" w:lineRule="exact"/>
        <w:rPr>
          <w:sz w:val="20"/>
          <w:szCs w:val="20"/>
          <w:color w:val="auto"/>
        </w:rPr>
      </w:pPr>
    </w:p>
    <w:p>
      <w:pPr>
        <w:ind w:left="20" w:right="80"/>
        <w:spacing w:after="0" w:line="237" w:lineRule="auto"/>
        <w:rPr>
          <w:sz w:val="20"/>
          <w:szCs w:val="20"/>
          <w:color w:val="auto"/>
        </w:rPr>
      </w:pPr>
      <w:r>
        <w:rPr>
          <w:rFonts w:ascii="Arial" w:cs="Arial" w:eastAsia="Arial" w:hAnsi="Arial"/>
          <w:sz w:val="18"/>
          <w:szCs w:val="18"/>
          <w:color w:val="auto"/>
        </w:rPr>
        <w:t>The plan administrator has broad discretion to take action under the Amended Plan, as well as make adjustments to the terms and conditions of existing and future awards, to prevent the dilution or enlargement of intended benefits, facilitate the transaction, or give effect to changes in applicable law or accounting principles, in connection with certain transactions and events affecting our common stock, such as a change in control, stock dividends, stock splits, mergers, consolidations and other corporate transactions. This includes cancelling awards for cash or property, accelerating the vesting of awards, providing for the assumption or substitution of awards by a successor entity, adjusting the number and type of shares subject to outstanding awards and/or with respect to which awards may be granted under the Amended Plan and replacing or terminating awards under the Amended Plan. In addition, in the event of certain non-reciprocal transactions with our stockholders known as “equity restructurings,” the plan administrator will make equitable adjustments to the Amended Plan and outstanding awards. In the event of a “change in control” of our Company (as defined in the Amended Plan), to the extent that the surviving entity declines to continue, convert, assume or replace outstanding awards, then all such awards may become fully vested and exercisable in connection with the transaction. Individual award agreements may provide for additional accelerated vesting and payment provisions.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Non-U.S. Participants, Clawback Provisions, Transferability and Participant Payments</w:t>
      </w:r>
    </w:p>
    <w:p>
      <w:pPr>
        <w:spacing w:after="0" w:line="169"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Company’s Policy Relating to Recovery of Erroneously Awarded Compensation. With limited exceptions for estate planning, domestic relations orders, certain beneficiary designations and the laws of descent and distribution, awards under the Amended Plan are generally non-transferable, and are exercisable only by the participant. With regard to tax withholding, exercise price and purchase price obligations arising in connection with awards under the Amended Plan, the plan administrator may, in its discretion, accept cash or check, provide for net withholding of shares, allow shares of our common stock that meet specified conditions to be repurchased, allow a “market sell order” or such other consideration as it deems suitable.</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Plan Amendment and Termination</w:t>
      </w:r>
    </w:p>
    <w:p>
      <w:pPr>
        <w:spacing w:after="0" w:line="183"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The Board may amend or terminate the Amended Plan at any time; however, except in connection with certain changes in our capital structure, stockholder approval will be required for any amendment that increases the number of shares available under the Amended Plan. No award may be granted pursuant to the Amended Plan after the tenth anniversary of the date on which our stockholders approve the Amended Plan.</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Federal Income Tax Consequences of Awards</w:t>
      </w:r>
    </w:p>
    <w:p>
      <w:pPr>
        <w:spacing w:after="0" w:line="169" w:lineRule="exact"/>
        <w:rPr>
          <w:sz w:val="20"/>
          <w:szCs w:val="20"/>
          <w:color w:val="auto"/>
        </w:rPr>
      </w:pPr>
    </w:p>
    <w:p>
      <w:pPr>
        <w:ind w:left="20" w:right="140"/>
        <w:spacing w:after="0" w:line="244" w:lineRule="auto"/>
        <w:rPr>
          <w:sz w:val="20"/>
          <w:szCs w:val="20"/>
          <w:color w:val="auto"/>
        </w:rPr>
      </w:pPr>
      <w:r>
        <w:rPr>
          <w:rFonts w:ascii="Arial" w:cs="Arial" w:eastAsia="Arial" w:hAnsi="Arial"/>
          <w:sz w:val="18"/>
          <w:szCs w:val="18"/>
          <w:color w:val="auto"/>
        </w:rPr>
        <w:t>The Amended Plan is not qualified under the provisions of Section 401(a) of the Code and is not subject to any of the provisions of the Employee Retirement Income Security Act of 1974. The following is a general summary of certain U.S. Federal income tax consequences to U.S. participants with respect to awards granted under the Amended Plan based on the law as currently in effect. This discussion applies to participants who are citizens or residents of the U.S. and a U.S. taxpayer.</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Nonqualified Stock Options</w:t>
      </w:r>
    </w:p>
    <w:p>
      <w:pPr>
        <w:spacing w:after="0" w:line="169" w:lineRule="exact"/>
        <w:rPr>
          <w:sz w:val="20"/>
          <w:szCs w:val="20"/>
          <w:color w:val="auto"/>
        </w:rPr>
      </w:pPr>
    </w:p>
    <w:p>
      <w:pPr>
        <w:ind w:left="20" w:right="60"/>
        <w:spacing w:after="0" w:line="242" w:lineRule="auto"/>
        <w:rPr>
          <w:sz w:val="20"/>
          <w:szCs w:val="20"/>
          <w:color w:val="auto"/>
        </w:rPr>
      </w:pPr>
      <w:r>
        <w:rPr>
          <w:rFonts w:ascii="Arial" w:cs="Arial" w:eastAsia="Arial" w:hAnsi="Arial"/>
          <w:sz w:val="18"/>
          <w:szCs w:val="18"/>
          <w:color w:val="auto"/>
        </w:rPr>
        <w:t>On exercise of a nonqualified stock option granted under the Amended Plan, an optionee will recognize ordinary income equal to the excess, if any, of the fair market value on the date of exercise of the shares of stock acquired on exercise of the option over the exercise price. If the optionee is an employee of the Company or one of its subsidiaries, that income will be subject to the withholding of Federal income tax. The optionee’s tax basis in those shares will be equal to their fair market value on the date of exercise of the option, and his or her holding period for those shares will begin on that date.</w:t>
      </w:r>
    </w:p>
    <w:p>
      <w:pPr>
        <w:spacing w:after="0" w:line="152" w:lineRule="exact"/>
        <w:rPr>
          <w:sz w:val="20"/>
          <w:szCs w:val="20"/>
          <w:color w:val="auto"/>
        </w:rPr>
      </w:pPr>
    </w:p>
    <w:p>
      <w:pPr>
        <w:ind w:left="20" w:right="40"/>
        <w:spacing w:after="0" w:line="239" w:lineRule="auto"/>
        <w:rPr>
          <w:sz w:val="20"/>
          <w:szCs w:val="20"/>
          <w:color w:val="auto"/>
        </w:rPr>
      </w:pPr>
      <w:r>
        <w:rPr>
          <w:rFonts w:ascii="Arial" w:cs="Arial" w:eastAsia="Arial" w:hAnsi="Arial"/>
          <w:sz w:val="18"/>
          <w:szCs w:val="18"/>
          <w:color w:val="auto"/>
        </w:rPr>
        <w:t>If an optionee pays for shares of stock on exercise of an option by delivering shares of our common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or she had paid the exercise price in cash. If a separate identifiable stock certificate is issued for that number of shares equal to the number of shares delivered on exercise of the option, the optionee’s tax basis in the shares represented by that certificate will be equal to his tax basis in the shares delivered, and his or her holding period for those shares will include his or her holding period for the shares delivered. The optionee’s tax basis and holding period for the additional shares received on exercise of the option will be the same as if the optionee had exercised the option solely in exchange for cash.</w:t>
      </w:r>
    </w:p>
    <w:p>
      <w:pPr>
        <w:spacing w:after="0" w:line="143" w:lineRule="exact"/>
        <w:rPr>
          <w:sz w:val="20"/>
          <w:szCs w:val="20"/>
          <w:color w:val="auto"/>
        </w:rPr>
      </w:pPr>
    </w:p>
    <w:p>
      <w:pPr>
        <w:ind w:left="20" w:right="240"/>
        <w:spacing w:after="0" w:line="271" w:lineRule="auto"/>
        <w:rPr>
          <w:sz w:val="20"/>
          <w:szCs w:val="20"/>
          <w:color w:val="auto"/>
        </w:rPr>
      </w:pPr>
      <w:r>
        <w:rPr>
          <w:rFonts w:ascii="Arial" w:cs="Arial" w:eastAsia="Arial" w:hAnsi="Arial"/>
          <w:sz w:val="18"/>
          <w:szCs w:val="18"/>
          <w:color w:val="auto"/>
        </w:rPr>
        <w:t>We will be entitled to a deduction for Federal income tax purposes equal to the amount of ordinary income taxable to the optionee; provided that the deduction is not otherwise disallowed under the Code.</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Incentive Stock Options</w:t>
      </w:r>
    </w:p>
    <w:p>
      <w:pPr>
        <w:spacing w:after="0" w:line="169"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The Amended Plan provides for the grant of stock options that qualify as “incentive stock options” as defined in Section 422 of the Code, 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(the “Required Holding Period”), the difference, if any, between the amount realized on a sale or other taxable disposition of that share and the holder’s tax basis in that share will be long-term capital gain or loss. An individual’s stock options otherwise qualifying as ISOs will be treated for tax purposes as nonqualified stock options (and not as ISOs) to the extent that, in the aggregate, they first become exercisable in any calendar year for stock having a fair market value (determined as of the date of grant) in excess of $100,000.</w:t>
      </w:r>
    </w:p>
    <w:p>
      <w:pPr>
        <w:spacing w:after="0" w:line="156" w:lineRule="exact"/>
        <w:rPr>
          <w:sz w:val="20"/>
          <w:szCs w:val="20"/>
          <w:color w:val="auto"/>
        </w:rPr>
      </w:pPr>
    </w:p>
    <w:p>
      <w:pPr>
        <w:ind w:left="20" w:right="100"/>
        <w:spacing w:after="0" w:line="239" w:lineRule="auto"/>
        <w:rPr>
          <w:sz w:val="20"/>
          <w:szCs w:val="20"/>
          <w:color w:val="auto"/>
        </w:rPr>
      </w:pPr>
      <w:r>
        <w:rPr>
          <w:rFonts w:ascii="Arial" w:cs="Arial" w:eastAsia="Arial" w:hAnsi="Arial"/>
          <w:sz w:val="18"/>
          <w:szCs w:val="18"/>
          <w:color w:val="auto"/>
        </w:rPr>
        <w:t>If, however, an optionee disposes of a share acquired on exercise of an ISO before the end of the Required Holding Period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43" w:lineRule="exact"/>
        <w:rPr>
          <w:sz w:val="20"/>
          <w:szCs w:val="20"/>
          <w:color w:val="auto"/>
        </w:rPr>
      </w:pPr>
    </w:p>
    <w:p>
      <w:pPr>
        <w:ind w:left="20" w:right="300"/>
        <w:spacing w:after="0" w:line="244" w:lineRule="auto"/>
        <w:rPr>
          <w:sz w:val="20"/>
          <w:szCs w:val="20"/>
          <w:color w:val="auto"/>
        </w:rPr>
      </w:pPr>
      <w:r>
        <w:rPr>
          <w:rFonts w:ascii="Arial" w:cs="Arial" w:eastAsia="Arial" w:hAnsi="Arial"/>
          <w:sz w:val="18"/>
          <w:szCs w:val="18"/>
          <w:color w:val="auto"/>
        </w:rPr>
        <w:t>An optionee who exercises an ISO by delivering shares of our common stock acquired previously pursuant to the exercise of an ISO before the expiration of the Required Holding Period for those shares is treated as making a Disqualifying Disposition of those shares. This rule prevents “pyramiding” in connection with the exercise of an ISO (that is, exercising an ISO for one share and using that share, and others so acquired, to exercise successive ISOs) without the imposition of current income tax.</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color w:val="auto"/>
        </w:rPr>
        <w:t>For purposes of the alternative minimum tax, the amount by which the fair market value of a share of our common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43"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We are not allowed an income tax deduction with respect to the grant or exercise of an ISO or the disposition of a share acquired on exercise of an ISO after the Required Holding Period. However, if there is a Disqualifying Disposition of a share, RTR is allowed a deduction in an amount equal to the ordinary income includible in income by the optionee; provided that the deduction is not otherwise disallowed under the Code.</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Stock Appreciation Rights</w:t>
      </w:r>
    </w:p>
    <w:p>
      <w:pPr>
        <w:spacing w:after="0" w:line="169"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color w:val="auto"/>
        </w:rPr>
        <w:t>A recipient who is granted a SAR generally will not recognize ordinary income upon receipt of the SAR. Rather, at the time of exercise of such SAR, the participant will recognize ordinary income for income tax purposes in an amount equal to the value of any cash received and the fair market value on the date of exercise of any stock received. We generally will be entitled to a tax deduction at such time and in the same amount, if any, that the participant recognizes as ordinary income; provided that the deduction is not otherwise disallowed under the Code. The participant’s tax basis in any stock received upon exercise of a SAR will be the fair market value of the stock on the date of exercise, and if the shares are later sold or exchanged, then the difference between the amount received upon such sale or exchange and the fair market value of such stock on the date of exercise will generally be taxable as long-term or short-term capital gain or loss (if the shares are a capital asset of the participant) depending upon the length of time such stock were held by the participant.</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Restricted Stock; Restricted Stock Units</w:t>
      </w:r>
    </w:p>
    <w:p>
      <w:pPr>
        <w:spacing w:after="0" w:line="183"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Generally, the recipient of a stock award will recognize ordinary compensation income at the time the stock is received equal to the excess, if any, of the fair market value of the stock received over any amount paid by the recipient in exchange for the stock. If, however, the stock is non-vested when it is received under the Amended Plan (for example, if the employee is required to work for a period of time in order to have the right to sell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If permitted by the plan administrator, a recipient may, however, file an election with the Internal Revenue Service, within 30 days of his or her receipt of the stock award, to recognize ordinary compensation income, as of the date the recipient receives the award, equal to the excess, if any, of the fair market value of the stock on the date the award is granted over any amount paid by the recipient in exchange for the stock.</w:t>
      </w:r>
    </w:p>
    <w:p>
      <w:pPr>
        <w:spacing w:after="0" w:line="145"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Amended Plan the difference between the sale price and the recipient’s basis in the shares will be treated as a capital gain or loss and generally will be characterized as long-term capital gain or loss if the shares have been held for more than one year from the date as of which he or she would be required to recognize any compensation income.</w:t>
      </w:r>
    </w:p>
    <w:p>
      <w:pPr>
        <w:spacing w:after="0" w:line="138" w:lineRule="exact"/>
        <w:rPr>
          <w:sz w:val="20"/>
          <w:szCs w:val="20"/>
          <w:color w:val="auto"/>
        </w:rPr>
      </w:pPr>
    </w:p>
    <w:p>
      <w:pPr>
        <w:ind w:left="20" w:right="860"/>
        <w:spacing w:after="0" w:line="271" w:lineRule="auto"/>
        <w:rPr>
          <w:sz w:val="20"/>
          <w:szCs w:val="20"/>
          <w:color w:val="auto"/>
        </w:rPr>
      </w:pPr>
      <w:r>
        <w:rPr>
          <w:rFonts w:ascii="Arial" w:cs="Arial" w:eastAsia="Arial" w:hAnsi="Arial"/>
          <w:sz w:val="18"/>
          <w:szCs w:val="18"/>
          <w:color w:val="auto"/>
        </w:rPr>
        <w:t>We will be allowed a corresponding Federal income tax deduction in an amount equal to the ordinary income recognized by the recipient; provided that the deduction is not otherwise disallowed under the Code.</w:t>
      </w:r>
    </w:p>
    <w:p>
      <w:pPr>
        <w:spacing w:after="0" w:line="127" w:lineRule="exact"/>
        <w:rPr>
          <w:sz w:val="20"/>
          <w:szCs w:val="20"/>
          <w:color w:val="auto"/>
        </w:rPr>
      </w:pPr>
    </w:p>
    <w:p>
      <w:pPr>
        <w:ind w:left="20" w:right="100"/>
        <w:spacing w:after="0" w:line="247" w:lineRule="auto"/>
        <w:rPr>
          <w:sz w:val="20"/>
          <w:szCs w:val="20"/>
          <w:color w:val="auto"/>
        </w:rPr>
      </w:pPr>
      <w:r>
        <w:rPr>
          <w:rFonts w:ascii="Arial" w:cs="Arial" w:eastAsia="Arial" w:hAnsi="Arial"/>
          <w:sz w:val="18"/>
          <w:szCs w:val="18"/>
          <w:color w:val="auto"/>
        </w:rPr>
        <w:t>Generally, the grant of RSUs (including performance-based restricted stock units) will not result in income for the participant or in a tax deduction for us. Upon the settlement of such an award in stock or cash, the participant will recognize ordinary income equal to the aggregate value of the payment received, and we generally will be entitled to a tax deduction at the same time and in the same amount.</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Stock Payments, Other Incentive Awards and Cash Awards</w:t>
      </w:r>
    </w:p>
    <w:p>
      <w:pPr>
        <w:spacing w:after="0" w:line="169"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With respect to other awards granted under the Amended Plan, including stock bonuses, other stock-based awards and cash awards, generally when the participant receives payment with respect to an award, the amount of cash and/or the fair market value of any stock or other property received will be ordinary income to the participant, and we generally will be entitled to a tax deduction at the same time and in the same amount; provided that the deduction is not otherwise disallowed under the Code.</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Dividend Equivalents</w:t>
      </w:r>
    </w:p>
    <w:p>
      <w:pPr>
        <w:spacing w:after="0" w:line="169" w:lineRule="exact"/>
        <w:rPr>
          <w:sz w:val="20"/>
          <w:szCs w:val="20"/>
          <w:color w:val="auto"/>
        </w:rPr>
      </w:pPr>
    </w:p>
    <w:p>
      <w:pPr>
        <w:ind w:left="20" w:right="240"/>
        <w:spacing w:after="0" w:line="244" w:lineRule="auto"/>
        <w:rPr>
          <w:sz w:val="20"/>
          <w:szCs w:val="20"/>
          <w:color w:val="auto"/>
        </w:rPr>
      </w:pPr>
      <w:r>
        <w:rPr>
          <w:rFonts w:ascii="Arial" w:cs="Arial" w:eastAsia="Arial" w:hAnsi="Arial"/>
          <w:sz w:val="18"/>
          <w:szCs w:val="18"/>
          <w:color w:val="auto"/>
        </w:rPr>
        <w:t>Generally, the recipient of dividend equivalents will recognize ordinary compensation income at the time the dividend equivalents are received equal to the fair market value of the dividend equivalents received. We generally will be entitled to a deduction for Federal income tax purposes equal to the amount of ordinary income that the employee is required to recognize as a result of the dividend equivalents; provided that the deduction is not otherwise disallowed under the Code.</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Section 409A of the Code</w:t>
      </w:r>
    </w:p>
    <w:p>
      <w:pPr>
        <w:spacing w:after="0" w:line="183" w:lineRule="exact"/>
        <w:rPr>
          <w:sz w:val="20"/>
          <w:szCs w:val="20"/>
          <w:color w:val="auto"/>
        </w:rPr>
      </w:pPr>
    </w:p>
    <w:p>
      <w:pPr>
        <w:ind w:left="20" w:right="120"/>
        <w:spacing w:after="0" w:line="238" w:lineRule="auto"/>
        <w:rPr>
          <w:sz w:val="20"/>
          <w:szCs w:val="20"/>
          <w:color w:val="auto"/>
        </w:rPr>
      </w:pPr>
      <w:r>
        <w:rPr>
          <w:rFonts w:ascii="Arial" w:cs="Arial" w:eastAsia="Arial" w:hAnsi="Arial"/>
          <w:sz w:val="18"/>
          <w:szCs w:val="18"/>
          <w:color w:val="auto"/>
        </w:rPr>
        <w:t>Section 409A of the Code imposes requirements applicable to “nonqualified deferred compensation plans,” including rules relating to the timing of deferral elections and elections with regard to the form and timing of benefit distributions, prohibitions against the acceleration of the timing of distributions, and the times when distributions may be made, as well as rules that generally prohibit the funding of nonqualified deferred compensation plans in offshore trusts or upon the occurrence of a change in the employer’s financial health. These rules generally apply with respect to deferred compensation that becomes earned and vested on or after January 1, 2005. If a nonqualified deferred compensation plan subject to Section 409A fails to meet, or is not operated in accordance with, these requirements, then all compensation deferred under the plan is or becomes immediately taxable to the extent that it is not subject to a substantial risk of forfeiture and was not previously taxable. The tax imposed as a result of these rules would be increased by interest at a rate equal to the rate imposed upon tax underpayments plus one percentage point, and an additional tax equal to 20% of the compensation required to be included in income.</w:t>
      </w:r>
    </w:p>
    <w:p>
      <w:pPr>
        <w:spacing w:after="0" w:line="145" w:lineRule="exact"/>
        <w:rPr>
          <w:sz w:val="20"/>
          <w:szCs w:val="20"/>
          <w:color w:val="auto"/>
        </w:rPr>
      </w:pPr>
    </w:p>
    <w:p>
      <w:pPr>
        <w:ind w:left="20" w:right="240"/>
        <w:spacing w:after="0" w:line="253" w:lineRule="auto"/>
        <w:rPr>
          <w:sz w:val="20"/>
          <w:szCs w:val="20"/>
          <w:color w:val="auto"/>
        </w:rPr>
      </w:pPr>
      <w:r>
        <w:rPr>
          <w:rFonts w:ascii="Arial" w:cs="Arial" w:eastAsia="Arial" w:hAnsi="Arial"/>
          <w:sz w:val="18"/>
          <w:szCs w:val="18"/>
          <w:color w:val="auto"/>
        </w:rPr>
        <w:t>Some of the awards to be granted under the Amended Plan may constitute deferred compensation subject to the Section 409A requirements, including, without limitation, deferred stock. It is intended that any award agreement that will govern Awards subject to Section 409A will comply with, or be exempt from, these rules.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Section 280G of the Code</w:t>
      </w:r>
    </w:p>
    <w:p>
      <w:pPr>
        <w:spacing w:after="0" w:line="183"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Under certain circumstances, the acceleration of vesting of equity awards in connection with a change in control could result in excess “parachute payments” under Section 280G of the Code, which amounts may not be deductible by the Company. In addition, executives that receive such payments may be subject to a 20% excise tax (in addition to regular income taxes). The Amended Plan does not provide for any excise tax gross-ups.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Section 162(m) Deduction Limitation</w:t>
      </w:r>
    </w:p>
    <w:p>
      <w:pPr>
        <w:spacing w:after="0" w:line="169" w:lineRule="exact"/>
        <w:rPr>
          <w:sz w:val="20"/>
          <w:szCs w:val="20"/>
          <w:color w:val="auto"/>
        </w:rPr>
      </w:pPr>
    </w:p>
    <w:p>
      <w:pPr>
        <w:ind w:left="20" w:right="280"/>
        <w:spacing w:after="0" w:line="271" w:lineRule="auto"/>
        <w:rPr>
          <w:sz w:val="20"/>
          <w:szCs w:val="20"/>
          <w:color w:val="auto"/>
        </w:rPr>
      </w:pPr>
      <w:r>
        <w:rPr>
          <w:rFonts w:ascii="Arial" w:cs="Arial" w:eastAsia="Arial" w:hAnsi="Arial"/>
          <w:sz w:val="18"/>
          <w:szCs w:val="18"/>
          <w:color w:val="auto"/>
        </w:rPr>
        <w:t>In general, compensation over $1.0 million per year paid to any named executive officer (and any person who was a named executive for any year, beginning with 2017) will be nondeductible under Section 162(m) of the Code.</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State and Local Income Taxes</w:t>
      </w:r>
    </w:p>
    <w:p>
      <w:pPr>
        <w:spacing w:after="0" w:line="169" w:lineRule="exact"/>
        <w:rPr>
          <w:sz w:val="20"/>
          <w:szCs w:val="20"/>
          <w:color w:val="auto"/>
        </w:rPr>
      </w:pPr>
    </w:p>
    <w:p>
      <w:pPr>
        <w:ind w:left="20" w:right="320"/>
        <w:spacing w:after="0" w:line="271" w:lineRule="auto"/>
        <w:rPr>
          <w:sz w:val="20"/>
          <w:szCs w:val="20"/>
          <w:color w:val="auto"/>
        </w:rPr>
      </w:pPr>
      <w:r>
        <w:rPr>
          <w:rFonts w:ascii="Arial" w:cs="Arial" w:eastAsia="Arial" w:hAnsi="Arial"/>
          <w:sz w:val="18"/>
          <w:szCs w:val="18"/>
          <w:color w:val="auto"/>
        </w:rPr>
        <w:t>In addition to U.S. Federal income tax, participants may also be subject to U.S. state and local taxes with respect to awards granted under the Amended Plan.</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New Plan Benefits under the Amended Plan</w:t>
      </w:r>
    </w:p>
    <w:p>
      <w:pPr>
        <w:spacing w:after="0" w:line="183" w:lineRule="exact"/>
        <w:rPr>
          <w:sz w:val="20"/>
          <w:szCs w:val="20"/>
          <w:color w:val="auto"/>
        </w:rPr>
      </w:pPr>
    </w:p>
    <w:p>
      <w:pPr>
        <w:jc w:val="both"/>
        <w:ind w:left="20" w:right="60"/>
        <w:spacing w:after="0" w:line="255" w:lineRule="auto"/>
        <w:rPr>
          <w:sz w:val="20"/>
          <w:szCs w:val="20"/>
          <w:color w:val="auto"/>
        </w:rPr>
      </w:pPr>
      <w:r>
        <w:rPr>
          <w:rFonts w:ascii="Arial" w:cs="Arial" w:eastAsia="Arial" w:hAnsi="Arial"/>
          <w:sz w:val="17"/>
          <w:szCs w:val="17"/>
          <w:color w:val="auto"/>
        </w:rPr>
        <w:t>On December 16, 2025, we granted performance stock units (“PSUs”) to our executive officers (other than Ms. Hyman and Mr. Fonseca) and certain of our other employees, on February 27, 2026, we granted PSUs to Mr. Fonseca and, on May 15, 2026, we granted PSUs to Ms. Bariquit, in each case, pursuant to the Amended Plan (the “FY 2025 PSUs”).</w:t>
      </w:r>
    </w:p>
    <w:p>
      <w:pPr>
        <w:spacing w:after="0" w:line="2" w:lineRule="exact"/>
        <w:rPr>
          <w:sz w:val="20"/>
          <w:szCs w:val="20"/>
          <w:color w:val="auto"/>
        </w:rPr>
      </w:pPr>
    </w:p>
    <w:p>
      <w:pPr>
        <w:ind w:left="20" w:right="260"/>
        <w:spacing w:after="0" w:line="250" w:lineRule="auto"/>
        <w:rPr>
          <w:sz w:val="20"/>
          <w:szCs w:val="20"/>
          <w:color w:val="auto"/>
        </w:rPr>
      </w:pPr>
      <w:r>
        <w:rPr>
          <w:rFonts w:ascii="Arial" w:cs="Arial" w:eastAsia="Arial" w:hAnsi="Arial"/>
          <w:sz w:val="18"/>
          <w:szCs w:val="18"/>
          <w:color w:val="auto"/>
        </w:rPr>
        <w:t>The award agreements covering the FY 2025 PSUs provide that no shares of Class A common stock may be issued with respect to the FY 2025 PSUs unless and until the Company’s stockholders</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80"/>
        <w:spacing w:after="0" w:line="244" w:lineRule="auto"/>
        <w:rPr>
          <w:sz w:val="20"/>
          <w:szCs w:val="20"/>
          <w:color w:val="auto"/>
        </w:rPr>
      </w:pPr>
      <w:r>
        <w:rPr>
          <w:rFonts w:ascii="Arial" w:cs="Arial" w:eastAsia="Arial" w:hAnsi="Arial"/>
          <w:sz w:val="18"/>
          <w:szCs w:val="18"/>
          <w:color w:val="auto"/>
        </w:rPr>
        <w:t>approve an increase in the number of shares of Class A common stock authorized for issuance under the 2021 Plan. If our stockholders approve the Plan Amendment Proposal, then such requirement will be satisfied. However, if the Plan Amendment Proposal is not approved by our stockholders, then there will not be a sufficient number of shares of Class A common stock under the 2021 Plan in order to deliver shares of Class A common stock with respect to any vested FY 2025 PSUs.</w:t>
      </w:r>
    </w:p>
    <w:p>
      <w:pPr>
        <w:spacing w:after="0" w:line="136" w:lineRule="exact"/>
        <w:rPr>
          <w:sz w:val="20"/>
          <w:szCs w:val="20"/>
          <w:color w:val="auto"/>
        </w:rPr>
      </w:pPr>
    </w:p>
    <w:p>
      <w:pPr>
        <w:ind w:left="20" w:right="460"/>
        <w:spacing w:after="0" w:line="271" w:lineRule="auto"/>
        <w:rPr>
          <w:sz w:val="20"/>
          <w:szCs w:val="20"/>
          <w:color w:val="auto"/>
        </w:rPr>
      </w:pPr>
      <w:r>
        <w:rPr>
          <w:rFonts w:ascii="Arial" w:cs="Arial" w:eastAsia="Arial" w:hAnsi="Arial"/>
          <w:sz w:val="18"/>
          <w:szCs w:val="18"/>
          <w:color w:val="auto"/>
        </w:rPr>
        <w:t>The table below sets forth the new plan benefits granted to the individuals and groups identified in the table below pursuant to the Amended Plan.</w:t>
      </w:r>
    </w:p>
    <w:p>
      <w:pPr>
        <w:spacing w:after="0" w:line="113"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The FY 2025 PSUs (other than Ms. Bariquit’s and Mr. Fonseca’s) will be eligible to be earned in three equal tranches over the Company’s 2027, 2028 and 2029 fiscal years (each period, a “Performance Period”), based upon performance goals and metrics applicable to the Performance Period as determined by the Board no later than 90 days following the commencement of the Performance Period. Any earned PSUs will generally vest at the end of the final Performance Period, provided that the holder remains employed with the Company through the vesting date.</w:t>
      </w:r>
    </w:p>
    <w:p>
      <w:pPr>
        <w:spacing w:after="0" w:line="149"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Mr. Fonseca’s FY 2025 PSUs and Ms. Bariquit’s FY2025 PSUs will generally vest based on the Implied Equity Value of the Company (as defined in the applicable PSU award agreement) attained in connection with an Investor Group Sale (as defined in the applicable PSU award agreement), generally subject to Mr. Fonseca’s and Ms. Bariquit’s continued service through the applicable vesting date.</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closing price of a share of our Class A common stock on May 20, 2026 was $3.79.</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392"/>
        </w:trPr>
        <w:tc>
          <w:tcPr>
            <w:tcW w:w="120" w:type="dxa"/>
            <w:vAlign w:val="bottom"/>
            <w:tcBorders>
              <w:bottom w:val="single" w:sz="8" w:color="auto"/>
            </w:tcBorders>
            <w:shd w:val="clear" w:color="auto" w:fill="FFE8F5"/>
          </w:tcPr>
          <w:p>
            <w:pPr>
              <w:spacing w:after="0"/>
              <w:rPr>
                <w:sz w:val="24"/>
                <w:szCs w:val="24"/>
                <w:color w:val="auto"/>
              </w:rPr>
            </w:pPr>
          </w:p>
        </w:tc>
        <w:tc>
          <w:tcPr>
            <w:tcW w:w="4780" w:type="dxa"/>
            <w:vAlign w:val="bottom"/>
            <w:tcBorders>
              <w:bottom w:val="single" w:sz="8" w:color="auto"/>
            </w:tcBorders>
            <w:shd w:val="clear" w:color="auto" w:fill="FFE8F5"/>
          </w:tcPr>
          <w:p>
            <w:pPr>
              <w:ind w:left="40"/>
              <w:spacing w:after="0"/>
              <w:rPr>
                <w:sz w:val="20"/>
                <w:szCs w:val="20"/>
                <w:color w:val="auto"/>
              </w:rPr>
            </w:pPr>
            <w:r>
              <w:rPr>
                <w:rFonts w:ascii="Arial" w:cs="Arial" w:eastAsia="Arial" w:hAnsi="Arial"/>
                <w:sz w:val="14"/>
                <w:szCs w:val="14"/>
                <w:b w:val="1"/>
                <w:bCs w:val="1"/>
                <w:color w:val="auto"/>
              </w:rPr>
              <w:t>Name and Position</w:t>
            </w:r>
          </w:p>
        </w:tc>
        <w:tc>
          <w:tcPr>
            <w:tcW w:w="2060" w:type="dxa"/>
            <w:vAlign w:val="bottom"/>
            <w:tcBorders>
              <w:bottom w:val="single" w:sz="8" w:color="auto"/>
            </w:tcBorders>
            <w:shd w:val="clear" w:color="auto" w:fill="FFE8F5"/>
          </w:tcPr>
          <w:p>
            <w:pPr>
              <w:ind w:left="560"/>
              <w:spacing w:after="0"/>
              <w:rPr>
                <w:sz w:val="20"/>
                <w:szCs w:val="20"/>
                <w:color w:val="auto"/>
              </w:rPr>
            </w:pPr>
            <w:r>
              <w:rPr>
                <w:rFonts w:ascii="Arial" w:cs="Arial" w:eastAsia="Arial" w:hAnsi="Arial"/>
                <w:sz w:val="14"/>
                <w:szCs w:val="14"/>
                <w:b w:val="1"/>
                <w:bCs w:val="1"/>
                <w:color w:val="auto"/>
              </w:rPr>
              <w:t>Target Value ($)</w:t>
            </w:r>
            <w:r>
              <w:rPr>
                <w:rFonts w:ascii="Arial" w:cs="Arial" w:eastAsia="Arial" w:hAnsi="Arial"/>
                <w:sz w:val="23"/>
                <w:szCs w:val="23"/>
                <w:b w:val="1"/>
                <w:bCs w:val="1"/>
                <w:color w:val="auto"/>
                <w:vertAlign w:val="superscript"/>
              </w:rPr>
              <w:t>(1)</w:t>
            </w:r>
          </w:p>
        </w:tc>
        <w:tc>
          <w:tcPr>
            <w:tcW w:w="2540" w:type="dxa"/>
            <w:vAlign w:val="bottom"/>
            <w:tcBorders>
              <w:bottom w:val="single" w:sz="8" w:color="auto"/>
            </w:tcBorders>
            <w:shd w:val="clear" w:color="auto" w:fill="FFE8F5"/>
          </w:tcPr>
          <w:p>
            <w:pPr>
              <w:ind w:left="300"/>
              <w:spacing w:after="0"/>
              <w:rPr>
                <w:sz w:val="20"/>
                <w:szCs w:val="20"/>
                <w:color w:val="auto"/>
              </w:rPr>
            </w:pPr>
            <w:r>
              <w:rPr>
                <w:rFonts w:ascii="Arial" w:cs="Arial" w:eastAsia="Arial" w:hAnsi="Arial"/>
                <w:sz w:val="14"/>
                <w:szCs w:val="14"/>
                <w:b w:val="1"/>
                <w:bCs w:val="1"/>
                <w:color w:val="auto"/>
              </w:rPr>
              <w:t>Target Number of Shares (#)</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Jennifer Y. Hyman</w:t>
            </w:r>
          </w:p>
        </w:tc>
        <w:tc>
          <w:tcPr>
            <w:tcW w:w="2060" w:type="dxa"/>
            <w:vAlign w:val="bottom"/>
            <w:vMerge w:val="restart"/>
          </w:tcPr>
          <w:p>
            <w:pPr>
              <w:jc w:val="center"/>
              <w:ind w:left="188"/>
              <w:spacing w:after="0"/>
              <w:rPr>
                <w:sz w:val="20"/>
                <w:szCs w:val="20"/>
                <w:color w:val="auto"/>
              </w:rPr>
            </w:pPr>
            <w:r>
              <w:rPr>
                <w:rFonts w:ascii="Arial" w:cs="Arial" w:eastAsia="Arial" w:hAnsi="Arial"/>
                <w:sz w:val="14"/>
                <w:szCs w:val="14"/>
                <w:color w:val="auto"/>
              </w:rPr>
              <w:t>$0.00</w:t>
            </w:r>
          </w:p>
        </w:tc>
        <w:tc>
          <w:tcPr>
            <w:tcW w:w="2540" w:type="dxa"/>
            <w:vAlign w:val="bottom"/>
            <w:vMerge w:val="restart"/>
          </w:tcPr>
          <w:p>
            <w:pPr>
              <w:jc w:val="center"/>
              <w:ind w:left="10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i w:val="1"/>
                <w:iCs w:val="1"/>
                <w:color w:val="auto"/>
              </w:rPr>
              <w:t>Co-Founder, Former Chief</w:t>
            </w:r>
          </w:p>
        </w:tc>
        <w:tc>
          <w:tcPr>
            <w:tcW w:w="2060" w:type="dxa"/>
            <w:vAlign w:val="bottom"/>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4780" w:type="dxa"/>
            <w:vAlign w:val="bottom"/>
          </w:tcPr>
          <w:p>
            <w:pPr>
              <w:ind w:left="40"/>
              <w:spacing w:after="0"/>
              <w:rPr>
                <w:sz w:val="20"/>
                <w:szCs w:val="20"/>
                <w:color w:val="auto"/>
              </w:rPr>
            </w:pPr>
            <w:r>
              <w:rPr>
                <w:rFonts w:ascii="Arial" w:cs="Arial" w:eastAsia="Arial" w:hAnsi="Arial"/>
                <w:sz w:val="14"/>
                <w:szCs w:val="14"/>
                <w:i w:val="1"/>
                <w:iCs w:val="1"/>
                <w:color w:val="auto"/>
              </w:rPr>
              <w:t>Executive Officer &amp; President</w:t>
            </w:r>
          </w:p>
        </w:tc>
        <w:tc>
          <w:tcPr>
            <w:tcW w:w="20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Teri Bariquit</w:t>
            </w:r>
          </w:p>
        </w:tc>
        <w:tc>
          <w:tcPr>
            <w:tcW w:w="2060" w:type="dxa"/>
            <w:vAlign w:val="bottom"/>
            <w:vMerge w:val="restart"/>
          </w:tcPr>
          <w:p>
            <w:pPr>
              <w:jc w:val="center"/>
              <w:ind w:left="188"/>
              <w:spacing w:after="0"/>
              <w:rPr>
                <w:sz w:val="20"/>
                <w:szCs w:val="20"/>
                <w:color w:val="auto"/>
              </w:rPr>
            </w:pPr>
            <w:r>
              <w:rPr>
                <w:rFonts w:ascii="Arial" w:cs="Arial" w:eastAsia="Arial" w:hAnsi="Arial"/>
                <w:sz w:val="14"/>
                <w:szCs w:val="14"/>
                <w:color w:val="auto"/>
              </w:rPr>
              <w:t>$​379,000.00</w:t>
            </w:r>
          </w:p>
        </w:tc>
        <w:tc>
          <w:tcPr>
            <w:tcW w:w="2540" w:type="dxa"/>
            <w:vAlign w:val="bottom"/>
            <w:vMerge w:val="restart"/>
          </w:tcPr>
          <w:p>
            <w:pPr>
              <w:jc w:val="center"/>
              <w:ind w:left="10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i w:val="1"/>
                <w:iCs w:val="1"/>
                <w:color w:val="auto"/>
              </w:rPr>
              <w:t>Interim Chief Executive</w:t>
            </w:r>
          </w:p>
        </w:tc>
        <w:tc>
          <w:tcPr>
            <w:tcW w:w="2060" w:type="dxa"/>
            <w:vAlign w:val="bottom"/>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4780" w:type="dxa"/>
            <w:vAlign w:val="bottom"/>
          </w:tcPr>
          <w:p>
            <w:pPr>
              <w:ind w:left="40"/>
              <w:spacing w:after="0"/>
              <w:rPr>
                <w:sz w:val="20"/>
                <w:szCs w:val="20"/>
                <w:color w:val="auto"/>
              </w:rPr>
            </w:pPr>
            <w:r>
              <w:rPr>
                <w:rFonts w:ascii="Arial" w:cs="Arial" w:eastAsia="Arial" w:hAnsi="Arial"/>
                <w:sz w:val="14"/>
                <w:szCs w:val="14"/>
                <w:i w:val="1"/>
                <w:iCs w:val="1"/>
                <w:color w:val="auto"/>
              </w:rPr>
              <w:t>Officer &amp; President</w:t>
            </w:r>
          </w:p>
        </w:tc>
        <w:tc>
          <w:tcPr>
            <w:tcW w:w="20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Sid Thacker</w:t>
            </w:r>
          </w:p>
        </w:tc>
        <w:tc>
          <w:tcPr>
            <w:tcW w:w="2060" w:type="dxa"/>
            <w:vAlign w:val="bottom"/>
            <w:vMerge w:val="restart"/>
          </w:tcPr>
          <w:p>
            <w:pPr>
              <w:jc w:val="center"/>
              <w:ind w:left="188"/>
              <w:spacing w:after="0"/>
              <w:rPr>
                <w:sz w:val="20"/>
                <w:szCs w:val="20"/>
                <w:color w:val="auto"/>
              </w:rPr>
            </w:pPr>
            <w:r>
              <w:rPr>
                <w:rFonts w:ascii="Arial" w:cs="Arial" w:eastAsia="Arial" w:hAnsi="Arial"/>
                <w:sz w:val="14"/>
                <w:szCs w:val="14"/>
                <w:color w:val="auto"/>
              </w:rPr>
              <w:t>$​760,266.42</w:t>
            </w:r>
          </w:p>
        </w:tc>
        <w:tc>
          <w:tcPr>
            <w:tcW w:w="2540" w:type="dxa"/>
            <w:vAlign w:val="bottom"/>
            <w:vMerge w:val="restart"/>
          </w:tcPr>
          <w:p>
            <w:pPr>
              <w:jc w:val="center"/>
              <w:ind w:left="108"/>
              <w:spacing w:after="0"/>
              <w:rPr>
                <w:sz w:val="20"/>
                <w:szCs w:val="20"/>
                <w:color w:val="auto"/>
              </w:rPr>
            </w:pPr>
            <w:r>
              <w:rPr>
                <w:rFonts w:ascii="Arial" w:cs="Arial" w:eastAsia="Arial" w:hAnsi="Arial"/>
                <w:sz w:val="14"/>
                <w:szCs w:val="14"/>
                <w:color w:val="auto"/>
              </w:rPr>
              <w:t>200,598</w:t>
            </w: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478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Chief Financial Officer</w:t>
            </w:r>
          </w:p>
        </w:tc>
        <w:tc>
          <w:tcPr>
            <w:tcW w:w="206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47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2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Sarah Tam</w:t>
            </w:r>
          </w:p>
        </w:tc>
        <w:tc>
          <w:tcPr>
            <w:tcW w:w="2060" w:type="dxa"/>
            <w:vAlign w:val="bottom"/>
            <w:vMerge w:val="restart"/>
          </w:tcPr>
          <w:p>
            <w:pPr>
              <w:jc w:val="center"/>
              <w:ind w:left="188"/>
              <w:spacing w:after="0"/>
              <w:rPr>
                <w:sz w:val="20"/>
                <w:szCs w:val="20"/>
                <w:color w:val="auto"/>
              </w:rPr>
            </w:pPr>
            <w:r>
              <w:rPr>
                <w:rFonts w:ascii="Arial" w:cs="Arial" w:eastAsia="Arial" w:hAnsi="Arial"/>
                <w:sz w:val="14"/>
                <w:szCs w:val="14"/>
                <w:color w:val="auto"/>
              </w:rPr>
              <w:t>$​760,266.42</w:t>
            </w:r>
          </w:p>
        </w:tc>
        <w:tc>
          <w:tcPr>
            <w:tcW w:w="2540" w:type="dxa"/>
            <w:vAlign w:val="bottom"/>
            <w:vMerge w:val="restart"/>
          </w:tcPr>
          <w:p>
            <w:pPr>
              <w:jc w:val="center"/>
              <w:ind w:left="108"/>
              <w:spacing w:after="0"/>
              <w:rPr>
                <w:sz w:val="20"/>
                <w:szCs w:val="20"/>
                <w:color w:val="auto"/>
              </w:rPr>
            </w:pPr>
            <w:r>
              <w:rPr>
                <w:rFonts w:ascii="Arial" w:cs="Arial" w:eastAsia="Arial" w:hAnsi="Arial"/>
                <w:sz w:val="14"/>
                <w:szCs w:val="14"/>
                <w:color w:val="auto"/>
              </w:rPr>
              <w:t>200,598</w:t>
            </w: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478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Chief Merchant Officer</w:t>
            </w:r>
          </w:p>
        </w:tc>
        <w:tc>
          <w:tcPr>
            <w:tcW w:w="206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47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2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All Current Executive Officers as a group (6)</w:t>
            </w:r>
            <w:r>
              <w:rPr>
                <w:rFonts w:ascii="Arial" w:cs="Arial" w:eastAsia="Arial" w:hAnsi="Arial"/>
                <w:sz w:val="23"/>
                <w:szCs w:val="23"/>
                <w:color w:val="auto"/>
                <w:vertAlign w:val="superscript"/>
              </w:rPr>
              <w:t>(3)</w:t>
            </w:r>
          </w:p>
        </w:tc>
        <w:tc>
          <w:tcPr>
            <w:tcW w:w="206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rPr>
              <w:t>$​10,414,548.58</w:t>
            </w:r>
          </w:p>
        </w:tc>
        <w:tc>
          <w:tcPr>
            <w:tcW w:w="25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rPr>
              <w:t>2,747,902</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All Current Non-Employee Directors as a group (3)</w:t>
            </w:r>
            <w:r>
              <w:rPr>
                <w:rFonts w:ascii="Arial" w:cs="Arial" w:eastAsia="Arial" w:hAnsi="Arial"/>
                <w:sz w:val="23"/>
                <w:szCs w:val="23"/>
                <w:color w:val="auto"/>
                <w:vertAlign w:val="superscript"/>
              </w:rPr>
              <w:t>(4)(5)</w:t>
            </w:r>
          </w:p>
        </w:tc>
        <w:tc>
          <w:tcPr>
            <w:tcW w:w="206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rPr>
              <w:t>$​0.00</w:t>
            </w:r>
          </w:p>
        </w:tc>
        <w:tc>
          <w:tcPr>
            <w:tcW w:w="25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All Current Employees (other than Executive Officers) as a Group</w:t>
            </w:r>
          </w:p>
        </w:tc>
        <w:tc>
          <w:tcPr>
            <w:tcW w:w="2060" w:type="dxa"/>
            <w:vAlign w:val="bottom"/>
            <w:vMerge w:val="restart"/>
          </w:tcPr>
          <w:p>
            <w:pPr>
              <w:jc w:val="center"/>
              <w:ind w:left="188"/>
              <w:spacing w:after="0"/>
              <w:rPr>
                <w:sz w:val="20"/>
                <w:szCs w:val="20"/>
                <w:color w:val="auto"/>
              </w:rPr>
            </w:pPr>
            <w:r>
              <w:rPr>
                <w:rFonts w:ascii="Arial" w:cs="Arial" w:eastAsia="Arial" w:hAnsi="Arial"/>
                <w:sz w:val="14"/>
                <w:szCs w:val="14"/>
                <w:color w:val="auto"/>
              </w:rPr>
              <w:t>$​2,006,956.60</w:t>
            </w:r>
          </w:p>
        </w:tc>
        <w:tc>
          <w:tcPr>
            <w:tcW w:w="2540" w:type="dxa"/>
            <w:vAlign w:val="bottom"/>
            <w:vMerge w:val="restart"/>
          </w:tcPr>
          <w:p>
            <w:pPr>
              <w:jc w:val="center"/>
              <w:ind w:left="108"/>
              <w:spacing w:after="0"/>
              <w:rPr>
                <w:sz w:val="20"/>
                <w:szCs w:val="20"/>
                <w:color w:val="auto"/>
              </w:rPr>
            </w:pPr>
            <w:r>
              <w:rPr>
                <w:rFonts w:ascii="Arial" w:cs="Arial" w:eastAsia="Arial" w:hAnsi="Arial"/>
                <w:sz w:val="14"/>
                <w:szCs w:val="14"/>
                <w:color w:val="auto"/>
              </w:rPr>
              <w:t>529,540</w:t>
            </w: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4780" w:type="dxa"/>
            <w:vAlign w:val="bottom"/>
            <w:vMerge w:val="restart"/>
          </w:tcPr>
          <w:p>
            <w:pPr>
              <w:ind w:left="40"/>
              <w:spacing w:after="0" w:line="255" w:lineRule="exact"/>
              <w:rPr>
                <w:sz w:val="20"/>
                <w:szCs w:val="20"/>
                <w:color w:val="auto"/>
              </w:rPr>
            </w:pPr>
            <w:r>
              <w:rPr>
                <w:rFonts w:ascii="Arial" w:cs="Arial" w:eastAsia="Arial" w:hAnsi="Arial"/>
                <w:sz w:val="14"/>
                <w:szCs w:val="14"/>
                <w:color w:val="auto"/>
              </w:rPr>
              <w:t>(approximately 24)</w:t>
            </w:r>
            <w:r>
              <w:rPr>
                <w:rFonts w:ascii="Arial" w:cs="Arial" w:eastAsia="Arial" w:hAnsi="Arial"/>
                <w:sz w:val="23"/>
                <w:szCs w:val="23"/>
                <w:color w:val="auto"/>
                <w:vertAlign w:val="superscript"/>
              </w:rPr>
              <w:t>(6)</w:t>
            </w:r>
          </w:p>
        </w:tc>
        <w:tc>
          <w:tcPr>
            <w:tcW w:w="2060" w:type="dxa"/>
            <w:vAlign w:val="bottom"/>
            <w:vMerge w:val="continue"/>
          </w:tcPr>
          <w:p>
            <w:pPr>
              <w:spacing w:after="0"/>
              <w:rPr>
                <w:sz w:val="10"/>
                <w:szCs w:val="10"/>
                <w:color w:val="auto"/>
              </w:rPr>
            </w:pPr>
          </w:p>
        </w:tc>
        <w:tc>
          <w:tcPr>
            <w:tcW w:w="2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0" w:type="dxa"/>
            <w:vAlign w:val="bottom"/>
            <w:tcBorders>
              <w:bottom w:val="single" w:sz="8" w:color="auto"/>
            </w:tcBorders>
          </w:tcPr>
          <w:p>
            <w:pPr>
              <w:spacing w:after="0"/>
              <w:rPr>
                <w:sz w:val="11"/>
                <w:szCs w:val="11"/>
                <w:color w:val="auto"/>
              </w:rPr>
            </w:pPr>
          </w:p>
        </w:tc>
        <w:tc>
          <w:tcPr>
            <w:tcW w:w="4780" w:type="dxa"/>
            <w:vAlign w:val="bottom"/>
            <w:tcBorders>
              <w:bottom w:val="single" w:sz="8" w:color="auto"/>
            </w:tcBorders>
            <w:vMerge w:val="continue"/>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80" w:right="100" w:hanging="359"/>
        <w:spacing w:after="0" w:line="256"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in this column, except where noted to the contrary, reflect the value of the FY 2025 PSUs granted to the specified individuals or groups as determined by multiplying the target number of shares of Class A common stock subject to the PSUs, by the closing price of our common stock on May 20, 2026, which was $3.79. As further explained above, the FY 2025 PSUs (other than Ms. Bariquit and Mr. Fonseca’s) are subject to performance goals and metrics that have not been set as of the date of this Proxy Statement.</w:t>
      </w:r>
    </w:p>
    <w:p>
      <w:pPr>
        <w:spacing w:after="0" w:line="15" w:lineRule="exact"/>
        <w:rPr>
          <w:rFonts w:ascii="Arial" w:cs="Arial" w:eastAsia="Arial" w:hAnsi="Arial"/>
          <w:sz w:val="14"/>
          <w:szCs w:val="14"/>
          <w:color w:val="auto"/>
        </w:rPr>
      </w:pPr>
    </w:p>
    <w:p>
      <w:pPr>
        <w:ind w:left="380" w:right="100" w:hanging="359"/>
        <w:spacing w:after="0" w:line="281"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in this column, except where noted to the contrary, reflect the number of shares of Class A common stock issued under the Amended Plan assuming that target level of performance is achieved.</w:t>
      </w:r>
    </w:p>
    <w:p>
      <w:pPr>
        <w:spacing w:after="0" w:line="1" w:lineRule="exact"/>
        <w:rPr>
          <w:rFonts w:ascii="Arial" w:cs="Arial" w:eastAsia="Arial" w:hAnsi="Arial"/>
          <w:sz w:val="14"/>
          <w:szCs w:val="14"/>
          <w:color w:val="auto"/>
        </w:rPr>
      </w:pPr>
    </w:p>
    <w:p>
      <w:pPr>
        <w:ind w:left="380" w:right="320" w:hanging="359"/>
        <w:spacing w:after="0" w:line="281"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in this row include the target value and target number of shares of Class A common stock subject to Ms. Bariquit’s FY 2025 PSUs assuming that maximum level of performance is achieved.</w:t>
      </w:r>
    </w:p>
    <w:p>
      <w:pPr>
        <w:spacing w:after="0" w:line="1" w:lineRule="exact"/>
        <w:rPr>
          <w:rFonts w:ascii="Arial" w:cs="Arial" w:eastAsia="Arial" w:hAnsi="Arial"/>
          <w:sz w:val="14"/>
          <w:szCs w:val="14"/>
          <w:color w:val="auto"/>
        </w:rPr>
      </w:pPr>
    </w:p>
    <w:p>
      <w:pPr>
        <w:ind w:left="380" w:right="460" w:hanging="359"/>
        <w:spacing w:after="0" w:line="281"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Ms. Hyman has been excluded from the “All Current Executive Officers as a Group” on the basis that she is not an executive officer as of May 20, 2026.</w:t>
      </w:r>
    </w:p>
    <w:p>
      <w:pPr>
        <w:spacing w:after="0" w:line="1" w:lineRule="exact"/>
        <w:rPr>
          <w:rFonts w:ascii="Arial" w:cs="Arial" w:eastAsia="Arial" w:hAnsi="Arial"/>
          <w:sz w:val="14"/>
          <w:szCs w:val="14"/>
          <w:color w:val="auto"/>
        </w:rPr>
      </w:pPr>
    </w:p>
    <w:p>
      <w:pPr>
        <w:ind w:left="380" w:right="280" w:hanging="359"/>
        <w:spacing w:after="0" w:line="281"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in this row include the target value and target number of shares of Class A common stock subject to Mr. Fonseca’s FY 2025 PSUs assuming that maximum level of performance is achieved.</w:t>
      </w:r>
    </w:p>
    <w:p>
      <w:pPr>
        <w:spacing w:after="0" w:line="1" w:lineRule="exact"/>
        <w:rPr>
          <w:rFonts w:ascii="Arial" w:cs="Arial" w:eastAsia="Arial" w:hAnsi="Arial"/>
          <w:sz w:val="14"/>
          <w:szCs w:val="14"/>
          <w:color w:val="auto"/>
        </w:rPr>
      </w:pPr>
    </w:p>
    <w:p>
      <w:pPr>
        <w:ind w:left="380" w:right="260" w:hanging="359"/>
        <w:spacing w:after="0" w:line="281"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Ms. Bariquit has been excluded from the “All Current Non-Employee Directors as a Group” on the basis that she is an executive officer as of May 15, 2026, and her amounts are reflected above in “All Current Executive Officers as a Group”.</w:t>
      </w:r>
    </w:p>
    <w:p>
      <w:pPr>
        <w:spacing w:after="0" w:line="1" w:lineRule="exact"/>
        <w:rPr>
          <w:rFonts w:ascii="Arial" w:cs="Arial" w:eastAsia="Arial" w:hAnsi="Arial"/>
          <w:sz w:val="14"/>
          <w:szCs w:val="14"/>
          <w:color w:val="auto"/>
        </w:rPr>
      </w:pPr>
    </w:p>
    <w:p>
      <w:pPr>
        <w:ind w:left="380" w:right="40" w:hanging="359"/>
        <w:spacing w:after="0" w:line="256"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in this row do not include the number of shares of Class A common stock subject to FY 2025 PSUs, or the value thereof, granted to individuals who forfeited their FY 2025 PSUs as a result of their termination of service prior to May 20, 2025, including Ms. Hyman, who ceased to be an executive officer as of May 15, 2026. For Ms. Bariquit, the amount in this row includes the target value and number of shares of Class A common stock subject to Ms. Bariquit’s FY 2025 PSUs assuming maximum level of performance is achieved.</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Additional Information Regarding the Amended Plan</w:t>
      </w:r>
    </w:p>
    <w:p>
      <w:pPr>
        <w:spacing w:after="0" w:line="169" w:lineRule="exact"/>
        <w:rPr>
          <w:sz w:val="20"/>
          <w:szCs w:val="20"/>
          <w:color w:val="auto"/>
        </w:rPr>
      </w:pPr>
    </w:p>
    <w:p>
      <w:pPr>
        <w:ind w:left="20" w:right="120"/>
        <w:spacing w:after="0" w:line="242" w:lineRule="auto"/>
        <w:rPr>
          <w:sz w:val="20"/>
          <w:szCs w:val="20"/>
          <w:color w:val="auto"/>
        </w:rPr>
      </w:pPr>
      <w:r>
        <w:rPr>
          <w:rFonts w:ascii="Arial" w:cs="Arial" w:eastAsia="Arial" w:hAnsi="Arial"/>
          <w:sz w:val="18"/>
          <w:szCs w:val="18"/>
          <w:color w:val="auto"/>
        </w:rPr>
        <w:t>The following table lists each of our named executive officers, all current executive officers as a group, all current non-employee directors as a group, each associate of the foregoing persons, each other person who received at least 5% of the awards under the 2021 Plan, and all current employees of the Company (other than executive officers) as a group, indicating the aggregate number of options, RSUs and PSUs granted under the 2021 Plan to each of the foregoing since the inception of the 2021 Plan. The fair market value per share of Class A common stock on May 20, 2026, was $[x].</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20" w:type="dxa"/>
            <w:vAlign w:val="bottom"/>
            <w:shd w:val="clear" w:color="auto" w:fill="FFE8F5"/>
          </w:tcPr>
          <w:p>
            <w:pPr>
              <w:spacing w:after="0"/>
              <w:rPr>
                <w:sz w:val="22"/>
                <w:szCs w:val="22"/>
                <w:color w:val="auto"/>
              </w:rPr>
            </w:pPr>
          </w:p>
        </w:tc>
        <w:tc>
          <w:tcPr>
            <w:tcW w:w="2480" w:type="dxa"/>
            <w:vAlign w:val="bottom"/>
            <w:shd w:val="clear" w:color="auto" w:fill="FFE8F5"/>
          </w:tcPr>
          <w:p>
            <w:pPr>
              <w:spacing w:after="0"/>
              <w:rPr>
                <w:sz w:val="22"/>
                <w:szCs w:val="22"/>
                <w:color w:val="auto"/>
              </w:rPr>
            </w:pPr>
          </w:p>
        </w:tc>
        <w:tc>
          <w:tcPr>
            <w:tcW w:w="1380" w:type="dxa"/>
            <w:vAlign w:val="bottom"/>
            <w:shd w:val="clear" w:color="auto" w:fill="FFE8F5"/>
          </w:tcPr>
          <w:p>
            <w:pPr>
              <w:ind w:left="180"/>
              <w:spacing w:after="0"/>
              <w:rPr>
                <w:sz w:val="20"/>
                <w:szCs w:val="20"/>
                <w:color w:val="auto"/>
              </w:rPr>
            </w:pPr>
            <w:r>
              <w:rPr>
                <w:rFonts w:ascii="Arial" w:cs="Arial" w:eastAsia="Arial" w:hAnsi="Arial"/>
                <w:sz w:val="14"/>
                <w:szCs w:val="14"/>
                <w:b w:val="1"/>
                <w:bCs w:val="1"/>
                <w:color w:val="auto"/>
              </w:rPr>
              <w:t>Options</w:t>
            </w:r>
          </w:p>
        </w:tc>
        <w:tc>
          <w:tcPr>
            <w:tcW w:w="1540" w:type="dxa"/>
            <w:vAlign w:val="bottom"/>
            <w:vMerge w:val="restart"/>
            <w:shd w:val="clear" w:color="auto" w:fill="FFE8F5"/>
          </w:tcPr>
          <w:p>
            <w:pPr>
              <w:ind w:left="180"/>
              <w:spacing w:after="0"/>
              <w:rPr>
                <w:sz w:val="20"/>
                <w:szCs w:val="20"/>
                <w:color w:val="auto"/>
              </w:rPr>
            </w:pPr>
            <w:r>
              <w:rPr>
                <w:rFonts w:ascii="Arial" w:cs="Arial" w:eastAsia="Arial" w:hAnsi="Arial"/>
                <w:sz w:val="14"/>
                <w:szCs w:val="14"/>
                <w:b w:val="1"/>
                <w:bCs w:val="1"/>
                <w:color w:val="auto"/>
              </w:rPr>
              <w:t>Weighted</w:t>
            </w:r>
          </w:p>
        </w:tc>
        <w:tc>
          <w:tcPr>
            <w:tcW w:w="1700" w:type="dxa"/>
            <w:vAlign w:val="bottom"/>
            <w:shd w:val="clear" w:color="auto" w:fill="FFE8F5"/>
          </w:tcPr>
          <w:p>
            <w:pPr>
              <w:ind w:left="160"/>
              <w:spacing w:after="0"/>
              <w:rPr>
                <w:sz w:val="20"/>
                <w:szCs w:val="20"/>
                <w:color w:val="auto"/>
              </w:rPr>
            </w:pPr>
            <w:r>
              <w:rPr>
                <w:rFonts w:ascii="Arial" w:cs="Arial" w:eastAsia="Arial" w:hAnsi="Arial"/>
                <w:sz w:val="14"/>
                <w:szCs w:val="14"/>
                <w:b w:val="1"/>
                <w:bCs w:val="1"/>
                <w:color w:val="auto"/>
              </w:rPr>
              <w:t>Restricted Stock</w:t>
            </w:r>
          </w:p>
        </w:tc>
        <w:tc>
          <w:tcPr>
            <w:tcW w:w="2280" w:type="dxa"/>
            <w:vAlign w:val="bottom"/>
            <w:shd w:val="clear" w:color="auto" w:fill="FFE8F5"/>
          </w:tcPr>
          <w:p>
            <w:pPr>
              <w:ind w:left="180"/>
              <w:spacing w:after="0"/>
              <w:rPr>
                <w:sz w:val="20"/>
                <w:szCs w:val="20"/>
                <w:color w:val="auto"/>
              </w:rPr>
            </w:pPr>
            <w:r>
              <w:rPr>
                <w:rFonts w:ascii="Arial" w:cs="Arial" w:eastAsia="Arial" w:hAnsi="Arial"/>
                <w:sz w:val="14"/>
                <w:szCs w:val="14"/>
                <w:b w:val="1"/>
                <w:bCs w:val="1"/>
                <w:color w:val="auto"/>
              </w:rPr>
              <w:t>Performance Stock Units</w:t>
            </w:r>
          </w:p>
        </w:tc>
        <w:tc>
          <w:tcPr>
            <w:tcW w:w="0" w:type="dxa"/>
            <w:vAlign w:val="bottom"/>
          </w:tcPr>
          <w:p>
            <w:pPr>
              <w:spacing w:after="0"/>
              <w:rPr>
                <w:sz w:val="1"/>
                <w:szCs w:val="1"/>
                <w:color w:val="auto"/>
              </w:rPr>
            </w:pPr>
          </w:p>
        </w:tc>
      </w:tr>
      <w:tr>
        <w:trPr>
          <w:trHeight w:val="94"/>
        </w:trPr>
        <w:tc>
          <w:tcPr>
            <w:tcW w:w="120" w:type="dxa"/>
            <w:vAlign w:val="bottom"/>
            <w:shd w:val="clear" w:color="auto" w:fill="FFE8F5"/>
          </w:tcPr>
          <w:p>
            <w:pPr>
              <w:spacing w:after="0"/>
              <w:rPr>
                <w:sz w:val="8"/>
                <w:szCs w:val="8"/>
                <w:color w:val="auto"/>
              </w:rPr>
            </w:pPr>
          </w:p>
        </w:tc>
        <w:tc>
          <w:tcPr>
            <w:tcW w:w="2480" w:type="dxa"/>
            <w:vAlign w:val="bottom"/>
            <w:vMerge w:val="restart"/>
            <w:shd w:val="clear" w:color="auto" w:fill="FFE8F5"/>
          </w:tcPr>
          <w:p>
            <w:pPr>
              <w:ind w:left="40"/>
              <w:spacing w:after="0" w:line="257" w:lineRule="exact"/>
              <w:rPr>
                <w:sz w:val="20"/>
                <w:szCs w:val="20"/>
                <w:color w:val="auto"/>
              </w:rPr>
            </w:pPr>
            <w:r>
              <w:rPr>
                <w:rFonts w:ascii="Arial" w:cs="Arial" w:eastAsia="Arial" w:hAnsi="Arial"/>
                <w:sz w:val="28"/>
                <w:szCs w:val="28"/>
                <w:b w:val="1"/>
                <w:bCs w:val="1"/>
                <w:color w:val="auto"/>
                <w:vertAlign w:val="subscript"/>
              </w:rPr>
              <w:t>Name</w:t>
            </w:r>
            <w:r>
              <w:rPr>
                <w:rFonts w:ascii="Arial" w:cs="Arial" w:eastAsia="Arial" w:hAnsi="Arial"/>
                <w:sz w:val="12"/>
                <w:szCs w:val="12"/>
                <w:b w:val="1"/>
                <w:bCs w:val="1"/>
                <w:color w:val="auto"/>
              </w:rPr>
              <w:t>(1)(2)</w:t>
            </w:r>
          </w:p>
        </w:tc>
        <w:tc>
          <w:tcPr>
            <w:tcW w:w="1380" w:type="dxa"/>
            <w:vAlign w:val="bottom"/>
            <w:vMerge w:val="restart"/>
            <w:shd w:val="clear" w:color="auto" w:fill="FFE8F5"/>
          </w:tcPr>
          <w:p>
            <w:pPr>
              <w:ind w:left="180"/>
              <w:spacing w:after="0"/>
              <w:rPr>
                <w:sz w:val="20"/>
                <w:szCs w:val="20"/>
                <w:color w:val="auto"/>
              </w:rPr>
            </w:pPr>
            <w:r>
              <w:rPr>
                <w:rFonts w:ascii="Arial" w:cs="Arial" w:eastAsia="Arial" w:hAnsi="Arial"/>
                <w:sz w:val="14"/>
                <w:szCs w:val="14"/>
                <w:b w:val="1"/>
                <w:bCs w:val="1"/>
                <w:color w:val="auto"/>
              </w:rPr>
              <w:t>granted under</w:t>
            </w:r>
          </w:p>
        </w:tc>
        <w:tc>
          <w:tcPr>
            <w:tcW w:w="1540" w:type="dxa"/>
            <w:vAlign w:val="bottom"/>
            <w:vMerge w:val="continue"/>
            <w:shd w:val="clear" w:color="auto" w:fill="FFE8F5"/>
          </w:tcPr>
          <w:p>
            <w:pPr>
              <w:spacing w:after="0"/>
              <w:rPr>
                <w:sz w:val="8"/>
                <w:szCs w:val="8"/>
                <w:color w:val="auto"/>
              </w:rPr>
            </w:pPr>
          </w:p>
        </w:tc>
        <w:tc>
          <w:tcPr>
            <w:tcW w:w="1700" w:type="dxa"/>
            <w:vAlign w:val="bottom"/>
            <w:vMerge w:val="restart"/>
            <w:shd w:val="clear" w:color="auto" w:fill="FFE8F5"/>
          </w:tcPr>
          <w:p>
            <w:pPr>
              <w:ind w:left="160"/>
              <w:spacing w:after="0"/>
              <w:rPr>
                <w:sz w:val="20"/>
                <w:szCs w:val="20"/>
                <w:color w:val="auto"/>
              </w:rPr>
            </w:pPr>
            <w:r>
              <w:rPr>
                <w:rFonts w:ascii="Arial" w:cs="Arial" w:eastAsia="Arial" w:hAnsi="Arial"/>
                <w:sz w:val="14"/>
                <w:szCs w:val="14"/>
                <w:b w:val="1"/>
                <w:bCs w:val="1"/>
                <w:color w:val="auto"/>
              </w:rPr>
              <w:t>Units granted under</w:t>
            </w:r>
          </w:p>
        </w:tc>
        <w:tc>
          <w:tcPr>
            <w:tcW w:w="2280" w:type="dxa"/>
            <w:vAlign w:val="bottom"/>
            <w:vMerge w:val="restart"/>
            <w:shd w:val="clear" w:color="auto" w:fill="FFE8F5"/>
          </w:tcPr>
          <w:p>
            <w:pPr>
              <w:ind w:left="180"/>
              <w:spacing w:after="0"/>
              <w:rPr>
                <w:sz w:val="20"/>
                <w:szCs w:val="20"/>
                <w:color w:val="auto"/>
              </w:rPr>
            </w:pPr>
            <w:r>
              <w:rPr>
                <w:rFonts w:ascii="Arial" w:cs="Arial" w:eastAsia="Arial" w:hAnsi="Arial"/>
                <w:sz w:val="14"/>
                <w:szCs w:val="14"/>
                <w:b w:val="1"/>
                <w:bCs w:val="1"/>
                <w:color w:val="auto"/>
              </w:rPr>
              <w:t>granted under the 2021 Plan</w:t>
            </w:r>
          </w:p>
        </w:tc>
        <w:tc>
          <w:tcPr>
            <w:tcW w:w="0" w:type="dxa"/>
            <w:vAlign w:val="bottom"/>
          </w:tcPr>
          <w:p>
            <w:pPr>
              <w:spacing w:after="0"/>
              <w:rPr>
                <w:sz w:val="1"/>
                <w:szCs w:val="1"/>
                <w:color w:val="auto"/>
              </w:rPr>
            </w:pPr>
          </w:p>
        </w:tc>
      </w:tr>
      <w:tr>
        <w:trPr>
          <w:trHeight w:val="68"/>
        </w:trPr>
        <w:tc>
          <w:tcPr>
            <w:tcW w:w="120" w:type="dxa"/>
            <w:vAlign w:val="bottom"/>
            <w:shd w:val="clear" w:color="auto" w:fill="FFE8F5"/>
          </w:tcPr>
          <w:p>
            <w:pPr>
              <w:spacing w:after="0"/>
              <w:rPr>
                <w:sz w:val="5"/>
                <w:szCs w:val="5"/>
                <w:color w:val="auto"/>
              </w:rPr>
            </w:pPr>
          </w:p>
        </w:tc>
        <w:tc>
          <w:tcPr>
            <w:tcW w:w="2480" w:type="dxa"/>
            <w:vAlign w:val="bottom"/>
            <w:vMerge w:val="continue"/>
            <w:shd w:val="clear" w:color="auto" w:fill="FFE8F5"/>
          </w:tcPr>
          <w:p>
            <w:pPr>
              <w:spacing w:after="0"/>
              <w:rPr>
                <w:sz w:val="5"/>
                <w:szCs w:val="5"/>
                <w:color w:val="auto"/>
              </w:rPr>
            </w:pPr>
          </w:p>
        </w:tc>
        <w:tc>
          <w:tcPr>
            <w:tcW w:w="1380" w:type="dxa"/>
            <w:vAlign w:val="bottom"/>
            <w:vMerge w:val="continue"/>
            <w:shd w:val="clear" w:color="auto" w:fill="FFE8F5"/>
          </w:tcPr>
          <w:p>
            <w:pPr>
              <w:spacing w:after="0"/>
              <w:rPr>
                <w:sz w:val="5"/>
                <w:szCs w:val="5"/>
                <w:color w:val="auto"/>
              </w:rPr>
            </w:pPr>
          </w:p>
        </w:tc>
        <w:tc>
          <w:tcPr>
            <w:tcW w:w="1540" w:type="dxa"/>
            <w:vAlign w:val="bottom"/>
            <w:vMerge w:val="restart"/>
            <w:shd w:val="clear" w:color="auto" w:fill="FFE8F5"/>
          </w:tcPr>
          <w:p>
            <w:pPr>
              <w:ind w:left="180"/>
              <w:spacing w:after="0"/>
              <w:rPr>
                <w:sz w:val="20"/>
                <w:szCs w:val="20"/>
                <w:color w:val="auto"/>
              </w:rPr>
            </w:pPr>
            <w:r>
              <w:rPr>
                <w:rFonts w:ascii="Arial" w:cs="Arial" w:eastAsia="Arial" w:hAnsi="Arial"/>
                <w:sz w:val="14"/>
                <w:szCs w:val="14"/>
                <w:b w:val="1"/>
                <w:bCs w:val="1"/>
                <w:color w:val="auto"/>
              </w:rPr>
              <w:t>Average Exercise</w:t>
            </w:r>
          </w:p>
        </w:tc>
        <w:tc>
          <w:tcPr>
            <w:tcW w:w="1700" w:type="dxa"/>
            <w:vAlign w:val="bottom"/>
            <w:vMerge w:val="continue"/>
            <w:shd w:val="clear" w:color="auto" w:fill="FFE8F5"/>
          </w:tcPr>
          <w:p>
            <w:pPr>
              <w:spacing w:after="0"/>
              <w:rPr>
                <w:sz w:val="5"/>
                <w:szCs w:val="5"/>
                <w:color w:val="auto"/>
              </w:rPr>
            </w:pPr>
          </w:p>
        </w:tc>
        <w:tc>
          <w:tcPr>
            <w:tcW w:w="2280" w:type="dxa"/>
            <w:vAlign w:val="bottom"/>
            <w:vMerge w:val="continue"/>
            <w:shd w:val="clear" w:color="auto" w:fill="FFE8F5"/>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20" w:type="dxa"/>
            <w:vAlign w:val="bottom"/>
            <w:shd w:val="clear" w:color="auto" w:fill="FFE8F5"/>
          </w:tcPr>
          <w:p>
            <w:pPr>
              <w:spacing w:after="0"/>
              <w:rPr>
                <w:sz w:val="8"/>
                <w:szCs w:val="8"/>
                <w:color w:val="auto"/>
              </w:rPr>
            </w:pPr>
          </w:p>
        </w:tc>
        <w:tc>
          <w:tcPr>
            <w:tcW w:w="2480" w:type="dxa"/>
            <w:vAlign w:val="bottom"/>
            <w:vMerge w:val="continue"/>
            <w:shd w:val="clear" w:color="auto" w:fill="FFE8F5"/>
          </w:tcPr>
          <w:p>
            <w:pPr>
              <w:spacing w:after="0"/>
              <w:rPr>
                <w:sz w:val="8"/>
                <w:szCs w:val="8"/>
                <w:color w:val="auto"/>
              </w:rPr>
            </w:pPr>
          </w:p>
        </w:tc>
        <w:tc>
          <w:tcPr>
            <w:tcW w:w="1380" w:type="dxa"/>
            <w:vAlign w:val="bottom"/>
            <w:vMerge w:val="restart"/>
            <w:shd w:val="clear" w:color="auto" w:fill="FFE8F5"/>
          </w:tcPr>
          <w:p>
            <w:pPr>
              <w:ind w:left="180"/>
              <w:spacing w:after="0" w:line="159" w:lineRule="exact"/>
              <w:rPr>
                <w:sz w:val="20"/>
                <w:szCs w:val="20"/>
                <w:color w:val="auto"/>
              </w:rPr>
            </w:pPr>
            <w:r>
              <w:rPr>
                <w:rFonts w:ascii="Arial" w:cs="Arial" w:eastAsia="Arial" w:hAnsi="Arial"/>
                <w:sz w:val="14"/>
                <w:szCs w:val="14"/>
                <w:b w:val="1"/>
                <w:bCs w:val="1"/>
                <w:color w:val="auto"/>
              </w:rPr>
              <w:t>the 2021 Plan</w:t>
            </w:r>
          </w:p>
        </w:tc>
        <w:tc>
          <w:tcPr>
            <w:tcW w:w="1540" w:type="dxa"/>
            <w:vAlign w:val="bottom"/>
            <w:vMerge w:val="continue"/>
            <w:shd w:val="clear" w:color="auto" w:fill="FFE8F5"/>
          </w:tcPr>
          <w:p>
            <w:pPr>
              <w:spacing w:after="0"/>
              <w:rPr>
                <w:sz w:val="8"/>
                <w:szCs w:val="8"/>
                <w:color w:val="auto"/>
              </w:rPr>
            </w:pPr>
          </w:p>
        </w:tc>
        <w:tc>
          <w:tcPr>
            <w:tcW w:w="1700" w:type="dxa"/>
            <w:vAlign w:val="bottom"/>
            <w:vMerge w:val="restart"/>
            <w:shd w:val="clear" w:color="auto" w:fill="FFE8F5"/>
          </w:tcPr>
          <w:p>
            <w:pPr>
              <w:ind w:left="160"/>
              <w:spacing w:after="0" w:line="159" w:lineRule="exact"/>
              <w:rPr>
                <w:sz w:val="20"/>
                <w:szCs w:val="20"/>
                <w:color w:val="auto"/>
              </w:rPr>
            </w:pPr>
            <w:r>
              <w:rPr>
                <w:rFonts w:ascii="Arial" w:cs="Arial" w:eastAsia="Arial" w:hAnsi="Arial"/>
                <w:sz w:val="14"/>
                <w:szCs w:val="14"/>
                <w:b w:val="1"/>
                <w:bCs w:val="1"/>
                <w:color w:val="auto"/>
              </w:rPr>
              <w:t>the 2021 Plan From</w:t>
            </w:r>
          </w:p>
        </w:tc>
        <w:tc>
          <w:tcPr>
            <w:tcW w:w="2280" w:type="dxa"/>
            <w:vAlign w:val="bottom"/>
            <w:vMerge w:val="restart"/>
            <w:shd w:val="clear" w:color="auto" w:fill="FFE8F5"/>
          </w:tcPr>
          <w:p>
            <w:pPr>
              <w:ind w:left="180"/>
              <w:spacing w:after="0" w:line="159" w:lineRule="exact"/>
              <w:rPr>
                <w:sz w:val="20"/>
                <w:szCs w:val="20"/>
                <w:color w:val="auto"/>
              </w:rPr>
            </w:pPr>
            <w:r>
              <w:rPr>
                <w:rFonts w:ascii="Arial" w:cs="Arial" w:eastAsia="Arial" w:hAnsi="Arial"/>
                <w:sz w:val="14"/>
                <w:szCs w:val="14"/>
                <w:b w:val="1"/>
                <w:bCs w:val="1"/>
                <w:color w:val="auto"/>
              </w:rPr>
              <w:t>From Inception (assuming</w:t>
            </w:r>
          </w:p>
        </w:tc>
        <w:tc>
          <w:tcPr>
            <w:tcW w:w="0" w:type="dxa"/>
            <w:vAlign w:val="bottom"/>
          </w:tcPr>
          <w:p>
            <w:pPr>
              <w:spacing w:after="0"/>
              <w:rPr>
                <w:sz w:val="1"/>
                <w:szCs w:val="1"/>
                <w:color w:val="auto"/>
              </w:rPr>
            </w:pPr>
          </w:p>
        </w:tc>
      </w:tr>
      <w:tr>
        <w:trPr>
          <w:trHeight w:val="64"/>
        </w:trPr>
        <w:tc>
          <w:tcPr>
            <w:tcW w:w="120" w:type="dxa"/>
            <w:vAlign w:val="bottom"/>
            <w:shd w:val="clear" w:color="auto" w:fill="FFE8F5"/>
          </w:tcPr>
          <w:p>
            <w:pPr>
              <w:spacing w:after="0"/>
              <w:rPr>
                <w:sz w:val="5"/>
                <w:szCs w:val="5"/>
                <w:color w:val="auto"/>
              </w:rPr>
            </w:pPr>
          </w:p>
        </w:tc>
        <w:tc>
          <w:tcPr>
            <w:tcW w:w="2480" w:type="dxa"/>
            <w:vAlign w:val="bottom"/>
            <w:shd w:val="clear" w:color="auto" w:fill="FFE8F5"/>
          </w:tcPr>
          <w:p>
            <w:pPr>
              <w:spacing w:after="0"/>
              <w:rPr>
                <w:sz w:val="5"/>
                <w:szCs w:val="5"/>
                <w:color w:val="auto"/>
              </w:rPr>
            </w:pPr>
          </w:p>
        </w:tc>
        <w:tc>
          <w:tcPr>
            <w:tcW w:w="1380" w:type="dxa"/>
            <w:vAlign w:val="bottom"/>
            <w:vMerge w:val="continue"/>
            <w:shd w:val="clear" w:color="auto" w:fill="FFE8F5"/>
          </w:tcPr>
          <w:p>
            <w:pPr>
              <w:spacing w:after="0"/>
              <w:rPr>
                <w:sz w:val="5"/>
                <w:szCs w:val="5"/>
                <w:color w:val="auto"/>
              </w:rPr>
            </w:pPr>
          </w:p>
        </w:tc>
        <w:tc>
          <w:tcPr>
            <w:tcW w:w="1540" w:type="dxa"/>
            <w:vAlign w:val="bottom"/>
            <w:vMerge w:val="restart"/>
            <w:shd w:val="clear" w:color="auto" w:fill="FFE8F5"/>
          </w:tcPr>
          <w:p>
            <w:pPr>
              <w:ind w:left="180"/>
              <w:spacing w:after="0"/>
              <w:rPr>
                <w:sz w:val="20"/>
                <w:szCs w:val="20"/>
                <w:color w:val="auto"/>
              </w:rPr>
            </w:pPr>
            <w:r>
              <w:rPr>
                <w:rFonts w:ascii="Arial" w:cs="Arial" w:eastAsia="Arial" w:hAnsi="Arial"/>
                <w:sz w:val="14"/>
                <w:szCs w:val="14"/>
                <w:b w:val="1"/>
                <w:bCs w:val="1"/>
                <w:color w:val="auto"/>
              </w:rPr>
              <w:t>Price of Options</w:t>
            </w:r>
          </w:p>
        </w:tc>
        <w:tc>
          <w:tcPr>
            <w:tcW w:w="1700" w:type="dxa"/>
            <w:vAlign w:val="bottom"/>
            <w:vMerge w:val="continue"/>
            <w:shd w:val="clear" w:color="auto" w:fill="FFE8F5"/>
          </w:tcPr>
          <w:p>
            <w:pPr>
              <w:spacing w:after="0"/>
              <w:rPr>
                <w:sz w:val="5"/>
                <w:szCs w:val="5"/>
                <w:color w:val="auto"/>
              </w:rPr>
            </w:pPr>
          </w:p>
        </w:tc>
        <w:tc>
          <w:tcPr>
            <w:tcW w:w="2280" w:type="dxa"/>
            <w:vAlign w:val="bottom"/>
            <w:vMerge w:val="continue"/>
            <w:shd w:val="clear" w:color="auto" w:fill="FFE8F5"/>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120" w:type="dxa"/>
            <w:vAlign w:val="bottom"/>
            <w:shd w:val="clear" w:color="auto" w:fill="FFE8F5"/>
          </w:tcPr>
          <w:p>
            <w:pPr>
              <w:spacing w:after="0"/>
              <w:rPr>
                <w:sz w:val="11"/>
                <w:szCs w:val="11"/>
                <w:color w:val="auto"/>
              </w:rPr>
            </w:pPr>
          </w:p>
        </w:tc>
        <w:tc>
          <w:tcPr>
            <w:tcW w:w="2480" w:type="dxa"/>
            <w:vAlign w:val="bottom"/>
            <w:shd w:val="clear" w:color="auto" w:fill="FFE8F5"/>
          </w:tcPr>
          <w:p>
            <w:pPr>
              <w:spacing w:after="0"/>
              <w:rPr>
                <w:sz w:val="11"/>
                <w:szCs w:val="11"/>
                <w:color w:val="auto"/>
              </w:rPr>
            </w:pPr>
          </w:p>
        </w:tc>
        <w:tc>
          <w:tcPr>
            <w:tcW w:w="1380" w:type="dxa"/>
            <w:vAlign w:val="bottom"/>
            <w:vMerge w:val="restart"/>
            <w:shd w:val="clear" w:color="auto" w:fill="FFE8F5"/>
          </w:tcPr>
          <w:p>
            <w:pPr>
              <w:ind w:left="180"/>
              <w:spacing w:after="0"/>
              <w:rPr>
                <w:sz w:val="20"/>
                <w:szCs w:val="20"/>
                <w:color w:val="auto"/>
              </w:rPr>
            </w:pPr>
            <w:r>
              <w:rPr>
                <w:rFonts w:ascii="Arial" w:cs="Arial" w:eastAsia="Arial" w:hAnsi="Arial"/>
                <w:sz w:val="14"/>
                <w:szCs w:val="14"/>
                <w:b w:val="1"/>
                <w:bCs w:val="1"/>
                <w:color w:val="auto"/>
              </w:rPr>
              <w:t>From Inception</w:t>
            </w:r>
          </w:p>
        </w:tc>
        <w:tc>
          <w:tcPr>
            <w:tcW w:w="1540" w:type="dxa"/>
            <w:vAlign w:val="bottom"/>
            <w:vMerge w:val="continue"/>
            <w:shd w:val="clear" w:color="auto" w:fill="FFE8F5"/>
          </w:tcPr>
          <w:p>
            <w:pPr>
              <w:spacing w:after="0"/>
              <w:rPr>
                <w:sz w:val="11"/>
                <w:szCs w:val="11"/>
                <w:color w:val="auto"/>
              </w:rPr>
            </w:pPr>
          </w:p>
        </w:tc>
        <w:tc>
          <w:tcPr>
            <w:tcW w:w="1700" w:type="dxa"/>
            <w:vAlign w:val="bottom"/>
            <w:vMerge w:val="restart"/>
            <w:shd w:val="clear" w:color="auto" w:fill="FFE8F5"/>
          </w:tcPr>
          <w:p>
            <w:pPr>
              <w:ind w:left="160"/>
              <w:spacing w:after="0"/>
              <w:rPr>
                <w:sz w:val="20"/>
                <w:szCs w:val="20"/>
                <w:color w:val="auto"/>
              </w:rPr>
            </w:pPr>
            <w:r>
              <w:rPr>
                <w:rFonts w:ascii="Arial" w:cs="Arial" w:eastAsia="Arial" w:hAnsi="Arial"/>
                <w:sz w:val="14"/>
                <w:szCs w:val="14"/>
                <w:b w:val="1"/>
                <w:bCs w:val="1"/>
                <w:color w:val="auto"/>
              </w:rPr>
              <w:t>Inception</w:t>
            </w:r>
            <w:r>
              <w:rPr>
                <w:rFonts w:ascii="Arial" w:cs="Arial" w:eastAsia="Arial" w:hAnsi="Arial"/>
                <w:sz w:val="23"/>
                <w:szCs w:val="23"/>
                <w:b w:val="1"/>
                <w:bCs w:val="1"/>
                <w:color w:val="auto"/>
                <w:vertAlign w:val="superscript"/>
              </w:rPr>
              <w:t>(3)</w:t>
            </w:r>
          </w:p>
        </w:tc>
        <w:tc>
          <w:tcPr>
            <w:tcW w:w="2280" w:type="dxa"/>
            <w:vAlign w:val="bottom"/>
            <w:vMerge w:val="restart"/>
            <w:shd w:val="clear" w:color="auto" w:fill="FFE8F5"/>
          </w:tcPr>
          <w:p>
            <w:pPr>
              <w:ind w:left="180"/>
              <w:spacing w:after="0"/>
              <w:rPr>
                <w:sz w:val="20"/>
                <w:szCs w:val="20"/>
                <w:color w:val="auto"/>
              </w:rPr>
            </w:pPr>
            <w:r>
              <w:rPr>
                <w:rFonts w:ascii="Arial" w:cs="Arial" w:eastAsia="Arial" w:hAnsi="Arial"/>
                <w:sz w:val="14"/>
                <w:szCs w:val="14"/>
                <w:b w:val="1"/>
                <w:bCs w:val="1"/>
                <w:color w:val="auto"/>
              </w:rPr>
              <w:t>target level of performance)</w:t>
            </w:r>
          </w:p>
        </w:tc>
        <w:tc>
          <w:tcPr>
            <w:tcW w:w="0" w:type="dxa"/>
            <w:vAlign w:val="bottom"/>
          </w:tcPr>
          <w:p>
            <w:pPr>
              <w:spacing w:after="0"/>
              <w:rPr>
                <w:sz w:val="1"/>
                <w:szCs w:val="1"/>
                <w:color w:val="auto"/>
              </w:rPr>
            </w:pPr>
          </w:p>
        </w:tc>
      </w:tr>
      <w:tr>
        <w:trPr>
          <w:trHeight w:val="151"/>
        </w:trPr>
        <w:tc>
          <w:tcPr>
            <w:tcW w:w="120" w:type="dxa"/>
            <w:vAlign w:val="bottom"/>
            <w:tcBorders>
              <w:bottom w:val="single" w:sz="8" w:color="auto"/>
            </w:tcBorders>
            <w:shd w:val="clear" w:color="auto" w:fill="FFE8F5"/>
          </w:tcPr>
          <w:p>
            <w:pPr>
              <w:spacing w:after="0"/>
              <w:rPr>
                <w:sz w:val="13"/>
                <w:szCs w:val="13"/>
                <w:color w:val="auto"/>
              </w:rPr>
            </w:pPr>
          </w:p>
        </w:tc>
        <w:tc>
          <w:tcPr>
            <w:tcW w:w="2480" w:type="dxa"/>
            <w:vAlign w:val="bottom"/>
            <w:tcBorders>
              <w:bottom w:val="single" w:sz="8" w:color="auto"/>
            </w:tcBorders>
            <w:shd w:val="clear" w:color="auto" w:fill="FFE8F5"/>
          </w:tcPr>
          <w:p>
            <w:pPr>
              <w:spacing w:after="0"/>
              <w:rPr>
                <w:sz w:val="13"/>
                <w:szCs w:val="13"/>
                <w:color w:val="auto"/>
              </w:rPr>
            </w:pPr>
          </w:p>
        </w:tc>
        <w:tc>
          <w:tcPr>
            <w:tcW w:w="1380" w:type="dxa"/>
            <w:vAlign w:val="bottom"/>
            <w:tcBorders>
              <w:bottom w:val="single" w:sz="8" w:color="auto"/>
            </w:tcBorders>
            <w:vMerge w:val="continue"/>
            <w:shd w:val="clear" w:color="auto" w:fill="FFE8F5"/>
          </w:tcPr>
          <w:p>
            <w:pPr>
              <w:spacing w:after="0"/>
              <w:rPr>
                <w:sz w:val="13"/>
                <w:szCs w:val="13"/>
                <w:color w:val="auto"/>
              </w:rPr>
            </w:pPr>
          </w:p>
        </w:tc>
        <w:tc>
          <w:tcPr>
            <w:tcW w:w="1540" w:type="dxa"/>
            <w:vAlign w:val="bottom"/>
            <w:tcBorders>
              <w:bottom w:val="single" w:sz="8" w:color="auto"/>
            </w:tcBorders>
            <w:shd w:val="clear" w:color="auto" w:fill="FFE8F5"/>
          </w:tcPr>
          <w:p>
            <w:pPr>
              <w:spacing w:after="0"/>
              <w:rPr>
                <w:sz w:val="13"/>
                <w:szCs w:val="13"/>
                <w:color w:val="auto"/>
              </w:rPr>
            </w:pPr>
          </w:p>
        </w:tc>
        <w:tc>
          <w:tcPr>
            <w:tcW w:w="1700" w:type="dxa"/>
            <w:vAlign w:val="bottom"/>
            <w:tcBorders>
              <w:bottom w:val="single" w:sz="8" w:color="auto"/>
            </w:tcBorders>
            <w:vMerge w:val="continue"/>
            <w:shd w:val="clear" w:color="auto" w:fill="FFE8F5"/>
          </w:tcPr>
          <w:p>
            <w:pPr>
              <w:spacing w:after="0"/>
              <w:rPr>
                <w:sz w:val="13"/>
                <w:szCs w:val="13"/>
                <w:color w:val="auto"/>
              </w:rPr>
            </w:pPr>
          </w:p>
        </w:tc>
        <w:tc>
          <w:tcPr>
            <w:tcW w:w="2280" w:type="dxa"/>
            <w:vAlign w:val="bottom"/>
            <w:tcBorders>
              <w:bottom w:val="single" w:sz="8" w:color="auto"/>
            </w:tcBorders>
            <w:vMerge w:val="continue"/>
            <w:shd w:val="clear" w:color="auto" w:fill="FFE8F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Jennifer Y. Hyman</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rPr>
              <w:t>1,214,458</w:t>
            </w:r>
          </w:p>
        </w:tc>
        <w:tc>
          <w:tcPr>
            <w:tcW w:w="2280" w:type="dxa"/>
            <w:vAlign w:val="bottom"/>
            <w:vMerge w:val="restart"/>
          </w:tcPr>
          <w:p>
            <w:pPr>
              <w:jc w:val="center"/>
              <w:ind w:left="8"/>
              <w:spacing w:after="0"/>
              <w:rPr>
                <w:sz w:val="20"/>
                <w:szCs w:val="20"/>
                <w:color w:val="auto"/>
              </w:rPr>
            </w:pPr>
            <w:r>
              <w:rPr>
                <w:rFonts w:ascii="Arial" w:cs="Arial" w:eastAsia="Arial" w:hAnsi="Arial"/>
                <w:sz w:val="14"/>
                <w:szCs w:val="14"/>
                <w:color w:val="auto"/>
              </w:rPr>
              <w:t>1,002,993</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Arial" w:cs="Arial" w:eastAsia="Arial" w:hAnsi="Arial"/>
                <w:sz w:val="14"/>
                <w:szCs w:val="14"/>
                <w:i w:val="1"/>
                <w:iCs w:val="1"/>
                <w:color w:val="auto"/>
              </w:rPr>
              <w:t>Co-Founder, Former Chief</w:t>
            </w:r>
          </w:p>
        </w:tc>
        <w:tc>
          <w:tcPr>
            <w:tcW w:w="13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2480" w:type="dxa"/>
            <w:vAlign w:val="bottom"/>
          </w:tcPr>
          <w:p>
            <w:pPr>
              <w:ind w:left="40"/>
              <w:spacing w:after="0"/>
              <w:rPr>
                <w:sz w:val="20"/>
                <w:szCs w:val="20"/>
                <w:color w:val="auto"/>
              </w:rPr>
            </w:pPr>
            <w:r>
              <w:rPr>
                <w:rFonts w:ascii="Arial" w:cs="Arial" w:eastAsia="Arial" w:hAnsi="Arial"/>
                <w:sz w:val="14"/>
                <w:szCs w:val="14"/>
                <w:i w:val="1"/>
                <w:iCs w:val="1"/>
                <w:color w:val="auto"/>
              </w:rPr>
              <w:t>Executive Officer &amp; President</w:t>
            </w: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Teri Bariquit</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rPr>
              <w:t>16,759</w:t>
            </w:r>
          </w:p>
        </w:tc>
        <w:tc>
          <w:tcPr>
            <w:tcW w:w="2280" w:type="dxa"/>
            <w:vAlign w:val="bottom"/>
            <w:vMerge w:val="restart"/>
          </w:tcPr>
          <w:p>
            <w:pPr>
              <w:jc w:val="center"/>
              <w:ind w:lef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Arial" w:cs="Arial" w:eastAsia="Arial" w:hAnsi="Arial"/>
                <w:sz w:val="14"/>
                <w:szCs w:val="14"/>
                <w:i w:val="1"/>
                <w:iCs w:val="1"/>
                <w:color w:val="auto"/>
              </w:rPr>
              <w:t>Interim Chief Executive</w:t>
            </w:r>
          </w:p>
        </w:tc>
        <w:tc>
          <w:tcPr>
            <w:tcW w:w="138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2480" w:type="dxa"/>
            <w:vAlign w:val="bottom"/>
          </w:tcPr>
          <w:p>
            <w:pPr>
              <w:ind w:left="40"/>
              <w:spacing w:after="0"/>
              <w:rPr>
                <w:sz w:val="20"/>
                <w:szCs w:val="20"/>
                <w:color w:val="auto"/>
              </w:rPr>
            </w:pPr>
            <w:r>
              <w:rPr>
                <w:rFonts w:ascii="Arial" w:cs="Arial" w:eastAsia="Arial" w:hAnsi="Arial"/>
                <w:sz w:val="14"/>
                <w:szCs w:val="14"/>
                <w:i w:val="1"/>
                <w:iCs w:val="1"/>
                <w:color w:val="auto"/>
              </w:rPr>
              <w:t>Officer &amp; President</w:t>
            </w: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Sid Thacker</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rPr>
              <w:t>261,848</w:t>
            </w:r>
          </w:p>
        </w:tc>
        <w:tc>
          <w:tcPr>
            <w:tcW w:w="2280" w:type="dxa"/>
            <w:vAlign w:val="bottom"/>
            <w:vMerge w:val="restart"/>
          </w:tcPr>
          <w:p>
            <w:pPr>
              <w:jc w:val="center"/>
              <w:ind w:lef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248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Chief Financial Officer</w:t>
            </w:r>
          </w:p>
        </w:tc>
        <w:tc>
          <w:tcPr>
            <w:tcW w:w="13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Sarah Tam</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rPr>
              <w:t>242,005</w:t>
            </w:r>
          </w:p>
        </w:tc>
        <w:tc>
          <w:tcPr>
            <w:tcW w:w="2280" w:type="dxa"/>
            <w:vAlign w:val="bottom"/>
            <w:vMerge w:val="restart"/>
          </w:tcPr>
          <w:p>
            <w:pPr>
              <w:jc w:val="center"/>
              <w:ind w:lef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248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Chief Merchant Officer</w:t>
            </w:r>
          </w:p>
        </w:tc>
        <w:tc>
          <w:tcPr>
            <w:tcW w:w="13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2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All Current Executive Officers as a</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rPr>
              <w:t>1,042,492</w:t>
            </w:r>
          </w:p>
        </w:tc>
        <w:tc>
          <w:tcPr>
            <w:tcW w:w="2280" w:type="dxa"/>
            <w:vAlign w:val="bottom"/>
            <w:vMerge w:val="restart"/>
          </w:tcPr>
          <w:p>
            <w:pPr>
              <w:jc w:val="center"/>
              <w:ind w:lef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2480" w:type="dxa"/>
            <w:vAlign w:val="bottom"/>
            <w:vMerge w:val="restart"/>
          </w:tcPr>
          <w:p>
            <w:pPr>
              <w:ind w:left="40"/>
              <w:spacing w:after="0"/>
              <w:rPr>
                <w:sz w:val="20"/>
                <w:szCs w:val="20"/>
                <w:color w:val="auto"/>
              </w:rPr>
            </w:pPr>
            <w:r>
              <w:rPr>
                <w:rFonts w:ascii="Arial" w:cs="Arial" w:eastAsia="Arial" w:hAnsi="Arial"/>
                <w:sz w:val="14"/>
                <w:szCs w:val="14"/>
                <w:color w:val="auto"/>
              </w:rPr>
              <w:t>Group (6 persons)</w:t>
            </w:r>
            <w:r>
              <w:rPr>
                <w:rFonts w:ascii="Arial" w:cs="Arial" w:eastAsia="Arial" w:hAnsi="Arial"/>
                <w:sz w:val="23"/>
                <w:szCs w:val="23"/>
                <w:color w:val="auto"/>
                <w:vertAlign w:val="superscript"/>
              </w:rPr>
              <w:t>(4)5</w:t>
            </w:r>
          </w:p>
        </w:tc>
        <w:tc>
          <w:tcPr>
            <w:tcW w:w="138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2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vMerge w:val="continue"/>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2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All Current Non-Executive Directors</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rPr>
              <w:t>19,181</w:t>
            </w:r>
          </w:p>
        </w:tc>
        <w:tc>
          <w:tcPr>
            <w:tcW w:w="2280" w:type="dxa"/>
            <w:vAlign w:val="bottom"/>
            <w:vMerge w:val="restart"/>
          </w:tcPr>
          <w:p>
            <w:pPr>
              <w:jc w:val="center"/>
              <w:ind w:lef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2480" w:type="dxa"/>
            <w:vAlign w:val="bottom"/>
            <w:vMerge w:val="restart"/>
          </w:tcPr>
          <w:p>
            <w:pPr>
              <w:ind w:left="40"/>
              <w:spacing w:after="0"/>
              <w:rPr>
                <w:sz w:val="20"/>
                <w:szCs w:val="20"/>
                <w:color w:val="auto"/>
              </w:rPr>
            </w:pPr>
            <w:r>
              <w:rPr>
                <w:rFonts w:ascii="Arial" w:cs="Arial" w:eastAsia="Arial" w:hAnsi="Arial"/>
                <w:sz w:val="14"/>
                <w:szCs w:val="14"/>
                <w:color w:val="auto"/>
              </w:rPr>
              <w:t>as a Group (3 persons)</w:t>
            </w:r>
            <w:r>
              <w:rPr>
                <w:rFonts w:ascii="Arial" w:cs="Arial" w:eastAsia="Arial" w:hAnsi="Arial"/>
                <w:sz w:val="23"/>
                <w:szCs w:val="23"/>
                <w:color w:val="auto"/>
                <w:vertAlign w:val="superscript"/>
              </w:rPr>
              <w:t>(5)</w:t>
            </w:r>
          </w:p>
        </w:tc>
        <w:tc>
          <w:tcPr>
            <w:tcW w:w="138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2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vMerge w:val="continue"/>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Associates of Named Executive</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2280" w:type="dxa"/>
            <w:vAlign w:val="bottom"/>
            <w:vMerge w:val="restart"/>
          </w:tcPr>
          <w:p>
            <w:pPr>
              <w:jc w:val="center"/>
              <w:ind w:lef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9"/>
        </w:trPr>
        <w:tc>
          <w:tcPr>
            <w:tcW w:w="120" w:type="dxa"/>
            <w:vAlign w:val="bottom"/>
          </w:tcPr>
          <w:p>
            <w:pPr>
              <w:spacing w:after="0"/>
              <w:rPr>
                <w:sz w:val="9"/>
                <w:szCs w:val="9"/>
                <w:color w:val="auto"/>
              </w:rPr>
            </w:pPr>
          </w:p>
        </w:tc>
        <w:tc>
          <w:tcPr>
            <w:tcW w:w="2480" w:type="dxa"/>
            <w:vAlign w:val="bottom"/>
            <w:vMerge w:val="restart"/>
          </w:tcPr>
          <w:p>
            <w:pPr>
              <w:ind w:left="40"/>
              <w:spacing w:after="0"/>
              <w:rPr>
                <w:sz w:val="20"/>
                <w:szCs w:val="20"/>
                <w:color w:val="auto"/>
              </w:rPr>
            </w:pPr>
            <w:r>
              <w:rPr>
                <w:rFonts w:ascii="Arial" w:cs="Arial" w:eastAsia="Arial" w:hAnsi="Arial"/>
                <w:sz w:val="14"/>
                <w:szCs w:val="14"/>
                <w:color w:val="auto"/>
              </w:rPr>
              <w:t>Officers and Directors</w:t>
            </w:r>
          </w:p>
        </w:tc>
        <w:tc>
          <w:tcPr>
            <w:tcW w:w="13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Each Other Person who Received</w:t>
            </w: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5% of Awards under the Amended</w:t>
            </w:r>
          </w:p>
        </w:tc>
        <w:tc>
          <w:tcPr>
            <w:tcW w:w="1380" w:type="dxa"/>
            <w:vAlign w:val="bottom"/>
          </w:tcPr>
          <w:p>
            <w:pPr>
              <w:jc w:val="center"/>
              <w:spacing w:after="0"/>
              <w:rPr>
                <w:sz w:val="20"/>
                <w:szCs w:val="20"/>
                <w:color w:val="auto"/>
              </w:rPr>
            </w:pPr>
            <w:r>
              <w:rPr>
                <w:rFonts w:ascii="Arial" w:cs="Arial" w:eastAsia="Arial" w:hAnsi="Arial"/>
                <w:sz w:val="14"/>
                <w:szCs w:val="14"/>
                <w:color w:val="auto"/>
              </w:rPr>
              <w:t>0</w:t>
            </w:r>
          </w:p>
        </w:tc>
        <w:tc>
          <w:tcPr>
            <w:tcW w:w="1540" w:type="dxa"/>
            <w:vAlign w:val="bottom"/>
          </w:tcPr>
          <w:p>
            <w:pPr>
              <w:jc w:val="center"/>
              <w:spacing w:after="0"/>
              <w:rPr>
                <w:sz w:val="20"/>
                <w:szCs w:val="20"/>
                <w:color w:val="auto"/>
              </w:rPr>
            </w:pPr>
            <w:r>
              <w:rPr>
                <w:rFonts w:ascii="Arial" w:cs="Arial" w:eastAsia="Arial" w:hAnsi="Arial"/>
                <w:sz w:val="14"/>
                <w:szCs w:val="14"/>
                <w:color w:val="auto"/>
              </w:rPr>
              <w:t>0</w:t>
            </w:r>
          </w:p>
        </w:tc>
        <w:tc>
          <w:tcPr>
            <w:tcW w:w="1700" w:type="dxa"/>
            <w:vAlign w:val="bottom"/>
          </w:tcPr>
          <w:p>
            <w:pPr>
              <w:jc w:val="center"/>
              <w:spacing w:after="0"/>
              <w:rPr>
                <w:sz w:val="20"/>
                <w:szCs w:val="20"/>
                <w:color w:val="auto"/>
              </w:rPr>
            </w:pPr>
            <w:r>
              <w:rPr>
                <w:rFonts w:ascii="Arial" w:cs="Arial" w:eastAsia="Arial" w:hAnsi="Arial"/>
                <w:sz w:val="14"/>
                <w:szCs w:val="14"/>
                <w:color w:val="auto"/>
              </w:rPr>
              <w:t>0</w:t>
            </w:r>
          </w:p>
        </w:tc>
        <w:tc>
          <w:tcPr>
            <w:tcW w:w="2280" w:type="dxa"/>
            <w:vAlign w:val="bottom"/>
          </w:tcPr>
          <w:p>
            <w:pPr>
              <w:jc w:val="center"/>
              <w:ind w:lef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Plan</w:t>
            </w: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All Current Employees (other than</w:t>
            </w: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Executive Officers) as a Group</w:t>
            </w:r>
          </w:p>
        </w:tc>
        <w:tc>
          <w:tcPr>
            <w:tcW w:w="1380" w:type="dxa"/>
            <w:vAlign w:val="bottom"/>
          </w:tcPr>
          <w:p>
            <w:pPr>
              <w:jc w:val="center"/>
              <w:spacing w:after="0"/>
              <w:rPr>
                <w:sz w:val="20"/>
                <w:szCs w:val="20"/>
                <w:color w:val="auto"/>
              </w:rPr>
            </w:pPr>
            <w:r>
              <w:rPr>
                <w:rFonts w:ascii="Arial" w:cs="Arial" w:eastAsia="Arial" w:hAnsi="Arial"/>
                <w:sz w:val="14"/>
                <w:szCs w:val="14"/>
                <w:color w:val="auto"/>
              </w:rPr>
              <w:t>4,146</w:t>
            </w:r>
          </w:p>
        </w:tc>
        <w:tc>
          <w:tcPr>
            <w:tcW w:w="1540" w:type="dxa"/>
            <w:vAlign w:val="bottom"/>
          </w:tcPr>
          <w:p>
            <w:pPr>
              <w:jc w:val="center"/>
              <w:spacing w:after="0"/>
              <w:rPr>
                <w:sz w:val="20"/>
                <w:szCs w:val="20"/>
                <w:color w:val="auto"/>
              </w:rPr>
            </w:pPr>
            <w:r>
              <w:rPr>
                <w:rFonts w:ascii="Arial" w:cs="Arial" w:eastAsia="Arial" w:hAnsi="Arial"/>
                <w:sz w:val="14"/>
                <w:szCs w:val="14"/>
                <w:color w:val="auto"/>
              </w:rPr>
              <w:t>$339.76</w:t>
            </w:r>
          </w:p>
        </w:tc>
        <w:tc>
          <w:tcPr>
            <w:tcW w:w="1700" w:type="dxa"/>
            <w:vAlign w:val="bottom"/>
          </w:tcPr>
          <w:p>
            <w:pPr>
              <w:jc w:val="center"/>
              <w:spacing w:after="0"/>
              <w:rPr>
                <w:sz w:val="20"/>
                <w:szCs w:val="20"/>
                <w:color w:val="auto"/>
              </w:rPr>
            </w:pPr>
            <w:r>
              <w:rPr>
                <w:rFonts w:ascii="Arial" w:cs="Arial" w:eastAsia="Arial" w:hAnsi="Arial"/>
                <w:sz w:val="14"/>
                <w:szCs w:val="14"/>
                <w:color w:val="auto"/>
              </w:rPr>
              <w:t>816,126</w:t>
            </w:r>
          </w:p>
        </w:tc>
        <w:tc>
          <w:tcPr>
            <w:tcW w:w="2280" w:type="dxa"/>
            <w:vAlign w:val="bottom"/>
          </w:tcPr>
          <w:p>
            <w:pPr>
              <w:jc w:val="center"/>
              <w:ind w:left="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(approximately [xxx])</w:t>
            </w: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2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right="20" w:hanging="359"/>
        <w:spacing w:after="0" w:line="256"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Rule 12b-2 of the Exchange Act defines an “associate” as (1) any corporation or entity of which the person is a partner, officer or 10% beneficial owner; (2) any trust or estate in which the person has a substantial interest or as to which the person serves as a trustee; and (3) any relative or spouse of the person, or relative of the person’s spouse, who shares the same household or who is a director or officer of the company, its parent or any of its subsidiaries.</w:t>
      </w:r>
    </w:p>
    <w:p>
      <w:pPr>
        <w:spacing w:after="0" w:line="15" w:lineRule="exact"/>
        <w:rPr>
          <w:rFonts w:ascii="Arial" w:cs="Arial" w:eastAsia="Arial" w:hAnsi="Arial"/>
          <w:sz w:val="14"/>
          <w:szCs w:val="14"/>
          <w:color w:val="auto"/>
        </w:rPr>
      </w:pPr>
    </w:p>
    <w:p>
      <w:pPr>
        <w:ind w:left="380" w:right="20" w:hanging="359"/>
        <w:spacing w:after="0" w:line="263"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and values in this table have been adjusted to reflect (i) that certain reverse stock split effectuated in April 2024, (ii) that certain stock option exchange implemented in July 2023, and (iii) the conversion of equity awards denominated in shares of Class B common stock that were converted into equity awards denominated in Class A common stock in connection with the Recapitalization Transactions.</w:t>
      </w:r>
    </w:p>
    <w:p>
      <w:pPr>
        <w:spacing w:after="0" w:line="10" w:lineRule="exact"/>
        <w:rPr>
          <w:rFonts w:ascii="Arial" w:cs="Arial" w:eastAsia="Arial" w:hAnsi="Arial"/>
          <w:sz w:val="14"/>
          <w:szCs w:val="14"/>
          <w:color w:val="auto"/>
        </w:rPr>
      </w:pPr>
    </w:p>
    <w:p>
      <w:pPr>
        <w:ind w:left="380" w:hanging="359"/>
        <w:spacing w:after="0"/>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in this column include RSUs held by executive officers which were cancelled in connection with the Recapitalization Transactions.</w:t>
      </w:r>
    </w:p>
    <w:p>
      <w:pPr>
        <w:spacing w:after="0" w:line="55" w:lineRule="exact"/>
        <w:rPr>
          <w:rFonts w:ascii="Arial" w:cs="Arial" w:eastAsia="Arial" w:hAnsi="Arial"/>
          <w:sz w:val="14"/>
          <w:szCs w:val="14"/>
          <w:color w:val="auto"/>
        </w:rPr>
      </w:pPr>
    </w:p>
    <w:p>
      <w:pPr>
        <w:ind w:left="380" w:right="500" w:hanging="359"/>
        <w:spacing w:after="0" w:line="281"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Ms. Hyman has been excluded from the “All Current Executive Officers as a group” on the basis that she is not an executive officer as of May 15, 2026.</w:t>
      </w:r>
    </w:p>
    <w:p>
      <w:pPr>
        <w:spacing w:after="0" w:line="1" w:lineRule="exact"/>
        <w:rPr>
          <w:rFonts w:ascii="Arial" w:cs="Arial" w:eastAsia="Arial" w:hAnsi="Arial"/>
          <w:sz w:val="14"/>
          <w:szCs w:val="14"/>
          <w:color w:val="auto"/>
        </w:rPr>
      </w:pPr>
    </w:p>
    <w:p>
      <w:pPr>
        <w:ind w:left="380" w:right="260" w:hanging="359"/>
        <w:spacing w:after="0" w:line="285"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Ms. Bariquit has been excluded from the “All Current Non-Employee Directors as a Group” on the basis that she is an executive officer as of May 15, 2026 and her amounts are reflected above in “All Current Executive Officers as a Group”.</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Reasons for Seeking Stockholder Approval</w:t>
      </w:r>
    </w:p>
    <w:p>
      <w:pPr>
        <w:spacing w:after="0" w:line="185" w:lineRule="exact"/>
        <w:rPr>
          <w:sz w:val="20"/>
          <w:szCs w:val="20"/>
          <w:color w:val="auto"/>
        </w:rPr>
      </w:pPr>
    </w:p>
    <w:p>
      <w:pPr>
        <w:ind w:left="20" w:right="560"/>
        <w:spacing w:after="0" w:line="253" w:lineRule="auto"/>
        <w:rPr>
          <w:sz w:val="20"/>
          <w:szCs w:val="20"/>
          <w:color w:val="auto"/>
        </w:rPr>
      </w:pPr>
      <w:r>
        <w:rPr>
          <w:rFonts w:ascii="Arial" w:cs="Arial" w:eastAsia="Arial" w:hAnsi="Arial"/>
          <w:sz w:val="18"/>
          <w:szCs w:val="18"/>
          <w:color w:val="auto"/>
        </w:rPr>
        <w:t>Our Class A common stock is listed on the Nasdaq Global Market. In order to comply with Nasdaq Listing Rules, including, but not limited to, Rule 5635(c), we are seeking stockholder approval of the First Amendment to the Amended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16510</wp:posOffset>
            </wp:positionV>
            <wp:extent cx="16459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64" w:lineRule="exact"/>
        <w:rPr>
          <w:sz w:val="20"/>
          <w:szCs w:val="20"/>
          <w:color w:val="auto"/>
        </w:rPr>
      </w:pPr>
    </w:p>
    <w:p>
      <w:pPr>
        <w:ind w:left="200" w:right="120" w:hanging="179"/>
        <w:spacing w:after="0" w:line="204" w:lineRule="auto"/>
        <w:tabs>
          <w:tab w:leader="none" w:pos="20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Note to RTR: Teri should be included in the current executive officer group and Jenn should be excluded from the current executive officer group, but still included in the table since she’s a NEO.</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260"/>
        <w:spacing w:after="0" w:line="253" w:lineRule="auto"/>
        <w:rPr>
          <w:sz w:val="20"/>
          <w:szCs w:val="20"/>
          <w:color w:val="auto"/>
        </w:rPr>
      </w:pPr>
      <w:r>
        <w:rPr>
          <w:rFonts w:ascii="Arial" w:cs="Arial" w:eastAsia="Arial" w:hAnsi="Arial"/>
          <w:sz w:val="18"/>
          <w:szCs w:val="18"/>
          <w:color w:val="auto"/>
        </w:rPr>
        <w:t>Nasdaq Listing Rule 5635(c) requires stockholder approval prior to the issuance of securities when a stock option or purchase plan is to be established or materially amended, pursuant to which stock may be acquired by officers, directors, employees or consultants.</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Consequences if Stockholder Approval Is Not Obtained</w:t>
      </w:r>
    </w:p>
    <w:p>
      <w:pPr>
        <w:spacing w:after="0" w:line="185" w:lineRule="exact"/>
        <w:rPr>
          <w:sz w:val="20"/>
          <w:szCs w:val="20"/>
          <w:color w:val="auto"/>
        </w:rPr>
      </w:pPr>
    </w:p>
    <w:p>
      <w:pPr>
        <w:ind w:left="20"/>
        <w:spacing w:after="0" w:line="259" w:lineRule="auto"/>
        <w:rPr>
          <w:sz w:val="20"/>
          <w:szCs w:val="20"/>
          <w:color w:val="auto"/>
        </w:rPr>
      </w:pPr>
      <w:r>
        <w:rPr>
          <w:rFonts w:ascii="Arial" w:cs="Arial" w:eastAsia="Arial" w:hAnsi="Arial"/>
          <w:sz w:val="17"/>
          <w:szCs w:val="17"/>
          <w:color w:val="auto"/>
        </w:rPr>
        <w:t>As noted above, if the Plan Amendment Proposal is not approved by our stockholders, then there will not be a sufficient number of shares of Class A common stock under the 2021 Plan in order to deliver shares of Class A common stock with respect to any vested FY 2025 PSUs. In addition, we will be unable to provide equity-based compensation to eligible employees and other service providers once the 2021 Plan share pool is depleted. Equity-based compensation is a critical feature of our executive and employee compensation program and the inability to grant equity awards in the future may adversely impact our ability to attract and retain talent and accordingly, the Company’s long-term success. We therefore strongly believe that it is critical that you vote “</w:t>
      </w:r>
      <w:r>
        <w:rPr>
          <w:rFonts w:ascii="Arial" w:cs="Arial" w:eastAsia="Arial" w:hAnsi="Arial"/>
          <w:sz w:val="17"/>
          <w:szCs w:val="17"/>
          <w:b w:val="1"/>
          <w:bCs w:val="1"/>
          <w:color w:val="auto"/>
        </w:rPr>
        <w:t>FOR</w:t>
      </w:r>
      <w:r>
        <w:rPr>
          <w:rFonts w:ascii="Arial" w:cs="Arial" w:eastAsia="Arial" w:hAnsi="Arial"/>
          <w:sz w:val="17"/>
          <w:szCs w:val="17"/>
          <w:color w:val="auto"/>
        </w:rPr>
        <w:t>” the Plan Amendment Proposal.</w:t>
      </w:r>
    </w:p>
    <w:p>
      <w:pPr>
        <w:spacing w:after="0" w:line="107" w:lineRule="exact"/>
        <w:rPr>
          <w:sz w:val="20"/>
          <w:szCs w:val="20"/>
          <w:color w:val="auto"/>
        </w:rPr>
      </w:pPr>
    </w:p>
    <w:p>
      <w:pPr>
        <w:ind w:left="20" w:right="380"/>
        <w:spacing w:after="0" w:line="272" w:lineRule="auto"/>
        <w:rPr>
          <w:sz w:val="20"/>
          <w:szCs w:val="20"/>
          <w:color w:val="auto"/>
        </w:rPr>
      </w:pPr>
      <w:r>
        <w:rPr>
          <w:rFonts w:ascii="Arial" w:cs="Arial" w:eastAsia="Arial" w:hAnsi="Arial"/>
          <w:sz w:val="22"/>
          <w:szCs w:val="22"/>
          <w:b w:val="1"/>
          <w:bCs w:val="1"/>
          <w:color w:val="auto"/>
        </w:rPr>
        <w:t>Our Board unanimously recommends a vote “FOR” the approval of the Plan Amendment Proposal.</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Executive Officers</w:t>
      </w:r>
    </w:p>
    <w:p>
      <w:pPr>
        <w:spacing w:after="0" w:line="212" w:lineRule="exact"/>
        <w:rPr>
          <w:sz w:val="20"/>
          <w:szCs w:val="20"/>
          <w:color w:val="auto"/>
        </w:rPr>
      </w:pPr>
    </w:p>
    <w:p>
      <w:pPr>
        <w:ind w:left="20" w:right="240"/>
        <w:spacing w:after="0" w:line="271" w:lineRule="auto"/>
        <w:rPr>
          <w:sz w:val="20"/>
          <w:szCs w:val="20"/>
          <w:color w:val="auto"/>
        </w:rPr>
      </w:pPr>
      <w:r>
        <w:rPr>
          <w:rFonts w:ascii="Arial" w:cs="Arial" w:eastAsia="Arial" w:hAnsi="Arial"/>
          <w:sz w:val="18"/>
          <w:szCs w:val="18"/>
          <w:color w:val="auto"/>
        </w:rPr>
        <w:t>Below is information regarding each of our current executive officers. Our executive officers serve at the discretion of our Board of Directors. There are no family relationships among any of our directors or executive officers.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329"/>
        </w:trPr>
        <w:tc>
          <w:tcPr>
            <w:tcW w:w="1300" w:type="dxa"/>
            <w:vAlign w:val="bottom"/>
            <w:tcBorders>
              <w:bottom w:val="single" w:sz="8" w:color="FFE8F5"/>
            </w:tcBorders>
            <w:shd w:val="clear" w:color="auto" w:fill="FFE8F5"/>
          </w:tcPr>
          <w:p>
            <w:pPr>
              <w:ind w:left="160"/>
              <w:spacing w:after="0"/>
              <w:rPr>
                <w:sz w:val="20"/>
                <w:szCs w:val="20"/>
                <w:color w:val="auto"/>
              </w:rPr>
            </w:pPr>
            <w:r>
              <w:rPr>
                <w:rFonts w:ascii="Arial" w:cs="Arial" w:eastAsia="Arial" w:hAnsi="Arial"/>
                <w:sz w:val="14"/>
                <w:szCs w:val="14"/>
                <w:b w:val="1"/>
                <w:bCs w:val="1"/>
                <w:color w:val="auto"/>
              </w:rPr>
              <w:t>Name</w:t>
            </w:r>
          </w:p>
        </w:tc>
        <w:tc>
          <w:tcPr>
            <w:tcW w:w="3240" w:type="dxa"/>
            <w:vAlign w:val="bottom"/>
            <w:tcBorders>
              <w:bottom w:val="single" w:sz="8" w:color="FFE8F5"/>
            </w:tcBorders>
            <w:shd w:val="clear" w:color="auto" w:fill="FFE8F5"/>
          </w:tcPr>
          <w:p>
            <w:pPr>
              <w:ind w:left="1960"/>
              <w:spacing w:after="0"/>
              <w:rPr>
                <w:sz w:val="20"/>
                <w:szCs w:val="20"/>
                <w:color w:val="auto"/>
              </w:rPr>
            </w:pPr>
            <w:r>
              <w:rPr>
                <w:rFonts w:ascii="Arial" w:cs="Arial" w:eastAsia="Arial" w:hAnsi="Arial"/>
                <w:sz w:val="14"/>
                <w:szCs w:val="14"/>
                <w:b w:val="1"/>
                <w:bCs w:val="1"/>
                <w:color w:val="auto"/>
              </w:rPr>
              <w:t>Age</w:t>
            </w:r>
          </w:p>
        </w:tc>
        <w:tc>
          <w:tcPr>
            <w:tcW w:w="4960" w:type="dxa"/>
            <w:vAlign w:val="bottom"/>
            <w:tcBorders>
              <w:bottom w:val="single" w:sz="8" w:color="FFE8F5"/>
            </w:tcBorders>
            <w:shd w:val="clear" w:color="auto" w:fill="FFE8F5"/>
          </w:tcPr>
          <w:p>
            <w:pPr>
              <w:ind w:left="1000"/>
              <w:spacing w:after="0"/>
              <w:rPr>
                <w:sz w:val="20"/>
                <w:szCs w:val="20"/>
                <w:color w:val="auto"/>
              </w:rPr>
            </w:pPr>
            <w:r>
              <w:rPr>
                <w:rFonts w:ascii="Arial" w:cs="Arial" w:eastAsia="Arial" w:hAnsi="Arial"/>
                <w:sz w:val="14"/>
                <w:szCs w:val="14"/>
                <w:b w:val="1"/>
                <w:bCs w:val="1"/>
                <w:color w:val="auto"/>
              </w:rPr>
              <w:t>Position</w:t>
            </w:r>
          </w:p>
        </w:tc>
      </w:tr>
      <w:tr>
        <w:trPr>
          <w:trHeight w:val="228"/>
        </w:trPr>
        <w:tc>
          <w:tcPr>
            <w:tcW w:w="130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Teri Bariquit</w:t>
            </w:r>
          </w:p>
        </w:tc>
        <w:tc>
          <w:tcPr>
            <w:tcW w:w="3240" w:type="dxa"/>
            <w:vAlign w:val="bottom"/>
            <w:tcBorders>
              <w:top w:val="single" w:sz="8" w:color="auto"/>
            </w:tcBorders>
          </w:tcPr>
          <w:p>
            <w:pPr>
              <w:ind w:left="1960"/>
              <w:spacing w:after="0"/>
              <w:rPr>
                <w:sz w:val="20"/>
                <w:szCs w:val="20"/>
                <w:color w:val="auto"/>
              </w:rPr>
            </w:pPr>
            <w:r>
              <w:rPr>
                <w:rFonts w:ascii="Arial" w:cs="Arial" w:eastAsia="Arial" w:hAnsi="Arial"/>
                <w:sz w:val="14"/>
                <w:szCs w:val="14"/>
                <w:color w:val="auto"/>
              </w:rPr>
              <w:t>65</w:t>
            </w:r>
          </w:p>
        </w:tc>
        <w:tc>
          <w:tcPr>
            <w:tcW w:w="4960" w:type="dxa"/>
            <w:vAlign w:val="bottom"/>
            <w:tcBorders>
              <w:top w:val="single" w:sz="8" w:color="auto"/>
            </w:tcBorders>
          </w:tcPr>
          <w:p>
            <w:pPr>
              <w:ind w:left="1000"/>
              <w:spacing w:after="0"/>
              <w:rPr>
                <w:sz w:val="20"/>
                <w:szCs w:val="20"/>
                <w:color w:val="auto"/>
              </w:rPr>
            </w:pPr>
            <w:r>
              <w:rPr>
                <w:rFonts w:ascii="Arial" w:cs="Arial" w:eastAsia="Arial" w:hAnsi="Arial"/>
                <w:sz w:val="14"/>
                <w:szCs w:val="14"/>
                <w:color w:val="auto"/>
              </w:rPr>
              <w:t>Interim Chief Executive Officer &amp; President</w:t>
            </w:r>
          </w:p>
        </w:tc>
      </w:tr>
      <w:tr>
        <w:trPr>
          <w:trHeight w:val="35"/>
        </w:trPr>
        <w:tc>
          <w:tcPr>
            <w:tcW w:w="130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1300" w:type="dxa"/>
            <w:vAlign w:val="bottom"/>
          </w:tcPr>
          <w:p>
            <w:pPr>
              <w:ind w:left="160"/>
              <w:spacing w:after="0"/>
              <w:rPr>
                <w:sz w:val="20"/>
                <w:szCs w:val="20"/>
                <w:color w:val="auto"/>
              </w:rPr>
            </w:pPr>
            <w:r>
              <w:rPr>
                <w:rFonts w:ascii="Arial" w:cs="Arial" w:eastAsia="Arial" w:hAnsi="Arial"/>
                <w:sz w:val="14"/>
                <w:szCs w:val="14"/>
                <w:color w:val="auto"/>
              </w:rPr>
              <w:t>Dhiren Fonseca</w:t>
            </w:r>
          </w:p>
        </w:tc>
        <w:tc>
          <w:tcPr>
            <w:tcW w:w="3240" w:type="dxa"/>
            <w:vAlign w:val="bottom"/>
          </w:tcPr>
          <w:p>
            <w:pPr>
              <w:ind w:left="1960"/>
              <w:spacing w:after="0"/>
              <w:rPr>
                <w:sz w:val="20"/>
                <w:szCs w:val="20"/>
                <w:color w:val="auto"/>
              </w:rPr>
            </w:pPr>
            <w:r>
              <w:rPr>
                <w:rFonts w:ascii="Arial" w:cs="Arial" w:eastAsia="Arial" w:hAnsi="Arial"/>
                <w:sz w:val="14"/>
                <w:szCs w:val="14"/>
                <w:color w:val="auto"/>
              </w:rPr>
              <w:t>61</w:t>
            </w:r>
          </w:p>
        </w:tc>
        <w:tc>
          <w:tcPr>
            <w:tcW w:w="4960" w:type="dxa"/>
            <w:vAlign w:val="bottom"/>
          </w:tcPr>
          <w:p>
            <w:pPr>
              <w:ind w:left="1000"/>
              <w:spacing w:after="0"/>
              <w:rPr>
                <w:sz w:val="20"/>
                <w:szCs w:val="20"/>
                <w:color w:val="auto"/>
              </w:rPr>
            </w:pPr>
            <w:r>
              <w:rPr>
                <w:rFonts w:ascii="Arial" w:cs="Arial" w:eastAsia="Arial" w:hAnsi="Arial"/>
                <w:sz w:val="14"/>
                <w:szCs w:val="14"/>
                <w:color w:val="auto"/>
              </w:rPr>
              <w:t>Executive Chairman</w:t>
            </w:r>
          </w:p>
        </w:tc>
      </w:tr>
      <w:tr>
        <w:trPr>
          <w:trHeight w:val="35"/>
        </w:trPr>
        <w:tc>
          <w:tcPr>
            <w:tcW w:w="130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1300" w:type="dxa"/>
            <w:vAlign w:val="bottom"/>
          </w:tcPr>
          <w:p>
            <w:pPr>
              <w:ind w:left="160"/>
              <w:spacing w:after="0"/>
              <w:rPr>
                <w:sz w:val="20"/>
                <w:szCs w:val="20"/>
                <w:color w:val="auto"/>
              </w:rPr>
            </w:pPr>
            <w:r>
              <w:rPr>
                <w:rFonts w:ascii="Arial" w:cs="Arial" w:eastAsia="Arial" w:hAnsi="Arial"/>
                <w:sz w:val="14"/>
                <w:szCs w:val="14"/>
                <w:color w:val="auto"/>
              </w:rPr>
              <w:t>Sid Thacker</w:t>
            </w:r>
          </w:p>
        </w:tc>
        <w:tc>
          <w:tcPr>
            <w:tcW w:w="3240" w:type="dxa"/>
            <w:vAlign w:val="bottom"/>
          </w:tcPr>
          <w:p>
            <w:pPr>
              <w:ind w:left="1960"/>
              <w:spacing w:after="0"/>
              <w:rPr>
                <w:sz w:val="20"/>
                <w:szCs w:val="20"/>
                <w:color w:val="auto"/>
              </w:rPr>
            </w:pPr>
            <w:r>
              <w:rPr>
                <w:rFonts w:ascii="Arial" w:cs="Arial" w:eastAsia="Arial" w:hAnsi="Arial"/>
                <w:sz w:val="14"/>
                <w:szCs w:val="14"/>
                <w:color w:val="auto"/>
              </w:rPr>
              <w:t>49</w:t>
            </w:r>
          </w:p>
        </w:tc>
        <w:tc>
          <w:tcPr>
            <w:tcW w:w="4960" w:type="dxa"/>
            <w:vAlign w:val="bottom"/>
          </w:tcPr>
          <w:p>
            <w:pPr>
              <w:ind w:left="1000"/>
              <w:spacing w:after="0"/>
              <w:rPr>
                <w:sz w:val="20"/>
                <w:szCs w:val="20"/>
                <w:color w:val="auto"/>
              </w:rPr>
            </w:pPr>
            <w:r>
              <w:rPr>
                <w:rFonts w:ascii="Arial" w:cs="Arial" w:eastAsia="Arial" w:hAnsi="Arial"/>
                <w:sz w:val="14"/>
                <w:szCs w:val="14"/>
                <w:color w:val="auto"/>
              </w:rPr>
              <w:t>Chief Financial Officer</w:t>
            </w:r>
          </w:p>
        </w:tc>
      </w:tr>
      <w:tr>
        <w:trPr>
          <w:trHeight w:val="35"/>
        </w:trPr>
        <w:tc>
          <w:tcPr>
            <w:tcW w:w="130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1300" w:type="dxa"/>
            <w:vAlign w:val="bottom"/>
          </w:tcPr>
          <w:p>
            <w:pPr>
              <w:ind w:left="160"/>
              <w:spacing w:after="0"/>
              <w:rPr>
                <w:sz w:val="20"/>
                <w:szCs w:val="20"/>
                <w:color w:val="auto"/>
              </w:rPr>
            </w:pPr>
            <w:r>
              <w:rPr>
                <w:rFonts w:ascii="Arial" w:cs="Arial" w:eastAsia="Arial" w:hAnsi="Arial"/>
                <w:sz w:val="14"/>
                <w:szCs w:val="14"/>
                <w:color w:val="auto"/>
              </w:rPr>
              <w:t>Drew Rau</w:t>
            </w:r>
          </w:p>
        </w:tc>
        <w:tc>
          <w:tcPr>
            <w:tcW w:w="3240" w:type="dxa"/>
            <w:vAlign w:val="bottom"/>
          </w:tcPr>
          <w:p>
            <w:pPr>
              <w:ind w:left="1960"/>
              <w:spacing w:after="0"/>
              <w:rPr>
                <w:sz w:val="20"/>
                <w:szCs w:val="20"/>
                <w:color w:val="auto"/>
              </w:rPr>
            </w:pPr>
            <w:r>
              <w:rPr>
                <w:rFonts w:ascii="Arial" w:cs="Arial" w:eastAsia="Arial" w:hAnsi="Arial"/>
                <w:sz w:val="14"/>
                <w:szCs w:val="14"/>
                <w:color w:val="auto"/>
              </w:rPr>
              <w:t>48</w:t>
            </w:r>
          </w:p>
        </w:tc>
        <w:tc>
          <w:tcPr>
            <w:tcW w:w="4960" w:type="dxa"/>
            <w:vAlign w:val="bottom"/>
          </w:tcPr>
          <w:p>
            <w:pPr>
              <w:ind w:left="1000"/>
              <w:spacing w:after="0"/>
              <w:rPr>
                <w:sz w:val="20"/>
                <w:szCs w:val="20"/>
                <w:color w:val="auto"/>
              </w:rPr>
            </w:pPr>
            <w:r>
              <w:rPr>
                <w:rFonts w:ascii="Arial" w:cs="Arial" w:eastAsia="Arial" w:hAnsi="Arial"/>
                <w:sz w:val="14"/>
                <w:szCs w:val="14"/>
                <w:color w:val="auto"/>
              </w:rPr>
              <w:t>Chief Supply Chain Officer</w:t>
            </w:r>
          </w:p>
        </w:tc>
      </w:tr>
      <w:tr>
        <w:trPr>
          <w:trHeight w:val="35"/>
        </w:trPr>
        <w:tc>
          <w:tcPr>
            <w:tcW w:w="130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1300" w:type="dxa"/>
            <w:vAlign w:val="bottom"/>
          </w:tcPr>
          <w:p>
            <w:pPr>
              <w:ind w:left="160"/>
              <w:spacing w:after="0"/>
              <w:rPr>
                <w:sz w:val="20"/>
                <w:szCs w:val="20"/>
                <w:color w:val="auto"/>
              </w:rPr>
            </w:pPr>
            <w:r>
              <w:rPr>
                <w:rFonts w:ascii="Arial" w:cs="Arial" w:eastAsia="Arial" w:hAnsi="Arial"/>
                <w:sz w:val="14"/>
                <w:szCs w:val="14"/>
                <w:color w:val="auto"/>
              </w:rPr>
              <w:t>Cara Schembri</w:t>
            </w:r>
          </w:p>
        </w:tc>
        <w:tc>
          <w:tcPr>
            <w:tcW w:w="3240" w:type="dxa"/>
            <w:vAlign w:val="bottom"/>
          </w:tcPr>
          <w:p>
            <w:pPr>
              <w:ind w:left="1960"/>
              <w:spacing w:after="0"/>
              <w:rPr>
                <w:sz w:val="20"/>
                <w:szCs w:val="20"/>
                <w:color w:val="auto"/>
              </w:rPr>
            </w:pPr>
            <w:r>
              <w:rPr>
                <w:rFonts w:ascii="Arial" w:cs="Arial" w:eastAsia="Arial" w:hAnsi="Arial"/>
                <w:sz w:val="14"/>
                <w:szCs w:val="14"/>
                <w:color w:val="auto"/>
              </w:rPr>
              <w:t>49</w:t>
            </w:r>
          </w:p>
        </w:tc>
        <w:tc>
          <w:tcPr>
            <w:tcW w:w="4960" w:type="dxa"/>
            <w:vAlign w:val="bottom"/>
          </w:tcPr>
          <w:p>
            <w:pPr>
              <w:ind w:left="1000"/>
              <w:spacing w:after="0"/>
              <w:rPr>
                <w:sz w:val="20"/>
                <w:szCs w:val="20"/>
                <w:color w:val="auto"/>
              </w:rPr>
            </w:pPr>
            <w:r>
              <w:rPr>
                <w:rFonts w:ascii="Arial" w:cs="Arial" w:eastAsia="Arial" w:hAnsi="Arial"/>
                <w:sz w:val="14"/>
                <w:szCs w:val="14"/>
                <w:color w:val="auto"/>
              </w:rPr>
              <w:t>Chief Legal &amp; Administrative Officer; Secretary</w:t>
            </w:r>
          </w:p>
        </w:tc>
      </w:tr>
      <w:tr>
        <w:trPr>
          <w:trHeight w:val="35"/>
        </w:trPr>
        <w:tc>
          <w:tcPr>
            <w:tcW w:w="130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1300" w:type="dxa"/>
            <w:vAlign w:val="bottom"/>
          </w:tcPr>
          <w:p>
            <w:pPr>
              <w:ind w:left="160"/>
              <w:spacing w:after="0"/>
              <w:rPr>
                <w:sz w:val="20"/>
                <w:szCs w:val="20"/>
                <w:color w:val="auto"/>
              </w:rPr>
            </w:pPr>
            <w:r>
              <w:rPr>
                <w:rFonts w:ascii="Arial" w:cs="Arial" w:eastAsia="Arial" w:hAnsi="Arial"/>
                <w:sz w:val="14"/>
                <w:szCs w:val="14"/>
                <w:color w:val="auto"/>
              </w:rPr>
              <w:t>Sarah Tam</w:t>
            </w:r>
          </w:p>
        </w:tc>
        <w:tc>
          <w:tcPr>
            <w:tcW w:w="3240" w:type="dxa"/>
            <w:vAlign w:val="bottom"/>
          </w:tcPr>
          <w:p>
            <w:pPr>
              <w:ind w:left="1960"/>
              <w:spacing w:after="0"/>
              <w:rPr>
                <w:sz w:val="20"/>
                <w:szCs w:val="20"/>
                <w:color w:val="auto"/>
              </w:rPr>
            </w:pPr>
            <w:r>
              <w:rPr>
                <w:rFonts w:ascii="Arial" w:cs="Arial" w:eastAsia="Arial" w:hAnsi="Arial"/>
                <w:sz w:val="14"/>
                <w:szCs w:val="14"/>
                <w:color w:val="auto"/>
              </w:rPr>
              <w:t>52</w:t>
            </w:r>
          </w:p>
        </w:tc>
        <w:tc>
          <w:tcPr>
            <w:tcW w:w="4960" w:type="dxa"/>
            <w:vAlign w:val="bottom"/>
          </w:tcPr>
          <w:p>
            <w:pPr>
              <w:ind w:left="1000"/>
              <w:spacing w:after="0"/>
              <w:rPr>
                <w:sz w:val="20"/>
                <w:szCs w:val="20"/>
                <w:color w:val="auto"/>
              </w:rPr>
            </w:pPr>
            <w:r>
              <w:rPr>
                <w:rFonts w:ascii="Arial" w:cs="Arial" w:eastAsia="Arial" w:hAnsi="Arial"/>
                <w:sz w:val="14"/>
                <w:szCs w:val="14"/>
                <w:color w:val="auto"/>
              </w:rPr>
              <w:t>Chief Merchant Officer</w:t>
            </w:r>
          </w:p>
        </w:tc>
      </w:tr>
      <w:tr>
        <w:trPr>
          <w:trHeight w:val="35"/>
        </w:trPr>
        <w:tc>
          <w:tcPr>
            <w:tcW w:w="130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240" w:type="dxa"/>
            <w:vAlign w:val="bottom"/>
          </w:tcPr>
          <w:p>
            <w:pPr>
              <w:spacing w:after="0"/>
              <w:rPr>
                <w:sz w:val="15"/>
                <w:szCs w:val="15"/>
                <w:color w:val="auto"/>
              </w:rPr>
            </w:pPr>
          </w:p>
        </w:tc>
        <w:tc>
          <w:tcPr>
            <w:tcW w:w="4960" w:type="dxa"/>
            <w:vAlign w:val="bottom"/>
          </w:tcPr>
          <w:p>
            <w:pPr>
              <w:spacing w:after="0"/>
              <w:rPr>
                <w:sz w:val="15"/>
                <w:szCs w:val="15"/>
                <w:color w:val="auto"/>
              </w:rPr>
            </w:pPr>
          </w:p>
        </w:tc>
      </w:tr>
    </w:tbl>
    <w:p>
      <w:pPr>
        <w:spacing w:after="0" w:line="1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*On May 18, 2026, Mr. Thacker notified us of his resignation as Chief Financial Officer, effective as of June 3, 2026.</w:t>
      </w:r>
    </w:p>
    <w:p>
      <w:pPr>
        <w:spacing w:after="0" w:line="180" w:lineRule="exact"/>
        <w:rPr>
          <w:sz w:val="20"/>
          <w:szCs w:val="20"/>
          <w:color w:val="auto"/>
        </w:rPr>
      </w:pPr>
    </w:p>
    <w:p>
      <w:pPr>
        <w:ind w:left="20" w:right="740"/>
        <w:spacing w:after="0" w:line="301" w:lineRule="auto"/>
        <w:rPr>
          <w:sz w:val="20"/>
          <w:szCs w:val="20"/>
          <w:color w:val="auto"/>
        </w:rPr>
      </w:pPr>
      <w:r>
        <w:rPr>
          <w:rFonts w:ascii="Arial" w:cs="Arial" w:eastAsia="Arial" w:hAnsi="Arial"/>
          <w:sz w:val="17"/>
          <w:szCs w:val="17"/>
          <w:b w:val="1"/>
          <w:bCs w:val="1"/>
          <w:color w:val="auto"/>
        </w:rPr>
        <w:t xml:space="preserve">Teri Bariquit </w:t>
      </w:r>
      <w:r>
        <w:rPr>
          <w:rFonts w:ascii="Arial" w:cs="Arial" w:eastAsia="Arial" w:hAnsi="Arial"/>
          <w:sz w:val="17"/>
          <w:szCs w:val="17"/>
          <w:color w:val="auto"/>
        </w:rPr>
        <w:t>has served as our interim Chief Executive Officer and President since May 2026. Please see the</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About Board Nominees and Continuing Directors” section for additional biographical information.</w:t>
      </w:r>
    </w:p>
    <w:p>
      <w:pPr>
        <w:spacing w:after="0" w:line="90" w:lineRule="exact"/>
        <w:rPr>
          <w:sz w:val="20"/>
          <w:szCs w:val="20"/>
          <w:color w:val="auto"/>
        </w:rPr>
      </w:pPr>
    </w:p>
    <w:p>
      <w:pPr>
        <w:ind w:left="20" w:right="40"/>
        <w:spacing w:after="0" w:line="271" w:lineRule="auto"/>
        <w:rPr>
          <w:sz w:val="20"/>
          <w:szCs w:val="20"/>
          <w:color w:val="auto"/>
        </w:rPr>
      </w:pPr>
      <w:r>
        <w:rPr>
          <w:rFonts w:ascii="Arial" w:cs="Arial" w:eastAsia="Arial" w:hAnsi="Arial"/>
          <w:sz w:val="18"/>
          <w:szCs w:val="18"/>
          <w:b w:val="1"/>
          <w:bCs w:val="1"/>
          <w:color w:val="auto"/>
        </w:rPr>
        <w:t xml:space="preserve">Dhiren Fonseca </w:t>
      </w:r>
      <w:r>
        <w:rPr>
          <w:rFonts w:ascii="Arial" w:cs="Arial" w:eastAsia="Arial" w:hAnsi="Arial"/>
          <w:sz w:val="18"/>
          <w:szCs w:val="18"/>
          <w:color w:val="auto"/>
        </w:rPr>
        <w:t>has served as our Executive Chairman since October 2025. Please see the “Information About Board</w:t>
      </w:r>
      <w:r>
        <w:rPr>
          <w:rFonts w:ascii="Arial" w:cs="Arial" w:eastAsia="Arial" w:hAnsi="Arial"/>
          <w:sz w:val="18"/>
          <w:szCs w:val="18"/>
          <w:b w:val="1"/>
          <w:bCs w:val="1"/>
          <w:color w:val="auto"/>
        </w:rPr>
        <w:t xml:space="preserve"> </w:t>
      </w:r>
      <w:r>
        <w:rPr>
          <w:rFonts w:ascii="Arial" w:cs="Arial" w:eastAsia="Arial" w:hAnsi="Arial"/>
          <w:sz w:val="18"/>
          <w:szCs w:val="18"/>
          <w:color w:val="auto"/>
        </w:rPr>
        <w:t>Nominees and Continuing Directors” section for additional biographical information.</w:t>
      </w:r>
    </w:p>
    <w:p>
      <w:pPr>
        <w:spacing w:after="0" w:line="113" w:lineRule="exact"/>
        <w:rPr>
          <w:sz w:val="20"/>
          <w:szCs w:val="20"/>
          <w:color w:val="auto"/>
        </w:rPr>
      </w:pPr>
    </w:p>
    <w:p>
      <w:pPr>
        <w:ind w:left="20" w:right="80"/>
        <w:spacing w:after="0" w:line="259" w:lineRule="auto"/>
        <w:rPr>
          <w:sz w:val="20"/>
          <w:szCs w:val="20"/>
          <w:color w:val="auto"/>
        </w:rPr>
      </w:pPr>
      <w:r>
        <w:rPr>
          <w:rFonts w:ascii="Arial" w:cs="Arial" w:eastAsia="Arial" w:hAnsi="Arial"/>
          <w:sz w:val="17"/>
          <w:szCs w:val="17"/>
          <w:b w:val="1"/>
          <w:bCs w:val="1"/>
          <w:color w:val="auto"/>
        </w:rPr>
        <w:t xml:space="preserve">Sid Thacker </w:t>
      </w:r>
      <w:r>
        <w:rPr>
          <w:rFonts w:ascii="Arial" w:cs="Arial" w:eastAsia="Arial" w:hAnsi="Arial"/>
          <w:sz w:val="17"/>
          <w:szCs w:val="17"/>
          <w:color w:val="auto"/>
        </w:rPr>
        <w:t>has served as our Chief Financial Officer since May 2023. Prior to that, he served as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Senior Vice President, FP&amp;A from July 2022 to May 2023. Prior to joining RTR, from January 2020 to March 2022, Mr. Thacker served as an Investment Partner at Coalition Investment Partners, an alternative asset manager. From June 2018 to January 2020, Mr. Thacker served as CEO of SAR Capital Advisors, LP, an investment advisory firm, and from August 2011 to December 2017, he served as Founder, CEO and CIO of Signpost Capital Advisors, LP, an investment advisory firm. Mr. Thacker holds a B.A. from Oberlin College and an M.B.A. from Harvard Business School.</w:t>
      </w:r>
    </w:p>
    <w:p>
      <w:pPr>
        <w:spacing w:after="0" w:line="138" w:lineRule="exact"/>
        <w:rPr>
          <w:sz w:val="20"/>
          <w:szCs w:val="20"/>
          <w:color w:val="auto"/>
        </w:rPr>
      </w:pPr>
    </w:p>
    <w:p>
      <w:pPr>
        <w:ind w:left="20" w:right="100"/>
        <w:spacing w:after="0" w:line="239" w:lineRule="auto"/>
        <w:rPr>
          <w:sz w:val="20"/>
          <w:szCs w:val="20"/>
          <w:color w:val="auto"/>
        </w:rPr>
      </w:pPr>
      <w:r>
        <w:rPr>
          <w:rFonts w:ascii="Arial" w:cs="Arial" w:eastAsia="Arial" w:hAnsi="Arial"/>
          <w:sz w:val="18"/>
          <w:szCs w:val="18"/>
          <w:b w:val="1"/>
          <w:bCs w:val="1"/>
          <w:color w:val="auto"/>
        </w:rPr>
        <w:t xml:space="preserve">Drew Rau </w:t>
      </w:r>
      <w:r>
        <w:rPr>
          <w:rFonts w:ascii="Arial" w:cs="Arial" w:eastAsia="Arial" w:hAnsi="Arial"/>
          <w:sz w:val="18"/>
          <w:szCs w:val="18"/>
          <w:color w:val="auto"/>
        </w:rPr>
        <w:t>has served as our Chief Supply Chain Officer since September 2023. Prior to that, he served as our SVP,</w:t>
      </w:r>
      <w:r>
        <w:rPr>
          <w:rFonts w:ascii="Arial" w:cs="Arial" w:eastAsia="Arial" w:hAnsi="Arial"/>
          <w:sz w:val="18"/>
          <w:szCs w:val="18"/>
          <w:b w:val="1"/>
          <w:bCs w:val="1"/>
          <w:color w:val="auto"/>
        </w:rPr>
        <w:t xml:space="preserve"> </w:t>
      </w:r>
      <w:r>
        <w:rPr>
          <w:rFonts w:ascii="Arial" w:cs="Arial" w:eastAsia="Arial" w:hAnsi="Arial"/>
          <w:sz w:val="18"/>
          <w:szCs w:val="18"/>
          <w:color w:val="auto"/>
        </w:rPr>
        <w:t>Supply Chain and Inventory from January 2023 to August 2023, after joining us in November 2021 as VP, Inventory Performance, Capacity Management and Planning, Transportation, and Loss Prevention. Prior to that, Mr. Rau served as VP Global Supply Chain at Overstock.com, an e-commerce marketplace, from November 2020 to November 2021 and as VP of Operations, Agricultural Operations and People Safety at Bowery Farming, an indoor agriculture startup, from February 2019 to November 2020. Mr. Rau also held several roles of increasing seniority at Amazon from November 2014 to February 2019, including Director of Fulfillment where he oversaw the Prime Pantry and Sub Same Day fulfillment network. Mr. Rau holds a B.S. in Business Management and Computer Information Systems from the Metropolitan State University of Denver and an M.B.A. from the University of Denver.</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Cara Schembri </w:t>
      </w:r>
      <w:r>
        <w:rPr>
          <w:rFonts w:ascii="Arial" w:cs="Arial" w:eastAsia="Arial" w:hAnsi="Arial"/>
          <w:sz w:val="18"/>
          <w:szCs w:val="18"/>
          <w:color w:val="auto"/>
        </w:rPr>
        <w:t>has served as our Chief Legal &amp; Administrative Officer since December 2023, after serving as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and Corporate Secretary since December 2019 and also serving as Interim Chief People Officer from March to September 2020. From September 2014 to November 2019, Ms. Schembri served in various roles at Etsy, Inc., a global online marketplace, most recently as the Vice President, Deputy General Counsel and Assistant Secretary. Prior to that, Ms. Schembri served as Senior Counsel and Assistant Corporate Secretary for Avon Products, Inc., a multinational cosmetics and personal care company, from September 2008 to September 2014. She began her career in private practice at Norton Rose Fulbright LLP and Sidley Austin LLP. Ms. Schembri holds a B.A. in Philosophy from Binghamton University and a J.D. from The George Washington University Law School.</w:t>
      </w:r>
    </w:p>
    <w:p>
      <w:pPr>
        <w:spacing w:after="0" w:line="140" w:lineRule="exact"/>
        <w:rPr>
          <w:sz w:val="20"/>
          <w:szCs w:val="20"/>
          <w:color w:val="auto"/>
        </w:rPr>
      </w:pPr>
    </w:p>
    <w:p>
      <w:pPr>
        <w:ind w:left="20" w:right="200"/>
        <w:spacing w:after="0" w:line="259" w:lineRule="auto"/>
        <w:rPr>
          <w:sz w:val="20"/>
          <w:szCs w:val="20"/>
          <w:color w:val="auto"/>
        </w:rPr>
      </w:pPr>
      <w:r>
        <w:rPr>
          <w:rFonts w:ascii="Arial" w:cs="Arial" w:eastAsia="Arial" w:hAnsi="Arial"/>
          <w:sz w:val="17"/>
          <w:szCs w:val="17"/>
          <w:b w:val="1"/>
          <w:bCs w:val="1"/>
          <w:color w:val="auto"/>
        </w:rPr>
        <w:t xml:space="preserve">Sarah Tam </w:t>
      </w:r>
      <w:r>
        <w:rPr>
          <w:rFonts w:ascii="Arial" w:cs="Arial" w:eastAsia="Arial" w:hAnsi="Arial"/>
          <w:sz w:val="17"/>
          <w:szCs w:val="17"/>
          <w:color w:val="auto"/>
        </w:rPr>
        <w:t>has served as our Chief Merchant Officer since August 2017. Prior to that, she served as our Senior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of Merchandising and Planning from February 2015 to August 2017. Before joining us, Ms. Tam spent</w:t>
      </w:r>
    </w:p>
    <w:p>
      <w:pPr>
        <w:spacing w:after="0" w:line="1" w:lineRule="exact"/>
        <w:rPr>
          <w:sz w:val="20"/>
          <w:szCs w:val="20"/>
          <w:color w:val="auto"/>
        </w:rPr>
      </w:pPr>
    </w:p>
    <w:p>
      <w:pPr>
        <w:ind w:left="20" w:right="20"/>
        <w:spacing w:after="0" w:line="242" w:lineRule="auto"/>
        <w:rPr>
          <w:sz w:val="20"/>
          <w:szCs w:val="20"/>
          <w:color w:val="auto"/>
        </w:rPr>
      </w:pPr>
      <w:r>
        <w:rPr>
          <w:rFonts w:ascii="Arial" w:cs="Arial" w:eastAsia="Arial" w:hAnsi="Arial"/>
          <w:sz w:val="18"/>
          <w:szCs w:val="18"/>
          <w:color w:val="auto"/>
        </w:rPr>
        <w:t>19 years at Saks Fifth Avenue, where she most recently served as VP DMM, heading up Women’s Designer RTW, Bridal &amp; Evening. Ms. Tam oversaw the creation, execution, and merchandising strategy of the Women’s European and American Designer business across e-commerce and stores nationwide. During her career at Saks Fifth</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color w:val="auto"/>
        </w:rPr>
        <w:t>Avenue, she held leadership positions across the Buying and Planning organization encompassing multiple categories including Designer RTW, Luxury Handbags, Women’s Designer Shoes, and Men’s Sportswear. Ms. Tam holds a B.S. in Business Administration and Management from Geneseo University.</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Executive Compensation</w:t>
      </w:r>
    </w:p>
    <w:p>
      <w:pPr>
        <w:spacing w:after="0" w:line="212" w:lineRule="exact"/>
        <w:rPr>
          <w:sz w:val="20"/>
          <w:szCs w:val="20"/>
          <w:color w:val="auto"/>
        </w:rPr>
      </w:pPr>
    </w:p>
    <w:p>
      <w:pPr>
        <w:ind w:left="20" w:right="100"/>
        <w:spacing w:after="0" w:line="253"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“Summary Compensation Table” below. In fiscal year 2025, which ended on January 31, 2026, our “named executive officers” and their positions were as follows:</w:t>
      </w:r>
    </w:p>
    <w:p>
      <w:pPr>
        <w:spacing w:after="0" w:line="128" w:lineRule="exact"/>
        <w:rPr>
          <w:sz w:val="20"/>
          <w:szCs w:val="20"/>
          <w:color w:val="auto"/>
        </w:rPr>
      </w:pPr>
    </w:p>
    <w:p>
      <w:pPr>
        <w:ind w:left="740" w:hanging="359"/>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Jennifer Y. Hyman, Co-Founder, former Chief Executive Officer and President;</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Sid Thacker, Chief Financial Officer; and</w:t>
      </w:r>
    </w:p>
    <w:p>
      <w:pPr>
        <w:ind w:left="740" w:hanging="359"/>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Sarah Tam, Chief Merchant Officer.</w:t>
      </w:r>
    </w:p>
    <w:p>
      <w:pPr>
        <w:spacing w:after="0" w:line="167" w:lineRule="exact"/>
        <w:rPr>
          <w:sz w:val="20"/>
          <w:szCs w:val="20"/>
          <w:color w:val="auto"/>
        </w:rPr>
      </w:pPr>
    </w:p>
    <w:p>
      <w:pPr>
        <w:ind w:left="20" w:right="180"/>
        <w:spacing w:after="0" w:line="244" w:lineRule="auto"/>
        <w:rPr>
          <w:sz w:val="20"/>
          <w:szCs w:val="20"/>
          <w:color w:val="auto"/>
        </w:rPr>
      </w:pPr>
      <w:r>
        <w:rPr>
          <w:rFonts w:ascii="Arial" w:cs="Arial" w:eastAsia="Arial" w:hAnsi="Arial"/>
          <w:sz w:val="18"/>
          <w:szCs w:val="18"/>
          <w:color w:val="auto"/>
        </w:rPr>
        <w:t>Although Ms. Hyman ceased serving as an executive officer on May 15, 2026, she was, and is currently, a named executive officer as of January 31, 2026, and, as a result, we have included her in this executive compensation disclosure, as required by Item 402(a) of Regulation S-K.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 May 18, 2026, Mr. Thacker notified us of his resignation as Chief Financial Officer, effective as of June 3, 2026.</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Summary Compensation Table</w:t>
      </w:r>
    </w:p>
    <w:p>
      <w:pPr>
        <w:spacing w:after="0" w:line="199" w:lineRule="exact"/>
        <w:rPr>
          <w:sz w:val="20"/>
          <w:szCs w:val="20"/>
          <w:color w:val="auto"/>
        </w:rPr>
      </w:pPr>
    </w:p>
    <w:p>
      <w:pPr>
        <w:ind w:left="20" w:right="120"/>
        <w:spacing w:after="0" w:line="271" w:lineRule="auto"/>
        <w:rPr>
          <w:sz w:val="20"/>
          <w:szCs w:val="20"/>
          <w:color w:val="auto"/>
        </w:rPr>
      </w:pPr>
      <w:r>
        <w:rPr>
          <w:rFonts w:ascii="Arial" w:cs="Arial" w:eastAsia="Arial" w:hAnsi="Arial"/>
          <w:sz w:val="18"/>
          <w:szCs w:val="18"/>
          <w:color w:val="auto"/>
        </w:rPr>
        <w:t>The following table presents all of the compensation awarded to, earned by or paid to our named executive officers for the fiscal years ended January 31, 2026 and January 31, 2025.</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00" w:type="dxa"/>
            <w:vAlign w:val="bottom"/>
            <w:shd w:val="clear" w:color="auto" w:fill="FFE8F5"/>
          </w:tcPr>
          <w:p>
            <w:pPr>
              <w:spacing w:after="0"/>
              <w:rPr>
                <w:sz w:val="22"/>
                <w:szCs w:val="22"/>
                <w:color w:val="auto"/>
              </w:rPr>
            </w:pPr>
          </w:p>
        </w:tc>
        <w:tc>
          <w:tcPr>
            <w:tcW w:w="2280" w:type="dxa"/>
            <w:vAlign w:val="bottom"/>
            <w:shd w:val="clear" w:color="auto" w:fill="FFE8F5"/>
          </w:tcPr>
          <w:p>
            <w:pPr>
              <w:spacing w:after="0"/>
              <w:rPr>
                <w:sz w:val="22"/>
                <w:szCs w:val="22"/>
                <w:color w:val="auto"/>
              </w:rPr>
            </w:pPr>
          </w:p>
        </w:tc>
        <w:tc>
          <w:tcPr>
            <w:tcW w:w="860" w:type="dxa"/>
            <w:vAlign w:val="bottom"/>
            <w:shd w:val="clear" w:color="auto" w:fill="FFE8F5"/>
          </w:tcPr>
          <w:p>
            <w:pPr>
              <w:spacing w:after="0"/>
              <w:rPr>
                <w:sz w:val="22"/>
                <w:szCs w:val="22"/>
                <w:color w:val="auto"/>
              </w:rPr>
            </w:pPr>
          </w:p>
        </w:tc>
        <w:tc>
          <w:tcPr>
            <w:tcW w:w="320" w:type="dxa"/>
            <w:vAlign w:val="bottom"/>
            <w:shd w:val="clear" w:color="auto" w:fill="FFE8F5"/>
          </w:tcPr>
          <w:p>
            <w:pPr>
              <w:spacing w:after="0"/>
              <w:rPr>
                <w:sz w:val="22"/>
                <w:szCs w:val="22"/>
                <w:color w:val="auto"/>
              </w:rPr>
            </w:pPr>
          </w:p>
        </w:tc>
        <w:tc>
          <w:tcPr>
            <w:tcW w:w="440" w:type="dxa"/>
            <w:vAlign w:val="bottom"/>
            <w:shd w:val="clear" w:color="auto" w:fill="FFE8F5"/>
          </w:tcPr>
          <w:p>
            <w:pPr>
              <w:spacing w:after="0"/>
              <w:rPr>
                <w:sz w:val="22"/>
                <w:szCs w:val="22"/>
                <w:color w:val="auto"/>
              </w:rPr>
            </w:pPr>
          </w:p>
        </w:tc>
        <w:tc>
          <w:tcPr>
            <w:tcW w:w="860" w:type="dxa"/>
            <w:vAlign w:val="bottom"/>
            <w:shd w:val="clear" w:color="auto" w:fill="FFE8F5"/>
          </w:tcPr>
          <w:p>
            <w:pPr>
              <w:spacing w:after="0"/>
              <w:rPr>
                <w:sz w:val="22"/>
                <w:szCs w:val="22"/>
                <w:color w:val="auto"/>
              </w:rPr>
            </w:pPr>
          </w:p>
        </w:tc>
        <w:tc>
          <w:tcPr>
            <w:tcW w:w="960" w:type="dxa"/>
            <w:vAlign w:val="bottom"/>
            <w:vMerge w:val="restart"/>
            <w:shd w:val="clear" w:color="auto" w:fill="FFE8F5"/>
          </w:tcPr>
          <w:p>
            <w:pPr>
              <w:ind w:left="240"/>
              <w:spacing w:after="0"/>
              <w:rPr>
                <w:sz w:val="20"/>
                <w:szCs w:val="20"/>
                <w:color w:val="auto"/>
              </w:rPr>
            </w:pPr>
            <w:r>
              <w:rPr>
                <w:rFonts w:ascii="Arial" w:cs="Arial" w:eastAsia="Arial" w:hAnsi="Arial"/>
                <w:sz w:val="14"/>
                <w:szCs w:val="14"/>
                <w:b w:val="1"/>
                <w:bCs w:val="1"/>
                <w:color w:val="auto"/>
              </w:rPr>
              <w:t>Stock</w:t>
            </w:r>
          </w:p>
        </w:tc>
        <w:tc>
          <w:tcPr>
            <w:tcW w:w="1360" w:type="dxa"/>
            <w:vAlign w:val="bottom"/>
            <w:shd w:val="clear" w:color="auto" w:fill="FFE8F5"/>
          </w:tcPr>
          <w:p>
            <w:pPr>
              <w:ind w:left="200"/>
              <w:spacing w:after="0"/>
              <w:rPr>
                <w:sz w:val="20"/>
                <w:szCs w:val="20"/>
                <w:color w:val="auto"/>
              </w:rPr>
            </w:pPr>
            <w:r>
              <w:rPr>
                <w:rFonts w:ascii="Arial" w:cs="Arial" w:eastAsia="Arial" w:hAnsi="Arial"/>
                <w:sz w:val="14"/>
                <w:szCs w:val="14"/>
                <w:b w:val="1"/>
                <w:bCs w:val="1"/>
                <w:color w:val="auto"/>
              </w:rPr>
              <w:t>Non-Equity</w:t>
            </w:r>
          </w:p>
        </w:tc>
        <w:tc>
          <w:tcPr>
            <w:tcW w:w="1320" w:type="dxa"/>
            <w:vAlign w:val="bottom"/>
            <w:vMerge w:val="restart"/>
            <w:shd w:val="clear" w:color="auto" w:fill="FFE8F5"/>
          </w:tcPr>
          <w:p>
            <w:pPr>
              <w:ind w:left="160"/>
              <w:spacing w:after="0"/>
              <w:rPr>
                <w:sz w:val="20"/>
                <w:szCs w:val="20"/>
                <w:color w:val="auto"/>
              </w:rPr>
            </w:pPr>
            <w:r>
              <w:rPr>
                <w:rFonts w:ascii="Arial" w:cs="Arial" w:eastAsia="Arial" w:hAnsi="Arial"/>
                <w:sz w:val="14"/>
                <w:szCs w:val="14"/>
                <w:b w:val="1"/>
                <w:bCs w:val="1"/>
                <w:color w:val="auto"/>
              </w:rPr>
              <w:t>All Other</w:t>
            </w:r>
          </w:p>
        </w:tc>
        <w:tc>
          <w:tcPr>
            <w:tcW w:w="1000" w:type="dxa"/>
            <w:vAlign w:val="bottom"/>
            <w:shd w:val="clear" w:color="auto" w:fill="FFE8F5"/>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FFE8F5"/>
          </w:tcPr>
          <w:p>
            <w:pPr>
              <w:spacing w:after="0"/>
              <w:rPr>
                <w:sz w:val="7"/>
                <w:szCs w:val="7"/>
                <w:color w:val="auto"/>
              </w:rPr>
            </w:pPr>
          </w:p>
        </w:tc>
        <w:tc>
          <w:tcPr>
            <w:tcW w:w="2280" w:type="dxa"/>
            <w:vAlign w:val="bottom"/>
            <w:shd w:val="clear" w:color="auto" w:fill="FFE8F5"/>
          </w:tcPr>
          <w:p>
            <w:pPr>
              <w:spacing w:after="0"/>
              <w:rPr>
                <w:sz w:val="7"/>
                <w:szCs w:val="7"/>
                <w:color w:val="auto"/>
              </w:rPr>
            </w:pPr>
          </w:p>
        </w:tc>
        <w:tc>
          <w:tcPr>
            <w:tcW w:w="860" w:type="dxa"/>
            <w:vAlign w:val="bottom"/>
            <w:vMerge w:val="restart"/>
            <w:shd w:val="clear" w:color="auto" w:fill="FFE8F5"/>
          </w:tcPr>
          <w:p>
            <w:pPr>
              <w:ind w:left="300"/>
              <w:spacing w:after="0" w:line="159" w:lineRule="exact"/>
              <w:rPr>
                <w:sz w:val="20"/>
                <w:szCs w:val="20"/>
                <w:color w:val="auto"/>
              </w:rPr>
            </w:pPr>
            <w:r>
              <w:rPr>
                <w:rFonts w:ascii="Arial" w:cs="Arial" w:eastAsia="Arial" w:hAnsi="Arial"/>
                <w:sz w:val="14"/>
                <w:szCs w:val="14"/>
                <w:b w:val="1"/>
                <w:bCs w:val="1"/>
                <w:color w:val="auto"/>
              </w:rPr>
              <w:t>Fiscal</w:t>
            </w:r>
          </w:p>
        </w:tc>
        <w:tc>
          <w:tcPr>
            <w:tcW w:w="760" w:type="dxa"/>
            <w:vAlign w:val="bottom"/>
            <w:gridSpan w:val="2"/>
            <w:vMerge w:val="restart"/>
            <w:shd w:val="clear" w:color="auto" w:fill="FFE8F5"/>
          </w:tcPr>
          <w:p>
            <w:pPr>
              <w:ind w:left="140"/>
              <w:spacing w:after="0" w:line="159" w:lineRule="exact"/>
              <w:rPr>
                <w:sz w:val="20"/>
                <w:szCs w:val="20"/>
                <w:color w:val="auto"/>
              </w:rPr>
            </w:pPr>
            <w:r>
              <w:rPr>
                <w:rFonts w:ascii="Arial" w:cs="Arial" w:eastAsia="Arial" w:hAnsi="Arial"/>
                <w:sz w:val="14"/>
                <w:szCs w:val="14"/>
                <w:b w:val="1"/>
                <w:bCs w:val="1"/>
                <w:color w:val="auto"/>
              </w:rPr>
              <w:t>Salary</w:t>
            </w:r>
          </w:p>
        </w:tc>
        <w:tc>
          <w:tcPr>
            <w:tcW w:w="860" w:type="dxa"/>
            <w:vAlign w:val="bottom"/>
            <w:vMerge w:val="restart"/>
            <w:shd w:val="clear" w:color="auto" w:fill="FFE8F5"/>
          </w:tcPr>
          <w:p>
            <w:pPr>
              <w:ind w:left="180"/>
              <w:spacing w:after="0" w:line="159" w:lineRule="exact"/>
              <w:rPr>
                <w:sz w:val="20"/>
                <w:szCs w:val="20"/>
                <w:color w:val="auto"/>
              </w:rPr>
            </w:pPr>
            <w:r>
              <w:rPr>
                <w:rFonts w:ascii="Arial" w:cs="Arial" w:eastAsia="Arial" w:hAnsi="Arial"/>
                <w:sz w:val="14"/>
                <w:szCs w:val="14"/>
                <w:b w:val="1"/>
                <w:bCs w:val="1"/>
                <w:color w:val="auto"/>
              </w:rPr>
              <w:t>Bonus</w:t>
            </w:r>
          </w:p>
        </w:tc>
        <w:tc>
          <w:tcPr>
            <w:tcW w:w="960" w:type="dxa"/>
            <w:vAlign w:val="bottom"/>
            <w:vMerge w:val="continue"/>
            <w:shd w:val="clear" w:color="auto" w:fill="FFE8F5"/>
          </w:tcPr>
          <w:p>
            <w:pPr>
              <w:spacing w:after="0"/>
              <w:rPr>
                <w:sz w:val="7"/>
                <w:szCs w:val="7"/>
                <w:color w:val="auto"/>
              </w:rPr>
            </w:pPr>
          </w:p>
        </w:tc>
        <w:tc>
          <w:tcPr>
            <w:tcW w:w="1360" w:type="dxa"/>
            <w:vAlign w:val="bottom"/>
            <w:vMerge w:val="restart"/>
            <w:shd w:val="clear" w:color="auto" w:fill="FFE8F5"/>
          </w:tcPr>
          <w:p>
            <w:pPr>
              <w:ind w:left="200"/>
              <w:spacing w:after="0" w:line="159" w:lineRule="exact"/>
              <w:rPr>
                <w:sz w:val="20"/>
                <w:szCs w:val="20"/>
                <w:color w:val="auto"/>
              </w:rPr>
            </w:pPr>
            <w:r>
              <w:rPr>
                <w:rFonts w:ascii="Arial" w:cs="Arial" w:eastAsia="Arial" w:hAnsi="Arial"/>
                <w:sz w:val="14"/>
                <w:szCs w:val="14"/>
                <w:b w:val="1"/>
                <w:bCs w:val="1"/>
                <w:color w:val="auto"/>
              </w:rPr>
              <w:t>Incentive Plan</w:t>
            </w:r>
          </w:p>
        </w:tc>
        <w:tc>
          <w:tcPr>
            <w:tcW w:w="1320" w:type="dxa"/>
            <w:vAlign w:val="bottom"/>
            <w:vMerge w:val="continue"/>
            <w:shd w:val="clear" w:color="auto" w:fill="FFE8F5"/>
          </w:tcPr>
          <w:p>
            <w:pPr>
              <w:spacing w:after="0"/>
              <w:rPr>
                <w:sz w:val="7"/>
                <w:szCs w:val="7"/>
                <w:color w:val="auto"/>
              </w:rPr>
            </w:pPr>
          </w:p>
        </w:tc>
        <w:tc>
          <w:tcPr>
            <w:tcW w:w="1000" w:type="dxa"/>
            <w:vAlign w:val="bottom"/>
            <w:vMerge w:val="restart"/>
            <w:shd w:val="clear" w:color="auto" w:fill="FFE8F5"/>
          </w:tcPr>
          <w:p>
            <w:pPr>
              <w:ind w:left="16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8"/>
        </w:trPr>
        <w:tc>
          <w:tcPr>
            <w:tcW w:w="100" w:type="dxa"/>
            <w:vAlign w:val="bottom"/>
            <w:shd w:val="clear" w:color="auto" w:fill="FFE8F5"/>
          </w:tcPr>
          <w:p>
            <w:pPr>
              <w:spacing w:after="0"/>
              <w:rPr>
                <w:sz w:val="6"/>
                <w:szCs w:val="6"/>
                <w:color w:val="auto"/>
              </w:rPr>
            </w:pPr>
          </w:p>
        </w:tc>
        <w:tc>
          <w:tcPr>
            <w:tcW w:w="2280" w:type="dxa"/>
            <w:vAlign w:val="bottom"/>
            <w:vMerge w:val="restart"/>
            <w:shd w:val="clear" w:color="auto" w:fill="FFE8F5"/>
          </w:tcPr>
          <w:p>
            <w:pPr>
              <w:ind w:left="40"/>
              <w:spacing w:after="0" w:line="159" w:lineRule="exact"/>
              <w:rPr>
                <w:sz w:val="20"/>
                <w:szCs w:val="20"/>
                <w:color w:val="auto"/>
              </w:rPr>
            </w:pPr>
            <w:r>
              <w:rPr>
                <w:rFonts w:ascii="Arial" w:cs="Arial" w:eastAsia="Arial" w:hAnsi="Arial"/>
                <w:sz w:val="14"/>
                <w:szCs w:val="14"/>
                <w:b w:val="1"/>
                <w:bCs w:val="1"/>
                <w:color w:val="auto"/>
              </w:rPr>
              <w:t>Name and Principal Position</w:t>
            </w:r>
          </w:p>
        </w:tc>
        <w:tc>
          <w:tcPr>
            <w:tcW w:w="860" w:type="dxa"/>
            <w:vAlign w:val="bottom"/>
            <w:vMerge w:val="continue"/>
            <w:shd w:val="clear" w:color="auto" w:fill="FFE8F5"/>
          </w:tcPr>
          <w:p>
            <w:pPr>
              <w:spacing w:after="0"/>
              <w:rPr>
                <w:sz w:val="6"/>
                <w:szCs w:val="6"/>
                <w:color w:val="auto"/>
              </w:rPr>
            </w:pPr>
          </w:p>
        </w:tc>
        <w:tc>
          <w:tcPr>
            <w:tcW w:w="760" w:type="dxa"/>
            <w:vAlign w:val="bottom"/>
            <w:gridSpan w:val="2"/>
            <w:vMerge w:val="continue"/>
            <w:shd w:val="clear" w:color="auto" w:fill="FFE8F5"/>
          </w:tcPr>
          <w:p>
            <w:pPr>
              <w:spacing w:after="0"/>
              <w:rPr>
                <w:sz w:val="6"/>
                <w:szCs w:val="6"/>
                <w:color w:val="auto"/>
              </w:rPr>
            </w:pPr>
          </w:p>
        </w:tc>
        <w:tc>
          <w:tcPr>
            <w:tcW w:w="860" w:type="dxa"/>
            <w:vAlign w:val="bottom"/>
            <w:vMerge w:val="continue"/>
            <w:shd w:val="clear" w:color="auto" w:fill="FFE8F5"/>
          </w:tcPr>
          <w:p>
            <w:pPr>
              <w:spacing w:after="0"/>
              <w:rPr>
                <w:sz w:val="6"/>
                <w:szCs w:val="6"/>
                <w:color w:val="auto"/>
              </w:rPr>
            </w:pPr>
          </w:p>
        </w:tc>
        <w:tc>
          <w:tcPr>
            <w:tcW w:w="960" w:type="dxa"/>
            <w:vAlign w:val="bottom"/>
            <w:vMerge w:val="restart"/>
            <w:shd w:val="clear" w:color="auto" w:fill="FFE8F5"/>
          </w:tcPr>
          <w:p>
            <w:pPr>
              <w:ind w:left="240"/>
              <w:spacing w:after="0" w:line="159" w:lineRule="exact"/>
              <w:rPr>
                <w:sz w:val="20"/>
                <w:szCs w:val="20"/>
                <w:color w:val="auto"/>
              </w:rPr>
            </w:pPr>
            <w:r>
              <w:rPr>
                <w:rFonts w:ascii="Arial" w:cs="Arial" w:eastAsia="Arial" w:hAnsi="Arial"/>
                <w:sz w:val="14"/>
                <w:szCs w:val="14"/>
                <w:b w:val="1"/>
                <w:bCs w:val="1"/>
                <w:color w:val="auto"/>
              </w:rPr>
              <w:t>Awards</w:t>
            </w:r>
          </w:p>
        </w:tc>
        <w:tc>
          <w:tcPr>
            <w:tcW w:w="1360" w:type="dxa"/>
            <w:vAlign w:val="bottom"/>
            <w:vMerge w:val="continue"/>
            <w:shd w:val="clear" w:color="auto" w:fill="FFE8F5"/>
          </w:tcPr>
          <w:p>
            <w:pPr>
              <w:spacing w:after="0"/>
              <w:rPr>
                <w:sz w:val="6"/>
                <w:szCs w:val="6"/>
                <w:color w:val="auto"/>
              </w:rPr>
            </w:pPr>
          </w:p>
        </w:tc>
        <w:tc>
          <w:tcPr>
            <w:tcW w:w="1320" w:type="dxa"/>
            <w:vAlign w:val="bottom"/>
            <w:vMerge w:val="restart"/>
            <w:shd w:val="clear" w:color="auto" w:fill="FFE8F5"/>
          </w:tcPr>
          <w:p>
            <w:pPr>
              <w:ind w:left="160"/>
              <w:spacing w:after="0" w:line="159" w:lineRule="exact"/>
              <w:rPr>
                <w:sz w:val="20"/>
                <w:szCs w:val="20"/>
                <w:color w:val="auto"/>
              </w:rPr>
            </w:pPr>
            <w:r>
              <w:rPr>
                <w:rFonts w:ascii="Arial" w:cs="Arial" w:eastAsia="Arial" w:hAnsi="Arial"/>
                <w:sz w:val="14"/>
                <w:szCs w:val="14"/>
                <w:b w:val="1"/>
                <w:bCs w:val="1"/>
                <w:color w:val="auto"/>
              </w:rPr>
              <w:t>Compensation</w:t>
            </w:r>
          </w:p>
        </w:tc>
        <w:tc>
          <w:tcPr>
            <w:tcW w:w="1000" w:type="dxa"/>
            <w:vAlign w:val="bottom"/>
            <w:vMerge w:val="continue"/>
            <w:shd w:val="clear" w:color="auto" w:fill="FFE8F5"/>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FFE8F5"/>
          </w:tcPr>
          <w:p>
            <w:pPr>
              <w:spacing w:after="0"/>
              <w:rPr>
                <w:sz w:val="7"/>
                <w:szCs w:val="7"/>
                <w:color w:val="auto"/>
              </w:rPr>
            </w:pPr>
          </w:p>
        </w:tc>
        <w:tc>
          <w:tcPr>
            <w:tcW w:w="2280" w:type="dxa"/>
            <w:vAlign w:val="bottom"/>
            <w:vMerge w:val="continue"/>
            <w:shd w:val="clear" w:color="auto" w:fill="FFE8F5"/>
          </w:tcPr>
          <w:p>
            <w:pPr>
              <w:spacing w:after="0"/>
              <w:rPr>
                <w:sz w:val="7"/>
                <w:szCs w:val="7"/>
                <w:color w:val="auto"/>
              </w:rPr>
            </w:pPr>
          </w:p>
        </w:tc>
        <w:tc>
          <w:tcPr>
            <w:tcW w:w="860" w:type="dxa"/>
            <w:vAlign w:val="bottom"/>
            <w:vMerge w:val="restart"/>
            <w:shd w:val="clear" w:color="auto" w:fill="FFE8F5"/>
          </w:tcPr>
          <w:p>
            <w:pPr>
              <w:ind w:left="300"/>
              <w:spacing w:after="0"/>
              <w:rPr>
                <w:sz w:val="20"/>
                <w:szCs w:val="20"/>
                <w:color w:val="auto"/>
              </w:rPr>
            </w:pPr>
            <w:r>
              <w:rPr>
                <w:rFonts w:ascii="Arial" w:cs="Arial" w:eastAsia="Arial" w:hAnsi="Arial"/>
                <w:sz w:val="14"/>
                <w:szCs w:val="14"/>
                <w:b w:val="1"/>
                <w:bCs w:val="1"/>
                <w:color w:val="auto"/>
              </w:rPr>
              <w:t>Year</w:t>
            </w:r>
          </w:p>
        </w:tc>
        <w:tc>
          <w:tcPr>
            <w:tcW w:w="320" w:type="dxa"/>
            <w:vAlign w:val="bottom"/>
            <w:vMerge w:val="restart"/>
            <w:shd w:val="clear" w:color="auto" w:fill="FFE8F5"/>
          </w:tcPr>
          <w:p>
            <w:pPr>
              <w:ind w:left="140"/>
              <w:spacing w:after="0"/>
              <w:rPr>
                <w:sz w:val="20"/>
                <w:szCs w:val="20"/>
                <w:color w:val="auto"/>
              </w:rPr>
            </w:pPr>
            <w:r>
              <w:rPr>
                <w:rFonts w:ascii="Arial" w:cs="Arial" w:eastAsia="Arial" w:hAnsi="Arial"/>
                <w:sz w:val="14"/>
                <w:szCs w:val="14"/>
                <w:b w:val="1"/>
                <w:bCs w:val="1"/>
                <w:color w:val="auto"/>
                <w:w w:val="93"/>
              </w:rPr>
              <w:t>($)</w:t>
            </w:r>
          </w:p>
        </w:tc>
        <w:tc>
          <w:tcPr>
            <w:tcW w:w="440" w:type="dxa"/>
            <w:vAlign w:val="bottom"/>
            <w:vMerge w:val="restart"/>
            <w:shd w:val="clear" w:color="auto" w:fill="FFE8F5"/>
          </w:tcPr>
          <w:p>
            <w:pPr>
              <w:jc w:val="right"/>
              <w:ind w:right="240"/>
              <w:spacing w:after="0"/>
              <w:rPr>
                <w:sz w:val="20"/>
                <w:szCs w:val="20"/>
                <w:color w:val="auto"/>
              </w:rPr>
            </w:pPr>
            <w:r>
              <w:rPr>
                <w:rFonts w:ascii="Arial" w:cs="Arial" w:eastAsia="Arial" w:hAnsi="Arial"/>
                <w:sz w:val="12"/>
                <w:szCs w:val="12"/>
                <w:b w:val="1"/>
                <w:bCs w:val="1"/>
                <w:color w:val="auto"/>
                <w:w w:val="81"/>
              </w:rPr>
              <w:t>(1)</w:t>
            </w:r>
          </w:p>
        </w:tc>
        <w:tc>
          <w:tcPr>
            <w:tcW w:w="860" w:type="dxa"/>
            <w:vAlign w:val="bottom"/>
            <w:vMerge w:val="restart"/>
            <w:shd w:val="clear" w:color="auto" w:fill="FFE8F5"/>
          </w:tcPr>
          <w:p>
            <w:pPr>
              <w:ind w:left="180"/>
              <w:spacing w:after="0"/>
              <w:rPr>
                <w:sz w:val="20"/>
                <w:szCs w:val="20"/>
                <w:color w:val="auto"/>
              </w:rPr>
            </w:pPr>
            <w:r>
              <w:rPr>
                <w:rFonts w:ascii="Arial" w:cs="Arial" w:eastAsia="Arial" w:hAnsi="Arial"/>
                <w:sz w:val="14"/>
                <w:szCs w:val="14"/>
                <w:b w:val="1"/>
                <w:bCs w:val="1"/>
                <w:color w:val="auto"/>
              </w:rPr>
              <w:t>($)</w:t>
            </w:r>
          </w:p>
        </w:tc>
        <w:tc>
          <w:tcPr>
            <w:tcW w:w="960" w:type="dxa"/>
            <w:vAlign w:val="bottom"/>
            <w:vMerge w:val="continue"/>
            <w:shd w:val="clear" w:color="auto" w:fill="FFE8F5"/>
          </w:tcPr>
          <w:p>
            <w:pPr>
              <w:spacing w:after="0"/>
              <w:rPr>
                <w:sz w:val="7"/>
                <w:szCs w:val="7"/>
                <w:color w:val="auto"/>
              </w:rPr>
            </w:pPr>
          </w:p>
        </w:tc>
        <w:tc>
          <w:tcPr>
            <w:tcW w:w="1360" w:type="dxa"/>
            <w:vAlign w:val="bottom"/>
            <w:vMerge w:val="restart"/>
            <w:shd w:val="clear" w:color="auto" w:fill="FFE8F5"/>
          </w:tcPr>
          <w:p>
            <w:pPr>
              <w:ind w:left="200"/>
              <w:spacing w:after="0"/>
              <w:rPr>
                <w:sz w:val="20"/>
                <w:szCs w:val="20"/>
                <w:color w:val="auto"/>
              </w:rPr>
            </w:pPr>
            <w:r>
              <w:rPr>
                <w:rFonts w:ascii="Arial" w:cs="Arial" w:eastAsia="Arial" w:hAnsi="Arial"/>
                <w:sz w:val="14"/>
                <w:szCs w:val="14"/>
                <w:b w:val="1"/>
                <w:bCs w:val="1"/>
                <w:color w:val="auto"/>
              </w:rPr>
              <w:t>Compensation</w:t>
            </w:r>
          </w:p>
        </w:tc>
        <w:tc>
          <w:tcPr>
            <w:tcW w:w="1320" w:type="dxa"/>
            <w:vAlign w:val="bottom"/>
            <w:vMerge w:val="continue"/>
            <w:shd w:val="clear" w:color="auto" w:fill="FFE8F5"/>
          </w:tcPr>
          <w:p>
            <w:pPr>
              <w:spacing w:after="0"/>
              <w:rPr>
                <w:sz w:val="7"/>
                <w:szCs w:val="7"/>
                <w:color w:val="auto"/>
              </w:rPr>
            </w:pPr>
          </w:p>
        </w:tc>
        <w:tc>
          <w:tcPr>
            <w:tcW w:w="1000" w:type="dxa"/>
            <w:vAlign w:val="bottom"/>
            <w:vMerge w:val="restart"/>
            <w:shd w:val="clear" w:color="auto" w:fill="FFE8F5"/>
          </w:tcPr>
          <w:p>
            <w:pPr>
              <w:ind w:left="1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1"/>
        </w:trPr>
        <w:tc>
          <w:tcPr>
            <w:tcW w:w="100" w:type="dxa"/>
            <w:vAlign w:val="bottom"/>
            <w:shd w:val="clear" w:color="auto" w:fill="FFE8F5"/>
          </w:tcPr>
          <w:p>
            <w:pPr>
              <w:spacing w:after="0"/>
              <w:rPr>
                <w:sz w:val="7"/>
                <w:szCs w:val="7"/>
                <w:color w:val="auto"/>
              </w:rPr>
            </w:pPr>
          </w:p>
        </w:tc>
        <w:tc>
          <w:tcPr>
            <w:tcW w:w="2280" w:type="dxa"/>
            <w:vAlign w:val="bottom"/>
            <w:shd w:val="clear" w:color="auto" w:fill="FFE8F5"/>
          </w:tcPr>
          <w:p>
            <w:pPr>
              <w:spacing w:after="0"/>
              <w:rPr>
                <w:sz w:val="7"/>
                <w:szCs w:val="7"/>
                <w:color w:val="auto"/>
              </w:rPr>
            </w:pPr>
          </w:p>
        </w:tc>
        <w:tc>
          <w:tcPr>
            <w:tcW w:w="860" w:type="dxa"/>
            <w:vAlign w:val="bottom"/>
            <w:vMerge w:val="continue"/>
            <w:shd w:val="clear" w:color="auto" w:fill="FFE8F5"/>
          </w:tcPr>
          <w:p>
            <w:pPr>
              <w:spacing w:after="0"/>
              <w:rPr>
                <w:sz w:val="7"/>
                <w:szCs w:val="7"/>
                <w:color w:val="auto"/>
              </w:rPr>
            </w:pPr>
          </w:p>
        </w:tc>
        <w:tc>
          <w:tcPr>
            <w:tcW w:w="320" w:type="dxa"/>
            <w:vAlign w:val="bottom"/>
            <w:vMerge w:val="continue"/>
            <w:shd w:val="clear" w:color="auto" w:fill="FFE8F5"/>
          </w:tcPr>
          <w:p>
            <w:pPr>
              <w:spacing w:after="0"/>
              <w:rPr>
                <w:sz w:val="7"/>
                <w:szCs w:val="7"/>
                <w:color w:val="auto"/>
              </w:rPr>
            </w:pPr>
          </w:p>
        </w:tc>
        <w:tc>
          <w:tcPr>
            <w:tcW w:w="440" w:type="dxa"/>
            <w:vAlign w:val="bottom"/>
            <w:vMerge w:val="continue"/>
            <w:shd w:val="clear" w:color="auto" w:fill="FFE8F5"/>
          </w:tcPr>
          <w:p>
            <w:pPr>
              <w:spacing w:after="0"/>
              <w:rPr>
                <w:sz w:val="7"/>
                <w:szCs w:val="7"/>
                <w:color w:val="auto"/>
              </w:rPr>
            </w:pPr>
          </w:p>
        </w:tc>
        <w:tc>
          <w:tcPr>
            <w:tcW w:w="860" w:type="dxa"/>
            <w:vAlign w:val="bottom"/>
            <w:vMerge w:val="continue"/>
            <w:shd w:val="clear" w:color="auto" w:fill="FFE8F5"/>
          </w:tcPr>
          <w:p>
            <w:pPr>
              <w:spacing w:after="0"/>
              <w:rPr>
                <w:sz w:val="7"/>
                <w:szCs w:val="7"/>
                <w:color w:val="auto"/>
              </w:rPr>
            </w:pPr>
          </w:p>
        </w:tc>
        <w:tc>
          <w:tcPr>
            <w:tcW w:w="960" w:type="dxa"/>
            <w:vAlign w:val="bottom"/>
            <w:vMerge w:val="restart"/>
            <w:shd w:val="clear" w:color="auto" w:fill="FFE8F5"/>
          </w:tcPr>
          <w:p>
            <w:pPr>
              <w:ind w:left="24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(2)(3)</w:t>
            </w:r>
          </w:p>
        </w:tc>
        <w:tc>
          <w:tcPr>
            <w:tcW w:w="1360" w:type="dxa"/>
            <w:vAlign w:val="bottom"/>
            <w:vMerge w:val="continue"/>
            <w:shd w:val="clear" w:color="auto" w:fill="FFE8F5"/>
          </w:tcPr>
          <w:p>
            <w:pPr>
              <w:spacing w:after="0"/>
              <w:rPr>
                <w:sz w:val="7"/>
                <w:szCs w:val="7"/>
                <w:color w:val="auto"/>
              </w:rPr>
            </w:pPr>
          </w:p>
        </w:tc>
        <w:tc>
          <w:tcPr>
            <w:tcW w:w="1320" w:type="dxa"/>
            <w:vAlign w:val="bottom"/>
            <w:vMerge w:val="restart"/>
            <w:shd w:val="clear" w:color="auto" w:fill="FFE8F5"/>
          </w:tcPr>
          <w:p>
            <w:pPr>
              <w:ind w:left="16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(5)</w:t>
            </w:r>
          </w:p>
        </w:tc>
        <w:tc>
          <w:tcPr>
            <w:tcW w:w="1000" w:type="dxa"/>
            <w:vAlign w:val="bottom"/>
            <w:vMerge w:val="continue"/>
            <w:shd w:val="clear" w:color="auto" w:fill="FFE8F5"/>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100" w:type="dxa"/>
            <w:vAlign w:val="bottom"/>
            <w:tcBorders>
              <w:bottom w:val="single" w:sz="8" w:color="auto"/>
            </w:tcBorders>
            <w:shd w:val="clear" w:color="auto" w:fill="FFE8F5"/>
          </w:tcPr>
          <w:p>
            <w:pPr>
              <w:spacing w:after="0"/>
              <w:rPr>
                <w:sz w:val="24"/>
                <w:szCs w:val="24"/>
                <w:color w:val="auto"/>
              </w:rPr>
            </w:pPr>
          </w:p>
        </w:tc>
        <w:tc>
          <w:tcPr>
            <w:tcW w:w="2280" w:type="dxa"/>
            <w:vAlign w:val="bottom"/>
            <w:tcBorders>
              <w:bottom w:val="single" w:sz="8" w:color="auto"/>
            </w:tcBorders>
            <w:shd w:val="clear" w:color="auto" w:fill="FFE8F5"/>
          </w:tcPr>
          <w:p>
            <w:pPr>
              <w:spacing w:after="0"/>
              <w:rPr>
                <w:sz w:val="24"/>
                <w:szCs w:val="24"/>
                <w:color w:val="auto"/>
              </w:rPr>
            </w:pPr>
          </w:p>
        </w:tc>
        <w:tc>
          <w:tcPr>
            <w:tcW w:w="860" w:type="dxa"/>
            <w:vAlign w:val="bottom"/>
            <w:tcBorders>
              <w:bottom w:val="single" w:sz="8" w:color="auto"/>
            </w:tcBorders>
            <w:shd w:val="clear" w:color="auto" w:fill="FFE8F5"/>
          </w:tcPr>
          <w:p>
            <w:pPr>
              <w:spacing w:after="0"/>
              <w:rPr>
                <w:sz w:val="24"/>
                <w:szCs w:val="24"/>
                <w:color w:val="auto"/>
              </w:rPr>
            </w:pPr>
          </w:p>
        </w:tc>
        <w:tc>
          <w:tcPr>
            <w:tcW w:w="320" w:type="dxa"/>
            <w:vAlign w:val="bottom"/>
            <w:tcBorders>
              <w:bottom w:val="single" w:sz="8" w:color="auto"/>
            </w:tcBorders>
            <w:vMerge w:val="continue"/>
            <w:shd w:val="clear" w:color="auto" w:fill="FFE8F5"/>
          </w:tcPr>
          <w:p>
            <w:pPr>
              <w:spacing w:after="0"/>
              <w:rPr>
                <w:sz w:val="24"/>
                <w:szCs w:val="24"/>
                <w:color w:val="auto"/>
              </w:rPr>
            </w:pPr>
          </w:p>
        </w:tc>
        <w:tc>
          <w:tcPr>
            <w:tcW w:w="440" w:type="dxa"/>
            <w:vAlign w:val="bottom"/>
            <w:tcBorders>
              <w:bottom w:val="single" w:sz="8" w:color="auto"/>
            </w:tcBorders>
            <w:shd w:val="clear" w:color="auto" w:fill="FFE8F5"/>
          </w:tcPr>
          <w:p>
            <w:pPr>
              <w:spacing w:after="0"/>
              <w:rPr>
                <w:sz w:val="24"/>
                <w:szCs w:val="24"/>
                <w:color w:val="auto"/>
              </w:rPr>
            </w:pPr>
          </w:p>
        </w:tc>
        <w:tc>
          <w:tcPr>
            <w:tcW w:w="860" w:type="dxa"/>
            <w:vAlign w:val="bottom"/>
            <w:tcBorders>
              <w:bottom w:val="single" w:sz="8" w:color="auto"/>
            </w:tcBorders>
            <w:shd w:val="clear" w:color="auto" w:fill="FFE8F5"/>
          </w:tcPr>
          <w:p>
            <w:pPr>
              <w:spacing w:after="0"/>
              <w:rPr>
                <w:sz w:val="24"/>
                <w:szCs w:val="24"/>
                <w:color w:val="auto"/>
              </w:rPr>
            </w:pPr>
          </w:p>
        </w:tc>
        <w:tc>
          <w:tcPr>
            <w:tcW w:w="960" w:type="dxa"/>
            <w:vAlign w:val="bottom"/>
            <w:tcBorders>
              <w:bottom w:val="single" w:sz="8" w:color="auto"/>
            </w:tcBorders>
            <w:vMerge w:val="continue"/>
            <w:shd w:val="clear" w:color="auto" w:fill="FFE8F5"/>
          </w:tcPr>
          <w:p>
            <w:pPr>
              <w:spacing w:after="0"/>
              <w:rPr>
                <w:sz w:val="24"/>
                <w:szCs w:val="24"/>
                <w:color w:val="auto"/>
              </w:rPr>
            </w:pPr>
          </w:p>
        </w:tc>
        <w:tc>
          <w:tcPr>
            <w:tcW w:w="1360" w:type="dxa"/>
            <w:vAlign w:val="bottom"/>
            <w:tcBorders>
              <w:bottom w:val="single" w:sz="8" w:color="auto"/>
            </w:tcBorders>
            <w:shd w:val="clear" w:color="auto" w:fill="FFE8F5"/>
          </w:tcPr>
          <w:p>
            <w:pPr>
              <w:ind w:left="2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(4)</w:t>
            </w:r>
          </w:p>
        </w:tc>
        <w:tc>
          <w:tcPr>
            <w:tcW w:w="1320" w:type="dxa"/>
            <w:vAlign w:val="bottom"/>
            <w:tcBorders>
              <w:bottom w:val="single" w:sz="8" w:color="auto"/>
            </w:tcBorders>
            <w:vMerge w:val="continue"/>
            <w:shd w:val="clear" w:color="auto" w:fill="FFE8F5"/>
          </w:tcPr>
          <w:p>
            <w:pPr>
              <w:spacing w:after="0"/>
              <w:rPr>
                <w:sz w:val="24"/>
                <w:szCs w:val="24"/>
                <w:color w:val="auto"/>
              </w:rPr>
            </w:pPr>
          </w:p>
        </w:tc>
        <w:tc>
          <w:tcPr>
            <w:tcW w:w="1000" w:type="dxa"/>
            <w:vAlign w:val="bottom"/>
            <w:tcBorders>
              <w:bottom w:val="single" w:sz="8" w:color="auto"/>
            </w:tcBorders>
            <w:shd w:val="clear" w:color="auto" w:fill="FFE8F5"/>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2560" w:type="dxa"/>
            <w:vAlign w:val="bottom"/>
          </w:tcPr>
          <w:p>
            <w:pPr>
              <w:ind w:left="140"/>
              <w:spacing w:after="0"/>
              <w:rPr>
                <w:sz w:val="20"/>
                <w:szCs w:val="20"/>
                <w:color w:val="auto"/>
              </w:rPr>
            </w:pPr>
            <w:r>
              <w:rPr>
                <w:rFonts w:ascii="Arial" w:cs="Arial" w:eastAsia="Arial" w:hAnsi="Arial"/>
                <w:sz w:val="14"/>
                <w:szCs w:val="14"/>
                <w:b w:val="1"/>
                <w:bCs w:val="1"/>
                <w:color w:val="auto"/>
              </w:rPr>
              <w:t>Jennifer Hyman</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2025</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750,000</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268"/>
              <w:spacing w:after="0"/>
              <w:rPr>
                <w:sz w:val="20"/>
                <w:szCs w:val="20"/>
                <w:color w:val="auto"/>
              </w:rPr>
            </w:pPr>
            <w:r>
              <w:rPr>
                <w:rFonts w:ascii="Arial" w:cs="Arial" w:eastAsia="Arial" w:hAnsi="Arial"/>
                <w:sz w:val="14"/>
                <w:szCs w:val="14"/>
                <w:color w:val="auto"/>
              </w:rPr>
              <w:t>8,465,261</w:t>
            </w:r>
          </w:p>
        </w:tc>
        <w:tc>
          <w:tcPr>
            <w:tcW w:w="1420" w:type="dxa"/>
            <w:vAlign w:val="bottom"/>
          </w:tcPr>
          <w:p>
            <w:pPr>
              <w:jc w:val="right"/>
              <w:ind w:right="368"/>
              <w:spacing w:after="0"/>
              <w:rPr>
                <w:sz w:val="20"/>
                <w:szCs w:val="20"/>
                <w:color w:val="auto"/>
              </w:rPr>
            </w:pPr>
            <w:r>
              <w:rPr>
                <w:rFonts w:ascii="Arial" w:cs="Arial" w:eastAsia="Arial" w:hAnsi="Arial"/>
                <w:sz w:val="14"/>
                <w:szCs w:val="14"/>
                <w:color w:val="auto"/>
              </w:rPr>
              <w:t>3,330,688</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30,418</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12,576,367</w:t>
            </w:r>
          </w:p>
        </w:tc>
        <w:tc>
          <w:tcPr>
            <w:tcW w:w="0" w:type="dxa"/>
            <w:vAlign w:val="bottom"/>
          </w:tcPr>
          <w:p>
            <w:pPr>
              <w:spacing w:after="0"/>
              <w:rPr>
                <w:sz w:val="1"/>
                <w:szCs w:val="1"/>
                <w:color w:val="auto"/>
              </w:rPr>
            </w:pPr>
          </w:p>
        </w:tc>
      </w:tr>
      <w:tr>
        <w:trPr>
          <w:trHeight w:val="90"/>
        </w:trPr>
        <w:tc>
          <w:tcPr>
            <w:tcW w:w="2560" w:type="dxa"/>
            <w:vAlign w:val="bottom"/>
            <w:vMerge w:val="restart"/>
          </w:tcPr>
          <w:p>
            <w:pPr>
              <w:ind w:left="320"/>
              <w:spacing w:after="0"/>
              <w:rPr>
                <w:sz w:val="20"/>
                <w:szCs w:val="20"/>
                <w:color w:val="auto"/>
              </w:rPr>
            </w:pPr>
            <w:r>
              <w:rPr>
                <w:rFonts w:ascii="Arial" w:cs="Arial" w:eastAsia="Arial" w:hAnsi="Arial"/>
                <w:sz w:val="14"/>
                <w:szCs w:val="14"/>
                <w:color w:val="auto"/>
              </w:rPr>
              <w:t>Co-founder, Former Chief</w:t>
            </w:r>
          </w:p>
        </w:tc>
        <w:tc>
          <w:tcPr>
            <w:tcW w:w="7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5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560" w:type="dxa"/>
            <w:vAlign w:val="bottom"/>
          </w:tcPr>
          <w:p>
            <w:pPr>
              <w:ind w:left="320"/>
              <w:spacing w:after="0"/>
              <w:rPr>
                <w:sz w:val="20"/>
                <w:szCs w:val="20"/>
                <w:color w:val="auto"/>
              </w:rPr>
            </w:pPr>
            <w:r>
              <w:rPr>
                <w:rFonts w:ascii="Arial" w:cs="Arial" w:eastAsia="Arial" w:hAnsi="Arial"/>
                <w:sz w:val="14"/>
                <w:szCs w:val="14"/>
                <w:color w:val="auto"/>
              </w:rPr>
              <w:t>Executive Officer and President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2024</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650,000</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1,172,500</w:t>
            </w:r>
          </w:p>
        </w:tc>
        <w:tc>
          <w:tcPr>
            <w:tcW w:w="1120" w:type="dxa"/>
            <w:vAlign w:val="bottom"/>
          </w:tcPr>
          <w:p>
            <w:pPr>
              <w:jc w:val="right"/>
              <w:ind w:right="268"/>
              <w:spacing w:after="0"/>
              <w:rPr>
                <w:sz w:val="20"/>
                <w:szCs w:val="20"/>
                <w:color w:val="auto"/>
              </w:rPr>
            </w:pPr>
            <w:r>
              <w:rPr>
                <w:rFonts w:ascii="Arial" w:cs="Arial" w:eastAsia="Arial" w:hAnsi="Arial"/>
                <w:sz w:val="14"/>
                <w:szCs w:val="14"/>
                <w:color w:val="auto"/>
              </w:rPr>
              <w:t>334,800</w:t>
            </w:r>
          </w:p>
        </w:tc>
        <w:tc>
          <w:tcPr>
            <w:tcW w:w="1420" w:type="dxa"/>
            <w:vAlign w:val="bottom"/>
          </w:tcPr>
          <w:p>
            <w:pPr>
              <w:jc w:val="right"/>
              <w:ind w:right="368"/>
              <w:spacing w:after="0"/>
              <w:rPr>
                <w:sz w:val="20"/>
                <w:szCs w:val="20"/>
                <w:color w:val="auto"/>
              </w:rPr>
            </w:pPr>
            <w:r>
              <w:rPr>
                <w:rFonts w:ascii="Arial" w:cs="Arial" w:eastAsia="Arial" w:hAnsi="Arial"/>
                <w:sz w:val="14"/>
                <w:szCs w:val="14"/>
                <w:color w:val="auto"/>
              </w:rPr>
              <w:t>266,752</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40,710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2,464,762</w:t>
            </w:r>
          </w:p>
        </w:tc>
        <w:tc>
          <w:tcPr>
            <w:tcW w:w="0" w:type="dxa"/>
            <w:vAlign w:val="bottom"/>
          </w:tcPr>
          <w:p>
            <w:pPr>
              <w:spacing w:after="0"/>
              <w:rPr>
                <w:sz w:val="1"/>
                <w:szCs w:val="1"/>
                <w:color w:val="auto"/>
              </w:rPr>
            </w:pPr>
          </w:p>
        </w:tc>
      </w:tr>
      <w:tr>
        <w:trPr>
          <w:trHeight w:val="76"/>
        </w:trPr>
        <w:tc>
          <w:tcPr>
            <w:tcW w:w="25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25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Sid Thacker</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2025</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550,000</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268"/>
              <w:spacing w:after="0"/>
              <w:rPr>
                <w:sz w:val="20"/>
                <w:szCs w:val="20"/>
                <w:color w:val="auto"/>
              </w:rPr>
            </w:pPr>
            <w:r>
              <w:rPr>
                <w:rFonts w:ascii="Arial" w:cs="Arial" w:eastAsia="Arial" w:hAnsi="Arial"/>
                <w:sz w:val="14"/>
                <w:szCs w:val="14"/>
                <w:color w:val="auto"/>
              </w:rPr>
              <w:t>1,693,047</w:t>
            </w:r>
          </w:p>
        </w:tc>
        <w:tc>
          <w:tcPr>
            <w:tcW w:w="1420" w:type="dxa"/>
            <w:vAlign w:val="bottom"/>
          </w:tcPr>
          <w:p>
            <w:pPr>
              <w:jc w:val="right"/>
              <w:ind w:right="368"/>
              <w:spacing w:after="0"/>
              <w:rPr>
                <w:sz w:val="20"/>
                <w:szCs w:val="20"/>
                <w:color w:val="auto"/>
              </w:rPr>
            </w:pPr>
            <w:r>
              <w:rPr>
                <w:rFonts w:ascii="Arial" w:cs="Arial" w:eastAsia="Arial" w:hAnsi="Arial"/>
                <w:sz w:val="14"/>
                <w:szCs w:val="14"/>
                <w:color w:val="auto"/>
              </w:rPr>
              <w:t>858,227</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14,600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3,115,874</w:t>
            </w:r>
          </w:p>
        </w:tc>
        <w:tc>
          <w:tcPr>
            <w:tcW w:w="0" w:type="dxa"/>
            <w:vAlign w:val="bottom"/>
          </w:tcPr>
          <w:p>
            <w:pPr>
              <w:spacing w:after="0"/>
              <w:rPr>
                <w:sz w:val="1"/>
                <w:szCs w:val="1"/>
                <w:color w:val="auto"/>
              </w:rPr>
            </w:pPr>
          </w:p>
        </w:tc>
      </w:tr>
      <w:tr>
        <w:trPr>
          <w:trHeight w:val="75"/>
        </w:trPr>
        <w:tc>
          <w:tcPr>
            <w:tcW w:w="2560" w:type="dxa"/>
            <w:vAlign w:val="bottom"/>
            <w:vMerge w:val="continue"/>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560" w:type="dxa"/>
            <w:vAlign w:val="bottom"/>
          </w:tcPr>
          <w:p>
            <w:pPr>
              <w:ind w:left="320"/>
              <w:spacing w:after="0"/>
              <w:rPr>
                <w:sz w:val="20"/>
                <w:szCs w:val="20"/>
                <w:color w:val="auto"/>
              </w:rPr>
            </w:pPr>
            <w:r>
              <w:rPr>
                <w:rFonts w:ascii="Arial" w:cs="Arial" w:eastAsia="Arial" w:hAnsi="Arial"/>
                <w:sz w:val="14"/>
                <w:szCs w:val="14"/>
                <w:color w:val="auto"/>
              </w:rPr>
              <w:t>Chief Financial Officer​</w:t>
            </w: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color w:val="auto"/>
              </w:rPr>
              <w:t>2024</w:t>
            </w: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color w:val="auto"/>
              </w:rPr>
              <w:t>475,000</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auto"/>
              </w:rPr>
              <w:t>481,562</w:t>
            </w:r>
          </w:p>
        </w:tc>
        <w:tc>
          <w:tcPr>
            <w:tcW w:w="1120" w:type="dxa"/>
            <w:vAlign w:val="bottom"/>
            <w:vMerge w:val="restart"/>
          </w:tcPr>
          <w:p>
            <w:pPr>
              <w:jc w:val="right"/>
              <w:ind w:right="268"/>
              <w:spacing w:after="0"/>
              <w:rPr>
                <w:sz w:val="20"/>
                <w:szCs w:val="20"/>
                <w:color w:val="auto"/>
              </w:rPr>
            </w:pPr>
            <w:r>
              <w:rPr>
                <w:rFonts w:ascii="Arial" w:cs="Arial" w:eastAsia="Arial" w:hAnsi="Arial"/>
                <w:sz w:val="14"/>
                <w:szCs w:val="14"/>
                <w:color w:val="auto"/>
              </w:rPr>
              <w:t>167,396</w:t>
            </w:r>
          </w:p>
        </w:tc>
        <w:tc>
          <w:tcPr>
            <w:tcW w:w="1420" w:type="dxa"/>
            <w:vAlign w:val="bottom"/>
            <w:vMerge w:val="restart"/>
          </w:tcPr>
          <w:p>
            <w:pPr>
              <w:jc w:val="right"/>
              <w:ind w:right="368"/>
              <w:spacing w:after="0"/>
              <w:rPr>
                <w:sz w:val="20"/>
                <w:szCs w:val="20"/>
                <w:color w:val="auto"/>
              </w:rPr>
            </w:pPr>
            <w:r>
              <w:rPr>
                <w:rFonts w:ascii="Arial" w:cs="Arial" w:eastAsia="Arial" w:hAnsi="Arial"/>
                <w:sz w:val="14"/>
                <w:szCs w:val="14"/>
                <w:color w:val="auto"/>
              </w:rPr>
              <w:t>83,822</w:t>
            </w: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color w:val="auto"/>
              </w:rPr>
              <w:t>14,400</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1,222,180</w:t>
            </w:r>
          </w:p>
        </w:tc>
        <w:tc>
          <w:tcPr>
            <w:tcW w:w="0" w:type="dxa"/>
            <w:vAlign w:val="bottom"/>
          </w:tcPr>
          <w:p>
            <w:pPr>
              <w:spacing w:after="0"/>
              <w:rPr>
                <w:sz w:val="1"/>
                <w:szCs w:val="1"/>
                <w:color w:val="auto"/>
              </w:rPr>
            </w:pPr>
          </w:p>
        </w:tc>
      </w:tr>
      <w:tr>
        <w:trPr>
          <w:trHeight w:val="85"/>
        </w:trPr>
        <w:tc>
          <w:tcPr>
            <w:tcW w:w="25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5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25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Sarah Tam</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2025</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500,000</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268"/>
              <w:spacing w:after="0"/>
              <w:rPr>
                <w:sz w:val="20"/>
                <w:szCs w:val="20"/>
                <w:color w:val="auto"/>
              </w:rPr>
            </w:pPr>
            <w:r>
              <w:rPr>
                <w:rFonts w:ascii="Arial" w:cs="Arial" w:eastAsia="Arial" w:hAnsi="Arial"/>
                <w:sz w:val="14"/>
                <w:szCs w:val="14"/>
                <w:color w:val="auto"/>
              </w:rPr>
              <w:t>1,693,047</w:t>
            </w:r>
          </w:p>
        </w:tc>
        <w:tc>
          <w:tcPr>
            <w:tcW w:w="1420" w:type="dxa"/>
            <w:vAlign w:val="bottom"/>
          </w:tcPr>
          <w:p>
            <w:pPr>
              <w:jc w:val="right"/>
              <w:ind w:right="368"/>
              <w:spacing w:after="0"/>
              <w:rPr>
                <w:sz w:val="20"/>
                <w:szCs w:val="20"/>
                <w:color w:val="auto"/>
              </w:rPr>
            </w:pPr>
            <w:r>
              <w:rPr>
                <w:rFonts w:ascii="Arial" w:cs="Arial" w:eastAsia="Arial" w:hAnsi="Arial"/>
                <w:sz w:val="14"/>
                <w:szCs w:val="14"/>
                <w:color w:val="auto"/>
              </w:rPr>
              <w:t>789,508</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14,600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2,997,155</w:t>
            </w:r>
          </w:p>
        </w:tc>
        <w:tc>
          <w:tcPr>
            <w:tcW w:w="0" w:type="dxa"/>
            <w:vAlign w:val="bottom"/>
          </w:tcPr>
          <w:p>
            <w:pPr>
              <w:spacing w:after="0"/>
              <w:rPr>
                <w:sz w:val="1"/>
                <w:szCs w:val="1"/>
                <w:color w:val="auto"/>
              </w:rPr>
            </w:pPr>
          </w:p>
        </w:tc>
      </w:tr>
      <w:tr>
        <w:trPr>
          <w:trHeight w:val="76"/>
        </w:trPr>
        <w:tc>
          <w:tcPr>
            <w:tcW w:w="2560" w:type="dxa"/>
            <w:vAlign w:val="bottom"/>
            <w:vMerge w:val="continue"/>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560" w:type="dxa"/>
            <w:vAlign w:val="bottom"/>
          </w:tcPr>
          <w:p>
            <w:pPr>
              <w:ind w:left="320"/>
              <w:spacing w:after="0"/>
              <w:rPr>
                <w:sz w:val="20"/>
                <w:szCs w:val="20"/>
                <w:color w:val="auto"/>
              </w:rPr>
            </w:pPr>
            <w:r>
              <w:rPr>
                <w:rFonts w:ascii="Arial" w:cs="Arial" w:eastAsia="Arial" w:hAnsi="Arial"/>
                <w:sz w:val="14"/>
                <w:szCs w:val="14"/>
                <w:color w:val="auto"/>
              </w:rPr>
              <w:t>Chief Merchant Officer</w:t>
            </w: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color w:val="auto"/>
              </w:rPr>
              <w:t>2024</w:t>
            </w: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color w:val="auto"/>
              </w:rPr>
              <w:t>500,000</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auto"/>
              </w:rPr>
              <w:t>405,625</w:t>
            </w:r>
          </w:p>
        </w:tc>
        <w:tc>
          <w:tcPr>
            <w:tcW w:w="1120" w:type="dxa"/>
            <w:vAlign w:val="bottom"/>
            <w:vMerge w:val="restart"/>
          </w:tcPr>
          <w:p>
            <w:pPr>
              <w:jc w:val="right"/>
              <w:ind w:right="268"/>
              <w:spacing w:after="0"/>
              <w:rPr>
                <w:sz w:val="20"/>
                <w:szCs w:val="20"/>
                <w:color w:val="auto"/>
              </w:rPr>
            </w:pPr>
            <w:r>
              <w:rPr>
                <w:rFonts w:ascii="Arial" w:cs="Arial" w:eastAsia="Arial" w:hAnsi="Arial"/>
                <w:sz w:val="14"/>
                <w:szCs w:val="14"/>
                <w:color w:val="auto"/>
              </w:rPr>
              <w:t>120,897</w:t>
            </w:r>
          </w:p>
        </w:tc>
        <w:tc>
          <w:tcPr>
            <w:tcW w:w="1420" w:type="dxa"/>
            <w:vAlign w:val="bottom"/>
            <w:vMerge w:val="restart"/>
          </w:tcPr>
          <w:p>
            <w:pPr>
              <w:jc w:val="right"/>
              <w:ind w:right="368"/>
              <w:spacing w:after="0"/>
              <w:rPr>
                <w:sz w:val="20"/>
                <w:szCs w:val="20"/>
                <w:color w:val="auto"/>
              </w:rPr>
            </w:pPr>
            <w:r>
              <w:rPr>
                <w:rFonts w:ascii="Arial" w:cs="Arial" w:eastAsia="Arial" w:hAnsi="Arial"/>
                <w:sz w:val="14"/>
                <w:szCs w:val="14"/>
                <w:color w:val="auto"/>
              </w:rPr>
              <w:t>79,439</w:t>
            </w: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color w:val="auto"/>
              </w:rPr>
              <w:t>14,806</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1,120,767</w:t>
            </w:r>
          </w:p>
        </w:tc>
        <w:tc>
          <w:tcPr>
            <w:tcW w:w="0" w:type="dxa"/>
            <w:vAlign w:val="bottom"/>
          </w:tcPr>
          <w:p>
            <w:pPr>
              <w:spacing w:after="0"/>
              <w:rPr>
                <w:sz w:val="1"/>
                <w:szCs w:val="1"/>
                <w:color w:val="auto"/>
              </w:rPr>
            </w:pPr>
          </w:p>
        </w:tc>
      </w:tr>
      <w:tr>
        <w:trPr>
          <w:trHeight w:val="85"/>
        </w:trPr>
        <w:tc>
          <w:tcPr>
            <w:tcW w:w="25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25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hanging="359"/>
        <w:spacing w:after="0"/>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reflect the actual base salaries paid to each named executive officer. For additional information, see “Base Salaries” below.</w:t>
      </w:r>
    </w:p>
    <w:p>
      <w:pPr>
        <w:spacing w:after="0" w:line="55" w:lineRule="exact"/>
        <w:rPr>
          <w:rFonts w:ascii="Arial" w:cs="Arial" w:eastAsia="Arial" w:hAnsi="Arial"/>
          <w:sz w:val="14"/>
          <w:szCs w:val="14"/>
          <w:color w:val="auto"/>
        </w:rPr>
      </w:pPr>
    </w:p>
    <w:p>
      <w:pPr>
        <w:ind w:left="380" w:right="160" w:hanging="359"/>
        <w:spacing w:after="0" w:line="256" w:lineRule="auto"/>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reflect the full grant-date fair value of restricted stock units, or RSUs, granted and/or modified during fiscal years 2025 and 2024 to each of our named executive officers, computed in accordance with ASC Topic 718, rather than the amounts paid to or realized by the named individual. The valuation assumptions used in the calculation of such amounts are set forth in Note 14—Share-based Compensation Plans in our 2025 Annual Report.</w:t>
      </w:r>
    </w:p>
    <w:p>
      <w:pPr>
        <w:spacing w:after="0" w:line="15" w:lineRule="exact"/>
        <w:rPr>
          <w:rFonts w:ascii="Arial" w:cs="Arial" w:eastAsia="Arial" w:hAnsi="Arial"/>
          <w:sz w:val="14"/>
          <w:szCs w:val="14"/>
          <w:color w:val="auto"/>
        </w:rPr>
      </w:pPr>
    </w:p>
    <w:p>
      <w:pPr>
        <w:ind w:left="380" w:right="60" w:hanging="359"/>
        <w:spacing w:after="0" w:line="256" w:lineRule="auto"/>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This column does not reflect the FY 2025 PSUs. For purposes of FASB ASC 718, the FY 2025 PSUs were not considered granted from an accounting perspective on December 16, 2025, because the performance conditions applicable to the FY 2025 PSUs had not been determined as of the date of this Proxy Statement. The FY 2025 PSUs will be reflected in the Summary Compensation Table for the fiscal year in which the Company recognizes accounts for the award in accordance with FASB ASC 718.</w:t>
      </w:r>
    </w:p>
    <w:p>
      <w:pPr>
        <w:spacing w:after="0" w:line="15" w:lineRule="exact"/>
        <w:rPr>
          <w:rFonts w:ascii="Arial" w:cs="Arial" w:eastAsia="Arial" w:hAnsi="Arial"/>
          <w:sz w:val="14"/>
          <w:szCs w:val="14"/>
          <w:color w:val="auto"/>
        </w:rPr>
      </w:pPr>
    </w:p>
    <w:p>
      <w:pPr>
        <w:ind w:left="380" w:right="380" w:hanging="359"/>
        <w:spacing w:after="0" w:line="281" w:lineRule="auto"/>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reflect (i) payments pursuant to the 2025 Bonus Program, (ii) the 2025 Retention Bonus Program and (iii) the Closing Installment under the Amended Transaction Bonus Plan. For additional information, see “Cash Incentive Compensation” below.</w:t>
      </w:r>
    </w:p>
    <w:p>
      <w:pPr>
        <w:spacing w:after="0" w:line="1" w:lineRule="exact"/>
        <w:rPr>
          <w:rFonts w:ascii="Arial" w:cs="Arial" w:eastAsia="Arial" w:hAnsi="Arial"/>
          <w:sz w:val="14"/>
          <w:szCs w:val="14"/>
          <w:color w:val="auto"/>
        </w:rPr>
      </w:pPr>
    </w:p>
    <w:p>
      <w:pPr>
        <w:ind w:left="380" w:right="40" w:hanging="359"/>
        <w:spacing w:after="0" w:line="252" w:lineRule="auto"/>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 fiscal year 2025, the amount for Ms. Hyman reflects: $10,818 for a free Rent the Runway monthly subscription and Reserve rentals; $14,000 in matching contributions made by us to her 401(k) plan account; $5,000 meal stipend; and $600 in long-term disability insurance premiums paid by us. For fiscal year 2025, the amount for Mr. Thacker reflects $14,000 in matching contributions made by us to his 401(k) plan account and $600 in long-term disability insurance premiums paid by us. For fiscal year 2025, the amount for Ms. Tam reflects $14,000 in matching contributions made by us to her 401(k) plan account; and $600 in long-term disability insurance premiums paid by us.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Elements of Our Executive Compensation Program</w:t>
      </w:r>
    </w:p>
    <w:p>
      <w:pPr>
        <w:spacing w:after="0" w:line="171"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For the fiscal year ended January 31, 2026, the compensation for our named executive officers generally consisted of a base salary, annual cash retention and incentive bonuses, and long-term equity incentive compensation in the form of RSUs and PSUs. These elements (and the amounts of compensation and benefits under each element) were selected because we believe they are necessary to help us attract and retain executive talent which is fundamental to our success.</w:t>
      </w:r>
    </w:p>
    <w:p>
      <w:pPr>
        <w:spacing w:after="0" w:line="136" w:lineRule="exact"/>
        <w:rPr>
          <w:sz w:val="20"/>
          <w:szCs w:val="20"/>
          <w:color w:val="auto"/>
        </w:rPr>
      </w:pPr>
    </w:p>
    <w:p>
      <w:pPr>
        <w:ind w:left="20" w:right="640"/>
        <w:spacing w:after="0" w:line="271" w:lineRule="auto"/>
        <w:rPr>
          <w:sz w:val="20"/>
          <w:szCs w:val="20"/>
          <w:color w:val="auto"/>
        </w:rPr>
      </w:pPr>
      <w:r>
        <w:rPr>
          <w:rFonts w:ascii="Arial" w:cs="Arial" w:eastAsia="Arial" w:hAnsi="Arial"/>
          <w:sz w:val="18"/>
          <w:szCs w:val="18"/>
          <w:color w:val="auto"/>
        </w:rPr>
        <w:t>Below is a more detailed summary of our executive compensation program as it relates to our named executive officers.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Base Salaries</w:t>
      </w:r>
    </w:p>
    <w:p>
      <w:pPr>
        <w:spacing w:after="0" w:line="183" w:lineRule="exact"/>
        <w:rPr>
          <w:sz w:val="20"/>
          <w:szCs w:val="20"/>
          <w:color w:val="auto"/>
        </w:rPr>
      </w:pPr>
    </w:p>
    <w:p>
      <w:pPr>
        <w:ind w:left="20" w:right="100"/>
        <w:spacing w:after="0" w:line="253" w:lineRule="auto"/>
        <w:rPr>
          <w:sz w:val="20"/>
          <w:szCs w:val="20"/>
          <w:color w:val="auto"/>
        </w:rPr>
      </w:pPr>
      <w:r>
        <w:rPr>
          <w:rFonts w:ascii="Arial" w:cs="Arial" w:eastAsia="Arial" w:hAnsi="Arial"/>
          <w:sz w:val="18"/>
          <w:szCs w:val="18"/>
          <w:color w:val="auto"/>
        </w:rPr>
        <w:t>Our named executive officers receive a base salary to compensate them for the services they provide to our company. The base salary payable to each named executive officer is intended to provide a fixed component of compensation reflecting the executive’s skill set, experience, role, and responsibilities.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Ms. Hyman’s base salary was $750,000 (which was increased from $650,000 on February 25, 2025), Mr. Thacker’s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base salary is $550,000 (which was increased from $475,000 on February 21, 2025), and Ms. Tam’s base salary is</w:t>
      </w:r>
    </w:p>
    <w:p>
      <w:pPr>
        <w:ind w:left="20"/>
        <w:spacing w:after="0"/>
        <w:rPr>
          <w:sz w:val="20"/>
          <w:szCs w:val="20"/>
          <w:color w:val="auto"/>
        </w:rPr>
      </w:pPr>
      <w:r>
        <w:rPr>
          <w:rFonts w:ascii="Arial" w:cs="Arial" w:eastAsia="Arial" w:hAnsi="Arial"/>
          <w:sz w:val="17"/>
          <w:szCs w:val="17"/>
          <w:color w:val="auto"/>
        </w:rPr>
        <w:t>$500,000. The actual salaries paid to each named executive officer during the applicable fiscal years are set forth in the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“Summary Compensation Table” above, in the column titled “Salary.”</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Cash Incentive Compensation</w:t>
      </w:r>
    </w:p>
    <w:p>
      <w:pPr>
        <w:spacing w:after="0" w:line="169" w:lineRule="exact"/>
        <w:rPr>
          <w:sz w:val="20"/>
          <w:szCs w:val="20"/>
          <w:color w:val="auto"/>
        </w:rPr>
      </w:pPr>
    </w:p>
    <w:p>
      <w:pPr>
        <w:ind w:left="20" w:right="20"/>
        <w:spacing w:after="0" w:line="261" w:lineRule="auto"/>
        <w:rPr>
          <w:sz w:val="20"/>
          <w:szCs w:val="20"/>
          <w:color w:val="auto"/>
        </w:rPr>
      </w:pPr>
      <w:r>
        <w:rPr>
          <w:rFonts w:ascii="Arial" w:cs="Arial" w:eastAsia="Arial" w:hAnsi="Arial"/>
          <w:sz w:val="17"/>
          <w:szCs w:val="17"/>
          <w:i w:val="1"/>
          <w:iCs w:val="1"/>
          <w:color w:val="auto"/>
        </w:rPr>
        <w:t xml:space="preserve">2025 Bonus Program. </w:t>
      </w:r>
      <w:r>
        <w:rPr>
          <w:rFonts w:ascii="Arial" w:cs="Arial" w:eastAsia="Arial" w:hAnsi="Arial"/>
          <w:sz w:val="17"/>
          <w:szCs w:val="17"/>
          <w:color w:val="auto"/>
        </w:rPr>
        <w:t>Under our fiscal year 2025 bonus program, our Compensation Committee determined that each</w:t>
      </w:r>
      <w:r>
        <w:rPr>
          <w:rFonts w:ascii="Arial" w:cs="Arial" w:eastAsia="Arial" w:hAnsi="Arial"/>
          <w:sz w:val="17"/>
          <w:szCs w:val="17"/>
          <w:i w:val="1"/>
          <w:iCs w:val="1"/>
          <w:color w:val="auto"/>
        </w:rPr>
        <w:t xml:space="preserve"> </w:t>
      </w:r>
      <w:r>
        <w:rPr>
          <w:rFonts w:ascii="Arial" w:cs="Arial" w:eastAsia="Arial" w:hAnsi="Arial"/>
          <w:sz w:val="17"/>
          <w:szCs w:val="17"/>
          <w:color w:val="auto"/>
        </w:rPr>
        <w:t>of our named executive officers would be eligible to receive a cash performance bonus with the following payment opportunities: Ms. Hyman had a target opportunity of 100% of her base salary and a maximum opportunity of 175% of her base salary; Mr. Thacker had a target opportunity of 43% of his base salary and a maximum opportunity of 175% of target; and Ms. Tam had a target opportunity of 35% of her base salary and a maximum opportunity of 175% of target.</w:t>
      </w:r>
    </w:p>
    <w:p>
      <w:pPr>
        <w:spacing w:after="0" w:line="139" w:lineRule="exact"/>
        <w:rPr>
          <w:sz w:val="20"/>
          <w:szCs w:val="20"/>
          <w:color w:val="auto"/>
        </w:rPr>
      </w:pPr>
    </w:p>
    <w:p>
      <w:pPr>
        <w:ind w:left="20" w:right="80"/>
        <w:spacing w:after="0" w:line="244" w:lineRule="auto"/>
        <w:rPr>
          <w:sz w:val="20"/>
          <w:szCs w:val="20"/>
          <w:color w:val="auto"/>
        </w:rPr>
      </w:pPr>
      <w:r>
        <w:rPr>
          <w:rFonts w:ascii="Arial" w:cs="Arial" w:eastAsia="Arial" w:hAnsi="Arial"/>
          <w:sz w:val="18"/>
          <w:szCs w:val="18"/>
          <w:color w:val="auto"/>
        </w:rPr>
        <w:t>For 2025, bonus targets for all named executive officers were based 100% upon the satisfaction of company-wide ending active subscribers and Adjusted EBITDA goals. Adjusted EBITDA is a non-GAAP measure. See Annex A for a reconciliation to the most comparable GAAP measure. The actual earned bonus payouts were 40.6% of target and the actual bonus amounts earned by each named executive officer for fiscal year 2025 are included in the “Summary Compensation Table” above, in the column titled “Non-Equity Incentive Plan Compensation.”</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2025 Retention Bonus Program. </w:t>
      </w:r>
      <w:r>
        <w:rPr>
          <w:rFonts w:ascii="Arial" w:cs="Arial" w:eastAsia="Arial" w:hAnsi="Arial"/>
          <w:sz w:val="18"/>
          <w:szCs w:val="18"/>
          <w:color w:val="auto"/>
        </w:rPr>
        <w:t>In February 2025, the Compensation Committee approved a cash retention bonus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program (the “Retention Bonus Program”) for fiscal year 2025 (the “Retention Period”) for its executive officers and</w:t>
      </w:r>
    </w:p>
    <w:p>
      <w:pPr>
        <w:ind w:left="20"/>
        <w:spacing w:after="0" w:line="234" w:lineRule="auto"/>
        <w:rPr>
          <w:sz w:val="20"/>
          <w:szCs w:val="20"/>
          <w:color w:val="auto"/>
        </w:rPr>
      </w:pPr>
      <w:r>
        <w:rPr>
          <w:rFonts w:ascii="Arial" w:cs="Arial" w:eastAsia="Arial" w:hAnsi="Arial"/>
          <w:sz w:val="18"/>
          <w:szCs w:val="18"/>
          <w:color w:val="auto"/>
        </w:rPr>
        <w:t>other eligible participants, including the named executive officers. The Retention Bonus Program provides for quarterly</w:t>
      </w:r>
    </w:p>
    <w:p>
      <w:pPr>
        <w:ind w:left="20"/>
        <w:spacing w:after="0" w:line="235" w:lineRule="auto"/>
        <w:rPr>
          <w:sz w:val="20"/>
          <w:szCs w:val="20"/>
          <w:color w:val="auto"/>
        </w:rPr>
      </w:pPr>
      <w:r>
        <w:rPr>
          <w:rFonts w:ascii="Arial" w:cs="Arial" w:eastAsia="Arial" w:hAnsi="Arial"/>
          <w:sz w:val="18"/>
          <w:szCs w:val="18"/>
          <w:color w:val="auto"/>
        </w:rPr>
        <w:t>cash payments based (i) 50% on pre-determined Company performance metrics established by the Compensation</w:t>
      </w:r>
    </w:p>
    <w:p>
      <w:pPr>
        <w:ind w:left="20"/>
        <w:spacing w:after="0" w:line="235" w:lineRule="auto"/>
        <w:rPr>
          <w:sz w:val="20"/>
          <w:szCs w:val="20"/>
          <w:color w:val="auto"/>
        </w:rPr>
      </w:pPr>
      <w:r>
        <w:rPr>
          <w:rFonts w:ascii="Arial" w:cs="Arial" w:eastAsia="Arial" w:hAnsi="Arial"/>
          <w:sz w:val="18"/>
          <w:szCs w:val="18"/>
          <w:color w:val="auto"/>
        </w:rPr>
        <w:t>Committee relating to growth in the Company’s active subscribers, which component may be earned (subject to</w:t>
      </w:r>
    </w:p>
    <w:p>
      <w:pPr>
        <w:ind w:left="20"/>
        <w:spacing w:after="0" w:line="235" w:lineRule="auto"/>
        <w:rPr>
          <w:sz w:val="20"/>
          <w:szCs w:val="20"/>
          <w:color w:val="auto"/>
        </w:rPr>
      </w:pPr>
      <w:r>
        <w:rPr>
          <w:rFonts w:ascii="Arial" w:cs="Arial" w:eastAsia="Arial" w:hAnsi="Arial"/>
          <w:sz w:val="18"/>
          <w:szCs w:val="18"/>
          <w:color w:val="auto"/>
        </w:rPr>
        <w:t>achievement of a threshold level of performance) between 75% to 100% of the target level based on Company</w:t>
      </w:r>
    </w:p>
    <w:p>
      <w:pPr>
        <w:ind w:left="20"/>
        <w:spacing w:after="0" w:line="235" w:lineRule="auto"/>
        <w:rPr>
          <w:sz w:val="20"/>
          <w:szCs w:val="20"/>
          <w:color w:val="auto"/>
        </w:rPr>
      </w:pPr>
      <w:r>
        <w:rPr>
          <w:rFonts w:ascii="Arial" w:cs="Arial" w:eastAsia="Arial" w:hAnsi="Arial"/>
          <w:sz w:val="18"/>
          <w:szCs w:val="18"/>
          <w:color w:val="auto"/>
        </w:rPr>
        <w:t>performance in respect of each fiscal quarter, and (ii) 50% on the participant’s continued service through the end of</w:t>
      </w:r>
    </w:p>
    <w:p>
      <w:pPr>
        <w:ind w:left="20"/>
        <w:spacing w:after="0" w:line="234" w:lineRule="auto"/>
        <w:rPr>
          <w:sz w:val="20"/>
          <w:szCs w:val="20"/>
          <w:color w:val="auto"/>
        </w:rPr>
      </w:pPr>
      <w:r>
        <w:rPr>
          <w:rFonts w:ascii="Arial" w:cs="Arial" w:eastAsia="Arial" w:hAnsi="Arial"/>
          <w:sz w:val="18"/>
          <w:szCs w:val="18"/>
          <w:color w:val="auto"/>
        </w:rPr>
        <w:t>each applicable fiscal quarter (collectively, the “Retention Bonus”). Ms. Hyman’s target Retention Bonus was</w:t>
      </w:r>
    </w:p>
    <w:p>
      <w:pPr>
        <w:ind w:left="20"/>
        <w:spacing w:after="0" w:line="235" w:lineRule="auto"/>
        <w:rPr>
          <w:sz w:val="20"/>
          <w:szCs w:val="20"/>
          <w:color w:val="auto"/>
        </w:rPr>
      </w:pPr>
      <w:r>
        <w:rPr>
          <w:rFonts w:ascii="Arial" w:cs="Arial" w:eastAsia="Arial" w:hAnsi="Arial"/>
          <w:sz w:val="18"/>
          <w:szCs w:val="18"/>
          <w:color w:val="auto"/>
        </w:rPr>
        <w:t>$1,500,000, Mr. Thacker’s target Retention Bonus was $420,000 and Ms. Tam’s target Retention Bonus was $420,000.</w:t>
      </w:r>
    </w:p>
    <w:p>
      <w:pPr>
        <w:ind w:left="20"/>
        <w:spacing w:after="0" w:line="235" w:lineRule="auto"/>
        <w:rPr>
          <w:sz w:val="20"/>
          <w:szCs w:val="20"/>
          <w:color w:val="auto"/>
        </w:rPr>
      </w:pPr>
      <w:r>
        <w:rPr>
          <w:rFonts w:ascii="Arial" w:cs="Arial" w:eastAsia="Arial" w:hAnsi="Arial"/>
          <w:sz w:val="18"/>
          <w:szCs w:val="18"/>
          <w:color w:val="auto"/>
        </w:rPr>
        <w:t>The Retention Bonuses earned by each named executive officer are included in the “Summary Compensation Table”</w:t>
      </w:r>
    </w:p>
    <w:p>
      <w:pPr>
        <w:ind w:left="20"/>
        <w:spacing w:after="0"/>
        <w:rPr>
          <w:sz w:val="20"/>
          <w:szCs w:val="20"/>
          <w:color w:val="auto"/>
        </w:rPr>
      </w:pPr>
      <w:r>
        <w:rPr>
          <w:rFonts w:ascii="Arial" w:cs="Arial" w:eastAsia="Arial" w:hAnsi="Arial"/>
          <w:sz w:val="18"/>
          <w:szCs w:val="18"/>
          <w:color w:val="auto"/>
        </w:rPr>
        <w:t>above as a portion of the amounts set forth under the column titled “Non-Equity Incentive Compensation.”</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Transaction Bonus Plan. </w:t>
      </w:r>
      <w:r>
        <w:rPr>
          <w:rFonts w:ascii="Arial" w:cs="Arial" w:eastAsia="Arial" w:hAnsi="Arial"/>
          <w:sz w:val="18"/>
          <w:szCs w:val="18"/>
          <w:color w:val="auto"/>
        </w:rPr>
        <w:t>In 2024, the Board of Directors adopted the Rent the Runway, Inc. Transaction Bonus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 Bonus Plan”), upon the recommendation of the Compensation Committee. Under the Transaction Bonus Plan, certain key employees of the Company who are designated as participants, including our named executive officers, were eligible to receive a base transaction bonus (the “Base Transaction Bonus”) and a free cash flow bonus (the “Free Cash Flow Bonus”) to provide additional performance incentives based on cash flow performance of the Company and to encourage the realization of a transaction (as such term is defined in the Transaction Bonus Plan). Under the Transaction Bonus Plan, Participants were eligible to be paid a Base Transaction Bonus in an amount equal to the product of (i) $12,500,000 (the “Base Transaction Bonus Pool”), and</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20" w:right="60" w:firstLine="1"/>
        <w:spacing w:after="0" w:line="239" w:lineRule="auto"/>
        <w:tabs>
          <w:tab w:leader="none" w:pos="2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participant’s applicable allocated percentage of the Base Transaction Bonus Pool. Participants were eligible to be paid a Free Cash Flow Bonus in an amount equal to the product of (x) 50% of the Company’s free cash flow for the most recent twelve calendar months ended immediately preceding the closing date of a transaction up to a maximum amount of $12,500,000 (the “Free Cash Flow Bonus Pool”), and (y) such participant’s applicable allocated percentage of the Free Cash Flow Bonus Pool. Payment of the transaction bonuses under the Transaction Bonus Plan are subject to the participant’s continued employment with RTR through the date on which RTR enters into a binding agreement to consummate a transaction (the “Transaction Agreement Date”), except that if Ms. Hyman’s employment with RTR was terminated by RTR without cause, by Ms. Hyman for good reason or due to Ms. Hyman’s death or disability prior to the Transaction Agreement Date, Ms. Hyman would eligible to receive a prorated Base Transaction Bonus and Free Cash Flow Bonus in accordance with the Transaction Bonus Plan.</w:t>
      </w:r>
    </w:p>
    <w:p>
      <w:pPr>
        <w:spacing w:after="0" w:line="139" w:lineRule="exact"/>
        <w:rPr>
          <w:sz w:val="20"/>
          <w:szCs w:val="20"/>
          <w:color w:val="auto"/>
        </w:rPr>
      </w:pPr>
    </w:p>
    <w:p>
      <w:pPr>
        <w:ind w:left="20" w:right="100"/>
        <w:spacing w:after="0" w:line="244" w:lineRule="auto"/>
        <w:rPr>
          <w:sz w:val="20"/>
          <w:szCs w:val="20"/>
          <w:color w:val="auto"/>
        </w:rPr>
      </w:pPr>
      <w:r>
        <w:rPr>
          <w:rFonts w:ascii="Arial" w:cs="Arial" w:eastAsia="Arial" w:hAnsi="Arial"/>
          <w:sz w:val="18"/>
          <w:szCs w:val="18"/>
          <w:color w:val="auto"/>
        </w:rPr>
        <w:t>Originally, under the Transaction Bonus Plan, upon the occurrence of a qualifying transaction, Ms. Hyman was eligible to receive an amount in cash equal to 50.8% of each of the Base Transaction Bonus Pool and the Free Flow Transaction Bonus Pool; Mr. Thacker was eligible to receive an amount in cash equal to 11.5% of each of the Base Transaction Bonus Pool and the Free Flow Transaction Bonus Pool; and Ms. Tam was eligible to receive an amount in cash equal to 10.1% of each of the Base Transaction Bonus Pool and the Free Flow Transaction Bonus Pool.</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connection with the Recapitalization Transactions, on August 20, 2025, the Compensation Committee approved 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amendment to the Amended Transaction Bonus Plan (the “Amended Transaction Bonus Plan”). Under the Amended</w:t>
      </w:r>
    </w:p>
    <w:p>
      <w:pPr>
        <w:ind w:left="20"/>
        <w:spacing w:after="0" w:line="234" w:lineRule="auto"/>
        <w:rPr>
          <w:sz w:val="20"/>
          <w:szCs w:val="20"/>
          <w:color w:val="auto"/>
        </w:rPr>
      </w:pPr>
      <w:r>
        <w:rPr>
          <w:rFonts w:ascii="Arial" w:cs="Arial" w:eastAsia="Arial" w:hAnsi="Arial"/>
          <w:sz w:val="18"/>
          <w:szCs w:val="18"/>
          <w:color w:val="auto"/>
        </w:rPr>
        <w:t>Transaction Bonus Plan, our named executive officers ceased to be eligible for the Free Cash Flow Bonus and their</w:t>
      </w:r>
    </w:p>
    <w:p>
      <w:pPr>
        <w:ind w:left="20"/>
        <w:spacing w:after="0" w:line="235" w:lineRule="auto"/>
        <w:rPr>
          <w:sz w:val="20"/>
          <w:szCs w:val="20"/>
          <w:color w:val="auto"/>
        </w:rPr>
      </w:pPr>
      <w:r>
        <w:rPr>
          <w:rFonts w:ascii="Arial" w:cs="Arial" w:eastAsia="Arial" w:hAnsi="Arial"/>
          <w:sz w:val="18"/>
          <w:szCs w:val="18"/>
          <w:color w:val="auto"/>
        </w:rPr>
        <w:t>Base Transaction Bonus would instead be paid on the following schedule, rather than paid in full upon the closing of</w:t>
      </w:r>
    </w:p>
    <w:p>
      <w:pPr>
        <w:ind w:left="20"/>
        <w:spacing w:after="0" w:line="235" w:lineRule="auto"/>
        <w:rPr>
          <w:sz w:val="20"/>
          <w:szCs w:val="20"/>
          <w:color w:val="auto"/>
        </w:rPr>
      </w:pPr>
      <w:r>
        <w:rPr>
          <w:rFonts w:ascii="Arial" w:cs="Arial" w:eastAsia="Arial" w:hAnsi="Arial"/>
          <w:sz w:val="18"/>
          <w:szCs w:val="18"/>
          <w:color w:val="auto"/>
        </w:rPr>
        <w:t>the Recapitalization Transactions (the “Closing”): the Base Transaction Bonus was paid 25% at the Closing (the</w:t>
      </w:r>
    </w:p>
    <w:p>
      <w:pPr>
        <w:ind w:left="20"/>
        <w:spacing w:after="0"/>
        <w:rPr>
          <w:sz w:val="20"/>
          <w:szCs w:val="20"/>
          <w:color w:val="auto"/>
        </w:rPr>
      </w:pPr>
      <w:r>
        <w:rPr>
          <w:rFonts w:ascii="Arial" w:cs="Arial" w:eastAsia="Arial" w:hAnsi="Arial"/>
          <w:sz w:val="17"/>
          <w:szCs w:val="17"/>
          <w:color w:val="auto"/>
        </w:rPr>
        <w:t>“Closing Installment”), 6.25% on the 18-month, 24-month, 30-month and 36-month anniversaries of the closing (each, a</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“Semi-Annual Installment”), with the final 50% becoming payable on the earlier of January 31, 2030, and the date of a</w:t>
      </w:r>
    </w:p>
    <w:p>
      <w:pPr>
        <w:ind w:left="20"/>
        <w:spacing w:after="0" w:line="234" w:lineRule="auto"/>
        <w:rPr>
          <w:sz w:val="20"/>
          <w:szCs w:val="20"/>
          <w:color w:val="auto"/>
        </w:rPr>
      </w:pPr>
      <w:r>
        <w:rPr>
          <w:rFonts w:ascii="Arial" w:cs="Arial" w:eastAsia="Arial" w:hAnsi="Arial"/>
          <w:sz w:val="18"/>
          <w:szCs w:val="18"/>
          <w:color w:val="auto"/>
        </w:rPr>
        <w:t>change in control (which does not include the Recapitalization Transactions), in the case of the final 50%, based on the</w:t>
      </w:r>
    </w:p>
    <w:p>
      <w:pPr>
        <w:ind w:left="20"/>
        <w:spacing w:after="0" w:line="235" w:lineRule="auto"/>
        <w:rPr>
          <w:sz w:val="20"/>
          <w:szCs w:val="20"/>
          <w:color w:val="auto"/>
        </w:rPr>
      </w:pPr>
      <w:r>
        <w:rPr>
          <w:rFonts w:ascii="Arial" w:cs="Arial" w:eastAsia="Arial" w:hAnsi="Arial"/>
          <w:sz w:val="18"/>
          <w:szCs w:val="18"/>
          <w:color w:val="auto"/>
        </w:rPr>
        <w:t>satisfaction of financial or stock price-based performance measures (as applicable), provided that the named executive</w:t>
      </w:r>
    </w:p>
    <w:p>
      <w:pPr>
        <w:ind w:left="20"/>
        <w:spacing w:after="0" w:line="235" w:lineRule="auto"/>
        <w:rPr>
          <w:sz w:val="20"/>
          <w:szCs w:val="20"/>
          <w:color w:val="auto"/>
        </w:rPr>
      </w:pPr>
      <w:r>
        <w:rPr>
          <w:rFonts w:ascii="Arial" w:cs="Arial" w:eastAsia="Arial" w:hAnsi="Arial"/>
          <w:sz w:val="18"/>
          <w:szCs w:val="18"/>
          <w:color w:val="auto"/>
        </w:rPr>
        <w:t>officer remains employed through the date each Base Transaction Bonus installment is paid. The Closing Installment</w:t>
      </w:r>
    </w:p>
    <w:p>
      <w:pPr>
        <w:ind w:left="20"/>
        <w:spacing w:after="0" w:line="235" w:lineRule="auto"/>
        <w:rPr>
          <w:sz w:val="20"/>
          <w:szCs w:val="20"/>
          <w:color w:val="auto"/>
        </w:rPr>
      </w:pPr>
      <w:r>
        <w:rPr>
          <w:rFonts w:ascii="Arial" w:cs="Arial" w:eastAsia="Arial" w:hAnsi="Arial"/>
          <w:sz w:val="18"/>
          <w:szCs w:val="18"/>
          <w:color w:val="auto"/>
        </w:rPr>
        <w:t>and each Semi-Annual Installment are subject to repayment to the Company, net of taxes paid with respect thereto, if</w:t>
      </w:r>
    </w:p>
    <w:p>
      <w:pPr>
        <w:ind w:left="20"/>
        <w:spacing w:after="0" w:line="235" w:lineRule="auto"/>
        <w:rPr>
          <w:sz w:val="20"/>
          <w:szCs w:val="20"/>
          <w:color w:val="auto"/>
        </w:rPr>
      </w:pPr>
      <w:r>
        <w:rPr>
          <w:rFonts w:ascii="Arial" w:cs="Arial" w:eastAsia="Arial" w:hAnsi="Arial"/>
          <w:sz w:val="18"/>
          <w:szCs w:val="18"/>
          <w:color w:val="auto"/>
        </w:rPr>
        <w:t>the named executive officer terminates their employment prior to the applicable vesting date other than due to a “good</w:t>
      </w:r>
    </w:p>
    <w:p>
      <w:pPr>
        <w:ind w:left="20"/>
        <w:spacing w:after="0" w:line="234" w:lineRule="auto"/>
        <w:rPr>
          <w:sz w:val="20"/>
          <w:szCs w:val="20"/>
          <w:color w:val="auto"/>
        </w:rPr>
      </w:pPr>
      <w:r>
        <w:rPr>
          <w:rFonts w:ascii="Arial" w:cs="Arial" w:eastAsia="Arial" w:hAnsi="Arial"/>
          <w:sz w:val="18"/>
          <w:szCs w:val="18"/>
          <w:color w:val="auto"/>
        </w:rPr>
        <w:t>leaver termination” (as defined in the Amended Transaction Bonus Plan). The Closing Installment will vest 25% on</w:t>
      </w:r>
    </w:p>
    <w:p>
      <w:pPr>
        <w:ind w:left="20"/>
        <w:spacing w:after="0" w:line="235" w:lineRule="auto"/>
        <w:rPr>
          <w:sz w:val="20"/>
          <w:szCs w:val="20"/>
          <w:color w:val="auto"/>
        </w:rPr>
      </w:pPr>
      <w:r>
        <w:rPr>
          <w:rFonts w:ascii="Arial" w:cs="Arial" w:eastAsia="Arial" w:hAnsi="Arial"/>
          <w:sz w:val="18"/>
          <w:szCs w:val="18"/>
          <w:color w:val="auto"/>
        </w:rPr>
        <w:t>each of the first four anniversaries of the Closing, the first Semi-Annual Installment will vest 33% on each of the</w:t>
      </w:r>
    </w:p>
    <w:p>
      <w:pPr>
        <w:ind w:left="20"/>
        <w:spacing w:after="0" w:line="235" w:lineRule="auto"/>
        <w:rPr>
          <w:sz w:val="20"/>
          <w:szCs w:val="20"/>
          <w:color w:val="auto"/>
        </w:rPr>
      </w:pPr>
      <w:r>
        <w:rPr>
          <w:rFonts w:ascii="Arial" w:cs="Arial" w:eastAsia="Arial" w:hAnsi="Arial"/>
          <w:sz w:val="18"/>
          <w:szCs w:val="18"/>
          <w:color w:val="auto"/>
        </w:rPr>
        <w:t>second, third and fourth anniversary of the Closing, the second and third Semi-Annual Installments will each vest 50%</w:t>
      </w:r>
    </w:p>
    <w:p>
      <w:pPr>
        <w:ind w:left="20"/>
        <w:spacing w:after="0" w:line="235" w:lineRule="auto"/>
        <w:rPr>
          <w:sz w:val="20"/>
          <w:szCs w:val="20"/>
          <w:color w:val="auto"/>
        </w:rPr>
      </w:pPr>
      <w:r>
        <w:rPr>
          <w:rFonts w:ascii="Arial" w:cs="Arial" w:eastAsia="Arial" w:hAnsi="Arial"/>
          <w:sz w:val="18"/>
          <w:szCs w:val="18"/>
          <w:color w:val="auto"/>
        </w:rPr>
        <w:t>on each of the third and fourth anniversary of the Closing, and the fourth Semi-Annual Installment will fully vest on the</w:t>
      </w:r>
    </w:p>
    <w:p>
      <w:pPr>
        <w:ind w:left="20"/>
        <w:spacing w:after="0" w:line="235" w:lineRule="auto"/>
        <w:rPr>
          <w:sz w:val="20"/>
          <w:szCs w:val="20"/>
          <w:color w:val="auto"/>
        </w:rPr>
      </w:pPr>
      <w:r>
        <w:rPr>
          <w:rFonts w:ascii="Arial" w:cs="Arial" w:eastAsia="Arial" w:hAnsi="Arial"/>
          <w:sz w:val="18"/>
          <w:szCs w:val="18"/>
          <w:color w:val="auto"/>
        </w:rPr>
        <w:t>fourth anniversary of the Closing. As of January 31, 2026, the aggregate Base Transaction Bonus payable to the</w:t>
      </w:r>
    </w:p>
    <w:p>
      <w:pPr>
        <w:ind w:left="20"/>
        <w:spacing w:after="0" w:line="234" w:lineRule="auto"/>
        <w:rPr>
          <w:sz w:val="20"/>
          <w:szCs w:val="20"/>
          <w:color w:val="auto"/>
        </w:rPr>
      </w:pPr>
      <w:r>
        <w:rPr>
          <w:rFonts w:ascii="Arial" w:cs="Arial" w:eastAsia="Arial" w:hAnsi="Arial"/>
          <w:sz w:val="18"/>
          <w:szCs w:val="18"/>
          <w:color w:val="auto"/>
        </w:rPr>
        <w:t>named executive officers pursuant to the Amended Transaction Bonus Plan was as follows: for Ms. Hyman,</w:t>
      </w:r>
    </w:p>
    <w:p>
      <w:pPr>
        <w:ind w:left="20"/>
        <w:spacing w:after="0" w:line="235" w:lineRule="auto"/>
        <w:rPr>
          <w:sz w:val="20"/>
          <w:szCs w:val="20"/>
          <w:color w:val="auto"/>
        </w:rPr>
      </w:pPr>
      <w:r>
        <w:rPr>
          <w:rFonts w:ascii="Arial" w:cs="Arial" w:eastAsia="Arial" w:hAnsi="Arial"/>
          <w:sz w:val="18"/>
          <w:szCs w:val="18"/>
          <w:color w:val="auto"/>
        </w:rPr>
        <w:t>$6,350,000; For Mr. Thacker, $1,437,500; and For Ms. Tam, $1,262,500. The Base Transaction Bonuses earned by</w:t>
      </w:r>
    </w:p>
    <w:p>
      <w:pPr>
        <w:ind w:left="20"/>
        <w:spacing w:after="0" w:line="235" w:lineRule="auto"/>
        <w:rPr>
          <w:sz w:val="20"/>
          <w:szCs w:val="20"/>
          <w:color w:val="auto"/>
        </w:rPr>
      </w:pPr>
      <w:r>
        <w:rPr>
          <w:rFonts w:ascii="Arial" w:cs="Arial" w:eastAsia="Arial" w:hAnsi="Arial"/>
          <w:sz w:val="18"/>
          <w:szCs w:val="18"/>
          <w:color w:val="auto"/>
        </w:rPr>
        <w:t>each named executive officer in fiscal year 2025 (i.e., the Closing Installment) are included in the “Summary</w:t>
      </w:r>
    </w:p>
    <w:p>
      <w:pPr>
        <w:ind w:left="20"/>
        <w:spacing w:after="0" w:line="235" w:lineRule="auto"/>
        <w:rPr>
          <w:sz w:val="20"/>
          <w:szCs w:val="20"/>
          <w:color w:val="auto"/>
        </w:rPr>
      </w:pPr>
      <w:r>
        <w:rPr>
          <w:rFonts w:ascii="Arial" w:cs="Arial" w:eastAsia="Arial" w:hAnsi="Arial"/>
          <w:sz w:val="18"/>
          <w:szCs w:val="18"/>
          <w:color w:val="auto"/>
        </w:rPr>
        <w:t>Compensation Table” above as a portion of the amounts set forth under the column title “Non-Equity Incentive Plan</w:t>
      </w:r>
    </w:p>
    <w:p>
      <w:pPr>
        <w:ind w:left="20"/>
        <w:spacing w:after="0"/>
        <w:rPr>
          <w:sz w:val="20"/>
          <w:szCs w:val="20"/>
          <w:color w:val="auto"/>
        </w:rPr>
      </w:pPr>
      <w:r>
        <w:rPr>
          <w:rFonts w:ascii="Arial" w:cs="Arial" w:eastAsia="Arial" w:hAnsi="Arial"/>
          <w:sz w:val="18"/>
          <w:szCs w:val="18"/>
          <w:color w:val="auto"/>
        </w:rPr>
        <w:t>Compensation.”</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Equity Incentive Compensation</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Long-term Equity Incentive Compensation.</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fiscal year 2025, equity compensation was provided to our named executive officers in the form of RSUs and PSUs.</w:t>
      </w:r>
    </w:p>
    <w:p>
      <w:pPr>
        <w:spacing w:after="0" w:line="171" w:lineRule="exact"/>
        <w:rPr>
          <w:sz w:val="20"/>
          <w:szCs w:val="20"/>
          <w:color w:val="auto"/>
        </w:rPr>
      </w:pPr>
    </w:p>
    <w:p>
      <w:pPr>
        <w:ind w:left="20" w:right="20"/>
        <w:spacing w:after="0" w:line="259" w:lineRule="auto"/>
        <w:rPr>
          <w:sz w:val="20"/>
          <w:szCs w:val="20"/>
          <w:color w:val="auto"/>
        </w:rPr>
      </w:pPr>
      <w:r>
        <w:rPr>
          <w:rFonts w:ascii="Arial" w:cs="Arial" w:eastAsia="Arial" w:hAnsi="Arial"/>
          <w:sz w:val="17"/>
          <w:szCs w:val="17"/>
          <w:color w:val="auto"/>
        </w:rPr>
        <w:t>The grant date fair value of the RSUs granted to our named executive officers on December 16, 2025 is reflected in the “Stock Awards” column of the Summary Compensation Table. The RSUs vest 25% on the one-year anniversary of the</w:t>
      </w:r>
    </w:p>
    <w:p>
      <w:pPr>
        <w:spacing w:after="0" w:line="1" w:lineRule="exact"/>
        <w:rPr>
          <w:sz w:val="20"/>
          <w:szCs w:val="20"/>
          <w:color w:val="auto"/>
        </w:rPr>
      </w:pPr>
    </w:p>
    <w:p>
      <w:pPr>
        <w:ind w:left="20" w:right="380"/>
        <w:spacing w:after="0" w:line="205" w:lineRule="auto"/>
        <w:rPr>
          <w:sz w:val="20"/>
          <w:szCs w:val="20"/>
          <w:color w:val="auto"/>
        </w:rPr>
      </w:pPr>
      <w:r>
        <w:rPr>
          <w:rFonts w:ascii="Arial" w:cs="Arial" w:eastAsia="Arial" w:hAnsi="Arial"/>
          <w:sz w:val="18"/>
          <w:szCs w:val="18"/>
          <w:color w:val="auto"/>
        </w:rPr>
        <w:t>grant date, with the remaining 75% of the RSUs vesting in 1/16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increments on a quarterly basis for the next three years, subject to continued service through the applicable vesting dates.</w:t>
      </w:r>
    </w:p>
    <w:p>
      <w:pPr>
        <w:spacing w:after="0" w:line="155" w:lineRule="exact"/>
        <w:rPr>
          <w:sz w:val="20"/>
          <w:szCs w:val="20"/>
          <w:color w:val="auto"/>
        </w:rPr>
      </w:pPr>
    </w:p>
    <w:p>
      <w:pPr>
        <w:ind w:left="20" w:right="140"/>
        <w:spacing w:after="0" w:line="253" w:lineRule="auto"/>
        <w:rPr>
          <w:sz w:val="20"/>
          <w:szCs w:val="20"/>
          <w:color w:val="auto"/>
        </w:rPr>
      </w:pPr>
      <w:r>
        <w:rPr>
          <w:rFonts w:ascii="Arial" w:cs="Arial" w:eastAsia="Arial" w:hAnsi="Arial"/>
          <w:sz w:val="18"/>
          <w:szCs w:val="18"/>
          <w:color w:val="auto"/>
        </w:rPr>
        <w:t>In addition to the RSUs, on December 16, 2025, we granted our named executive officers the FY 2025 PSUs. The FY 2025 PSUs will generally be subject to three one-year performance periods, commencing with fiscal year 2027, and may be earned at a level ranging from 0% to 200% of the target number of PSUs subject to the award based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240"/>
        <w:spacing w:after="0" w:line="253" w:lineRule="auto"/>
        <w:rPr>
          <w:sz w:val="20"/>
          <w:szCs w:val="20"/>
          <w:color w:val="auto"/>
        </w:rPr>
      </w:pPr>
      <w:r>
        <w:rPr>
          <w:rFonts w:ascii="Arial" w:cs="Arial" w:eastAsia="Arial" w:hAnsi="Arial"/>
          <w:sz w:val="18"/>
          <w:szCs w:val="18"/>
          <w:color w:val="auto"/>
        </w:rPr>
        <w:t xml:space="preserve">upon the attainment of performance metrics and goals to be established by the Board no later than 90 days after the start of the applicable performance period. For additional information, please see the section entitled “New Plan Benefits Under the Amended Plan” on page </w:t>
      </w:r>
      <w:r>
        <w:rPr>
          <w:rFonts w:ascii="Arial" w:cs="Arial" w:eastAsia="Arial" w:hAnsi="Arial"/>
          <w:sz w:val="18"/>
          <w:szCs w:val="18"/>
          <w:u w:val="single" w:color="auto"/>
          <w:color w:val="0000EE"/>
        </w:rPr>
        <w:t>41</w:t>
      </w:r>
      <w:r>
        <w:rPr>
          <w:rFonts w:ascii="Arial" w:cs="Arial" w:eastAsia="Arial" w:hAnsi="Arial"/>
          <w:sz w:val="18"/>
          <w:szCs w:val="18"/>
          <w:color w:val="auto"/>
        </w:rPr>
        <w:t xml:space="preserve"> of this Proxy Statement.</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Because the performance metrics and goals applicable to the FY 2025 PSUs have not been determined as of the date of this Proxy Statement, we have determined that, in accordance with FASB ASC 718, the FY 2025 PSUs have not been granted for accounting purposes. As such, we are not able to disclose the grant date fair value of the PSUs at this time. The grant date fair value of the FY 2025 PSUs will be reflected in the Proxy Statement for the year in which the performance goals and metrics are set by the Board for the applicable performance period. As of January 31, 2026, the target number of shares of Class A common stock eligible to be earned pursuant to the FY 2025 PSU awards granted to our named executive officers in fiscal year 2025 was as follows: for Ms. Hyman, 1,002,993; for Mr. Thacker, 200,598; and for Ms. Tam, 200,598.</w:t>
      </w:r>
    </w:p>
    <w:p>
      <w:pPr>
        <w:spacing w:after="0" w:line="140"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Pursuant to the Recapitalization Transactions, all equity awards held by each of the named executive officers that were granted prior to the closing date that had not vested or, if vested, had not been settled as of immediately prior to the closing date, were forfeited in their entirety as a condition to each named executive officer’s receipt of their FY 2025 PSUs and the RSUs granted to our named executive officers in fiscal year 2025.</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69" w:lineRule="exact"/>
        <w:rPr>
          <w:sz w:val="20"/>
          <w:szCs w:val="20"/>
          <w:color w:val="auto"/>
        </w:rPr>
      </w:pPr>
    </w:p>
    <w:p>
      <w:pPr>
        <w:ind w:left="20" w:right="100"/>
        <w:spacing w:after="0" w:line="242" w:lineRule="auto"/>
        <w:rPr>
          <w:sz w:val="20"/>
          <w:szCs w:val="20"/>
          <w:color w:val="auto"/>
        </w:rPr>
      </w:pPr>
      <w:r>
        <w:rPr>
          <w:rFonts w:ascii="Arial" w:cs="Arial" w:eastAsia="Arial" w:hAnsi="Arial"/>
          <w:sz w:val="18"/>
          <w:szCs w:val="18"/>
          <w:i w:val="1"/>
          <w:iCs w:val="1"/>
          <w:color w:val="auto"/>
        </w:rPr>
        <w:t xml:space="preserve">Retirement Plans. </w:t>
      </w:r>
      <w:r>
        <w:rPr>
          <w:rFonts w:ascii="Arial" w:cs="Arial" w:eastAsia="Arial" w:hAnsi="Arial"/>
          <w:sz w:val="18"/>
          <w:szCs w:val="18"/>
          <w:color w:val="auto"/>
        </w:rPr>
        <w:t>We currently maintain a 401(k) retirement savings plan for our employees, including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who satisfy certain eligibility requirements. The Internal Revenue Code allows eligible employees to defer a portion of their compensation, within prescribed limits, on a pre-tax basis through contributions to the 401(k) plan. Currently, we provide matching contributions in the 401(k) plan up to a specified percentage of the employee’s contributions. We do not maintain any defined benefit pension plans or deferred compensation plans for our named executive officers.</w:t>
      </w:r>
    </w:p>
    <w:p>
      <w:pPr>
        <w:spacing w:after="0" w:line="138" w:lineRule="exact"/>
        <w:rPr>
          <w:sz w:val="20"/>
          <w:szCs w:val="20"/>
          <w:color w:val="auto"/>
        </w:rPr>
      </w:pPr>
    </w:p>
    <w:p>
      <w:pPr>
        <w:ind w:left="20" w:right="160"/>
        <w:spacing w:after="0" w:line="271" w:lineRule="auto"/>
        <w:rPr>
          <w:sz w:val="20"/>
          <w:szCs w:val="20"/>
          <w:color w:val="auto"/>
        </w:rPr>
      </w:pPr>
      <w:r>
        <w:rPr>
          <w:rFonts w:ascii="Arial" w:cs="Arial" w:eastAsia="Arial" w:hAnsi="Arial"/>
          <w:sz w:val="18"/>
          <w:szCs w:val="18"/>
          <w:i w:val="1"/>
          <w:iCs w:val="1"/>
          <w:color w:val="auto"/>
        </w:rPr>
        <w:t xml:space="preserve">Employee Benefits and Perquisites. </w:t>
      </w:r>
      <w:r>
        <w:rPr>
          <w:rFonts w:ascii="Arial" w:cs="Arial" w:eastAsia="Arial" w:hAnsi="Arial"/>
          <w:sz w:val="18"/>
          <w:szCs w:val="18"/>
          <w:color w:val="auto"/>
        </w:rPr>
        <w:t>All of our full-time employees, including our current named executive officers, are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participate in our health and welfare plans, including:</w:t>
      </w:r>
    </w:p>
    <w:p>
      <w:pPr>
        <w:spacing w:after="0" w:line="127" w:lineRule="exact"/>
        <w:rPr>
          <w:sz w:val="20"/>
          <w:szCs w:val="20"/>
          <w:color w:val="auto"/>
        </w:rPr>
      </w:pPr>
    </w:p>
    <w:p>
      <w:pPr>
        <w:ind w:left="740" w:hanging="359"/>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ind w:left="740" w:hanging="359"/>
        <w:spacing w:after="0" w:line="234"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ind w:left="740" w:hanging="359"/>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life and accidental death &amp; dismemberment insurance.</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No tax gross-ups. </w:t>
      </w:r>
      <w:r>
        <w:rPr>
          <w:rFonts w:ascii="Arial" w:cs="Arial" w:eastAsia="Arial" w:hAnsi="Arial"/>
          <w:sz w:val="18"/>
          <w:szCs w:val="18"/>
          <w:color w:val="auto"/>
        </w:rPr>
        <w:t>We generally do not provide tax gross-ups to our named executive officers.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169" w:lineRule="exact"/>
        <w:rPr>
          <w:sz w:val="20"/>
          <w:szCs w:val="20"/>
          <w:color w:val="auto"/>
        </w:rPr>
      </w:pPr>
    </w:p>
    <w:p>
      <w:pPr>
        <w:ind w:left="20" w:right="160"/>
        <w:spacing w:after="0" w:line="266" w:lineRule="auto"/>
        <w:rPr>
          <w:sz w:val="20"/>
          <w:szCs w:val="20"/>
          <w:color w:val="auto"/>
        </w:rPr>
      </w:pPr>
      <w:r>
        <w:rPr>
          <w:rFonts w:ascii="Arial" w:cs="Arial" w:eastAsia="Arial" w:hAnsi="Arial"/>
          <w:sz w:val="17"/>
          <w:szCs w:val="17"/>
          <w:color w:val="auto"/>
        </w:rPr>
        <w:t>The following table presents information regarding outstanding equity awards held by our named executive officers as of January 31, 2026. Our named executive officers hold equity awards with respect to shares of our Class A common stock in the form of RSUs. All equity awards in the table below vest into shares of our Class A common stock unless otherwise noted. There were no option awards held by the named executive officers as of January 31, 2026.</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378"/>
        </w:trPr>
        <w:tc>
          <w:tcPr>
            <w:tcW w:w="120" w:type="dxa"/>
            <w:vAlign w:val="bottom"/>
            <w:tcBorders>
              <w:bottom w:val="single" w:sz="8" w:color="FFE8F5"/>
            </w:tcBorders>
            <w:shd w:val="clear" w:color="auto" w:fill="FFE8F5"/>
          </w:tcPr>
          <w:p>
            <w:pPr>
              <w:spacing w:after="0"/>
              <w:rPr>
                <w:sz w:val="24"/>
                <w:szCs w:val="24"/>
                <w:color w:val="auto"/>
              </w:rPr>
            </w:pPr>
          </w:p>
        </w:tc>
        <w:tc>
          <w:tcPr>
            <w:tcW w:w="1280" w:type="dxa"/>
            <w:vAlign w:val="bottom"/>
            <w:tcBorders>
              <w:bottom w:val="single" w:sz="8" w:color="FFE8F5"/>
            </w:tcBorders>
            <w:shd w:val="clear" w:color="auto" w:fill="FFE8F5"/>
          </w:tcPr>
          <w:p>
            <w:pPr>
              <w:ind w:left="40"/>
              <w:spacing w:after="0"/>
              <w:rPr>
                <w:sz w:val="20"/>
                <w:szCs w:val="20"/>
                <w:color w:val="auto"/>
              </w:rPr>
            </w:pPr>
            <w:r>
              <w:rPr>
                <w:rFonts w:ascii="Arial" w:cs="Arial" w:eastAsia="Arial" w:hAnsi="Arial"/>
                <w:sz w:val="14"/>
                <w:szCs w:val="14"/>
                <w:b w:val="1"/>
                <w:bCs w:val="1"/>
                <w:color w:val="auto"/>
              </w:rPr>
              <w:t>​</w:t>
            </w:r>
          </w:p>
        </w:tc>
        <w:tc>
          <w:tcPr>
            <w:tcW w:w="2220" w:type="dxa"/>
            <w:vAlign w:val="bottom"/>
            <w:tcBorders>
              <w:bottom w:val="single" w:sz="8" w:color="FFE8F5"/>
            </w:tcBorders>
            <w:shd w:val="clear" w:color="auto" w:fill="FFE8F5"/>
          </w:tcPr>
          <w:p>
            <w:pPr>
              <w:ind w:left="900"/>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FFE8F5"/>
            </w:tcBorders>
            <w:shd w:val="clear" w:color="auto" w:fill="FFE8F5"/>
          </w:tcPr>
          <w:p>
            <w:pPr>
              <w:spacing w:after="0"/>
              <w:rPr>
                <w:sz w:val="24"/>
                <w:szCs w:val="24"/>
                <w:color w:val="auto"/>
              </w:rPr>
            </w:pPr>
          </w:p>
        </w:tc>
        <w:tc>
          <w:tcPr>
            <w:tcW w:w="2100" w:type="dxa"/>
            <w:vAlign w:val="bottom"/>
            <w:tcBorders>
              <w:bottom w:val="single" w:sz="8" w:color="auto"/>
            </w:tcBorders>
            <w:shd w:val="clear" w:color="auto" w:fill="FFE8F5"/>
          </w:tcPr>
          <w:p>
            <w:pPr>
              <w:ind w:left="1700"/>
              <w:spacing w:after="0"/>
              <w:rPr>
                <w:sz w:val="20"/>
                <w:szCs w:val="20"/>
                <w:color w:val="auto"/>
              </w:rPr>
            </w:pPr>
            <w:r>
              <w:rPr>
                <w:rFonts w:ascii="Arial" w:cs="Arial" w:eastAsia="Arial" w:hAnsi="Arial"/>
                <w:sz w:val="14"/>
                <w:szCs w:val="14"/>
                <w:b w:val="1"/>
                <w:bCs w:val="1"/>
                <w:color w:val="auto"/>
                <w:w w:val="99"/>
              </w:rPr>
              <w:t>Stock​</w:t>
            </w:r>
          </w:p>
        </w:tc>
        <w:tc>
          <w:tcPr>
            <w:tcW w:w="2060" w:type="dxa"/>
            <w:vAlign w:val="bottom"/>
            <w:tcBorders>
              <w:bottom w:val="single" w:sz="8" w:color="auto"/>
            </w:tcBorders>
            <w:shd w:val="clear" w:color="auto" w:fill="FFE8F5"/>
          </w:tcPr>
          <w:p>
            <w:pPr>
              <w:ind w:left="20"/>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27"/>
        </w:trPr>
        <w:tc>
          <w:tcPr>
            <w:tcW w:w="120" w:type="dxa"/>
            <w:vAlign w:val="bottom"/>
            <w:shd w:val="clear" w:color="auto" w:fill="FFE8F5"/>
          </w:tcPr>
          <w:p>
            <w:pPr>
              <w:spacing w:after="0"/>
              <w:rPr>
                <w:sz w:val="19"/>
                <w:szCs w:val="19"/>
                <w:color w:val="auto"/>
              </w:rPr>
            </w:pPr>
          </w:p>
        </w:tc>
        <w:tc>
          <w:tcPr>
            <w:tcW w:w="1280" w:type="dxa"/>
            <w:vAlign w:val="bottom"/>
            <w:shd w:val="clear" w:color="auto" w:fill="FFE8F5"/>
          </w:tcPr>
          <w:p>
            <w:pPr>
              <w:spacing w:after="0"/>
              <w:rPr>
                <w:sz w:val="19"/>
                <w:szCs w:val="19"/>
                <w:color w:val="auto"/>
              </w:rPr>
            </w:pPr>
          </w:p>
        </w:tc>
        <w:tc>
          <w:tcPr>
            <w:tcW w:w="2220" w:type="dxa"/>
            <w:vAlign w:val="bottom"/>
            <w:shd w:val="clear" w:color="auto" w:fill="FFE8F5"/>
          </w:tcPr>
          <w:p>
            <w:pPr>
              <w:spacing w:after="0"/>
              <w:rPr>
                <w:sz w:val="19"/>
                <w:szCs w:val="19"/>
                <w:color w:val="auto"/>
              </w:rPr>
            </w:pPr>
          </w:p>
        </w:tc>
        <w:tc>
          <w:tcPr>
            <w:tcW w:w="1720" w:type="dxa"/>
            <w:vAlign w:val="bottom"/>
            <w:shd w:val="clear" w:color="auto" w:fill="FFE8F5"/>
          </w:tcPr>
          <w:p>
            <w:pPr>
              <w:spacing w:after="0"/>
              <w:rPr>
                <w:sz w:val="19"/>
                <w:szCs w:val="19"/>
                <w:color w:val="auto"/>
              </w:rPr>
            </w:pPr>
          </w:p>
        </w:tc>
        <w:tc>
          <w:tcPr>
            <w:tcW w:w="2100" w:type="dxa"/>
            <w:vAlign w:val="bottom"/>
            <w:shd w:val="clear" w:color="auto" w:fill="FFE8F5"/>
          </w:tcPr>
          <w:p>
            <w:pPr>
              <w:ind w:left="440"/>
              <w:spacing w:after="0"/>
              <w:rPr>
                <w:sz w:val="20"/>
                <w:szCs w:val="20"/>
                <w:color w:val="auto"/>
              </w:rPr>
            </w:pPr>
            <w:r>
              <w:rPr>
                <w:rFonts w:ascii="Arial" w:cs="Arial" w:eastAsia="Arial" w:hAnsi="Arial"/>
                <w:sz w:val="14"/>
                <w:szCs w:val="14"/>
                <w:b w:val="1"/>
                <w:bCs w:val="1"/>
                <w:color w:val="auto"/>
              </w:rPr>
              <w:t>Number of Shares</w:t>
            </w:r>
          </w:p>
        </w:tc>
        <w:tc>
          <w:tcPr>
            <w:tcW w:w="2060" w:type="dxa"/>
            <w:vAlign w:val="bottom"/>
            <w:shd w:val="clear" w:color="auto" w:fill="FFE8F5"/>
          </w:tcPr>
          <w:p>
            <w:pPr>
              <w:ind w:left="520"/>
              <w:spacing w:after="0"/>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62"/>
        </w:trPr>
        <w:tc>
          <w:tcPr>
            <w:tcW w:w="120" w:type="dxa"/>
            <w:vAlign w:val="bottom"/>
            <w:shd w:val="clear" w:color="auto" w:fill="FFE8F5"/>
          </w:tcPr>
          <w:p>
            <w:pPr>
              <w:spacing w:after="0"/>
              <w:rPr>
                <w:sz w:val="14"/>
                <w:szCs w:val="14"/>
                <w:color w:val="auto"/>
              </w:rPr>
            </w:pPr>
          </w:p>
        </w:tc>
        <w:tc>
          <w:tcPr>
            <w:tcW w:w="1280" w:type="dxa"/>
            <w:vAlign w:val="bottom"/>
            <w:vMerge w:val="restart"/>
            <w:shd w:val="clear" w:color="auto" w:fill="FFE8F5"/>
          </w:tcPr>
          <w:p>
            <w:pPr>
              <w:ind w:left="40"/>
              <w:spacing w:after="0"/>
              <w:rPr>
                <w:sz w:val="20"/>
                <w:szCs w:val="20"/>
                <w:color w:val="auto"/>
              </w:rPr>
            </w:pPr>
            <w:r>
              <w:rPr>
                <w:rFonts w:ascii="Arial" w:cs="Arial" w:eastAsia="Arial" w:hAnsi="Arial"/>
                <w:sz w:val="14"/>
                <w:szCs w:val="14"/>
                <w:b w:val="1"/>
                <w:bCs w:val="1"/>
                <w:color w:val="auto"/>
              </w:rPr>
              <w:t>Name</w:t>
            </w:r>
          </w:p>
        </w:tc>
        <w:tc>
          <w:tcPr>
            <w:tcW w:w="2220" w:type="dxa"/>
            <w:vAlign w:val="bottom"/>
            <w:vMerge w:val="restart"/>
            <w:shd w:val="clear" w:color="auto" w:fill="FFE8F5"/>
          </w:tcPr>
          <w:p>
            <w:pPr>
              <w:ind w:left="900"/>
              <w:spacing w:after="0"/>
              <w:rPr>
                <w:sz w:val="20"/>
                <w:szCs w:val="20"/>
                <w:color w:val="auto"/>
              </w:rPr>
            </w:pPr>
            <w:r>
              <w:rPr>
                <w:rFonts w:ascii="Arial" w:cs="Arial" w:eastAsia="Arial" w:hAnsi="Arial"/>
                <w:sz w:val="14"/>
                <w:szCs w:val="14"/>
                <w:b w:val="1"/>
                <w:bCs w:val="1"/>
                <w:color w:val="auto"/>
              </w:rPr>
              <w:t>Grant Date</w:t>
            </w:r>
          </w:p>
        </w:tc>
        <w:tc>
          <w:tcPr>
            <w:tcW w:w="1720" w:type="dxa"/>
            <w:vAlign w:val="bottom"/>
            <w:vMerge w:val="restart"/>
            <w:shd w:val="clear" w:color="auto" w:fill="FFE8F5"/>
          </w:tcPr>
          <w:p>
            <w:pPr>
              <w:ind w:left="440"/>
              <w:spacing w:after="0"/>
              <w:rPr>
                <w:sz w:val="20"/>
                <w:szCs w:val="20"/>
                <w:color w:val="auto"/>
              </w:rPr>
            </w:pPr>
            <w:r>
              <w:rPr>
                <w:rFonts w:ascii="Arial" w:cs="Arial" w:eastAsia="Arial" w:hAnsi="Arial"/>
                <w:sz w:val="14"/>
                <w:szCs w:val="14"/>
                <w:b w:val="1"/>
                <w:bCs w:val="1"/>
                <w:color w:val="auto"/>
              </w:rPr>
              <w:t>Award Type</w:t>
            </w:r>
          </w:p>
        </w:tc>
        <w:tc>
          <w:tcPr>
            <w:tcW w:w="2100" w:type="dxa"/>
            <w:vAlign w:val="bottom"/>
            <w:shd w:val="clear" w:color="auto" w:fill="FFE8F5"/>
          </w:tcPr>
          <w:p>
            <w:pPr>
              <w:ind w:left="440"/>
              <w:spacing w:after="0"/>
              <w:rPr>
                <w:sz w:val="20"/>
                <w:szCs w:val="20"/>
                <w:color w:val="auto"/>
              </w:rPr>
            </w:pPr>
            <w:r>
              <w:rPr>
                <w:rFonts w:ascii="Arial" w:cs="Arial" w:eastAsia="Arial" w:hAnsi="Arial"/>
                <w:sz w:val="14"/>
                <w:szCs w:val="14"/>
                <w:b w:val="1"/>
                <w:bCs w:val="1"/>
                <w:color w:val="auto"/>
              </w:rPr>
              <w:t>or Units of Stock</w:t>
            </w:r>
          </w:p>
        </w:tc>
        <w:tc>
          <w:tcPr>
            <w:tcW w:w="2060" w:type="dxa"/>
            <w:vAlign w:val="bottom"/>
            <w:shd w:val="clear" w:color="auto" w:fill="FFE8F5"/>
          </w:tcPr>
          <w:p>
            <w:pPr>
              <w:ind w:left="520"/>
              <w:spacing w:after="0"/>
              <w:rPr>
                <w:sz w:val="20"/>
                <w:szCs w:val="20"/>
                <w:color w:val="auto"/>
              </w:rPr>
            </w:pPr>
            <w:r>
              <w:rPr>
                <w:rFonts w:ascii="Arial" w:cs="Arial" w:eastAsia="Arial" w:hAnsi="Arial"/>
                <w:sz w:val="14"/>
                <w:szCs w:val="14"/>
                <w:b w:val="1"/>
                <w:bCs w:val="1"/>
                <w:color w:val="auto"/>
              </w:rPr>
              <w:t>Shares or Units of</w:t>
            </w:r>
          </w:p>
        </w:tc>
        <w:tc>
          <w:tcPr>
            <w:tcW w:w="0" w:type="dxa"/>
            <w:vAlign w:val="bottom"/>
          </w:tcPr>
          <w:p>
            <w:pPr>
              <w:spacing w:after="0"/>
              <w:rPr>
                <w:sz w:val="1"/>
                <w:szCs w:val="1"/>
                <w:color w:val="auto"/>
              </w:rPr>
            </w:pPr>
          </w:p>
        </w:tc>
      </w:tr>
      <w:tr>
        <w:trPr>
          <w:trHeight w:val="129"/>
        </w:trPr>
        <w:tc>
          <w:tcPr>
            <w:tcW w:w="120" w:type="dxa"/>
            <w:vAlign w:val="bottom"/>
            <w:shd w:val="clear" w:color="auto" w:fill="FFE8F5"/>
          </w:tcPr>
          <w:p>
            <w:pPr>
              <w:spacing w:after="0"/>
              <w:rPr>
                <w:sz w:val="11"/>
                <w:szCs w:val="11"/>
                <w:color w:val="auto"/>
              </w:rPr>
            </w:pPr>
          </w:p>
        </w:tc>
        <w:tc>
          <w:tcPr>
            <w:tcW w:w="1280" w:type="dxa"/>
            <w:vAlign w:val="bottom"/>
            <w:vMerge w:val="continue"/>
            <w:shd w:val="clear" w:color="auto" w:fill="FFE8F5"/>
          </w:tcPr>
          <w:p>
            <w:pPr>
              <w:spacing w:after="0"/>
              <w:rPr>
                <w:sz w:val="11"/>
                <w:szCs w:val="11"/>
                <w:color w:val="auto"/>
              </w:rPr>
            </w:pPr>
          </w:p>
        </w:tc>
        <w:tc>
          <w:tcPr>
            <w:tcW w:w="2220" w:type="dxa"/>
            <w:vAlign w:val="bottom"/>
            <w:vMerge w:val="continue"/>
            <w:shd w:val="clear" w:color="auto" w:fill="FFE8F5"/>
          </w:tcPr>
          <w:p>
            <w:pPr>
              <w:spacing w:after="0"/>
              <w:rPr>
                <w:sz w:val="11"/>
                <w:szCs w:val="11"/>
                <w:color w:val="auto"/>
              </w:rPr>
            </w:pPr>
          </w:p>
        </w:tc>
        <w:tc>
          <w:tcPr>
            <w:tcW w:w="1720" w:type="dxa"/>
            <w:vAlign w:val="bottom"/>
            <w:vMerge w:val="continue"/>
            <w:shd w:val="clear" w:color="auto" w:fill="FFE8F5"/>
          </w:tcPr>
          <w:p>
            <w:pPr>
              <w:spacing w:after="0"/>
              <w:rPr>
                <w:sz w:val="11"/>
                <w:szCs w:val="11"/>
                <w:color w:val="auto"/>
              </w:rPr>
            </w:pPr>
          </w:p>
        </w:tc>
        <w:tc>
          <w:tcPr>
            <w:tcW w:w="2100" w:type="dxa"/>
            <w:vAlign w:val="bottom"/>
            <w:vMerge w:val="restart"/>
            <w:shd w:val="clear" w:color="auto" w:fill="FFE8F5"/>
          </w:tcPr>
          <w:p>
            <w:pPr>
              <w:ind w:left="440"/>
              <w:spacing w:after="0" w:line="159" w:lineRule="exact"/>
              <w:rPr>
                <w:sz w:val="20"/>
                <w:szCs w:val="20"/>
                <w:color w:val="auto"/>
              </w:rPr>
            </w:pPr>
            <w:r>
              <w:rPr>
                <w:rFonts w:ascii="Arial" w:cs="Arial" w:eastAsia="Arial" w:hAnsi="Arial"/>
                <w:sz w:val="14"/>
                <w:szCs w:val="14"/>
                <w:b w:val="1"/>
                <w:bCs w:val="1"/>
                <w:color w:val="auto"/>
              </w:rPr>
              <w:t>That Have Not</w:t>
            </w:r>
          </w:p>
        </w:tc>
        <w:tc>
          <w:tcPr>
            <w:tcW w:w="2060" w:type="dxa"/>
            <w:vAlign w:val="bottom"/>
            <w:vMerge w:val="restart"/>
            <w:shd w:val="clear" w:color="auto" w:fill="FFE8F5"/>
          </w:tcPr>
          <w:p>
            <w:pPr>
              <w:ind w:left="520"/>
              <w:spacing w:after="0" w:line="159" w:lineRule="exact"/>
              <w:rPr>
                <w:sz w:val="20"/>
                <w:szCs w:val="20"/>
                <w:color w:val="auto"/>
              </w:rPr>
            </w:pPr>
            <w:r>
              <w:rPr>
                <w:rFonts w:ascii="Arial" w:cs="Arial" w:eastAsia="Arial" w:hAnsi="Arial"/>
                <w:sz w:val="14"/>
                <w:szCs w:val="14"/>
                <w:b w:val="1"/>
                <w:bCs w:val="1"/>
                <w:color w:val="auto"/>
              </w:rPr>
              <w:t>Stock That Have Not</w:t>
            </w:r>
          </w:p>
        </w:tc>
        <w:tc>
          <w:tcPr>
            <w:tcW w:w="0" w:type="dxa"/>
            <w:vAlign w:val="bottom"/>
          </w:tcPr>
          <w:p>
            <w:pPr>
              <w:spacing w:after="0"/>
              <w:rPr>
                <w:sz w:val="1"/>
                <w:szCs w:val="1"/>
                <w:color w:val="auto"/>
              </w:rPr>
            </w:pPr>
          </w:p>
        </w:tc>
      </w:tr>
      <w:tr>
        <w:trPr>
          <w:trHeight w:val="30"/>
        </w:trPr>
        <w:tc>
          <w:tcPr>
            <w:tcW w:w="120" w:type="dxa"/>
            <w:vAlign w:val="bottom"/>
            <w:shd w:val="clear" w:color="auto" w:fill="FFE8F5"/>
          </w:tcPr>
          <w:p>
            <w:pPr>
              <w:spacing w:after="0"/>
              <w:rPr>
                <w:sz w:val="2"/>
                <w:szCs w:val="2"/>
                <w:color w:val="auto"/>
              </w:rPr>
            </w:pPr>
          </w:p>
        </w:tc>
        <w:tc>
          <w:tcPr>
            <w:tcW w:w="1280" w:type="dxa"/>
            <w:vAlign w:val="bottom"/>
            <w:shd w:val="clear" w:color="auto" w:fill="FFE8F5"/>
          </w:tcPr>
          <w:p>
            <w:pPr>
              <w:spacing w:after="0"/>
              <w:rPr>
                <w:sz w:val="2"/>
                <w:szCs w:val="2"/>
                <w:color w:val="auto"/>
              </w:rPr>
            </w:pPr>
          </w:p>
        </w:tc>
        <w:tc>
          <w:tcPr>
            <w:tcW w:w="2220" w:type="dxa"/>
            <w:vAlign w:val="bottom"/>
            <w:shd w:val="clear" w:color="auto" w:fill="FFE8F5"/>
          </w:tcPr>
          <w:p>
            <w:pPr>
              <w:spacing w:after="0"/>
              <w:rPr>
                <w:sz w:val="2"/>
                <w:szCs w:val="2"/>
                <w:color w:val="auto"/>
              </w:rPr>
            </w:pPr>
          </w:p>
        </w:tc>
        <w:tc>
          <w:tcPr>
            <w:tcW w:w="1720" w:type="dxa"/>
            <w:vAlign w:val="bottom"/>
            <w:shd w:val="clear" w:color="auto" w:fill="FFE8F5"/>
          </w:tcPr>
          <w:p>
            <w:pPr>
              <w:spacing w:after="0"/>
              <w:rPr>
                <w:sz w:val="2"/>
                <w:szCs w:val="2"/>
                <w:color w:val="auto"/>
              </w:rPr>
            </w:pPr>
          </w:p>
        </w:tc>
        <w:tc>
          <w:tcPr>
            <w:tcW w:w="2100" w:type="dxa"/>
            <w:vAlign w:val="bottom"/>
            <w:vMerge w:val="continue"/>
            <w:shd w:val="clear" w:color="auto" w:fill="FFE8F5"/>
          </w:tcPr>
          <w:p>
            <w:pPr>
              <w:spacing w:after="0"/>
              <w:rPr>
                <w:sz w:val="2"/>
                <w:szCs w:val="2"/>
                <w:color w:val="auto"/>
              </w:rPr>
            </w:pPr>
          </w:p>
        </w:tc>
        <w:tc>
          <w:tcPr>
            <w:tcW w:w="2060" w:type="dxa"/>
            <w:vAlign w:val="bottom"/>
            <w:vMerge w:val="continue"/>
            <w:shd w:val="clear" w:color="auto" w:fill="FFE8F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120" w:type="dxa"/>
            <w:vAlign w:val="bottom"/>
            <w:tcBorders>
              <w:bottom w:val="single" w:sz="8" w:color="auto"/>
            </w:tcBorders>
            <w:shd w:val="clear" w:color="auto" w:fill="FFE8F5"/>
          </w:tcPr>
          <w:p>
            <w:pPr>
              <w:spacing w:after="0"/>
              <w:rPr>
                <w:sz w:val="24"/>
                <w:szCs w:val="24"/>
                <w:color w:val="auto"/>
              </w:rPr>
            </w:pPr>
          </w:p>
        </w:tc>
        <w:tc>
          <w:tcPr>
            <w:tcW w:w="1280" w:type="dxa"/>
            <w:vAlign w:val="bottom"/>
            <w:tcBorders>
              <w:bottom w:val="single" w:sz="8" w:color="auto"/>
            </w:tcBorders>
            <w:shd w:val="clear" w:color="auto" w:fill="FFE8F5"/>
          </w:tcPr>
          <w:p>
            <w:pPr>
              <w:spacing w:after="0"/>
              <w:rPr>
                <w:sz w:val="24"/>
                <w:szCs w:val="24"/>
                <w:color w:val="auto"/>
              </w:rPr>
            </w:pPr>
          </w:p>
        </w:tc>
        <w:tc>
          <w:tcPr>
            <w:tcW w:w="2220" w:type="dxa"/>
            <w:vAlign w:val="bottom"/>
            <w:tcBorders>
              <w:bottom w:val="single" w:sz="8" w:color="auto"/>
            </w:tcBorders>
            <w:shd w:val="clear" w:color="auto" w:fill="FFE8F5"/>
          </w:tcPr>
          <w:p>
            <w:pPr>
              <w:spacing w:after="0"/>
              <w:rPr>
                <w:sz w:val="24"/>
                <w:szCs w:val="24"/>
                <w:color w:val="auto"/>
              </w:rPr>
            </w:pPr>
          </w:p>
        </w:tc>
        <w:tc>
          <w:tcPr>
            <w:tcW w:w="1720" w:type="dxa"/>
            <w:vAlign w:val="bottom"/>
            <w:tcBorders>
              <w:bottom w:val="single" w:sz="8" w:color="auto"/>
            </w:tcBorders>
            <w:shd w:val="clear" w:color="auto" w:fill="FFE8F5"/>
          </w:tcPr>
          <w:p>
            <w:pPr>
              <w:spacing w:after="0"/>
              <w:rPr>
                <w:sz w:val="24"/>
                <w:szCs w:val="24"/>
                <w:color w:val="auto"/>
              </w:rPr>
            </w:pPr>
          </w:p>
        </w:tc>
        <w:tc>
          <w:tcPr>
            <w:tcW w:w="2100" w:type="dxa"/>
            <w:vAlign w:val="bottom"/>
            <w:tcBorders>
              <w:bottom w:val="single" w:sz="8" w:color="auto"/>
            </w:tcBorders>
            <w:shd w:val="clear" w:color="auto" w:fill="FFE8F5"/>
          </w:tcPr>
          <w:p>
            <w:pPr>
              <w:ind w:left="440"/>
              <w:spacing w:after="0"/>
              <w:rPr>
                <w:sz w:val="20"/>
                <w:szCs w:val="20"/>
                <w:color w:val="auto"/>
              </w:rPr>
            </w:pPr>
            <w:r>
              <w:rPr>
                <w:rFonts w:ascii="Arial" w:cs="Arial" w:eastAsia="Arial" w:hAnsi="Arial"/>
                <w:sz w:val="14"/>
                <w:szCs w:val="14"/>
                <w:b w:val="1"/>
                <w:bCs w:val="1"/>
                <w:color w:val="auto"/>
              </w:rPr>
              <w:t>Vested (#)</w:t>
            </w:r>
          </w:p>
        </w:tc>
        <w:tc>
          <w:tcPr>
            <w:tcW w:w="2060" w:type="dxa"/>
            <w:vAlign w:val="bottom"/>
            <w:tcBorders>
              <w:bottom w:val="single" w:sz="8" w:color="auto"/>
            </w:tcBorders>
            <w:shd w:val="clear" w:color="auto" w:fill="FFE8F5"/>
          </w:tcPr>
          <w:p>
            <w:pPr>
              <w:ind w:left="520"/>
              <w:spacing w:after="0"/>
              <w:rPr>
                <w:sz w:val="20"/>
                <w:szCs w:val="20"/>
                <w:color w:val="auto"/>
              </w:rPr>
            </w:pPr>
            <w:r>
              <w:rPr>
                <w:rFonts w:ascii="Arial" w:cs="Arial" w:eastAsia="Arial" w:hAnsi="Arial"/>
                <w:sz w:val="14"/>
                <w:szCs w:val="14"/>
                <w:b w:val="1"/>
                <w:bCs w:val="1"/>
                <w:color w:val="auto"/>
              </w:rPr>
              <w:t>Vested ($)</w:t>
            </w:r>
            <w:r>
              <w:rPr>
                <w:rFonts w:ascii="Arial" w:cs="Arial" w:eastAsia="Arial" w:hAnsi="Arial"/>
                <w:sz w:val="23"/>
                <w:szCs w:val="23"/>
                <w:b w:val="1"/>
                <w:bCs w:val="1"/>
                <w:color w:val="auto"/>
                <w:vertAlign w:val="superscript"/>
              </w:rPr>
              <w:t>(2)(3)</w:t>
            </w:r>
          </w:p>
        </w:tc>
        <w:tc>
          <w:tcPr>
            <w:tcW w:w="0" w:type="dxa"/>
            <w:vAlign w:val="bottom"/>
          </w:tcPr>
          <w:p>
            <w:pPr>
              <w:spacing w:after="0"/>
              <w:rPr>
                <w:sz w:val="1"/>
                <w:szCs w:val="1"/>
                <w:color w:val="auto"/>
              </w:rPr>
            </w:pPr>
          </w:p>
        </w:tc>
      </w:tr>
      <w:tr>
        <w:trPr>
          <w:trHeight w:val="344"/>
        </w:trPr>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Jennifer Y. Hyman</w:t>
            </w:r>
          </w:p>
        </w:tc>
        <w:tc>
          <w:tcPr>
            <w:tcW w:w="222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12/16/2025</w:t>
            </w:r>
            <w:r>
              <w:rPr>
                <w:rFonts w:ascii="Arial" w:cs="Arial" w:eastAsia="Arial" w:hAnsi="Arial"/>
                <w:sz w:val="23"/>
                <w:szCs w:val="23"/>
                <w:color w:val="auto"/>
                <w:vertAlign w:val="superscript"/>
              </w:rPr>
              <w:t>(2)</w:t>
            </w:r>
          </w:p>
        </w:tc>
        <w:tc>
          <w:tcPr>
            <w:tcW w:w="17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RSU</w:t>
            </w:r>
          </w:p>
        </w:tc>
        <w:tc>
          <w:tcPr>
            <w:tcW w:w="2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1,002,993</w:t>
            </w:r>
          </w:p>
        </w:tc>
        <w:tc>
          <w:tcPr>
            <w:tcW w:w="206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7,081,131</w:t>
            </w:r>
          </w:p>
        </w:tc>
        <w:tc>
          <w:tcPr>
            <w:tcW w:w="0" w:type="dxa"/>
            <w:vAlign w:val="bottom"/>
          </w:tcPr>
          <w:p>
            <w:pPr>
              <w:spacing w:after="0"/>
              <w:rPr>
                <w:sz w:val="1"/>
                <w:szCs w:val="1"/>
                <w:color w:val="auto"/>
              </w:rPr>
            </w:pPr>
          </w:p>
        </w:tc>
      </w:tr>
      <w:tr>
        <w:trPr>
          <w:trHeight w:val="345"/>
        </w:trPr>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Sid Thacker</w:t>
            </w:r>
          </w:p>
        </w:tc>
        <w:tc>
          <w:tcPr>
            <w:tcW w:w="222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12/16/2025</w:t>
            </w:r>
            <w:r>
              <w:rPr>
                <w:rFonts w:ascii="Arial" w:cs="Arial" w:eastAsia="Arial" w:hAnsi="Arial"/>
                <w:sz w:val="23"/>
                <w:szCs w:val="23"/>
                <w:color w:val="auto"/>
                <w:vertAlign w:val="superscript"/>
              </w:rPr>
              <w:t>(2)</w:t>
            </w:r>
          </w:p>
        </w:tc>
        <w:tc>
          <w:tcPr>
            <w:tcW w:w="17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RSU</w:t>
            </w:r>
          </w:p>
        </w:tc>
        <w:tc>
          <w:tcPr>
            <w:tcW w:w="2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200,598</w:t>
            </w:r>
          </w:p>
        </w:tc>
        <w:tc>
          <w:tcPr>
            <w:tcW w:w="206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1,416,222</w:t>
            </w:r>
          </w:p>
        </w:tc>
        <w:tc>
          <w:tcPr>
            <w:tcW w:w="0" w:type="dxa"/>
            <w:vAlign w:val="bottom"/>
          </w:tcPr>
          <w:p>
            <w:pPr>
              <w:spacing w:after="0"/>
              <w:rPr>
                <w:sz w:val="1"/>
                <w:szCs w:val="1"/>
                <w:color w:val="auto"/>
              </w:rPr>
            </w:pPr>
          </w:p>
        </w:tc>
      </w:tr>
      <w:tr>
        <w:trPr>
          <w:trHeight w:val="318"/>
        </w:trPr>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Sarah Tam</w:t>
            </w:r>
          </w:p>
        </w:tc>
        <w:tc>
          <w:tcPr>
            <w:tcW w:w="222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12/16/2025</w:t>
            </w:r>
            <w:r>
              <w:rPr>
                <w:rFonts w:ascii="Arial" w:cs="Arial" w:eastAsia="Arial" w:hAnsi="Arial"/>
                <w:sz w:val="23"/>
                <w:szCs w:val="23"/>
                <w:color w:val="auto"/>
                <w:vertAlign w:val="superscript"/>
              </w:rPr>
              <w:t>(2)</w:t>
            </w:r>
          </w:p>
        </w:tc>
        <w:tc>
          <w:tcPr>
            <w:tcW w:w="17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RSU</w:t>
            </w:r>
          </w:p>
        </w:tc>
        <w:tc>
          <w:tcPr>
            <w:tcW w:w="2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200,598</w:t>
            </w:r>
          </w:p>
        </w:tc>
        <w:tc>
          <w:tcPr>
            <w:tcW w:w="206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1,416,222</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right="140" w:hanging="359"/>
        <w:spacing w:after="0" w:line="281"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are calculated by multiplying the number of shares shown in the table by $7.06, the closing stock price of our Class A common stock on January 30, 2026, which was the last trading day of fiscal year 2025.</w:t>
      </w:r>
    </w:p>
    <w:p>
      <w:pPr>
        <w:spacing w:after="0" w:line="1" w:lineRule="exact"/>
        <w:rPr>
          <w:rFonts w:ascii="Arial" w:cs="Arial" w:eastAsia="Arial" w:hAnsi="Arial"/>
          <w:sz w:val="14"/>
          <w:szCs w:val="14"/>
          <w:color w:val="auto"/>
        </w:rPr>
      </w:pPr>
    </w:p>
    <w:p>
      <w:pPr>
        <w:ind w:left="380" w:right="960" w:hanging="359"/>
        <w:spacing w:after="0" w:line="281"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RSUs that vest 25% on the one-year anniversary of the grant date, with the remaining 75% of the RSUs vesting in 1/16th increments on a quarterly basis for the next three years, subject to continued service through the applicable vesting dates.</w:t>
      </w:r>
    </w:p>
    <w:p>
      <w:pPr>
        <w:spacing w:after="0" w:line="1" w:lineRule="exact"/>
        <w:rPr>
          <w:rFonts w:ascii="Arial" w:cs="Arial" w:eastAsia="Arial" w:hAnsi="Arial"/>
          <w:sz w:val="14"/>
          <w:szCs w:val="14"/>
          <w:color w:val="auto"/>
        </w:rPr>
      </w:pPr>
    </w:p>
    <w:p>
      <w:pPr>
        <w:ind w:left="380" w:hanging="359"/>
        <w:spacing w:after="0" w:line="249"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In accordance with FASB ASC 718, the FY 2025 PSUs were not considered granted from an accounting perspective as of the date of this Proxy Statement. As noted above under the section of this Proxy Statement entitled “Equity Incentive Compensation”, the FY 2025 PSUs will be reflected in the “Outstanding Equity Awards at Fiscal-Year End” table for the year in which the performance metrics and goals are determined by the Board. The PSUs are subject to time-based and performance-based vesting requirements, and generally will fully vest on January 31, 2030 (subject to continued employment through the vesting date) with respect to any PSUs that become earned PSUs during each applicable Performance Period as further discussed in the section entitled “New Plan Benefits Under the Amended Plan” on page </w:t>
      </w:r>
      <w:r>
        <w:rPr>
          <w:rFonts w:ascii="Arial" w:cs="Arial" w:eastAsia="Arial" w:hAnsi="Arial"/>
          <w:sz w:val="14"/>
          <w:szCs w:val="14"/>
          <w:u w:val="single" w:color="auto"/>
          <w:color w:val="0000EE"/>
        </w:rPr>
        <w:t>41</w:t>
      </w:r>
      <w:r>
        <w:rPr>
          <w:rFonts w:ascii="Arial" w:cs="Arial" w:eastAsia="Arial" w:hAnsi="Arial"/>
          <w:sz w:val="14"/>
          <w:szCs w:val="14"/>
          <w:color w:val="auto"/>
        </w:rPr>
        <w:t xml:space="preserve"> of this Proxy Statement.</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85" w:lineRule="exact"/>
        <w:rPr>
          <w:sz w:val="20"/>
          <w:szCs w:val="20"/>
          <w:color w:val="auto"/>
        </w:rPr>
      </w:pPr>
    </w:p>
    <w:p>
      <w:pPr>
        <w:ind w:left="20" w:right="40"/>
        <w:spacing w:after="0" w:line="271" w:lineRule="auto"/>
        <w:rPr>
          <w:sz w:val="20"/>
          <w:szCs w:val="20"/>
          <w:color w:val="auto"/>
        </w:rPr>
      </w:pPr>
      <w:r>
        <w:rPr>
          <w:rFonts w:ascii="Arial" w:cs="Arial" w:eastAsia="Arial" w:hAnsi="Arial"/>
          <w:sz w:val="18"/>
          <w:szCs w:val="18"/>
          <w:color w:val="auto"/>
        </w:rPr>
        <w:t>Below are written descriptions of our employment arrangements with each of our named executive officers. Each of our named executive officers’ employment is “at will” and may be terminated at any time.</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Jennifer Y. Hyman</w:t>
      </w:r>
    </w:p>
    <w:p>
      <w:pPr>
        <w:spacing w:after="0" w:line="169" w:lineRule="exact"/>
        <w:rPr>
          <w:sz w:val="20"/>
          <w:szCs w:val="20"/>
          <w:color w:val="auto"/>
        </w:rPr>
      </w:pPr>
    </w:p>
    <w:p>
      <w:pPr>
        <w:ind w:left="20" w:right="320"/>
        <w:spacing w:after="0" w:line="242" w:lineRule="auto"/>
        <w:rPr>
          <w:sz w:val="20"/>
          <w:szCs w:val="20"/>
          <w:color w:val="auto"/>
        </w:rPr>
      </w:pPr>
      <w:r>
        <w:rPr>
          <w:rFonts w:ascii="Arial" w:cs="Arial" w:eastAsia="Arial" w:hAnsi="Arial"/>
          <w:sz w:val="18"/>
          <w:szCs w:val="18"/>
          <w:color w:val="auto"/>
        </w:rPr>
        <w:t>In connection with the Recapitalization Transactions, we entered into an amended employment agreement with Ms. Hyman amending the terms of her prior employment agreement (as amended, “the CEO Employment Agreement”), pursuant to which Ms. Hyman served as our Co-Founder, Chief Executive Officer and President, the material terms of which are described in this section. The CEO Employment Agreement provided for an initial term ending on January 31, 2030, with successive one-year automatic extensions of the term, provided that neither party provides prior written notice of non-extension of the term.</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Pursuant to the CEO Employment Agreement, Ms. Hyman was entitled to an annual base salary ($ 750,000), was eligible for an annual performance-based cash bonus with a target bonus opportunity (100% of her annual base salary), was eligible to participate in the Company’s retirement and health and welfare plans, and was eligible for reimbursement of certain travel and business expenses. In addition, pursuant to the CEO Employment Agreement, Ms. Hyman was eligible to receive security consulting benefits, including an assessment of Ms. Hyman’s personal security considerations in connection with her position with us and data security consulting benefits and equipment with respect to Ms. Hyman’s use of electronic RTR equipment at Ms. Hyman’s home and while traveling.</w:t>
      </w:r>
    </w:p>
    <w:p>
      <w:pPr>
        <w:spacing w:after="0" w:line="144" w:lineRule="exact"/>
        <w:rPr>
          <w:sz w:val="20"/>
          <w:szCs w:val="20"/>
          <w:color w:val="auto"/>
        </w:rPr>
      </w:pPr>
    </w:p>
    <w:p>
      <w:pPr>
        <w:ind w:left="20" w:right="240"/>
        <w:spacing w:after="0" w:line="242" w:lineRule="auto"/>
        <w:rPr>
          <w:sz w:val="20"/>
          <w:szCs w:val="20"/>
          <w:color w:val="auto"/>
        </w:rPr>
      </w:pPr>
      <w:r>
        <w:rPr>
          <w:rFonts w:ascii="Arial" w:cs="Arial" w:eastAsia="Arial" w:hAnsi="Arial"/>
          <w:sz w:val="18"/>
          <w:szCs w:val="18"/>
          <w:color w:val="auto"/>
        </w:rPr>
        <w:t>Pursuant to the CEO Employment Agreement, if Ms. Hyman’s employment was terminated by the Company without “cause” (as defined in the CEO Employment Agreement) or by Ms. Hyman for “good reason” (as defined in the CEO Employment Agreement), then she would have been eligible for (i) a cash severance payment equal to 1.0 times her annual base salary and target annual bonus (increased to 1.5 times if such employment termination occurs prior to October 28, 2026 or within the 24 month period following a CIC), payable in accordance with the terms of the CEO Employment Agreement; (ii) continued group health coverage for a period</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260"/>
        <w:spacing w:after="0" w:line="253" w:lineRule="auto"/>
        <w:rPr>
          <w:sz w:val="20"/>
          <w:szCs w:val="20"/>
          <w:color w:val="auto"/>
        </w:rPr>
      </w:pPr>
      <w:r>
        <w:rPr>
          <w:rFonts w:ascii="Arial" w:cs="Arial" w:eastAsia="Arial" w:hAnsi="Arial"/>
          <w:sz w:val="18"/>
          <w:szCs w:val="18"/>
          <w:color w:val="auto"/>
        </w:rPr>
        <w:t>of up to 18 months following termination; and (iii) vesting of all paid amounts under the Amended Transaction Bonus Plan which, as of her employment termination date, are subject to clawback restrictions (with any unpaid amounts being forfeited). The CEO Employment Agreement also provided for a Section 280G “best net” cutback.</w:t>
      </w:r>
    </w:p>
    <w:p>
      <w:pPr>
        <w:spacing w:after="0" w:line="128" w:lineRule="exact"/>
        <w:rPr>
          <w:sz w:val="20"/>
          <w:szCs w:val="20"/>
          <w:color w:val="auto"/>
        </w:rPr>
      </w:pPr>
    </w:p>
    <w:p>
      <w:pPr>
        <w:ind w:left="20" w:right="80"/>
        <w:spacing w:after="0" w:line="242" w:lineRule="auto"/>
        <w:rPr>
          <w:sz w:val="20"/>
          <w:szCs w:val="20"/>
          <w:color w:val="auto"/>
        </w:rPr>
      </w:pPr>
      <w:r>
        <w:rPr>
          <w:rFonts w:ascii="Arial" w:cs="Arial" w:eastAsia="Arial" w:hAnsi="Arial"/>
          <w:sz w:val="18"/>
          <w:szCs w:val="18"/>
          <w:color w:val="auto"/>
        </w:rPr>
        <w:t>On May 12, 2026, Ms. Hyman resigned as Chief Executive Officer and President of the Company, effective as of May 15, 2026. In connection with her resignation, we entered into a separation, advisor and release agreement pursuant to which Ms. Hyman is eligible to receive certain severance payments and benefits, subject to her execution of a release of claims and compliance with restrictive covenants. For a summary of Ms. Hyman’s resignation and the separation, advisor and release agreement, please see the Company’s Current Report on Form 8-K filed with the SEC on May 13, 2026.</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Sid Thacker</w:t>
      </w:r>
    </w:p>
    <w:p>
      <w:pPr>
        <w:spacing w:after="0" w:line="169" w:lineRule="exact"/>
        <w:rPr>
          <w:sz w:val="20"/>
          <w:szCs w:val="20"/>
          <w:color w:val="auto"/>
        </w:rPr>
      </w:pPr>
    </w:p>
    <w:p>
      <w:pPr>
        <w:ind w:left="20" w:right="80"/>
        <w:spacing w:after="0" w:line="266" w:lineRule="auto"/>
        <w:rPr>
          <w:sz w:val="20"/>
          <w:szCs w:val="20"/>
          <w:color w:val="auto"/>
        </w:rPr>
      </w:pPr>
      <w:r>
        <w:rPr>
          <w:rFonts w:ascii="Arial" w:cs="Arial" w:eastAsia="Arial" w:hAnsi="Arial"/>
          <w:sz w:val="17"/>
          <w:szCs w:val="17"/>
          <w:color w:val="auto"/>
        </w:rPr>
        <w:t>We are party to an offer letter with Mr. Thacker pursuant to which Mr. Thacker serves as our Chief Financial Officer (as amended, the “Thacker Offer Letter”). The Thacker Offer Letter provides for an annual base salary (which is currently $550,000), an annual performance-based cash bonus with a target bonus opportunity (which is currently 43% of his annual base salary), and eligibility to participate in the Executive Severance Plan on terms described below.</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Sarah Tam</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are party to an offer letter with Ms. Tam pursuant to which Ms. Tam serves as our Chief Merchant Officer (as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amended, the “Tam Offer Letter”). The Tam Offer Letter provides for an annual base salary (which is currently</w:t>
      </w:r>
    </w:p>
    <w:p>
      <w:pPr>
        <w:ind w:left="20"/>
        <w:spacing w:after="0" w:line="234" w:lineRule="auto"/>
        <w:rPr>
          <w:sz w:val="20"/>
          <w:szCs w:val="20"/>
          <w:color w:val="auto"/>
        </w:rPr>
      </w:pPr>
      <w:r>
        <w:rPr>
          <w:rFonts w:ascii="Arial" w:cs="Arial" w:eastAsia="Arial" w:hAnsi="Arial"/>
          <w:sz w:val="18"/>
          <w:szCs w:val="18"/>
          <w:color w:val="auto"/>
        </w:rPr>
        <w:t>$500,000), an annual performance-based cash bonus with a target bonus opportunity (which is currently 35% of 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annual base salary), and eligibility to participate in the Executive Severance Plan on terms described below.</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Severance Plan</w:t>
      </w:r>
    </w:p>
    <w:p>
      <w:pPr>
        <w:spacing w:after="0" w:line="171"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We have adopted an Executive Severance Plan, or the Severance Plan, pursuant to which senior employees (including our named executive officers other than Ms. Hyman) are eligible to participate. Ms. Hyman did not participate in the Severance Plan. The Severance Plan provides for the payment of certain severance and other benefits to participants in the event of a qualifying termination of employment with us, subject to the execution and nonrevocation of a release of claims and compliance with any applicable restrictive covenants.</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Termination of Employment not in Connection with a Change in Control</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Sid Thacker</w:t>
      </w:r>
    </w:p>
    <w:p>
      <w:pPr>
        <w:spacing w:after="0" w:line="183" w:lineRule="exact"/>
        <w:rPr>
          <w:sz w:val="20"/>
          <w:szCs w:val="20"/>
          <w:color w:val="auto"/>
        </w:rPr>
      </w:pPr>
    </w:p>
    <w:p>
      <w:pPr>
        <w:ind w:left="20" w:right="140"/>
        <w:spacing w:after="0" w:line="271" w:lineRule="auto"/>
        <w:rPr>
          <w:sz w:val="20"/>
          <w:szCs w:val="20"/>
          <w:color w:val="auto"/>
        </w:rPr>
      </w:pPr>
      <w:r>
        <w:rPr>
          <w:rFonts w:ascii="Arial" w:cs="Arial" w:eastAsia="Arial" w:hAnsi="Arial"/>
          <w:sz w:val="18"/>
          <w:szCs w:val="18"/>
          <w:color w:val="auto"/>
        </w:rPr>
        <w:t>Under the Severance Plan, in the event of a termination of Mr. Thacker’s employment by us without “cause” or by him for “good reason” (each, as defined in the Severance Plan), he will be eligible to receive the following benefits:</w:t>
      </w:r>
    </w:p>
    <w:p>
      <w:pPr>
        <w:spacing w:after="0" w:line="113" w:lineRule="exact"/>
        <w:rPr>
          <w:sz w:val="20"/>
          <w:szCs w:val="20"/>
          <w:color w:val="auto"/>
        </w:rPr>
      </w:pPr>
    </w:p>
    <w:p>
      <w:pPr>
        <w:ind w:left="740" w:right="80" w:hanging="359"/>
        <w:spacing w:after="0" w:line="245"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cash payment equal to 0.5x Mr. Thacker’s then-current base salary because he has been employed with us for less than five years;</w:t>
      </w:r>
    </w:p>
    <w:p>
      <w:pPr>
        <w:ind w:left="740" w:right="140" w:hanging="359"/>
        <w:spacing w:after="0" w:line="234"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lump-sum cash payment equal to the cash bonus with respect to the fiscal year in which Mr. Thacker’s termination of employment occurs, based on actual achievement of any applicable company performance goals or objectives and any applicable individual performance goals or objectives, prorated for the number of days the named executive officer was employed during that fiscal year; and</w:t>
      </w:r>
    </w:p>
    <w:p>
      <w:pPr>
        <w:spacing w:after="0" w:line="2" w:lineRule="exact"/>
        <w:rPr>
          <w:rFonts w:ascii="Arial" w:cs="Arial" w:eastAsia="Arial" w:hAnsi="Arial"/>
          <w:sz w:val="18"/>
          <w:szCs w:val="18"/>
          <w:color w:val="auto"/>
        </w:rPr>
      </w:pPr>
    </w:p>
    <w:p>
      <w:pPr>
        <w:ind w:left="740" w:hanging="359"/>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company-paid COBRA premium payments for up to six months.</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Sarah Tam</w:t>
      </w:r>
    </w:p>
    <w:p>
      <w:pPr>
        <w:spacing w:after="0" w:line="169" w:lineRule="exact"/>
        <w:rPr>
          <w:sz w:val="20"/>
          <w:szCs w:val="20"/>
          <w:color w:val="auto"/>
        </w:rPr>
      </w:pPr>
    </w:p>
    <w:p>
      <w:pPr>
        <w:ind w:left="20" w:right="200"/>
        <w:spacing w:after="0" w:line="271" w:lineRule="auto"/>
        <w:rPr>
          <w:sz w:val="20"/>
          <w:szCs w:val="20"/>
          <w:color w:val="auto"/>
        </w:rPr>
      </w:pPr>
      <w:r>
        <w:rPr>
          <w:rFonts w:ascii="Arial" w:cs="Arial" w:eastAsia="Arial" w:hAnsi="Arial"/>
          <w:sz w:val="18"/>
          <w:szCs w:val="18"/>
          <w:color w:val="auto"/>
        </w:rPr>
        <w:t>Under the Severance Plan, in the event of a termination of Ms. Tam’s employment by us without “cause” or by her for “good reason” (each as defined in the Severance Plan), she will be eligible to receive the following benefits:</w:t>
      </w:r>
    </w:p>
    <w:p>
      <w:pPr>
        <w:spacing w:after="0" w:line="127" w:lineRule="exact"/>
        <w:rPr>
          <w:sz w:val="20"/>
          <w:szCs w:val="20"/>
          <w:color w:val="auto"/>
        </w:rPr>
      </w:pPr>
    </w:p>
    <w:p>
      <w:pPr>
        <w:ind w:left="740" w:right="20" w:hanging="359"/>
        <w:spacing w:after="0" w:line="271"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cash payment equal to 1.0x Ms. Tam’s then-current base salary because she has been employed with us for more than five years;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740" w:right="140" w:hanging="359"/>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lump-sum cash payment equal to the cash bonus with respect to the fiscal year in which Ms. Tam’s termination of employment occurs, based on actual achievement of any applicable company performance goals or objectives and any applicable individual performance goals or objectives, prorated for the number of days the named executive officer was employed during that fiscal year; and</w:t>
      </w:r>
    </w:p>
    <w:p>
      <w:pPr>
        <w:ind w:left="740" w:hanging="359"/>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company-paid COBRA premium payments for up to 12 months.</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Termination of Employment in Connection with a Change in Control</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the event of a termination of Mr. Thacker or Ms. Tam’s employment by us without “cause” or by Mr. Thacker or</w:t>
      </w:r>
    </w:p>
    <w:p>
      <w:pPr>
        <w:spacing w:after="0" w:line="14" w:lineRule="exact"/>
        <w:rPr>
          <w:sz w:val="20"/>
          <w:szCs w:val="20"/>
          <w:color w:val="auto"/>
        </w:rPr>
      </w:pPr>
    </w:p>
    <w:p>
      <w:pPr>
        <w:ind w:left="20"/>
        <w:spacing w:after="0" w:line="250" w:lineRule="auto"/>
        <w:rPr>
          <w:sz w:val="20"/>
          <w:szCs w:val="20"/>
          <w:color w:val="auto"/>
        </w:rPr>
      </w:pPr>
      <w:r>
        <w:rPr>
          <w:rFonts w:ascii="Arial" w:cs="Arial" w:eastAsia="Arial" w:hAnsi="Arial"/>
          <w:sz w:val="18"/>
          <w:szCs w:val="18"/>
          <w:color w:val="auto"/>
        </w:rPr>
        <w:t>Ms. Tam for “good reason” during the period beginning three months before and ending on the 12-month anniversary of a “change in control” (as defined in the Severance Plan), each will be eligible to receive the following benefits:</w:t>
      </w:r>
    </w:p>
    <w:p>
      <w:pPr>
        <w:spacing w:after="0" w:line="131" w:lineRule="exact"/>
        <w:rPr>
          <w:sz w:val="20"/>
          <w:szCs w:val="20"/>
          <w:color w:val="auto"/>
        </w:rPr>
      </w:pPr>
    </w:p>
    <w:p>
      <w:pPr>
        <w:ind w:left="740" w:hanging="359"/>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lump sum cash payment equal to 1.0x of their then-current annual base salary;</w:t>
      </w:r>
    </w:p>
    <w:p>
      <w:pPr>
        <w:spacing w:after="0" w:line="13" w:lineRule="exact"/>
        <w:rPr>
          <w:rFonts w:ascii="Arial" w:cs="Arial" w:eastAsia="Arial" w:hAnsi="Arial"/>
          <w:sz w:val="18"/>
          <w:szCs w:val="18"/>
          <w:color w:val="auto"/>
        </w:rPr>
      </w:pPr>
    </w:p>
    <w:p>
      <w:pPr>
        <w:ind w:left="740" w:right="100" w:hanging="359"/>
        <w:spacing w:after="0" w:line="234"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lump sum cash payment equal to 1.0x of the greater of (1) the bonus that they would have earned had they remained employed for the full year in which termination occurs, based on actual achievement and (2) their target annual bonus for the fiscal year in which the date of termination occurs;</w:t>
      </w:r>
    </w:p>
    <w:p>
      <w:pPr>
        <w:spacing w:after="0" w:line="2"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company-paid COBRA premium payments for up to 12 months; and</w:t>
      </w:r>
    </w:p>
    <w:p>
      <w:pPr>
        <w:ind w:left="740" w:right="140" w:hanging="359"/>
        <w:spacing w:after="0" w:line="242"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accelerated vesting of all equity awards which vest based solely on continued service with us or the passage of time, with awards that vest based on the achievement of performance objectives or conditions eligible to vest based on the applicable award agreement.</w:t>
      </w:r>
    </w:p>
    <w:p>
      <w:pPr>
        <w:spacing w:after="0" w:line="139" w:lineRule="exact"/>
        <w:rPr>
          <w:sz w:val="20"/>
          <w:szCs w:val="20"/>
          <w:color w:val="auto"/>
        </w:rPr>
      </w:pPr>
    </w:p>
    <w:p>
      <w:pPr>
        <w:jc w:val="both"/>
        <w:ind w:left="20" w:right="60"/>
        <w:spacing w:after="0" w:line="247" w:lineRule="auto"/>
        <w:rPr>
          <w:sz w:val="20"/>
          <w:szCs w:val="20"/>
          <w:color w:val="auto"/>
        </w:rPr>
      </w:pPr>
      <w:r>
        <w:rPr>
          <w:rFonts w:ascii="Arial" w:cs="Arial" w:eastAsia="Arial" w:hAnsi="Arial"/>
          <w:sz w:val="18"/>
          <w:szCs w:val="18"/>
          <w:color w:val="auto"/>
        </w:rPr>
        <w:t>Pursuant to the terms of the PSU award agreement, in the event of a termination of employment by without “cause” or a resignation for “modified good reason” (as defined in the PSU award agreement) on or after February 1, 2027, a pro-rated portion of the target number of PSUs multiplied by the applicable earned PSU percentage for such performance period for during which a termination of employment occurs shall vest.</w:t>
      </w:r>
    </w:p>
    <w:p>
      <w:pPr>
        <w:spacing w:after="0" w:line="147"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Pursuant to the terms of the RSU award agreement, in the event of a termination of employment without “cause” during the 18-month period commencing on either the Closing of the Recapitalization Transactions or the date of a Change in Control that occurs after the Closing of the Recapitalization Transactions, the number of RSUs that would have otherwise vested on the first vesting date following the termination of employment shall vest.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right="1280"/>
        <w:spacing w:after="0" w:line="273" w:lineRule="auto"/>
        <w:rPr>
          <w:sz w:val="20"/>
          <w:szCs w:val="20"/>
          <w:color w:val="auto"/>
        </w:rPr>
      </w:pPr>
      <w:r>
        <w:rPr>
          <w:rFonts w:ascii="Arial" w:cs="Arial" w:eastAsia="Arial" w:hAnsi="Arial"/>
          <w:sz w:val="65"/>
          <w:szCs w:val="65"/>
          <w:b w:val="1"/>
          <w:bCs w:val="1"/>
          <w:color w:val="auto"/>
        </w:rPr>
        <w:t>Equity Compensation Plan Information</w:t>
      </w:r>
    </w:p>
    <w:p>
      <w:pPr>
        <w:spacing w:after="0" w:line="2" w:lineRule="exact"/>
        <w:rPr>
          <w:sz w:val="20"/>
          <w:szCs w:val="20"/>
          <w:color w:val="auto"/>
        </w:rPr>
      </w:pPr>
    </w:p>
    <w:p>
      <w:pPr>
        <w:ind w:left="20" w:right="120"/>
        <w:spacing w:after="0" w:line="271" w:lineRule="auto"/>
        <w:rPr>
          <w:sz w:val="20"/>
          <w:szCs w:val="20"/>
          <w:color w:val="auto"/>
        </w:rPr>
      </w:pPr>
      <w:r>
        <w:rPr>
          <w:rFonts w:ascii="Arial" w:cs="Arial" w:eastAsia="Arial" w:hAnsi="Arial"/>
          <w:sz w:val="18"/>
          <w:szCs w:val="18"/>
          <w:color w:val="auto"/>
        </w:rPr>
        <w:t>The following table provides information as of January 31, 2026, with respect to the shares of the Company’s common stock that may be issued under the Company’s existing compensation plans.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20" w:type="dxa"/>
            <w:vAlign w:val="bottom"/>
            <w:shd w:val="clear" w:color="auto" w:fill="FFE8F5"/>
          </w:tcPr>
          <w:p>
            <w:pPr>
              <w:spacing w:after="0"/>
              <w:rPr>
                <w:sz w:val="22"/>
                <w:szCs w:val="22"/>
                <w:color w:val="auto"/>
              </w:rPr>
            </w:pPr>
          </w:p>
        </w:tc>
        <w:tc>
          <w:tcPr>
            <w:tcW w:w="4300" w:type="dxa"/>
            <w:vAlign w:val="bottom"/>
            <w:shd w:val="clear" w:color="auto" w:fill="FFE8F5"/>
          </w:tcPr>
          <w:p>
            <w:pPr>
              <w:spacing w:after="0"/>
              <w:rPr>
                <w:sz w:val="22"/>
                <w:szCs w:val="22"/>
                <w:color w:val="auto"/>
              </w:rPr>
            </w:pPr>
          </w:p>
        </w:tc>
        <w:tc>
          <w:tcPr>
            <w:tcW w:w="1760" w:type="dxa"/>
            <w:vAlign w:val="bottom"/>
            <w:shd w:val="clear" w:color="auto" w:fill="FFE8F5"/>
          </w:tcPr>
          <w:p>
            <w:pPr>
              <w:spacing w:after="0"/>
              <w:rPr>
                <w:sz w:val="22"/>
                <w:szCs w:val="22"/>
                <w:color w:val="auto"/>
              </w:rPr>
            </w:pPr>
          </w:p>
        </w:tc>
        <w:tc>
          <w:tcPr>
            <w:tcW w:w="1060" w:type="dxa"/>
            <w:vAlign w:val="bottom"/>
            <w:shd w:val="clear" w:color="auto" w:fill="FFE8F5"/>
          </w:tcPr>
          <w:p>
            <w:pPr>
              <w:spacing w:after="0"/>
              <w:rPr>
                <w:sz w:val="22"/>
                <w:szCs w:val="22"/>
                <w:color w:val="auto"/>
              </w:rPr>
            </w:pPr>
          </w:p>
        </w:tc>
        <w:tc>
          <w:tcPr>
            <w:tcW w:w="780" w:type="dxa"/>
            <w:vAlign w:val="bottom"/>
            <w:shd w:val="clear" w:color="auto" w:fill="FFE8F5"/>
          </w:tcPr>
          <w:p>
            <w:pPr>
              <w:spacing w:after="0"/>
              <w:rPr>
                <w:sz w:val="22"/>
                <w:szCs w:val="22"/>
                <w:color w:val="auto"/>
              </w:rPr>
            </w:pPr>
          </w:p>
        </w:tc>
        <w:tc>
          <w:tcPr>
            <w:tcW w:w="1480" w:type="dxa"/>
            <w:vAlign w:val="bottom"/>
            <w:shd w:val="clear" w:color="auto" w:fill="FFE8F5"/>
          </w:tcPr>
          <w:p>
            <w:pPr>
              <w:ind w:left="30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120" w:type="dxa"/>
            <w:vAlign w:val="bottom"/>
            <w:shd w:val="clear" w:color="auto" w:fill="FFE8F5"/>
          </w:tcPr>
          <w:p>
            <w:pPr>
              <w:spacing w:after="0"/>
              <w:rPr>
                <w:sz w:val="14"/>
                <w:szCs w:val="14"/>
                <w:color w:val="auto"/>
              </w:rPr>
            </w:pPr>
          </w:p>
        </w:tc>
        <w:tc>
          <w:tcPr>
            <w:tcW w:w="4300" w:type="dxa"/>
            <w:vAlign w:val="bottom"/>
            <w:shd w:val="clear" w:color="auto" w:fill="FFE8F5"/>
          </w:tcPr>
          <w:p>
            <w:pPr>
              <w:spacing w:after="0"/>
              <w:rPr>
                <w:sz w:val="14"/>
                <w:szCs w:val="14"/>
                <w:color w:val="auto"/>
              </w:rPr>
            </w:pPr>
          </w:p>
        </w:tc>
        <w:tc>
          <w:tcPr>
            <w:tcW w:w="1760" w:type="dxa"/>
            <w:vAlign w:val="bottom"/>
            <w:vMerge w:val="restart"/>
            <w:shd w:val="clear" w:color="auto" w:fill="FFE8F5"/>
          </w:tcPr>
          <w:p>
            <w:pPr>
              <w:ind w:left="400"/>
              <w:spacing w:after="0"/>
              <w:rPr>
                <w:sz w:val="20"/>
                <w:szCs w:val="20"/>
                <w:color w:val="auto"/>
              </w:rPr>
            </w:pPr>
            <w:r>
              <w:rPr>
                <w:rFonts w:ascii="Arial" w:cs="Arial" w:eastAsia="Arial" w:hAnsi="Arial"/>
                <w:sz w:val="14"/>
                <w:szCs w:val="14"/>
                <w:b w:val="1"/>
                <w:bCs w:val="1"/>
                <w:color w:val="auto"/>
              </w:rPr>
              <w:t>Number of</w:t>
            </w:r>
          </w:p>
        </w:tc>
        <w:tc>
          <w:tcPr>
            <w:tcW w:w="1060" w:type="dxa"/>
            <w:vAlign w:val="bottom"/>
            <w:shd w:val="clear" w:color="auto" w:fill="FFE8F5"/>
          </w:tcPr>
          <w:p>
            <w:pPr>
              <w:spacing w:after="0"/>
              <w:rPr>
                <w:sz w:val="14"/>
                <w:szCs w:val="14"/>
                <w:color w:val="auto"/>
              </w:rPr>
            </w:pPr>
          </w:p>
        </w:tc>
        <w:tc>
          <w:tcPr>
            <w:tcW w:w="780" w:type="dxa"/>
            <w:vAlign w:val="bottom"/>
            <w:shd w:val="clear" w:color="auto" w:fill="FFE8F5"/>
          </w:tcPr>
          <w:p>
            <w:pPr>
              <w:spacing w:after="0"/>
              <w:rPr>
                <w:sz w:val="14"/>
                <w:szCs w:val="14"/>
                <w:color w:val="auto"/>
              </w:rPr>
            </w:pPr>
          </w:p>
        </w:tc>
        <w:tc>
          <w:tcPr>
            <w:tcW w:w="1480" w:type="dxa"/>
            <w:vAlign w:val="bottom"/>
            <w:shd w:val="clear" w:color="auto" w:fill="FFE8F5"/>
          </w:tcPr>
          <w:p>
            <w:pPr>
              <w:ind w:left="300"/>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81"/>
        </w:trPr>
        <w:tc>
          <w:tcPr>
            <w:tcW w:w="120" w:type="dxa"/>
            <w:vAlign w:val="bottom"/>
            <w:shd w:val="clear" w:color="auto" w:fill="FFE8F5"/>
          </w:tcPr>
          <w:p>
            <w:pPr>
              <w:spacing w:after="0"/>
              <w:rPr>
                <w:sz w:val="7"/>
                <w:szCs w:val="7"/>
                <w:color w:val="auto"/>
              </w:rPr>
            </w:pPr>
          </w:p>
        </w:tc>
        <w:tc>
          <w:tcPr>
            <w:tcW w:w="4300" w:type="dxa"/>
            <w:vAlign w:val="bottom"/>
            <w:shd w:val="clear" w:color="auto" w:fill="FFE8F5"/>
          </w:tcPr>
          <w:p>
            <w:pPr>
              <w:spacing w:after="0"/>
              <w:rPr>
                <w:sz w:val="7"/>
                <w:szCs w:val="7"/>
                <w:color w:val="auto"/>
              </w:rPr>
            </w:pPr>
          </w:p>
        </w:tc>
        <w:tc>
          <w:tcPr>
            <w:tcW w:w="1760" w:type="dxa"/>
            <w:vAlign w:val="bottom"/>
            <w:vMerge w:val="continue"/>
            <w:shd w:val="clear" w:color="auto" w:fill="FFE8F5"/>
          </w:tcPr>
          <w:p>
            <w:pPr>
              <w:spacing w:after="0"/>
              <w:rPr>
                <w:sz w:val="7"/>
                <w:szCs w:val="7"/>
                <w:color w:val="auto"/>
              </w:rPr>
            </w:pPr>
          </w:p>
        </w:tc>
        <w:tc>
          <w:tcPr>
            <w:tcW w:w="1060" w:type="dxa"/>
            <w:vAlign w:val="bottom"/>
            <w:vMerge w:val="restart"/>
            <w:shd w:val="clear" w:color="auto" w:fill="FFE8F5"/>
          </w:tcPr>
          <w:p>
            <w:pPr>
              <w:ind w:left="300"/>
              <w:spacing w:after="0"/>
              <w:rPr>
                <w:sz w:val="20"/>
                <w:szCs w:val="20"/>
                <w:color w:val="auto"/>
              </w:rPr>
            </w:pPr>
            <w:r>
              <w:rPr>
                <w:rFonts w:ascii="Arial" w:cs="Arial" w:eastAsia="Arial" w:hAnsi="Arial"/>
                <w:sz w:val="14"/>
                <w:szCs w:val="14"/>
                <w:b w:val="1"/>
                <w:bCs w:val="1"/>
                <w:color w:val="auto"/>
              </w:rPr>
              <w:t>Weighted</w:t>
            </w:r>
          </w:p>
        </w:tc>
        <w:tc>
          <w:tcPr>
            <w:tcW w:w="780" w:type="dxa"/>
            <w:vAlign w:val="bottom"/>
            <w:shd w:val="clear" w:color="auto" w:fill="FFE8F5"/>
          </w:tcPr>
          <w:p>
            <w:pPr>
              <w:spacing w:after="0"/>
              <w:rPr>
                <w:sz w:val="7"/>
                <w:szCs w:val="7"/>
                <w:color w:val="auto"/>
              </w:rPr>
            </w:pPr>
          </w:p>
        </w:tc>
        <w:tc>
          <w:tcPr>
            <w:tcW w:w="1480" w:type="dxa"/>
            <w:vAlign w:val="bottom"/>
            <w:vMerge w:val="restart"/>
            <w:shd w:val="clear" w:color="auto" w:fill="FFE8F5"/>
          </w:tcPr>
          <w:p>
            <w:pPr>
              <w:ind w:left="30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81"/>
        </w:trPr>
        <w:tc>
          <w:tcPr>
            <w:tcW w:w="120" w:type="dxa"/>
            <w:vAlign w:val="bottom"/>
            <w:shd w:val="clear" w:color="auto" w:fill="FFE8F5"/>
          </w:tcPr>
          <w:p>
            <w:pPr>
              <w:spacing w:after="0"/>
              <w:rPr>
                <w:sz w:val="7"/>
                <w:szCs w:val="7"/>
                <w:color w:val="auto"/>
              </w:rPr>
            </w:pPr>
          </w:p>
        </w:tc>
        <w:tc>
          <w:tcPr>
            <w:tcW w:w="4300" w:type="dxa"/>
            <w:vAlign w:val="bottom"/>
            <w:shd w:val="clear" w:color="auto" w:fill="FFE8F5"/>
          </w:tcPr>
          <w:p>
            <w:pPr>
              <w:spacing w:after="0"/>
              <w:rPr>
                <w:sz w:val="7"/>
                <w:szCs w:val="7"/>
                <w:color w:val="auto"/>
              </w:rPr>
            </w:pPr>
          </w:p>
        </w:tc>
        <w:tc>
          <w:tcPr>
            <w:tcW w:w="1760" w:type="dxa"/>
            <w:vAlign w:val="bottom"/>
            <w:vMerge w:val="restart"/>
            <w:shd w:val="clear" w:color="auto" w:fill="FFE8F5"/>
          </w:tcPr>
          <w:p>
            <w:pPr>
              <w:ind w:left="400"/>
              <w:spacing w:after="0"/>
              <w:rPr>
                <w:sz w:val="20"/>
                <w:szCs w:val="20"/>
                <w:color w:val="auto"/>
              </w:rPr>
            </w:pPr>
            <w:r>
              <w:rPr>
                <w:rFonts w:ascii="Arial" w:cs="Arial" w:eastAsia="Arial" w:hAnsi="Arial"/>
                <w:sz w:val="14"/>
                <w:szCs w:val="14"/>
                <w:b w:val="1"/>
                <w:bCs w:val="1"/>
                <w:color w:val="auto"/>
              </w:rPr>
              <w:t>Securities</w:t>
            </w:r>
          </w:p>
        </w:tc>
        <w:tc>
          <w:tcPr>
            <w:tcW w:w="1060" w:type="dxa"/>
            <w:vAlign w:val="bottom"/>
            <w:vMerge w:val="continue"/>
            <w:shd w:val="clear" w:color="auto" w:fill="FFE8F5"/>
          </w:tcPr>
          <w:p>
            <w:pPr>
              <w:spacing w:after="0"/>
              <w:rPr>
                <w:sz w:val="7"/>
                <w:szCs w:val="7"/>
                <w:color w:val="auto"/>
              </w:rPr>
            </w:pPr>
          </w:p>
        </w:tc>
        <w:tc>
          <w:tcPr>
            <w:tcW w:w="780" w:type="dxa"/>
            <w:vAlign w:val="bottom"/>
            <w:shd w:val="clear" w:color="auto" w:fill="FFE8F5"/>
          </w:tcPr>
          <w:p>
            <w:pPr>
              <w:spacing w:after="0"/>
              <w:rPr>
                <w:sz w:val="7"/>
                <w:szCs w:val="7"/>
                <w:color w:val="auto"/>
              </w:rPr>
            </w:pPr>
          </w:p>
        </w:tc>
        <w:tc>
          <w:tcPr>
            <w:tcW w:w="1480" w:type="dxa"/>
            <w:vAlign w:val="bottom"/>
            <w:vMerge w:val="continue"/>
            <w:shd w:val="clear" w:color="auto" w:fill="FFE8F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shd w:val="clear" w:color="auto" w:fill="FFE8F5"/>
          </w:tcPr>
          <w:p>
            <w:pPr>
              <w:spacing w:after="0"/>
              <w:rPr>
                <w:sz w:val="7"/>
                <w:szCs w:val="7"/>
                <w:color w:val="auto"/>
              </w:rPr>
            </w:pPr>
          </w:p>
        </w:tc>
        <w:tc>
          <w:tcPr>
            <w:tcW w:w="4300" w:type="dxa"/>
            <w:vAlign w:val="bottom"/>
            <w:shd w:val="clear" w:color="auto" w:fill="FFE8F5"/>
          </w:tcPr>
          <w:p>
            <w:pPr>
              <w:spacing w:after="0"/>
              <w:rPr>
                <w:sz w:val="7"/>
                <w:szCs w:val="7"/>
                <w:color w:val="auto"/>
              </w:rPr>
            </w:pPr>
          </w:p>
        </w:tc>
        <w:tc>
          <w:tcPr>
            <w:tcW w:w="1760" w:type="dxa"/>
            <w:vAlign w:val="bottom"/>
            <w:vMerge w:val="continue"/>
            <w:shd w:val="clear" w:color="auto" w:fill="FFE8F5"/>
          </w:tcPr>
          <w:p>
            <w:pPr>
              <w:spacing w:after="0"/>
              <w:rPr>
                <w:sz w:val="7"/>
                <w:szCs w:val="7"/>
                <w:color w:val="auto"/>
              </w:rPr>
            </w:pPr>
          </w:p>
        </w:tc>
        <w:tc>
          <w:tcPr>
            <w:tcW w:w="1840" w:type="dxa"/>
            <w:vAlign w:val="bottom"/>
            <w:gridSpan w:val="2"/>
            <w:vMerge w:val="restart"/>
            <w:shd w:val="clear" w:color="auto" w:fill="FFE8F5"/>
          </w:tcPr>
          <w:p>
            <w:pPr>
              <w:ind w:left="300"/>
              <w:spacing w:after="0"/>
              <w:rPr>
                <w:sz w:val="20"/>
                <w:szCs w:val="20"/>
                <w:color w:val="auto"/>
              </w:rPr>
            </w:pPr>
            <w:r>
              <w:rPr>
                <w:rFonts w:ascii="Arial" w:cs="Arial" w:eastAsia="Arial" w:hAnsi="Arial"/>
                <w:sz w:val="14"/>
                <w:szCs w:val="14"/>
                <w:b w:val="1"/>
                <w:bCs w:val="1"/>
                <w:color w:val="auto"/>
              </w:rPr>
              <w:t>Average Exercise</w:t>
            </w:r>
          </w:p>
        </w:tc>
        <w:tc>
          <w:tcPr>
            <w:tcW w:w="1480" w:type="dxa"/>
            <w:vAlign w:val="bottom"/>
            <w:vMerge w:val="restart"/>
            <w:shd w:val="clear" w:color="auto" w:fill="FFE8F5"/>
          </w:tcPr>
          <w:p>
            <w:pPr>
              <w:ind w:left="300"/>
              <w:spacing w:after="0"/>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81"/>
        </w:trPr>
        <w:tc>
          <w:tcPr>
            <w:tcW w:w="120" w:type="dxa"/>
            <w:vAlign w:val="bottom"/>
            <w:shd w:val="clear" w:color="auto" w:fill="FFE8F5"/>
          </w:tcPr>
          <w:p>
            <w:pPr>
              <w:spacing w:after="0"/>
              <w:rPr>
                <w:sz w:val="7"/>
                <w:szCs w:val="7"/>
                <w:color w:val="auto"/>
              </w:rPr>
            </w:pPr>
          </w:p>
        </w:tc>
        <w:tc>
          <w:tcPr>
            <w:tcW w:w="4300" w:type="dxa"/>
            <w:vAlign w:val="bottom"/>
            <w:shd w:val="clear" w:color="auto" w:fill="FFE8F5"/>
          </w:tcPr>
          <w:p>
            <w:pPr>
              <w:spacing w:after="0"/>
              <w:rPr>
                <w:sz w:val="7"/>
                <w:szCs w:val="7"/>
                <w:color w:val="auto"/>
              </w:rPr>
            </w:pPr>
          </w:p>
        </w:tc>
        <w:tc>
          <w:tcPr>
            <w:tcW w:w="1760" w:type="dxa"/>
            <w:vAlign w:val="bottom"/>
            <w:vMerge w:val="restart"/>
            <w:shd w:val="clear" w:color="auto" w:fill="FFE8F5"/>
          </w:tcPr>
          <w:p>
            <w:pPr>
              <w:ind w:left="400"/>
              <w:spacing w:after="0"/>
              <w:rPr>
                <w:sz w:val="20"/>
                <w:szCs w:val="20"/>
                <w:color w:val="auto"/>
              </w:rPr>
            </w:pPr>
            <w:r>
              <w:rPr>
                <w:rFonts w:ascii="Arial" w:cs="Arial" w:eastAsia="Arial" w:hAnsi="Arial"/>
                <w:sz w:val="14"/>
                <w:szCs w:val="14"/>
                <w:b w:val="1"/>
                <w:bCs w:val="1"/>
                <w:color w:val="auto"/>
              </w:rPr>
              <w:t>to be Issued</w:t>
            </w:r>
          </w:p>
        </w:tc>
        <w:tc>
          <w:tcPr>
            <w:tcW w:w="1840" w:type="dxa"/>
            <w:vAlign w:val="bottom"/>
            <w:gridSpan w:val="2"/>
            <w:vMerge w:val="continue"/>
            <w:shd w:val="clear" w:color="auto" w:fill="FFE8F5"/>
          </w:tcPr>
          <w:p>
            <w:pPr>
              <w:spacing w:after="0"/>
              <w:rPr>
                <w:sz w:val="7"/>
                <w:szCs w:val="7"/>
                <w:color w:val="auto"/>
              </w:rPr>
            </w:pPr>
          </w:p>
        </w:tc>
        <w:tc>
          <w:tcPr>
            <w:tcW w:w="1480" w:type="dxa"/>
            <w:vAlign w:val="bottom"/>
            <w:vMerge w:val="continue"/>
            <w:shd w:val="clear" w:color="auto" w:fill="FFE8F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shd w:val="clear" w:color="auto" w:fill="FFE8F5"/>
          </w:tcPr>
          <w:p>
            <w:pPr>
              <w:spacing w:after="0"/>
              <w:rPr>
                <w:sz w:val="7"/>
                <w:szCs w:val="7"/>
                <w:color w:val="auto"/>
              </w:rPr>
            </w:pPr>
          </w:p>
        </w:tc>
        <w:tc>
          <w:tcPr>
            <w:tcW w:w="4300" w:type="dxa"/>
            <w:vAlign w:val="bottom"/>
            <w:vMerge w:val="restart"/>
            <w:shd w:val="clear" w:color="auto" w:fill="FFE8F5"/>
          </w:tcPr>
          <w:p>
            <w:pPr>
              <w:ind w:left="40"/>
              <w:spacing w:after="0"/>
              <w:rPr>
                <w:sz w:val="20"/>
                <w:szCs w:val="20"/>
                <w:color w:val="auto"/>
              </w:rPr>
            </w:pPr>
            <w:r>
              <w:rPr>
                <w:rFonts w:ascii="Arial" w:cs="Arial" w:eastAsia="Arial" w:hAnsi="Arial"/>
                <w:sz w:val="14"/>
                <w:szCs w:val="14"/>
                <w:b w:val="1"/>
                <w:bCs w:val="1"/>
                <w:color w:val="auto"/>
              </w:rPr>
              <w:t>Plan Category</w:t>
            </w:r>
          </w:p>
        </w:tc>
        <w:tc>
          <w:tcPr>
            <w:tcW w:w="1760" w:type="dxa"/>
            <w:vAlign w:val="bottom"/>
            <w:vMerge w:val="continue"/>
            <w:shd w:val="clear" w:color="auto" w:fill="FFE8F5"/>
          </w:tcPr>
          <w:p>
            <w:pPr>
              <w:spacing w:after="0"/>
              <w:rPr>
                <w:sz w:val="7"/>
                <w:szCs w:val="7"/>
                <w:color w:val="auto"/>
              </w:rPr>
            </w:pPr>
          </w:p>
        </w:tc>
        <w:tc>
          <w:tcPr>
            <w:tcW w:w="1060" w:type="dxa"/>
            <w:vAlign w:val="bottom"/>
            <w:vMerge w:val="restart"/>
            <w:shd w:val="clear" w:color="auto" w:fill="FFE8F5"/>
          </w:tcPr>
          <w:p>
            <w:pPr>
              <w:ind w:left="300"/>
              <w:spacing w:after="0"/>
              <w:rPr>
                <w:sz w:val="20"/>
                <w:szCs w:val="20"/>
                <w:color w:val="auto"/>
              </w:rPr>
            </w:pPr>
            <w:r>
              <w:rPr>
                <w:rFonts w:ascii="Arial" w:cs="Arial" w:eastAsia="Arial" w:hAnsi="Arial"/>
                <w:sz w:val="14"/>
                <w:szCs w:val="14"/>
                <w:b w:val="1"/>
                <w:bCs w:val="1"/>
                <w:color w:val="auto"/>
              </w:rPr>
              <w:t>Price of</w:t>
            </w:r>
          </w:p>
        </w:tc>
        <w:tc>
          <w:tcPr>
            <w:tcW w:w="780" w:type="dxa"/>
            <w:vAlign w:val="bottom"/>
            <w:shd w:val="clear" w:color="auto" w:fill="FFE8F5"/>
          </w:tcPr>
          <w:p>
            <w:pPr>
              <w:spacing w:after="0"/>
              <w:rPr>
                <w:sz w:val="7"/>
                <w:szCs w:val="7"/>
                <w:color w:val="auto"/>
              </w:rPr>
            </w:pPr>
          </w:p>
        </w:tc>
        <w:tc>
          <w:tcPr>
            <w:tcW w:w="1480" w:type="dxa"/>
            <w:vAlign w:val="bottom"/>
            <w:vMerge w:val="restart"/>
            <w:shd w:val="clear" w:color="auto" w:fill="FFE8F5"/>
          </w:tcPr>
          <w:p>
            <w:pPr>
              <w:ind w:left="300"/>
              <w:spacing w:after="0"/>
              <w:rPr>
                <w:sz w:val="20"/>
                <w:szCs w:val="20"/>
                <w:color w:val="auto"/>
              </w:rPr>
            </w:pPr>
            <w:r>
              <w:rPr>
                <w:rFonts w:ascii="Arial" w:cs="Arial" w:eastAsia="Arial" w:hAnsi="Arial"/>
                <w:sz w:val="14"/>
                <w:szCs w:val="14"/>
                <w:b w:val="1"/>
                <w:bCs w:val="1"/>
                <w:color w:val="auto"/>
              </w:rPr>
              <w:t>for Future</w:t>
            </w:r>
          </w:p>
        </w:tc>
        <w:tc>
          <w:tcPr>
            <w:tcW w:w="0" w:type="dxa"/>
            <w:vAlign w:val="bottom"/>
          </w:tcPr>
          <w:p>
            <w:pPr>
              <w:spacing w:after="0"/>
              <w:rPr>
                <w:sz w:val="1"/>
                <w:szCs w:val="1"/>
                <w:color w:val="auto"/>
              </w:rPr>
            </w:pPr>
          </w:p>
        </w:tc>
      </w:tr>
      <w:tr>
        <w:trPr>
          <w:trHeight w:val="81"/>
        </w:trPr>
        <w:tc>
          <w:tcPr>
            <w:tcW w:w="120" w:type="dxa"/>
            <w:vAlign w:val="bottom"/>
            <w:shd w:val="clear" w:color="auto" w:fill="FFE8F5"/>
          </w:tcPr>
          <w:p>
            <w:pPr>
              <w:spacing w:after="0"/>
              <w:rPr>
                <w:sz w:val="7"/>
                <w:szCs w:val="7"/>
                <w:color w:val="auto"/>
              </w:rPr>
            </w:pPr>
          </w:p>
        </w:tc>
        <w:tc>
          <w:tcPr>
            <w:tcW w:w="4300" w:type="dxa"/>
            <w:vAlign w:val="bottom"/>
            <w:vMerge w:val="continue"/>
            <w:shd w:val="clear" w:color="auto" w:fill="FFE8F5"/>
          </w:tcPr>
          <w:p>
            <w:pPr>
              <w:spacing w:after="0"/>
              <w:rPr>
                <w:sz w:val="7"/>
                <w:szCs w:val="7"/>
                <w:color w:val="auto"/>
              </w:rPr>
            </w:pPr>
          </w:p>
        </w:tc>
        <w:tc>
          <w:tcPr>
            <w:tcW w:w="1760" w:type="dxa"/>
            <w:vAlign w:val="bottom"/>
            <w:vMerge w:val="restart"/>
            <w:shd w:val="clear" w:color="auto" w:fill="FFE8F5"/>
          </w:tcPr>
          <w:p>
            <w:pPr>
              <w:ind w:left="400"/>
              <w:spacing w:after="0"/>
              <w:rPr>
                <w:sz w:val="20"/>
                <w:szCs w:val="20"/>
                <w:color w:val="auto"/>
              </w:rPr>
            </w:pPr>
            <w:r>
              <w:rPr>
                <w:rFonts w:ascii="Arial" w:cs="Arial" w:eastAsia="Arial" w:hAnsi="Arial"/>
                <w:sz w:val="14"/>
                <w:szCs w:val="14"/>
                <w:b w:val="1"/>
                <w:bCs w:val="1"/>
                <w:color w:val="auto"/>
              </w:rPr>
              <w:t>Upon Exercise</w:t>
            </w:r>
          </w:p>
        </w:tc>
        <w:tc>
          <w:tcPr>
            <w:tcW w:w="1060" w:type="dxa"/>
            <w:vAlign w:val="bottom"/>
            <w:vMerge w:val="continue"/>
            <w:shd w:val="clear" w:color="auto" w:fill="FFE8F5"/>
          </w:tcPr>
          <w:p>
            <w:pPr>
              <w:spacing w:after="0"/>
              <w:rPr>
                <w:sz w:val="7"/>
                <w:szCs w:val="7"/>
                <w:color w:val="auto"/>
              </w:rPr>
            </w:pPr>
          </w:p>
        </w:tc>
        <w:tc>
          <w:tcPr>
            <w:tcW w:w="780" w:type="dxa"/>
            <w:vAlign w:val="bottom"/>
            <w:shd w:val="clear" w:color="auto" w:fill="FFE8F5"/>
          </w:tcPr>
          <w:p>
            <w:pPr>
              <w:spacing w:after="0"/>
              <w:rPr>
                <w:sz w:val="7"/>
                <w:szCs w:val="7"/>
                <w:color w:val="auto"/>
              </w:rPr>
            </w:pPr>
          </w:p>
        </w:tc>
        <w:tc>
          <w:tcPr>
            <w:tcW w:w="1480" w:type="dxa"/>
            <w:vAlign w:val="bottom"/>
            <w:vMerge w:val="continue"/>
            <w:shd w:val="clear" w:color="auto" w:fill="FFE8F5"/>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 w:type="dxa"/>
            <w:vAlign w:val="bottom"/>
            <w:shd w:val="clear" w:color="auto" w:fill="FFE8F5"/>
          </w:tcPr>
          <w:p>
            <w:pPr>
              <w:spacing w:after="0"/>
              <w:rPr>
                <w:sz w:val="7"/>
                <w:szCs w:val="7"/>
                <w:color w:val="auto"/>
              </w:rPr>
            </w:pPr>
          </w:p>
        </w:tc>
        <w:tc>
          <w:tcPr>
            <w:tcW w:w="4300" w:type="dxa"/>
            <w:vAlign w:val="bottom"/>
            <w:shd w:val="clear" w:color="auto" w:fill="FFE8F5"/>
          </w:tcPr>
          <w:p>
            <w:pPr>
              <w:spacing w:after="0"/>
              <w:rPr>
                <w:sz w:val="7"/>
                <w:szCs w:val="7"/>
                <w:color w:val="auto"/>
              </w:rPr>
            </w:pPr>
          </w:p>
        </w:tc>
        <w:tc>
          <w:tcPr>
            <w:tcW w:w="1760" w:type="dxa"/>
            <w:vAlign w:val="bottom"/>
            <w:vMerge w:val="continue"/>
            <w:shd w:val="clear" w:color="auto" w:fill="FFE8F5"/>
          </w:tcPr>
          <w:p>
            <w:pPr>
              <w:spacing w:after="0"/>
              <w:rPr>
                <w:sz w:val="7"/>
                <w:szCs w:val="7"/>
                <w:color w:val="auto"/>
              </w:rPr>
            </w:pPr>
          </w:p>
        </w:tc>
        <w:tc>
          <w:tcPr>
            <w:tcW w:w="1840" w:type="dxa"/>
            <w:vAlign w:val="bottom"/>
            <w:gridSpan w:val="2"/>
            <w:vMerge w:val="restart"/>
            <w:shd w:val="clear" w:color="auto" w:fill="FFE8F5"/>
          </w:tcPr>
          <w:p>
            <w:pPr>
              <w:ind w:left="300"/>
              <w:spacing w:after="0" w:line="159" w:lineRule="exact"/>
              <w:rPr>
                <w:sz w:val="20"/>
                <w:szCs w:val="20"/>
                <w:color w:val="auto"/>
              </w:rPr>
            </w:pPr>
            <w:r>
              <w:rPr>
                <w:rFonts w:ascii="Arial" w:cs="Arial" w:eastAsia="Arial" w:hAnsi="Arial"/>
                <w:sz w:val="14"/>
                <w:szCs w:val="14"/>
                <w:b w:val="1"/>
                <w:bCs w:val="1"/>
                <w:color w:val="auto"/>
              </w:rPr>
              <w:t>Outstanding</w:t>
            </w:r>
          </w:p>
        </w:tc>
        <w:tc>
          <w:tcPr>
            <w:tcW w:w="1480" w:type="dxa"/>
            <w:vAlign w:val="bottom"/>
            <w:vMerge w:val="restart"/>
            <w:shd w:val="clear" w:color="auto" w:fill="FFE8F5"/>
          </w:tcPr>
          <w:p>
            <w:pPr>
              <w:ind w:left="300"/>
              <w:spacing w:after="0" w:line="159" w:lineRule="exact"/>
              <w:rPr>
                <w:sz w:val="20"/>
                <w:szCs w:val="20"/>
                <w:color w:val="auto"/>
              </w:rPr>
            </w:pPr>
            <w:r>
              <w:rPr>
                <w:rFonts w:ascii="Arial" w:cs="Arial" w:eastAsia="Arial" w:hAnsi="Arial"/>
                <w:sz w:val="14"/>
                <w:szCs w:val="14"/>
                <w:b w:val="1"/>
                <w:bCs w:val="1"/>
                <w:color w:val="auto"/>
              </w:rPr>
              <w:t>Issuance</w:t>
            </w:r>
          </w:p>
        </w:tc>
        <w:tc>
          <w:tcPr>
            <w:tcW w:w="0" w:type="dxa"/>
            <w:vAlign w:val="bottom"/>
          </w:tcPr>
          <w:p>
            <w:pPr>
              <w:spacing w:after="0"/>
              <w:rPr>
                <w:sz w:val="1"/>
                <w:szCs w:val="1"/>
                <w:color w:val="auto"/>
              </w:rPr>
            </w:pPr>
          </w:p>
        </w:tc>
      </w:tr>
      <w:tr>
        <w:trPr>
          <w:trHeight w:val="78"/>
        </w:trPr>
        <w:tc>
          <w:tcPr>
            <w:tcW w:w="120" w:type="dxa"/>
            <w:vAlign w:val="bottom"/>
            <w:shd w:val="clear" w:color="auto" w:fill="FFE8F5"/>
          </w:tcPr>
          <w:p>
            <w:pPr>
              <w:spacing w:after="0"/>
              <w:rPr>
                <w:sz w:val="6"/>
                <w:szCs w:val="6"/>
                <w:color w:val="auto"/>
              </w:rPr>
            </w:pPr>
          </w:p>
        </w:tc>
        <w:tc>
          <w:tcPr>
            <w:tcW w:w="4300" w:type="dxa"/>
            <w:vAlign w:val="bottom"/>
            <w:shd w:val="clear" w:color="auto" w:fill="FFE8F5"/>
          </w:tcPr>
          <w:p>
            <w:pPr>
              <w:spacing w:after="0"/>
              <w:rPr>
                <w:sz w:val="6"/>
                <w:szCs w:val="6"/>
                <w:color w:val="auto"/>
              </w:rPr>
            </w:pPr>
          </w:p>
        </w:tc>
        <w:tc>
          <w:tcPr>
            <w:tcW w:w="1760" w:type="dxa"/>
            <w:vAlign w:val="bottom"/>
            <w:vMerge w:val="restart"/>
            <w:shd w:val="clear" w:color="auto" w:fill="FFE8F5"/>
          </w:tcPr>
          <w:p>
            <w:pPr>
              <w:ind w:left="400"/>
              <w:spacing w:after="0" w:line="159" w:lineRule="exact"/>
              <w:rPr>
                <w:sz w:val="20"/>
                <w:szCs w:val="20"/>
                <w:color w:val="auto"/>
              </w:rPr>
            </w:pPr>
            <w:r>
              <w:rPr>
                <w:rFonts w:ascii="Arial" w:cs="Arial" w:eastAsia="Arial" w:hAnsi="Arial"/>
                <w:sz w:val="14"/>
                <w:szCs w:val="14"/>
                <w:b w:val="1"/>
                <w:bCs w:val="1"/>
                <w:color w:val="auto"/>
              </w:rPr>
              <w:t>of Outstanding</w:t>
            </w:r>
          </w:p>
        </w:tc>
        <w:tc>
          <w:tcPr>
            <w:tcW w:w="1840" w:type="dxa"/>
            <w:vAlign w:val="bottom"/>
            <w:gridSpan w:val="2"/>
            <w:vMerge w:val="continue"/>
            <w:shd w:val="clear" w:color="auto" w:fill="FFE8F5"/>
          </w:tcPr>
          <w:p>
            <w:pPr>
              <w:spacing w:after="0"/>
              <w:rPr>
                <w:sz w:val="6"/>
                <w:szCs w:val="6"/>
                <w:color w:val="auto"/>
              </w:rPr>
            </w:pPr>
          </w:p>
        </w:tc>
        <w:tc>
          <w:tcPr>
            <w:tcW w:w="1480" w:type="dxa"/>
            <w:vAlign w:val="bottom"/>
            <w:vMerge w:val="continue"/>
            <w:shd w:val="clear" w:color="auto" w:fill="FFE8F5"/>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20" w:type="dxa"/>
            <w:vAlign w:val="bottom"/>
            <w:shd w:val="clear" w:color="auto" w:fill="FFE8F5"/>
          </w:tcPr>
          <w:p>
            <w:pPr>
              <w:spacing w:after="0"/>
              <w:rPr>
                <w:sz w:val="7"/>
                <w:szCs w:val="7"/>
                <w:color w:val="auto"/>
              </w:rPr>
            </w:pPr>
          </w:p>
        </w:tc>
        <w:tc>
          <w:tcPr>
            <w:tcW w:w="4300" w:type="dxa"/>
            <w:vAlign w:val="bottom"/>
            <w:shd w:val="clear" w:color="auto" w:fill="FFE8F5"/>
          </w:tcPr>
          <w:p>
            <w:pPr>
              <w:spacing w:after="0"/>
              <w:rPr>
                <w:sz w:val="7"/>
                <w:szCs w:val="7"/>
                <w:color w:val="auto"/>
              </w:rPr>
            </w:pPr>
          </w:p>
        </w:tc>
        <w:tc>
          <w:tcPr>
            <w:tcW w:w="1760" w:type="dxa"/>
            <w:vAlign w:val="bottom"/>
            <w:vMerge w:val="continue"/>
            <w:shd w:val="clear" w:color="auto" w:fill="FFE8F5"/>
          </w:tcPr>
          <w:p>
            <w:pPr>
              <w:spacing w:after="0"/>
              <w:rPr>
                <w:sz w:val="7"/>
                <w:szCs w:val="7"/>
                <w:color w:val="auto"/>
              </w:rPr>
            </w:pPr>
          </w:p>
        </w:tc>
        <w:tc>
          <w:tcPr>
            <w:tcW w:w="1060" w:type="dxa"/>
            <w:vAlign w:val="bottom"/>
            <w:vMerge w:val="restart"/>
            <w:shd w:val="clear" w:color="auto" w:fill="FFE8F5"/>
          </w:tcPr>
          <w:p>
            <w:pPr>
              <w:ind w:left="300"/>
              <w:spacing w:after="0"/>
              <w:rPr>
                <w:sz w:val="20"/>
                <w:szCs w:val="20"/>
                <w:color w:val="auto"/>
              </w:rPr>
            </w:pPr>
            <w:r>
              <w:rPr>
                <w:rFonts w:ascii="Arial" w:cs="Arial" w:eastAsia="Arial" w:hAnsi="Arial"/>
                <w:sz w:val="14"/>
                <w:szCs w:val="14"/>
                <w:b w:val="1"/>
                <w:bCs w:val="1"/>
                <w:color w:val="auto"/>
              </w:rPr>
              <w:t>Options ($)</w:t>
            </w:r>
          </w:p>
        </w:tc>
        <w:tc>
          <w:tcPr>
            <w:tcW w:w="780" w:type="dxa"/>
            <w:vAlign w:val="bottom"/>
            <w:vMerge w:val="restart"/>
            <w:shd w:val="clear" w:color="auto" w:fill="FFE8F5"/>
          </w:tcPr>
          <w:p>
            <w:pPr>
              <w:jc w:val="right"/>
              <w:ind w:right="572"/>
              <w:spacing w:after="0"/>
              <w:rPr>
                <w:sz w:val="20"/>
                <w:szCs w:val="20"/>
                <w:color w:val="auto"/>
              </w:rPr>
            </w:pPr>
            <w:r>
              <w:rPr>
                <w:rFonts w:ascii="Arial" w:cs="Arial" w:eastAsia="Arial" w:hAnsi="Arial"/>
                <w:sz w:val="12"/>
                <w:szCs w:val="12"/>
                <w:b w:val="1"/>
                <w:bCs w:val="1"/>
                <w:color w:val="auto"/>
                <w:w w:val="81"/>
              </w:rPr>
              <w:t>(2)</w:t>
            </w:r>
          </w:p>
        </w:tc>
        <w:tc>
          <w:tcPr>
            <w:tcW w:w="1480" w:type="dxa"/>
            <w:vAlign w:val="bottom"/>
            <w:vMerge w:val="restart"/>
            <w:shd w:val="clear" w:color="auto" w:fill="FFE8F5"/>
          </w:tcPr>
          <w:p>
            <w:pPr>
              <w:ind w:left="300"/>
              <w:spacing w:after="0"/>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84"/>
        </w:trPr>
        <w:tc>
          <w:tcPr>
            <w:tcW w:w="120" w:type="dxa"/>
            <w:vAlign w:val="bottom"/>
            <w:shd w:val="clear" w:color="auto" w:fill="FFE8F5"/>
          </w:tcPr>
          <w:p>
            <w:pPr>
              <w:spacing w:after="0"/>
              <w:rPr>
                <w:sz w:val="7"/>
                <w:szCs w:val="7"/>
                <w:color w:val="auto"/>
              </w:rPr>
            </w:pPr>
          </w:p>
        </w:tc>
        <w:tc>
          <w:tcPr>
            <w:tcW w:w="4300" w:type="dxa"/>
            <w:vAlign w:val="bottom"/>
            <w:shd w:val="clear" w:color="auto" w:fill="FFE8F5"/>
          </w:tcPr>
          <w:p>
            <w:pPr>
              <w:spacing w:after="0"/>
              <w:rPr>
                <w:sz w:val="7"/>
                <w:szCs w:val="7"/>
                <w:color w:val="auto"/>
              </w:rPr>
            </w:pPr>
          </w:p>
        </w:tc>
        <w:tc>
          <w:tcPr>
            <w:tcW w:w="1760" w:type="dxa"/>
            <w:vAlign w:val="bottom"/>
            <w:vMerge w:val="restart"/>
            <w:shd w:val="clear" w:color="auto" w:fill="FFE8F5"/>
          </w:tcPr>
          <w:p>
            <w:pPr>
              <w:ind w:left="400"/>
              <w:spacing w:after="0" w:line="243" w:lineRule="exact"/>
              <w:rPr>
                <w:sz w:val="20"/>
                <w:szCs w:val="20"/>
                <w:color w:val="auto"/>
              </w:rPr>
            </w:pPr>
            <w:r>
              <w:rPr>
                <w:rFonts w:ascii="Arial" w:cs="Arial" w:eastAsia="Arial" w:hAnsi="Arial"/>
                <w:sz w:val="14"/>
                <w:szCs w:val="14"/>
                <w:b w:val="1"/>
                <w:bCs w:val="1"/>
                <w:color w:val="auto"/>
              </w:rPr>
              <w:t>Securities</w:t>
            </w:r>
            <w:r>
              <w:rPr>
                <w:rFonts w:ascii="Arial" w:cs="Arial" w:eastAsia="Arial" w:hAnsi="Arial"/>
                <w:sz w:val="23"/>
                <w:szCs w:val="23"/>
                <w:b w:val="1"/>
                <w:bCs w:val="1"/>
                <w:color w:val="auto"/>
                <w:vertAlign w:val="superscript"/>
              </w:rPr>
              <w:t>(1)</w:t>
            </w:r>
          </w:p>
        </w:tc>
        <w:tc>
          <w:tcPr>
            <w:tcW w:w="1060" w:type="dxa"/>
            <w:vAlign w:val="bottom"/>
            <w:vMerge w:val="continue"/>
            <w:shd w:val="clear" w:color="auto" w:fill="FFE8F5"/>
          </w:tcPr>
          <w:p>
            <w:pPr>
              <w:spacing w:after="0"/>
              <w:rPr>
                <w:sz w:val="7"/>
                <w:szCs w:val="7"/>
                <w:color w:val="auto"/>
              </w:rPr>
            </w:pPr>
          </w:p>
        </w:tc>
        <w:tc>
          <w:tcPr>
            <w:tcW w:w="780" w:type="dxa"/>
            <w:vAlign w:val="bottom"/>
            <w:vMerge w:val="continue"/>
            <w:shd w:val="clear" w:color="auto" w:fill="FFE8F5"/>
          </w:tcPr>
          <w:p>
            <w:pPr>
              <w:spacing w:after="0"/>
              <w:rPr>
                <w:sz w:val="7"/>
                <w:szCs w:val="7"/>
                <w:color w:val="auto"/>
              </w:rPr>
            </w:pPr>
          </w:p>
        </w:tc>
        <w:tc>
          <w:tcPr>
            <w:tcW w:w="1480" w:type="dxa"/>
            <w:vAlign w:val="bottom"/>
            <w:vMerge w:val="continue"/>
            <w:shd w:val="clear" w:color="auto" w:fill="FFE8F5"/>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20" w:type="dxa"/>
            <w:vAlign w:val="bottom"/>
            <w:shd w:val="clear" w:color="auto" w:fill="FFE8F5"/>
          </w:tcPr>
          <w:p>
            <w:pPr>
              <w:spacing w:after="0"/>
              <w:rPr>
                <w:sz w:val="13"/>
                <w:szCs w:val="13"/>
                <w:color w:val="auto"/>
              </w:rPr>
            </w:pPr>
          </w:p>
        </w:tc>
        <w:tc>
          <w:tcPr>
            <w:tcW w:w="4300" w:type="dxa"/>
            <w:vAlign w:val="bottom"/>
            <w:shd w:val="clear" w:color="auto" w:fill="FFE8F5"/>
          </w:tcPr>
          <w:p>
            <w:pPr>
              <w:spacing w:after="0"/>
              <w:rPr>
                <w:sz w:val="13"/>
                <w:szCs w:val="13"/>
                <w:color w:val="auto"/>
              </w:rPr>
            </w:pPr>
          </w:p>
        </w:tc>
        <w:tc>
          <w:tcPr>
            <w:tcW w:w="1760" w:type="dxa"/>
            <w:vAlign w:val="bottom"/>
            <w:vMerge w:val="continue"/>
            <w:shd w:val="clear" w:color="auto" w:fill="FFE8F5"/>
          </w:tcPr>
          <w:p>
            <w:pPr>
              <w:spacing w:after="0"/>
              <w:rPr>
                <w:sz w:val="13"/>
                <w:szCs w:val="13"/>
                <w:color w:val="auto"/>
              </w:rPr>
            </w:pPr>
          </w:p>
        </w:tc>
        <w:tc>
          <w:tcPr>
            <w:tcW w:w="1060" w:type="dxa"/>
            <w:vAlign w:val="bottom"/>
            <w:vMerge w:val="continue"/>
            <w:shd w:val="clear" w:color="auto" w:fill="FFE8F5"/>
          </w:tcPr>
          <w:p>
            <w:pPr>
              <w:spacing w:after="0"/>
              <w:rPr>
                <w:sz w:val="13"/>
                <w:szCs w:val="13"/>
                <w:color w:val="auto"/>
              </w:rPr>
            </w:pPr>
          </w:p>
        </w:tc>
        <w:tc>
          <w:tcPr>
            <w:tcW w:w="780" w:type="dxa"/>
            <w:vAlign w:val="bottom"/>
            <w:shd w:val="clear" w:color="auto" w:fill="FFE8F5"/>
          </w:tcPr>
          <w:p>
            <w:pPr>
              <w:spacing w:after="0"/>
              <w:rPr>
                <w:sz w:val="13"/>
                <w:szCs w:val="13"/>
                <w:color w:val="auto"/>
              </w:rPr>
            </w:pPr>
          </w:p>
        </w:tc>
        <w:tc>
          <w:tcPr>
            <w:tcW w:w="1480" w:type="dxa"/>
            <w:vAlign w:val="bottom"/>
            <w:shd w:val="clear" w:color="auto" w:fill="FFE8F5"/>
          </w:tcPr>
          <w:p>
            <w:pPr>
              <w:ind w:left="300"/>
              <w:spacing w:after="0" w:line="159" w:lineRule="exact"/>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296"/>
        </w:trPr>
        <w:tc>
          <w:tcPr>
            <w:tcW w:w="120" w:type="dxa"/>
            <w:vAlign w:val="bottom"/>
            <w:tcBorders>
              <w:bottom w:val="single" w:sz="8" w:color="auto"/>
            </w:tcBorders>
            <w:shd w:val="clear" w:color="auto" w:fill="FFE8F5"/>
          </w:tcPr>
          <w:p>
            <w:pPr>
              <w:spacing w:after="0"/>
              <w:rPr>
                <w:sz w:val="24"/>
                <w:szCs w:val="24"/>
                <w:color w:val="auto"/>
              </w:rPr>
            </w:pPr>
          </w:p>
        </w:tc>
        <w:tc>
          <w:tcPr>
            <w:tcW w:w="4300" w:type="dxa"/>
            <w:vAlign w:val="bottom"/>
            <w:tcBorders>
              <w:bottom w:val="single" w:sz="8" w:color="auto"/>
            </w:tcBorders>
            <w:shd w:val="clear" w:color="auto" w:fill="FFE8F5"/>
          </w:tcPr>
          <w:p>
            <w:pPr>
              <w:spacing w:after="0"/>
              <w:rPr>
                <w:sz w:val="24"/>
                <w:szCs w:val="24"/>
                <w:color w:val="auto"/>
              </w:rPr>
            </w:pPr>
          </w:p>
        </w:tc>
        <w:tc>
          <w:tcPr>
            <w:tcW w:w="1760" w:type="dxa"/>
            <w:vAlign w:val="bottom"/>
            <w:tcBorders>
              <w:bottom w:val="single" w:sz="8" w:color="auto"/>
            </w:tcBorders>
            <w:shd w:val="clear" w:color="auto" w:fill="FFE8F5"/>
          </w:tcPr>
          <w:p>
            <w:pPr>
              <w:spacing w:after="0"/>
              <w:rPr>
                <w:sz w:val="24"/>
                <w:szCs w:val="24"/>
                <w:color w:val="auto"/>
              </w:rPr>
            </w:pPr>
          </w:p>
        </w:tc>
        <w:tc>
          <w:tcPr>
            <w:tcW w:w="1060" w:type="dxa"/>
            <w:vAlign w:val="bottom"/>
            <w:tcBorders>
              <w:bottom w:val="single" w:sz="8" w:color="auto"/>
            </w:tcBorders>
            <w:shd w:val="clear" w:color="auto" w:fill="FFE8F5"/>
          </w:tcPr>
          <w:p>
            <w:pPr>
              <w:spacing w:after="0"/>
              <w:rPr>
                <w:sz w:val="24"/>
                <w:szCs w:val="24"/>
                <w:color w:val="auto"/>
              </w:rPr>
            </w:pPr>
          </w:p>
        </w:tc>
        <w:tc>
          <w:tcPr>
            <w:tcW w:w="780" w:type="dxa"/>
            <w:vAlign w:val="bottom"/>
            <w:tcBorders>
              <w:bottom w:val="single" w:sz="8" w:color="auto"/>
            </w:tcBorders>
            <w:shd w:val="clear" w:color="auto" w:fill="FFE8F5"/>
          </w:tcPr>
          <w:p>
            <w:pPr>
              <w:spacing w:after="0"/>
              <w:rPr>
                <w:sz w:val="24"/>
                <w:szCs w:val="24"/>
                <w:color w:val="auto"/>
              </w:rPr>
            </w:pPr>
          </w:p>
        </w:tc>
        <w:tc>
          <w:tcPr>
            <w:tcW w:w="1480" w:type="dxa"/>
            <w:vAlign w:val="bottom"/>
            <w:tcBorders>
              <w:bottom w:val="single" w:sz="8" w:color="auto"/>
            </w:tcBorders>
            <w:shd w:val="clear" w:color="auto" w:fill="FFE8F5"/>
          </w:tcPr>
          <w:p>
            <w:pPr>
              <w:ind w:left="300"/>
              <w:spacing w:after="0"/>
              <w:rPr>
                <w:sz w:val="20"/>
                <w:szCs w:val="20"/>
                <w:color w:val="auto"/>
              </w:rPr>
            </w:pPr>
            <w:r>
              <w:rPr>
                <w:rFonts w:ascii="Arial" w:cs="Arial" w:eastAsia="Arial" w:hAnsi="Arial"/>
                <w:sz w:val="14"/>
                <w:szCs w:val="14"/>
                <w:b w:val="1"/>
                <w:bCs w:val="1"/>
                <w:color w:val="auto"/>
              </w:rPr>
              <w:t>Plans</w:t>
            </w:r>
            <w:r>
              <w:rPr>
                <w:rFonts w:ascii="Arial" w:cs="Arial" w:eastAsia="Arial" w:hAnsi="Arial"/>
                <w:sz w:val="23"/>
                <w:szCs w:val="23"/>
                <w:b w:val="1"/>
                <w:bCs w:val="1"/>
                <w:color w:val="auto"/>
                <w:vertAlign w:val="superscript"/>
              </w:rPr>
              <w:t>(3)</w:t>
            </w:r>
          </w:p>
        </w:tc>
        <w:tc>
          <w:tcPr>
            <w:tcW w:w="0" w:type="dxa"/>
            <w:vAlign w:val="bottom"/>
          </w:tcPr>
          <w:p>
            <w:pPr>
              <w:spacing w:after="0"/>
              <w:rPr>
                <w:sz w:val="1"/>
                <w:szCs w:val="1"/>
                <w:color w:val="auto"/>
              </w:rPr>
            </w:pPr>
          </w:p>
        </w:tc>
      </w:tr>
      <w:tr>
        <w:trPr>
          <w:trHeight w:val="269"/>
        </w:trPr>
        <w:tc>
          <w:tcPr>
            <w:tcW w:w="120" w:type="dxa"/>
            <w:vAlign w:val="bottom"/>
          </w:tcPr>
          <w:p>
            <w:pPr>
              <w:spacing w:after="0"/>
              <w:rPr>
                <w:sz w:val="23"/>
                <w:szCs w:val="23"/>
                <w:color w:val="auto"/>
              </w:rPr>
            </w:pPr>
          </w:p>
        </w:tc>
        <w:tc>
          <w:tcPr>
            <w:tcW w:w="4300" w:type="dxa"/>
            <w:vAlign w:val="bottom"/>
          </w:tcPr>
          <w:p>
            <w:pPr>
              <w:ind w:left="40"/>
              <w:spacing w:after="0"/>
              <w:rPr>
                <w:sz w:val="20"/>
                <w:szCs w:val="20"/>
                <w:color w:val="auto"/>
              </w:rPr>
            </w:pPr>
            <w:r>
              <w:rPr>
                <w:rFonts w:ascii="Arial" w:cs="Arial" w:eastAsia="Arial" w:hAnsi="Arial"/>
                <w:sz w:val="14"/>
                <w:szCs w:val="14"/>
                <w:color w:val="auto"/>
              </w:rPr>
              <w:t>Equity compensation plans approved by security holders(4)</w:t>
            </w:r>
          </w:p>
        </w:tc>
        <w:tc>
          <w:tcPr>
            <w:tcW w:w="1760" w:type="dxa"/>
            <w:vAlign w:val="bottom"/>
          </w:tcPr>
          <w:p>
            <w:pPr>
              <w:jc w:val="right"/>
              <w:ind w:right="228"/>
              <w:spacing w:after="0"/>
              <w:rPr>
                <w:sz w:val="20"/>
                <w:szCs w:val="20"/>
                <w:color w:val="auto"/>
              </w:rPr>
            </w:pPr>
            <w:r>
              <w:rPr>
                <w:rFonts w:ascii="Arial" w:cs="Arial" w:eastAsia="Arial" w:hAnsi="Arial"/>
                <w:sz w:val="14"/>
                <w:szCs w:val="14"/>
                <w:color w:val="auto"/>
              </w:rPr>
              <w:t>6,768,674</w:t>
            </w:r>
          </w:p>
        </w:tc>
        <w:tc>
          <w:tcPr>
            <w:tcW w:w="1060" w:type="dxa"/>
            <w:vAlign w:val="bottom"/>
          </w:tcPr>
          <w:p>
            <w:pPr>
              <w:spacing w:after="0"/>
              <w:rPr>
                <w:sz w:val="23"/>
                <w:szCs w:val="23"/>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175.64</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3,572,201</w:t>
            </w: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430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4300" w:type="dxa"/>
            <w:vAlign w:val="bottom"/>
          </w:tcPr>
          <w:p>
            <w:pPr>
              <w:ind w:left="40"/>
              <w:spacing w:after="0"/>
              <w:rPr>
                <w:sz w:val="20"/>
                <w:szCs w:val="20"/>
                <w:color w:val="auto"/>
              </w:rPr>
            </w:pPr>
            <w:r>
              <w:rPr>
                <w:rFonts w:ascii="Arial" w:cs="Arial" w:eastAsia="Arial" w:hAnsi="Arial"/>
                <w:sz w:val="14"/>
                <w:szCs w:val="14"/>
                <w:color w:val="auto"/>
              </w:rPr>
              <w:t>Equity compensation plans not approved by security holders</w:t>
            </w:r>
          </w:p>
        </w:tc>
        <w:tc>
          <w:tcPr>
            <w:tcW w:w="17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22"/>
                <w:szCs w:val="22"/>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430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4300" w:type="dxa"/>
            <w:vAlign w:val="bottom"/>
          </w:tcPr>
          <w:p>
            <w:pPr>
              <w:ind w:left="40"/>
              <w:spacing w:after="0"/>
              <w:rPr>
                <w:sz w:val="20"/>
                <w:szCs w:val="20"/>
                <w:color w:val="auto"/>
              </w:rPr>
            </w:pPr>
            <w:r>
              <w:rPr>
                <w:rFonts w:ascii="Arial" w:cs="Arial" w:eastAsia="Arial" w:hAnsi="Arial"/>
                <w:sz w:val="14"/>
                <w:szCs w:val="14"/>
                <w:color w:val="auto"/>
              </w:rPr>
              <w:t>Totals</w:t>
            </w:r>
          </w:p>
        </w:tc>
        <w:tc>
          <w:tcPr>
            <w:tcW w:w="1760" w:type="dxa"/>
            <w:vAlign w:val="bottom"/>
          </w:tcPr>
          <w:p>
            <w:pPr>
              <w:jc w:val="right"/>
              <w:ind w:right="228"/>
              <w:spacing w:after="0"/>
              <w:rPr>
                <w:sz w:val="20"/>
                <w:szCs w:val="20"/>
                <w:color w:val="auto"/>
              </w:rPr>
            </w:pPr>
            <w:r>
              <w:rPr>
                <w:rFonts w:ascii="Arial" w:cs="Arial" w:eastAsia="Arial" w:hAnsi="Arial"/>
                <w:sz w:val="14"/>
                <w:szCs w:val="14"/>
                <w:color w:val="auto"/>
              </w:rPr>
              <w:t>6,768,674</w:t>
            </w:r>
          </w:p>
        </w:tc>
        <w:tc>
          <w:tcPr>
            <w:tcW w:w="10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3,572,201</w:t>
            </w:r>
          </w:p>
        </w:tc>
        <w:tc>
          <w:tcPr>
            <w:tcW w:w="0" w:type="dxa"/>
            <w:vAlign w:val="bottom"/>
          </w:tcPr>
          <w:p>
            <w:pPr>
              <w:spacing w:after="0"/>
              <w:rPr>
                <w:sz w:val="1"/>
                <w:szCs w:val="1"/>
                <w:color w:val="auto"/>
              </w:rPr>
            </w:pPr>
          </w:p>
        </w:tc>
      </w:tr>
      <w:tr>
        <w:trPr>
          <w:trHeight w:val="35"/>
        </w:trPr>
        <w:tc>
          <w:tcPr>
            <w:tcW w:w="120" w:type="dxa"/>
            <w:vAlign w:val="bottom"/>
            <w:tcBorders>
              <w:bottom w:val="single" w:sz="8" w:color="auto"/>
            </w:tcBorders>
          </w:tcPr>
          <w:p>
            <w:pPr>
              <w:spacing w:after="0"/>
              <w:rPr>
                <w:sz w:val="3"/>
                <w:szCs w:val="3"/>
                <w:color w:val="auto"/>
              </w:rPr>
            </w:pPr>
          </w:p>
        </w:tc>
        <w:tc>
          <w:tcPr>
            <w:tcW w:w="43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380" w:right="200" w:hanging="359"/>
        <w:spacing w:after="0" w:line="263" w:lineRule="auto"/>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shares subject to outstanding awards granted, of which 12,089 shares of Class A common stock are subject to outstanding options and 2,343,505 shares of Class A common stock are subject to outstanding RSUs, and 4,413,080 shares of Class A common stock subject to PSUs (assuming maximum level of performance is achieved).</w:t>
      </w:r>
    </w:p>
    <w:p>
      <w:pPr>
        <w:spacing w:after="0" w:line="10" w:lineRule="exact"/>
        <w:rPr>
          <w:rFonts w:ascii="Arial" w:cs="Arial" w:eastAsia="Arial" w:hAnsi="Arial"/>
          <w:sz w:val="14"/>
          <w:szCs w:val="14"/>
          <w:color w:val="auto"/>
        </w:rPr>
      </w:pPr>
    </w:p>
    <w:p>
      <w:pPr>
        <w:ind w:left="380" w:hanging="359"/>
        <w:spacing w:after="0"/>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weighted average exercise price is calculated based solely on the exercise prices of the outstanding options.</w:t>
      </w:r>
    </w:p>
    <w:p>
      <w:pPr>
        <w:spacing w:after="0" w:line="55" w:lineRule="exact"/>
        <w:rPr>
          <w:rFonts w:ascii="Arial" w:cs="Arial" w:eastAsia="Arial" w:hAnsi="Arial"/>
          <w:sz w:val="14"/>
          <w:szCs w:val="14"/>
          <w:color w:val="auto"/>
        </w:rPr>
      </w:pPr>
    </w:p>
    <w:p>
      <w:pPr>
        <w:ind w:left="380" w:right="40" w:hanging="359"/>
        <w:spacing w:after="0" w:line="252" w:lineRule="auto"/>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Consists of shares available for future issuance under the Second Amended and Restated 2021 Incentive Award Plan (as amended, the “Amended Plan”) and the 2021 Employee Stock Purchase Plan (the “ESPP”). As of January 31, 2026, 3,528,686 shares of Class A common stock were available for issuance under the Amended Plan, and 43,515 shares of Class A common stock were available for issuance under the ESPP. There was no ESPP purchase period in effect as of January 31, 2026, and as a result there were no rights to purchase shares under the ESPP outstanding as of January 31, 2026.</w:t>
      </w:r>
    </w:p>
    <w:p>
      <w:pPr>
        <w:spacing w:after="0" w:line="19" w:lineRule="exact"/>
        <w:rPr>
          <w:sz w:val="20"/>
          <w:szCs w:val="20"/>
          <w:color w:val="auto"/>
        </w:rPr>
      </w:pPr>
    </w:p>
    <w:p>
      <w:pPr>
        <w:ind w:left="380" w:right="140" w:hanging="359"/>
        <w:spacing w:after="0" w:line="252" w:lineRule="auto"/>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ESPP contains an “evergreen” provision, which allows for an annual increase in the number of shares of Class A common stock available for issuance under the plan on the first day of each year commencing on January 1, 2022 and ending on and including January 1, 2031. The number of shares under the ESPP shall be increased by 1% of the number of shares of Class A common stock issued and outstanding on the immediately preceding December 31, or such lesser number of shares determined by our Board; however, in December 2022, the Board determined that there will be no automatic increase in the number of shares under the ESPP without further action from the Board.</w:t>
      </w:r>
    </w:p>
    <w:p>
      <w:pPr>
        <w:spacing w:after="0" w:line="18" w:lineRule="exact"/>
        <w:rPr>
          <w:rFonts w:ascii="Arial" w:cs="Arial" w:eastAsia="Arial" w:hAnsi="Arial"/>
          <w:sz w:val="14"/>
          <w:szCs w:val="14"/>
          <w:color w:val="auto"/>
        </w:rPr>
      </w:pPr>
    </w:p>
    <w:p>
      <w:pPr>
        <w:ind w:left="380" w:right="500" w:hanging="359"/>
        <w:spacing w:after="0" w:line="281" w:lineRule="auto"/>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 further shares are available for issuance under the Amended and Restated 2021 Incentive Award Plan (the “2021 Plan”), 2019 Stock Incentive Plan (the “2019 Plan”) or the 2009 Stock Incentive Plan (the “2009 Plan”).</w:t>
      </w:r>
    </w:p>
    <w:p>
      <w:pPr>
        <w:spacing w:after="0" w:line="1" w:lineRule="exact"/>
        <w:rPr>
          <w:sz w:val="20"/>
          <w:szCs w:val="20"/>
          <w:color w:val="auto"/>
        </w:rPr>
      </w:pPr>
    </w:p>
    <w:p>
      <w:pPr>
        <w:ind w:left="380" w:hanging="359"/>
        <w:spacing w:after="0"/>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the Amended Plan, the ESPP, the 2019 Plan, and the 2009 Plan.</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right="600"/>
        <w:spacing w:after="0" w:line="277" w:lineRule="auto"/>
        <w:rPr>
          <w:sz w:val="20"/>
          <w:szCs w:val="20"/>
          <w:color w:val="auto"/>
        </w:rPr>
      </w:pPr>
      <w:r>
        <w:rPr>
          <w:rFonts w:ascii="Arial" w:cs="Arial" w:eastAsia="Arial" w:hAnsi="Arial"/>
          <w:sz w:val="64"/>
          <w:szCs w:val="64"/>
          <w:b w:val="1"/>
          <w:bCs w:val="1"/>
          <w:color w:val="auto"/>
        </w:rPr>
        <w:t>Certain Relationships and Related Person Transactions</w:t>
      </w:r>
    </w:p>
    <w:p>
      <w:pPr>
        <w:spacing w:after="0" w:line="3" w:lineRule="exact"/>
        <w:rPr>
          <w:sz w:val="20"/>
          <w:szCs w:val="20"/>
          <w:color w:val="auto"/>
        </w:rPr>
      </w:pPr>
    </w:p>
    <w:p>
      <w:pPr>
        <w:ind w:left="20" w:right="140"/>
        <w:spacing w:after="0" w:line="253"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proxy statement, below we describe transactions since February 1, 2025 and each currently proposed transaction, in which:</w:t>
      </w:r>
    </w:p>
    <w:p>
      <w:pPr>
        <w:spacing w:after="0" w:line="142" w:lineRule="exact"/>
        <w:rPr>
          <w:sz w:val="20"/>
          <w:szCs w:val="20"/>
          <w:color w:val="auto"/>
        </w:rPr>
      </w:pPr>
    </w:p>
    <w:p>
      <w:pPr>
        <w:ind w:left="740" w:hanging="359"/>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ind w:left="740" w:right="60" w:hanging="359"/>
        <w:spacing w:after="0" w:line="242"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39" w:lineRule="exact"/>
        <w:rPr>
          <w:sz w:val="20"/>
          <w:szCs w:val="20"/>
          <w:color w:val="auto"/>
        </w:rPr>
      </w:pPr>
    </w:p>
    <w:p>
      <w:pPr>
        <w:ind w:left="20" w:right="300"/>
        <w:spacing w:after="0" w:line="253" w:lineRule="auto"/>
        <w:rPr>
          <w:sz w:val="20"/>
          <w:szCs w:val="20"/>
          <w:color w:val="auto"/>
        </w:rPr>
      </w:pPr>
      <w:r>
        <w:rPr>
          <w:rFonts w:ascii="Arial" w:cs="Arial" w:eastAsia="Arial" w:hAnsi="Arial"/>
          <w:sz w:val="18"/>
          <w:szCs w:val="18"/>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Investor Rights Agreement</w:t>
      </w:r>
    </w:p>
    <w:p>
      <w:pPr>
        <w:spacing w:after="0" w:line="185" w:lineRule="exact"/>
        <w:rPr>
          <w:sz w:val="20"/>
          <w:szCs w:val="20"/>
          <w:color w:val="auto"/>
        </w:rPr>
      </w:pPr>
    </w:p>
    <w:p>
      <w:pPr>
        <w:ind w:left="20" w:right="500"/>
        <w:spacing w:after="0" w:line="271" w:lineRule="auto"/>
        <w:rPr>
          <w:sz w:val="20"/>
          <w:szCs w:val="20"/>
          <w:color w:val="auto"/>
        </w:rPr>
      </w:pPr>
      <w:r>
        <w:rPr>
          <w:rFonts w:ascii="Arial" w:cs="Arial" w:eastAsia="Arial" w:hAnsi="Arial"/>
          <w:sz w:val="18"/>
          <w:szCs w:val="18"/>
          <w:color w:val="auto"/>
        </w:rPr>
        <w:t>For a description of our Investor Rights Agreement, see “The Board and Corporate Governance – Investor Rights Agreement” above.</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Transactions</w:t>
      </w:r>
    </w:p>
    <w:p>
      <w:pPr>
        <w:spacing w:after="0" w:line="171"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Our SVP, Customer Experience is a sibling of Jennifer Y. Hyman, our Co-Founder and former Chief Executive Officer and President. On July 1, 2025, this employee received a salary increase to $375,000 from $ 341,000. The employee received a cash incentive bonus payment of $35,257 based upon the achievement of certain company performance metrics in fiscal year 2025. The employee also participated in the fiscal year 2025 special cash retention program, pursuant to the same terms and conditions as other participants, and received $163,530.82 in total payments under the program. In December 2025, the employee received a grant of 106,317 RSUs, and a grant of 106,317 PSUs (assuming target performance) based upon the achievement of certain company metrics, with each grant being on the same terms and conditions as grants to other eligible employees. The employee is also eligible to receive an incentive cash bonus for fiscal year 2026 based upon the achievement of certain company metrics and is a party to an indemnification agreement with the Company on the same terms and conditions as other officers.</w:t>
      </w:r>
    </w:p>
    <w:p>
      <w:pPr>
        <w:spacing w:after="0" w:line="153"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A former member of our marketing team is the child of Daniel Rosensweig, a member of the Board of Directors. This employee joined RTR in February 2025 and resigned on January 16, 2026. The employee’s salary was $ 190,000 during their tenure. The employee has also received a grant of 500 RSUs, and was eligible to receive an incentive cash bonus for fiscal year 2025 based upon the achievement of certain company metrics, however, such bonus eligibility was forfeited upon her resignation.</w:t>
      </w:r>
    </w:p>
    <w:p>
      <w:pPr>
        <w:spacing w:after="0" w:line="136" w:lineRule="exact"/>
        <w:rPr>
          <w:sz w:val="20"/>
          <w:szCs w:val="20"/>
          <w:color w:val="auto"/>
        </w:rPr>
      </w:pPr>
    </w:p>
    <w:p>
      <w:pPr>
        <w:ind w:left="20" w:right="320"/>
        <w:spacing w:after="0" w:line="253" w:lineRule="auto"/>
        <w:rPr>
          <w:sz w:val="20"/>
          <w:szCs w:val="20"/>
          <w:color w:val="auto"/>
        </w:rPr>
      </w:pPr>
      <w:r>
        <w:rPr>
          <w:rFonts w:ascii="Arial" w:cs="Arial" w:eastAsia="Arial" w:hAnsi="Arial"/>
          <w:sz w:val="18"/>
          <w:szCs w:val="18"/>
          <w:color w:val="auto"/>
        </w:rPr>
        <w:t>The compensation described above is based on reference to external market practice of similar positions or internal pay equity when compared to the compensation paid to employees in similar positions that were not related to our executive officers.</w:t>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71" w:lineRule="exact"/>
        <w:rPr>
          <w:sz w:val="20"/>
          <w:szCs w:val="20"/>
          <w:color w:val="auto"/>
        </w:rPr>
      </w:pPr>
    </w:p>
    <w:p>
      <w:pPr>
        <w:ind w:left="20" w:right="360"/>
        <w:spacing w:after="0" w:line="247" w:lineRule="auto"/>
        <w:rPr>
          <w:sz w:val="20"/>
          <w:szCs w:val="20"/>
          <w:color w:val="auto"/>
        </w:rPr>
      </w:pPr>
      <w:r>
        <w:rPr>
          <w:rFonts w:ascii="Arial" w:cs="Arial" w:eastAsia="Arial" w:hAnsi="Arial"/>
          <w:sz w:val="18"/>
          <w:szCs w:val="18"/>
          <w:color w:val="auto"/>
        </w:rPr>
        <w:t>Our Audit Committee has the primary responsibility for the review, approval, and oversight of “related person transactions,” as defined under the rules and regulations of the Securities Exchange Act of 1934, as amended. The Audit Committee has adopted a written related person transaction policy (the “Related Person Transaction Policy”), which requires that any related person transaction (as defined in the policy) must be presented to our</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Audit Committee for review, consideration, and approval. When considering proposed related person transactions, the Audit Committee will take into account the relevant facts and circumstances, including, among other things, the material terms and conditions, the basis for which the individual or entity is a related person, the related person’s interest in the transaction, the approximate dollar value of the transaction, whether the transaction is in the ordinary course, the business purpose for entering into the transaction with a related person versus an unrelated third party, whether the transaction is proposed to be or was entered into on terms no less favorable to RTR than terms that could have been reached with an unrelated third party, and any other material information. The Audit Committee will then approve or disapprove such transaction.</w:t>
      </w:r>
    </w:p>
    <w:p>
      <w:pPr>
        <w:spacing w:after="0" w:line="140" w:lineRule="exact"/>
        <w:rPr>
          <w:sz w:val="20"/>
          <w:szCs w:val="20"/>
          <w:color w:val="auto"/>
        </w:rPr>
      </w:pPr>
    </w:p>
    <w:p>
      <w:pPr>
        <w:ind w:left="20" w:right="400"/>
        <w:spacing w:after="0" w:line="247" w:lineRule="auto"/>
        <w:rPr>
          <w:sz w:val="20"/>
          <w:szCs w:val="20"/>
          <w:color w:val="auto"/>
        </w:rPr>
      </w:pPr>
      <w:r>
        <w:rPr>
          <w:rFonts w:ascii="Arial" w:cs="Arial" w:eastAsia="Arial" w:hAnsi="Arial"/>
          <w:sz w:val="18"/>
          <w:szCs w:val="18"/>
          <w:color w:val="auto"/>
        </w:rPr>
        <w:t>In addition, our Code of Conduct (available on our website at investors.renttherunway.com) provides that directors, executive officers, and employees should avoid conflicts of interest or even the appearance of a conflict of interest. Under the Code of Conduct, a conflict of interest occurs when personal interests, activities, investments, or associations interfere in any way, or even appear to interfere, with our interests as a company.</w:t>
      </w:r>
    </w:p>
    <w:p>
      <w:pPr>
        <w:spacing w:after="0" w:line="133" w:lineRule="exact"/>
        <w:rPr>
          <w:sz w:val="20"/>
          <w:szCs w:val="20"/>
          <w:color w:val="auto"/>
        </w:rPr>
      </w:pPr>
    </w:p>
    <w:p>
      <w:pPr>
        <w:ind w:left="20" w:right="120"/>
        <w:spacing w:after="0" w:line="242" w:lineRule="auto"/>
        <w:rPr>
          <w:sz w:val="20"/>
          <w:szCs w:val="20"/>
          <w:color w:val="auto"/>
        </w:rPr>
      </w:pPr>
      <w:r>
        <w:rPr>
          <w:rFonts w:ascii="Arial" w:cs="Arial" w:eastAsia="Arial" w:hAnsi="Arial"/>
          <w:sz w:val="18"/>
          <w:szCs w:val="18"/>
          <w:color w:val="auto"/>
        </w:rPr>
        <w:t>We have multiple processes for identifying related person transactions and conflicts of interest. Under our Related Person Transaction Policy, each director, director nominee, and executive officer is responsible for identifying potential related person transactions and conflicts of interest. We also annually distribute a questionnaire to directors and executive officers requesting certain information regarding, among other things, their immediate family members and employment and beneficial ownership interests in Rent the Runway. We then review this information for any related person transactions and conflicts of interest.</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right="160"/>
        <w:spacing w:after="0" w:line="261" w:lineRule="auto"/>
        <w:rPr>
          <w:sz w:val="20"/>
          <w:szCs w:val="20"/>
          <w:color w:val="auto"/>
        </w:rPr>
      </w:pPr>
      <w:r>
        <w:rPr>
          <w:rFonts w:ascii="Arial" w:cs="Arial" w:eastAsia="Arial" w:hAnsi="Arial"/>
          <w:sz w:val="65"/>
          <w:szCs w:val="65"/>
          <w:b w:val="1"/>
          <w:bCs w:val="1"/>
          <w:color w:val="auto"/>
        </w:rPr>
        <w:t>Security Ownership of Certain Beneficial Owners, Directors, and Management</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information with respect to the beneficial ownership of our Class A common stock as of</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20, 2026, for:</w:t>
      </w:r>
    </w:p>
    <w:p>
      <w:pPr>
        <w:spacing w:after="0" w:line="167" w:lineRule="exact"/>
        <w:rPr>
          <w:sz w:val="20"/>
          <w:szCs w:val="20"/>
          <w:color w:val="auto"/>
        </w:rPr>
      </w:pPr>
    </w:p>
    <w:p>
      <w:pPr>
        <w:ind w:left="740" w:hanging="359"/>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Class A common stock;</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of our current directors;</w:t>
      </w:r>
    </w:p>
    <w:p>
      <w:pPr>
        <w:ind w:left="740" w:hanging="359"/>
        <w:spacing w:after="0" w:line="234"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ind w:left="740" w:hanging="359"/>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53" w:lineRule="exact"/>
        <w:rPr>
          <w:sz w:val="20"/>
          <w:szCs w:val="20"/>
          <w:color w:val="auto"/>
        </w:rPr>
      </w:pPr>
    </w:p>
    <w:p>
      <w:pPr>
        <w:jc w:val="both"/>
        <w:ind w:left="20" w:right="320"/>
        <w:spacing w:after="0" w:line="253"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Under these rules, beneficial ownership includes any shares as to which the individual or entity has sole or shared voting power or investment power.</w:t>
      </w:r>
    </w:p>
    <w:p>
      <w:pPr>
        <w:spacing w:after="0" w:line="128"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Applicable percentage ownership is based on 33,483,382 shares of Class A common stock outstanding on May 20, 2026. In computing the number of shares beneficially owned by an individual or entity and the percentage ownership of that person, shares of Class A common stock subject to options, or other rights held by such person that are currently exercisable or will become exercisable within 60 days of May 20, 2026 and shares of RSUs that are vested or will become vested within 60 days of May 20, 2026, are considered outstanding, although these shares are not considered outstanding for purposes of computing the percentage ownership of any other person.</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Unless otherwise indicated, the address of all listed stockholders is 10 Jay Street, Brooklyn, New York 11201.</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114" w:right="1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6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533"/>
        </w:trPr>
        <w:tc>
          <w:tcPr>
            <w:tcW w:w="2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5020" w:type="dxa"/>
            <w:vAlign w:val="bottom"/>
          </w:tcPr>
          <w:p>
            <w:pPr>
              <w:spacing w:after="0"/>
              <w:rPr>
                <w:sz w:val="24"/>
                <w:szCs w:val="24"/>
                <w:color w:val="auto"/>
              </w:rPr>
            </w:pPr>
          </w:p>
        </w:tc>
        <w:tc>
          <w:tcPr>
            <w:tcW w:w="2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Shares Beneficially Owned</w:t>
            </w:r>
            <w:r>
              <w:rPr>
                <w:rFonts w:ascii="Arial" w:cs="Arial" w:eastAsia="Arial" w:hAnsi="Arial"/>
                <w:sz w:val="23"/>
                <w:szCs w:val="23"/>
                <w:b w:val="1"/>
                <w:bCs w:val="1"/>
                <w:color w:val="auto"/>
                <w:vertAlign w:val="superscript"/>
              </w:rPr>
              <w:t>(1)</w:t>
            </w:r>
          </w:p>
        </w:tc>
        <w:tc>
          <w:tcPr>
            <w:tcW w:w="360" w:type="dxa"/>
            <w:vAlign w:val="bottom"/>
            <w:tcBorders>
              <w:bottom w:val="single" w:sz="8" w:color="auto"/>
            </w:tcBorders>
          </w:tcPr>
          <w:p>
            <w:pPr>
              <w:spacing w:after="0"/>
              <w:rPr>
                <w:sz w:val="24"/>
                <w:szCs w:val="24"/>
                <w:color w:val="auto"/>
              </w:rPr>
            </w:pPr>
          </w:p>
        </w:tc>
      </w:tr>
      <w:tr>
        <w:trPr>
          <w:trHeight w:val="275"/>
        </w:trPr>
        <w:tc>
          <w:tcPr>
            <w:tcW w:w="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2100" w:type="dxa"/>
            <w:vAlign w:val="bottom"/>
          </w:tcPr>
          <w:p>
            <w:pPr>
              <w:jc w:val="right"/>
              <w:ind w:right="168"/>
              <w:spacing w:after="0"/>
              <w:rPr>
                <w:sz w:val="20"/>
                <w:szCs w:val="20"/>
                <w:color w:val="auto"/>
              </w:rPr>
            </w:pPr>
            <w:r>
              <w:rPr>
                <w:rFonts w:ascii="Arial" w:cs="Arial" w:eastAsia="Arial" w:hAnsi="Arial"/>
                <w:sz w:val="14"/>
                <w:szCs w:val="14"/>
                <w:b w:val="1"/>
                <w:bCs w:val="1"/>
                <w:color w:val="auto"/>
              </w:rPr>
              <w:t>Class A</w:t>
            </w: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69"/>
        </w:trPr>
        <w:tc>
          <w:tcPr>
            <w:tcW w:w="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5020" w:type="dxa"/>
            <w:vAlign w:val="bottom"/>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tcPr>
          <w:p>
            <w:pPr>
              <w:spacing w:after="0"/>
              <w:rPr>
                <w:sz w:val="6"/>
                <w:szCs w:val="6"/>
                <w:color w:val="auto"/>
              </w:rPr>
            </w:pPr>
          </w:p>
        </w:tc>
      </w:tr>
      <w:tr>
        <w:trPr>
          <w:trHeight w:val="372"/>
        </w:trPr>
        <w:tc>
          <w:tcPr>
            <w:tcW w:w="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Shares</w:t>
            </w:r>
          </w:p>
        </w:tc>
        <w:tc>
          <w:tcPr>
            <w:tcW w:w="86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(2)</w:t>
            </w:r>
          </w:p>
        </w:tc>
      </w:tr>
      <w:tr>
        <w:trPr>
          <w:trHeight w:val="275"/>
        </w:trPr>
        <w:tc>
          <w:tcPr>
            <w:tcW w:w="20" w:type="dxa"/>
            <w:vAlign w:val="bottom"/>
          </w:tcPr>
          <w:p>
            <w:pPr>
              <w:spacing w:after="0"/>
              <w:rPr>
                <w:sz w:val="23"/>
                <w:szCs w:val="23"/>
                <w:color w:val="auto"/>
              </w:rPr>
            </w:pPr>
          </w:p>
        </w:tc>
        <w:tc>
          <w:tcPr>
            <w:tcW w:w="6540" w:type="dxa"/>
            <w:vAlign w:val="bottom"/>
            <w:gridSpan w:val="2"/>
            <w:shd w:val="clear" w:color="auto" w:fill="FFE8F5"/>
          </w:tcPr>
          <w:p>
            <w:pPr>
              <w:ind w:left="160"/>
              <w:spacing w:after="0"/>
              <w:rPr>
                <w:sz w:val="20"/>
                <w:szCs w:val="20"/>
                <w:color w:val="auto"/>
              </w:rPr>
            </w:pPr>
            <w:r>
              <w:rPr>
                <w:rFonts w:ascii="Arial" w:cs="Arial" w:eastAsia="Arial" w:hAnsi="Arial"/>
                <w:sz w:val="14"/>
                <w:szCs w:val="14"/>
                <w:b w:val="1"/>
                <w:bCs w:val="1"/>
                <w:color w:val="auto"/>
              </w:rPr>
              <w:t>Named Executive Officers and Directors:</w:t>
            </w:r>
          </w:p>
        </w:tc>
        <w:tc>
          <w:tcPr>
            <w:tcW w:w="2100" w:type="dxa"/>
            <w:vAlign w:val="bottom"/>
            <w:shd w:val="clear" w:color="auto" w:fill="FFE8F5"/>
          </w:tcPr>
          <w:p>
            <w:pPr>
              <w:spacing w:after="0"/>
              <w:rPr>
                <w:sz w:val="23"/>
                <w:szCs w:val="23"/>
                <w:color w:val="auto"/>
              </w:rPr>
            </w:pPr>
          </w:p>
        </w:tc>
        <w:tc>
          <w:tcPr>
            <w:tcW w:w="500" w:type="dxa"/>
            <w:vAlign w:val="bottom"/>
            <w:shd w:val="clear" w:color="auto" w:fill="FFE8F5"/>
          </w:tcPr>
          <w:p>
            <w:pPr>
              <w:spacing w:after="0"/>
              <w:rPr>
                <w:sz w:val="23"/>
                <w:szCs w:val="23"/>
                <w:color w:val="auto"/>
              </w:rPr>
            </w:pPr>
          </w:p>
        </w:tc>
        <w:tc>
          <w:tcPr>
            <w:tcW w:w="360" w:type="dxa"/>
            <w:vAlign w:val="bottom"/>
            <w:shd w:val="clear" w:color="auto" w:fill="FFE8F5"/>
          </w:tcPr>
          <w:p>
            <w:pPr>
              <w:spacing w:after="0"/>
              <w:rPr>
                <w:sz w:val="23"/>
                <w:szCs w:val="23"/>
                <w:color w:val="auto"/>
              </w:rPr>
            </w:pPr>
          </w:p>
        </w:tc>
      </w:tr>
      <w:tr>
        <w:trPr>
          <w:trHeight w:val="70"/>
        </w:trPr>
        <w:tc>
          <w:tcPr>
            <w:tcW w:w="20" w:type="dxa"/>
            <w:vAlign w:val="bottom"/>
          </w:tcPr>
          <w:p>
            <w:pPr>
              <w:spacing w:after="0"/>
              <w:rPr>
                <w:sz w:val="6"/>
                <w:szCs w:val="6"/>
                <w:color w:val="auto"/>
              </w:rPr>
            </w:pPr>
          </w:p>
        </w:tc>
        <w:tc>
          <w:tcPr>
            <w:tcW w:w="1520" w:type="dxa"/>
            <w:vAlign w:val="bottom"/>
            <w:tcBorders>
              <w:bottom w:val="single" w:sz="8" w:color="auto"/>
            </w:tcBorders>
            <w:shd w:val="clear" w:color="auto" w:fill="FFE8F5"/>
          </w:tcPr>
          <w:p>
            <w:pPr>
              <w:spacing w:after="0"/>
              <w:rPr>
                <w:sz w:val="6"/>
                <w:szCs w:val="6"/>
                <w:color w:val="auto"/>
              </w:rPr>
            </w:pPr>
          </w:p>
        </w:tc>
        <w:tc>
          <w:tcPr>
            <w:tcW w:w="5020" w:type="dxa"/>
            <w:vAlign w:val="bottom"/>
            <w:tcBorders>
              <w:bottom w:val="single" w:sz="8" w:color="auto"/>
            </w:tcBorders>
            <w:shd w:val="clear" w:color="auto" w:fill="FFE8F5"/>
          </w:tcPr>
          <w:p>
            <w:pPr>
              <w:spacing w:after="0"/>
              <w:rPr>
                <w:sz w:val="6"/>
                <w:szCs w:val="6"/>
                <w:color w:val="auto"/>
              </w:rPr>
            </w:pPr>
          </w:p>
        </w:tc>
        <w:tc>
          <w:tcPr>
            <w:tcW w:w="2100" w:type="dxa"/>
            <w:vAlign w:val="bottom"/>
            <w:tcBorders>
              <w:bottom w:val="single" w:sz="8" w:color="auto"/>
            </w:tcBorders>
            <w:shd w:val="clear" w:color="auto" w:fill="FFE8F5"/>
          </w:tcPr>
          <w:p>
            <w:pPr>
              <w:spacing w:after="0"/>
              <w:rPr>
                <w:sz w:val="6"/>
                <w:szCs w:val="6"/>
                <w:color w:val="auto"/>
              </w:rPr>
            </w:pPr>
          </w:p>
        </w:tc>
        <w:tc>
          <w:tcPr>
            <w:tcW w:w="500" w:type="dxa"/>
            <w:vAlign w:val="bottom"/>
            <w:tcBorders>
              <w:bottom w:val="single" w:sz="8" w:color="auto"/>
            </w:tcBorders>
            <w:shd w:val="clear" w:color="auto" w:fill="FFE8F5"/>
          </w:tcPr>
          <w:p>
            <w:pPr>
              <w:spacing w:after="0"/>
              <w:rPr>
                <w:sz w:val="6"/>
                <w:szCs w:val="6"/>
                <w:color w:val="auto"/>
              </w:rPr>
            </w:pPr>
          </w:p>
        </w:tc>
        <w:tc>
          <w:tcPr>
            <w:tcW w:w="360" w:type="dxa"/>
            <w:vAlign w:val="bottom"/>
            <w:tcBorders>
              <w:bottom w:val="single" w:sz="8" w:color="auto"/>
            </w:tcBorders>
            <w:shd w:val="clear" w:color="auto" w:fill="FFE8F5"/>
          </w:tcPr>
          <w:p>
            <w:pPr>
              <w:spacing w:after="0"/>
              <w:rPr>
                <w:sz w:val="6"/>
                <w:szCs w:val="6"/>
                <w:color w:val="auto"/>
              </w:rPr>
            </w:pPr>
          </w:p>
        </w:tc>
      </w:tr>
      <w:tr>
        <w:trPr>
          <w:trHeight w:val="358"/>
        </w:trPr>
        <w:tc>
          <w:tcPr>
            <w:tcW w:w="20" w:type="dxa"/>
            <w:vAlign w:val="bottom"/>
          </w:tcPr>
          <w:p>
            <w:pPr>
              <w:spacing w:after="0"/>
              <w:rPr>
                <w:sz w:val="24"/>
                <w:szCs w:val="24"/>
                <w:color w:val="auto"/>
              </w:rPr>
            </w:pPr>
          </w:p>
        </w:tc>
        <w:tc>
          <w:tcPr>
            <w:tcW w:w="6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Jennifer Hyman</w:t>
            </w:r>
            <w:r>
              <w:rPr>
                <w:rFonts w:ascii="Arial" w:cs="Arial" w:eastAsia="Arial" w:hAnsi="Arial"/>
                <w:sz w:val="23"/>
                <w:szCs w:val="23"/>
                <w:color w:val="auto"/>
                <w:vertAlign w:val="superscript"/>
              </w:rPr>
              <w:t>(3)</w:t>
            </w:r>
          </w:p>
        </w:tc>
        <w:tc>
          <w:tcPr>
            <w:tcW w:w="21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250,159</w:t>
            </w: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358"/>
        </w:trPr>
        <w:tc>
          <w:tcPr>
            <w:tcW w:w="20" w:type="dxa"/>
            <w:vAlign w:val="bottom"/>
          </w:tcPr>
          <w:p>
            <w:pPr>
              <w:spacing w:after="0"/>
              <w:rPr>
                <w:sz w:val="24"/>
                <w:szCs w:val="24"/>
                <w:color w:val="auto"/>
              </w:rPr>
            </w:pPr>
          </w:p>
        </w:tc>
        <w:tc>
          <w:tcPr>
            <w:tcW w:w="6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Sid Thacker</w:t>
            </w:r>
            <w:r>
              <w:rPr>
                <w:rFonts w:ascii="Arial" w:cs="Arial" w:eastAsia="Arial" w:hAnsi="Arial"/>
                <w:sz w:val="23"/>
                <w:szCs w:val="23"/>
                <w:color w:val="auto"/>
                <w:vertAlign w:val="superscript"/>
              </w:rPr>
              <w:t>(4)</w:t>
            </w:r>
          </w:p>
        </w:tc>
        <w:tc>
          <w:tcPr>
            <w:tcW w:w="21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26,525</w:t>
            </w: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358"/>
        </w:trPr>
        <w:tc>
          <w:tcPr>
            <w:tcW w:w="20" w:type="dxa"/>
            <w:vAlign w:val="bottom"/>
          </w:tcPr>
          <w:p>
            <w:pPr>
              <w:spacing w:after="0"/>
              <w:rPr>
                <w:sz w:val="24"/>
                <w:szCs w:val="24"/>
                <w:color w:val="auto"/>
              </w:rPr>
            </w:pPr>
          </w:p>
        </w:tc>
        <w:tc>
          <w:tcPr>
            <w:tcW w:w="6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Sarah Tam</w:t>
            </w:r>
            <w:r>
              <w:rPr>
                <w:rFonts w:ascii="Arial" w:cs="Arial" w:eastAsia="Arial" w:hAnsi="Arial"/>
                <w:sz w:val="23"/>
                <w:szCs w:val="23"/>
                <w:color w:val="auto"/>
                <w:vertAlign w:val="superscript"/>
              </w:rPr>
              <w:t>(5)</w:t>
            </w:r>
          </w:p>
        </w:tc>
        <w:tc>
          <w:tcPr>
            <w:tcW w:w="21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21,755</w:t>
            </w: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358"/>
        </w:trPr>
        <w:tc>
          <w:tcPr>
            <w:tcW w:w="20" w:type="dxa"/>
            <w:vAlign w:val="bottom"/>
          </w:tcPr>
          <w:p>
            <w:pPr>
              <w:spacing w:after="0"/>
              <w:rPr>
                <w:sz w:val="24"/>
                <w:szCs w:val="24"/>
                <w:color w:val="auto"/>
              </w:rPr>
            </w:pPr>
          </w:p>
        </w:tc>
        <w:tc>
          <w:tcPr>
            <w:tcW w:w="6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Teri Bariquit</w:t>
            </w:r>
            <w:r>
              <w:rPr>
                <w:rFonts w:ascii="Arial" w:cs="Arial" w:eastAsia="Arial" w:hAnsi="Arial"/>
                <w:sz w:val="23"/>
                <w:szCs w:val="23"/>
                <w:color w:val="auto"/>
                <w:vertAlign w:val="superscript"/>
              </w:rPr>
              <w:t>(6)</w:t>
            </w:r>
          </w:p>
        </w:tc>
        <w:tc>
          <w:tcPr>
            <w:tcW w:w="21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16,759</w:t>
            </w: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358"/>
        </w:trPr>
        <w:tc>
          <w:tcPr>
            <w:tcW w:w="20" w:type="dxa"/>
            <w:vAlign w:val="bottom"/>
          </w:tcPr>
          <w:p>
            <w:pPr>
              <w:spacing w:after="0"/>
              <w:rPr>
                <w:sz w:val="24"/>
                <w:szCs w:val="24"/>
                <w:color w:val="auto"/>
              </w:rPr>
            </w:pPr>
          </w:p>
        </w:tc>
        <w:tc>
          <w:tcPr>
            <w:tcW w:w="6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Peter Comisar</w:t>
            </w:r>
            <w:r>
              <w:rPr>
                <w:rFonts w:ascii="Arial" w:cs="Arial" w:eastAsia="Arial" w:hAnsi="Arial"/>
                <w:sz w:val="23"/>
                <w:szCs w:val="23"/>
                <w:color w:val="auto"/>
                <w:vertAlign w:val="superscript"/>
              </w:rPr>
              <w:t>(7)</w:t>
            </w:r>
          </w:p>
        </w:tc>
        <w:tc>
          <w:tcPr>
            <w:tcW w:w="21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56"/>
        </w:trPr>
        <w:tc>
          <w:tcPr>
            <w:tcW w:w="20" w:type="dxa"/>
            <w:vAlign w:val="bottom"/>
          </w:tcPr>
          <w:p>
            <w:pPr>
              <w:spacing w:after="0"/>
              <w:rPr>
                <w:sz w:val="22"/>
                <w:szCs w:val="22"/>
                <w:color w:val="auto"/>
              </w:rPr>
            </w:pPr>
          </w:p>
        </w:tc>
        <w:tc>
          <w:tcPr>
            <w:tcW w:w="6540" w:type="dxa"/>
            <w:vAlign w:val="bottom"/>
            <w:gridSpan w:val="2"/>
          </w:tcPr>
          <w:p>
            <w:pPr>
              <w:ind w:left="160"/>
              <w:spacing w:after="0"/>
              <w:rPr>
                <w:sz w:val="20"/>
                <w:szCs w:val="20"/>
                <w:color w:val="auto"/>
              </w:rPr>
            </w:pPr>
            <w:r>
              <w:rPr>
                <w:rFonts w:ascii="Arial" w:cs="Arial" w:eastAsia="Arial" w:hAnsi="Arial"/>
                <w:sz w:val="14"/>
                <w:szCs w:val="14"/>
                <w:color w:val="auto"/>
              </w:rPr>
              <w:t>Dhiren Fonseca</w:t>
            </w:r>
          </w:p>
        </w:tc>
        <w:tc>
          <w:tcPr>
            <w:tcW w:w="21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76"/>
        </w:trPr>
        <w:tc>
          <w:tcPr>
            <w:tcW w:w="2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502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r>
      <w:tr>
        <w:trPr>
          <w:trHeight w:val="358"/>
        </w:trPr>
        <w:tc>
          <w:tcPr>
            <w:tcW w:w="20" w:type="dxa"/>
            <w:vAlign w:val="bottom"/>
          </w:tcPr>
          <w:p>
            <w:pPr>
              <w:spacing w:after="0"/>
              <w:rPr>
                <w:sz w:val="24"/>
                <w:szCs w:val="24"/>
                <w:color w:val="auto"/>
              </w:rPr>
            </w:pPr>
          </w:p>
        </w:tc>
        <w:tc>
          <w:tcPr>
            <w:tcW w:w="6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Damian Giangiacomo</w:t>
            </w:r>
            <w:r>
              <w:rPr>
                <w:rFonts w:ascii="Arial" w:cs="Arial" w:eastAsia="Arial" w:hAnsi="Arial"/>
                <w:sz w:val="23"/>
                <w:szCs w:val="23"/>
                <w:color w:val="auto"/>
                <w:vertAlign w:val="superscript"/>
              </w:rPr>
              <w:t>(8)</w:t>
            </w:r>
          </w:p>
        </w:tc>
        <w:tc>
          <w:tcPr>
            <w:tcW w:w="21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358"/>
        </w:trPr>
        <w:tc>
          <w:tcPr>
            <w:tcW w:w="20" w:type="dxa"/>
            <w:vAlign w:val="bottom"/>
          </w:tcPr>
          <w:p>
            <w:pPr>
              <w:spacing w:after="0"/>
              <w:rPr>
                <w:sz w:val="24"/>
                <w:szCs w:val="24"/>
                <w:color w:val="auto"/>
              </w:rPr>
            </w:pPr>
          </w:p>
        </w:tc>
        <w:tc>
          <w:tcPr>
            <w:tcW w:w="6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Daniel Rosensweig</w:t>
            </w:r>
            <w:r>
              <w:rPr>
                <w:rFonts w:ascii="Arial" w:cs="Arial" w:eastAsia="Arial" w:hAnsi="Arial"/>
                <w:sz w:val="23"/>
                <w:szCs w:val="23"/>
                <w:color w:val="auto"/>
                <w:vertAlign w:val="superscript"/>
              </w:rPr>
              <w:t>(9)</w:t>
            </w:r>
          </w:p>
        </w:tc>
        <w:tc>
          <w:tcPr>
            <w:tcW w:w="21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21,876</w:t>
            </w: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358"/>
        </w:trPr>
        <w:tc>
          <w:tcPr>
            <w:tcW w:w="20" w:type="dxa"/>
            <w:vAlign w:val="bottom"/>
          </w:tcPr>
          <w:p>
            <w:pPr>
              <w:spacing w:after="0"/>
              <w:rPr>
                <w:sz w:val="24"/>
                <w:szCs w:val="24"/>
                <w:color w:val="auto"/>
              </w:rPr>
            </w:pPr>
          </w:p>
        </w:tc>
        <w:tc>
          <w:tcPr>
            <w:tcW w:w="6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All​ Current executive officers and directors as a group, 9 persons</w:t>
            </w:r>
            <w:r>
              <w:rPr>
                <w:rFonts w:ascii="Arial" w:cs="Arial" w:eastAsia="Arial" w:hAnsi="Arial"/>
                <w:sz w:val="23"/>
                <w:szCs w:val="23"/>
                <w:color w:val="auto"/>
                <w:vertAlign w:val="superscript"/>
              </w:rPr>
              <w:t>(10)</w:t>
            </w:r>
          </w:p>
        </w:tc>
        <w:tc>
          <w:tcPr>
            <w:tcW w:w="21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124,284</w:t>
            </w: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331"/>
        </w:trPr>
        <w:tc>
          <w:tcPr>
            <w:tcW w:w="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262"/>
        </w:trPr>
        <w:tc>
          <w:tcPr>
            <w:tcW w:w="20" w:type="dxa"/>
            <w:vAlign w:val="bottom"/>
          </w:tcPr>
          <w:p>
            <w:pPr>
              <w:spacing w:after="0"/>
              <w:rPr>
                <w:sz w:val="22"/>
                <w:szCs w:val="22"/>
                <w:color w:val="auto"/>
              </w:rPr>
            </w:pPr>
          </w:p>
        </w:tc>
        <w:tc>
          <w:tcPr>
            <w:tcW w:w="6540" w:type="dxa"/>
            <w:vAlign w:val="bottom"/>
            <w:gridSpan w:val="2"/>
            <w:shd w:val="clear" w:color="auto" w:fill="FFE8F5"/>
          </w:tcPr>
          <w:p>
            <w:pPr>
              <w:ind w:left="160"/>
              <w:spacing w:after="0"/>
              <w:rPr>
                <w:sz w:val="20"/>
                <w:szCs w:val="20"/>
                <w:color w:val="auto"/>
              </w:rPr>
            </w:pPr>
            <w:r>
              <w:rPr>
                <w:rFonts w:ascii="Arial" w:cs="Arial" w:eastAsia="Arial" w:hAnsi="Arial"/>
                <w:sz w:val="14"/>
                <w:szCs w:val="14"/>
                <w:b w:val="1"/>
                <w:bCs w:val="1"/>
                <w:color w:val="auto"/>
              </w:rPr>
              <w:t>Over 5% Stockholders:</w:t>
            </w:r>
          </w:p>
        </w:tc>
        <w:tc>
          <w:tcPr>
            <w:tcW w:w="2100" w:type="dxa"/>
            <w:vAlign w:val="bottom"/>
            <w:shd w:val="clear" w:color="auto" w:fill="FFE8F5"/>
          </w:tcPr>
          <w:p>
            <w:pPr>
              <w:jc w:val="right"/>
              <w:ind w:right="588"/>
              <w:spacing w:after="0"/>
              <w:rPr>
                <w:sz w:val="20"/>
                <w:szCs w:val="20"/>
                <w:color w:val="auto"/>
              </w:rPr>
            </w:pPr>
            <w:r>
              <w:rPr>
                <w:rFonts w:ascii="Arial" w:cs="Arial" w:eastAsia="Arial" w:hAnsi="Arial"/>
                <w:sz w:val="14"/>
                <w:szCs w:val="14"/>
                <w:color w:val="auto"/>
              </w:rPr>
              <w:t>​</w:t>
            </w:r>
          </w:p>
        </w:tc>
        <w:tc>
          <w:tcPr>
            <w:tcW w:w="500" w:type="dxa"/>
            <w:vAlign w:val="bottom"/>
            <w:shd w:val="clear" w:color="auto" w:fill="FFE8F5"/>
          </w:tcPr>
          <w:p>
            <w:pPr>
              <w:spacing w:after="0"/>
              <w:rPr>
                <w:sz w:val="22"/>
                <w:szCs w:val="22"/>
                <w:color w:val="auto"/>
              </w:rPr>
            </w:pPr>
          </w:p>
        </w:tc>
        <w:tc>
          <w:tcPr>
            <w:tcW w:w="360" w:type="dxa"/>
            <w:vAlign w:val="bottom"/>
            <w:shd w:val="clear" w:color="auto" w:fill="FFE8F5"/>
          </w:tcPr>
          <w:p>
            <w:pPr>
              <w:jc w:val="right"/>
              <w:ind w:right="8"/>
              <w:spacing w:after="0"/>
              <w:rPr>
                <w:sz w:val="20"/>
                <w:szCs w:val="20"/>
                <w:color w:val="auto"/>
              </w:rPr>
            </w:pPr>
            <w:r>
              <w:rPr>
                <w:rFonts w:ascii="Arial" w:cs="Arial" w:eastAsia="Arial" w:hAnsi="Arial"/>
                <w:sz w:val="14"/>
                <w:szCs w:val="14"/>
                <w:color w:val="auto"/>
              </w:rPr>
              <w:t>​</w:t>
            </w:r>
          </w:p>
        </w:tc>
      </w:tr>
      <w:tr>
        <w:trPr>
          <w:trHeight w:val="70"/>
        </w:trPr>
        <w:tc>
          <w:tcPr>
            <w:tcW w:w="20" w:type="dxa"/>
            <w:vAlign w:val="bottom"/>
          </w:tcPr>
          <w:p>
            <w:pPr>
              <w:spacing w:after="0"/>
              <w:rPr>
                <w:sz w:val="6"/>
                <w:szCs w:val="6"/>
                <w:color w:val="auto"/>
              </w:rPr>
            </w:pPr>
          </w:p>
        </w:tc>
        <w:tc>
          <w:tcPr>
            <w:tcW w:w="1520" w:type="dxa"/>
            <w:vAlign w:val="bottom"/>
            <w:tcBorders>
              <w:bottom w:val="single" w:sz="8" w:color="auto"/>
            </w:tcBorders>
            <w:shd w:val="clear" w:color="auto" w:fill="FFE8F5"/>
          </w:tcPr>
          <w:p>
            <w:pPr>
              <w:spacing w:after="0"/>
              <w:rPr>
                <w:sz w:val="6"/>
                <w:szCs w:val="6"/>
                <w:color w:val="auto"/>
              </w:rPr>
            </w:pPr>
          </w:p>
        </w:tc>
        <w:tc>
          <w:tcPr>
            <w:tcW w:w="5020" w:type="dxa"/>
            <w:vAlign w:val="bottom"/>
            <w:tcBorders>
              <w:bottom w:val="single" w:sz="8" w:color="auto"/>
            </w:tcBorders>
            <w:shd w:val="clear" w:color="auto" w:fill="FFE8F5"/>
          </w:tcPr>
          <w:p>
            <w:pPr>
              <w:spacing w:after="0"/>
              <w:rPr>
                <w:sz w:val="6"/>
                <w:szCs w:val="6"/>
                <w:color w:val="auto"/>
              </w:rPr>
            </w:pPr>
          </w:p>
        </w:tc>
        <w:tc>
          <w:tcPr>
            <w:tcW w:w="2100" w:type="dxa"/>
            <w:vAlign w:val="bottom"/>
            <w:tcBorders>
              <w:bottom w:val="single" w:sz="8" w:color="auto"/>
            </w:tcBorders>
            <w:shd w:val="clear" w:color="auto" w:fill="FFE8F5"/>
          </w:tcPr>
          <w:p>
            <w:pPr>
              <w:spacing w:after="0"/>
              <w:rPr>
                <w:sz w:val="6"/>
                <w:szCs w:val="6"/>
                <w:color w:val="auto"/>
              </w:rPr>
            </w:pPr>
          </w:p>
        </w:tc>
        <w:tc>
          <w:tcPr>
            <w:tcW w:w="500" w:type="dxa"/>
            <w:vAlign w:val="bottom"/>
            <w:tcBorders>
              <w:bottom w:val="single" w:sz="8" w:color="auto"/>
            </w:tcBorders>
            <w:shd w:val="clear" w:color="auto" w:fill="FFE8F5"/>
          </w:tcPr>
          <w:p>
            <w:pPr>
              <w:spacing w:after="0"/>
              <w:rPr>
                <w:sz w:val="6"/>
                <w:szCs w:val="6"/>
                <w:color w:val="auto"/>
              </w:rPr>
            </w:pPr>
          </w:p>
        </w:tc>
        <w:tc>
          <w:tcPr>
            <w:tcW w:w="360" w:type="dxa"/>
            <w:vAlign w:val="bottom"/>
            <w:tcBorders>
              <w:bottom w:val="single" w:sz="8" w:color="auto"/>
            </w:tcBorders>
            <w:shd w:val="clear" w:color="auto" w:fill="FFE8F5"/>
          </w:tcPr>
          <w:p>
            <w:pPr>
              <w:spacing w:after="0"/>
              <w:rPr>
                <w:sz w:val="6"/>
                <w:szCs w:val="6"/>
                <w:color w:val="auto"/>
              </w:rPr>
            </w:pPr>
          </w:p>
        </w:tc>
      </w:tr>
      <w:tr>
        <w:trPr>
          <w:trHeight w:val="358"/>
        </w:trPr>
        <w:tc>
          <w:tcPr>
            <w:tcW w:w="20" w:type="dxa"/>
            <w:vAlign w:val="bottom"/>
          </w:tcPr>
          <w:p>
            <w:pPr>
              <w:spacing w:after="0"/>
              <w:rPr>
                <w:sz w:val="24"/>
                <w:szCs w:val="24"/>
                <w:color w:val="auto"/>
              </w:rPr>
            </w:pPr>
          </w:p>
        </w:tc>
        <w:tc>
          <w:tcPr>
            <w:tcW w:w="6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CHS US Investments LLC</w:t>
            </w:r>
            <w:r>
              <w:rPr>
                <w:rFonts w:ascii="Arial" w:cs="Arial" w:eastAsia="Arial" w:hAnsi="Arial"/>
                <w:sz w:val="23"/>
                <w:szCs w:val="23"/>
                <w:color w:val="auto"/>
                <w:vertAlign w:val="superscript"/>
              </w:rPr>
              <w:t>(11)</w:t>
            </w:r>
          </w:p>
        </w:tc>
        <w:tc>
          <w:tcPr>
            <w:tcW w:w="21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19,983,656</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0"/>
              </w:rPr>
              <w:t>.7%</w:t>
            </w:r>
          </w:p>
        </w:tc>
      </w:tr>
      <w:tr>
        <w:trPr>
          <w:trHeight w:val="358"/>
        </w:trPr>
        <w:tc>
          <w:tcPr>
            <w:tcW w:w="20" w:type="dxa"/>
            <w:vAlign w:val="bottom"/>
          </w:tcPr>
          <w:p>
            <w:pPr>
              <w:spacing w:after="0"/>
              <w:rPr>
                <w:sz w:val="24"/>
                <w:szCs w:val="24"/>
                <w:color w:val="auto"/>
              </w:rPr>
            </w:pPr>
          </w:p>
        </w:tc>
        <w:tc>
          <w:tcPr>
            <w:tcW w:w="6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Gateway Runway LLC</w:t>
            </w:r>
            <w:r>
              <w:rPr>
                <w:rFonts w:ascii="Arial" w:cs="Arial" w:eastAsia="Arial" w:hAnsi="Arial"/>
                <w:sz w:val="23"/>
                <w:szCs w:val="23"/>
                <w:color w:val="auto"/>
                <w:vertAlign w:val="superscript"/>
              </w:rPr>
              <w:t>(12)</w:t>
            </w:r>
          </w:p>
        </w:tc>
        <w:tc>
          <w:tcPr>
            <w:tcW w:w="21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4,274,394</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0"/>
              </w:rPr>
              <w:t>.8%</w:t>
            </w:r>
          </w:p>
        </w:tc>
      </w:tr>
      <w:tr>
        <w:trPr>
          <w:trHeight w:val="318"/>
        </w:trPr>
        <w:tc>
          <w:tcPr>
            <w:tcW w:w="20" w:type="dxa"/>
            <w:vAlign w:val="bottom"/>
          </w:tcPr>
          <w:p>
            <w:pPr>
              <w:spacing w:after="0"/>
              <w:rPr>
                <w:sz w:val="24"/>
                <w:szCs w:val="24"/>
                <w:color w:val="auto"/>
              </w:rPr>
            </w:pPr>
          </w:p>
        </w:tc>
        <w:tc>
          <w:tcPr>
            <w:tcW w:w="6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S3 RR Aggregator LLC</w:t>
            </w:r>
            <w:r>
              <w:rPr>
                <w:rFonts w:ascii="Arial" w:cs="Arial" w:eastAsia="Arial" w:hAnsi="Arial"/>
                <w:sz w:val="23"/>
                <w:szCs w:val="23"/>
                <w:color w:val="auto"/>
                <w:vertAlign w:val="superscript"/>
              </w:rPr>
              <w:t>(13)</w:t>
            </w:r>
          </w:p>
        </w:tc>
        <w:tc>
          <w:tcPr>
            <w:tcW w:w="21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4,274,394</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r>
    </w:tbl>
    <w:p>
      <w:pPr>
        <w:spacing w:after="0" w:line="166" w:lineRule="exact"/>
        <w:rPr>
          <w:sz w:val="20"/>
          <w:szCs w:val="20"/>
          <w:color w:val="auto"/>
        </w:rPr>
      </w:pPr>
    </w:p>
    <w:p>
      <w:pPr>
        <w:ind w:left="380" w:hanging="359"/>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55" w:lineRule="exact"/>
        <w:rPr>
          <w:sz w:val="20"/>
          <w:szCs w:val="20"/>
          <w:color w:val="auto"/>
        </w:rPr>
      </w:pPr>
    </w:p>
    <w:p>
      <w:pPr>
        <w:ind w:left="380" w:right="560" w:hanging="359"/>
        <w:spacing w:after="0" w:line="281"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Amounts have been adjusted to reflect the Reverse Stock Split (See “Important Note Regarding the 2024 Reverse Stock Split” for more information).</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Calculated as % of Class A as of May 20, 2026 plus any RSUs that will vest within 60 days of May 20, 2026.</w:t>
      </w:r>
    </w:p>
    <w:p>
      <w:pPr>
        <w:spacing w:after="0" w:line="55" w:lineRule="exact"/>
        <w:rPr>
          <w:rFonts w:ascii="Arial" w:cs="Arial" w:eastAsia="Arial" w:hAnsi="Arial"/>
          <w:sz w:val="14"/>
          <w:szCs w:val="14"/>
          <w:color w:val="auto"/>
        </w:rPr>
      </w:pPr>
    </w:p>
    <w:p>
      <w:pPr>
        <w:ind w:left="380" w:right="300" w:hanging="359"/>
        <w:spacing w:after="0" w:line="281"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(i) 140,957 shares of Class A common stock held by Ms. Hyman; (ii) 6,155 shares of Class A common stock held by Ms. Hyman’s spouse; and (iii) 103,047 RSUs relating to Class A common stock that will vest within 60 days of May 20, 2026.</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26,525 shares of Class A common stock held by Mr. Thacker.</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21,755 shares of Class A common stock held by Ms. Tam.</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16,759 RSUs relating to Class A common stock that will vest within 60 days of May 20, 2026.</w:t>
      </w:r>
    </w:p>
    <w:p>
      <w:pPr>
        <w:spacing w:after="0" w:line="55" w:lineRule="exact"/>
        <w:rPr>
          <w:rFonts w:ascii="Arial" w:cs="Arial" w:eastAsia="Arial" w:hAnsi="Arial"/>
          <w:sz w:val="14"/>
          <w:szCs w:val="14"/>
          <w:color w:val="auto"/>
        </w:rPr>
      </w:pPr>
    </w:p>
    <w:p>
      <w:pPr>
        <w:ind w:left="380" w:right="220" w:hanging="359"/>
        <w:spacing w:after="0" w:line="263"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Held directly by S3 RR Aggregator LLC (“S3 RR”). S3 RR is jointly owned by funds managed by STORY3 Capital Partners, LLC (“STORY3 Capital Partners”), which is wholly owned by Rising Sons Capital, LLC (“Rising Sons”). Mr. Comisar is the controlling member of Rising Sons and disclaims beneficial ownership of such securities.</w:t>
      </w:r>
    </w:p>
    <w:p>
      <w:pPr>
        <w:spacing w:after="0" w:line="10" w:lineRule="exact"/>
        <w:rPr>
          <w:rFonts w:ascii="Arial" w:cs="Arial" w:eastAsia="Arial" w:hAnsi="Arial"/>
          <w:sz w:val="14"/>
          <w:szCs w:val="14"/>
          <w:color w:val="auto"/>
        </w:rPr>
      </w:pPr>
    </w:p>
    <w:p>
      <w:pPr>
        <w:ind w:left="380" w:right="40" w:hanging="359"/>
        <w:spacing w:after="0" w:line="246"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Held directly by Gateway Runway, LLC (“Gateway Runway”). Gateway Runway is jointly owned by Gateway Runway Intermediate Holdings, Inc. (“Gateway Runway Intermediate”) and Nexus Special Situations III, L.P. (“Nexus SS III”). Nexus Special Situations III (Cayman) L.P. (“Nexus SS III Cayman”) is the limited partner of Nexus SS III. Nexus Capital Management LP (“Nexus Capital Management”) is the investment manager of Nexus SS III and Nexus SS III Cayman. Nexus Special Situations GP III, L.P. (“Nexus SS GP III”) is the general partner of Nexus</w:t>
      </w:r>
    </w:p>
    <w:p>
      <w:pPr>
        <w:spacing w:after="0" w:line="1" w:lineRule="exact"/>
        <w:rPr>
          <w:rFonts w:ascii="Arial" w:cs="Arial" w:eastAsia="Arial" w:hAnsi="Arial"/>
          <w:sz w:val="14"/>
          <w:szCs w:val="14"/>
          <w:color w:val="auto"/>
        </w:rPr>
      </w:pPr>
    </w:p>
    <w:p>
      <w:pPr>
        <w:ind w:left="380" w:right="140" w:hanging="8"/>
        <w:spacing w:after="0" w:line="264" w:lineRule="auto"/>
        <w:tabs>
          <w:tab w:leader="none" w:pos="612" w:val="left"/>
        </w:tabs>
        <w:numPr>
          <w:ilvl w:val="1"/>
          <w:numId w:val="40"/>
        </w:numPr>
        <w:rPr>
          <w:rFonts w:ascii="Arial" w:cs="Arial" w:eastAsia="Arial" w:hAnsi="Arial"/>
          <w:sz w:val="14"/>
          <w:szCs w:val="14"/>
          <w:color w:val="auto"/>
        </w:rPr>
      </w:pPr>
      <w:r>
        <w:rPr>
          <w:rFonts w:ascii="Arial" w:cs="Arial" w:eastAsia="Arial" w:hAnsi="Arial"/>
          <w:sz w:val="14"/>
          <w:szCs w:val="14"/>
          <w:color w:val="auto"/>
        </w:rPr>
        <w:t>III and Nexus SS III Cayman. Nexus Partners III, LLC (“Nexus Partners”) is the general partner of Nexus SS GP III. Mr. Giangiacomo is an owner of Nexus Capital Management and Nexus Partners and disclaims beneficial ownership of such securities.</w:t>
      </w:r>
    </w:p>
    <w:p>
      <w:pPr>
        <w:spacing w:after="0" w:line="9" w:lineRule="exact"/>
        <w:rPr>
          <w:rFonts w:ascii="Arial" w:cs="Arial" w:eastAsia="Arial" w:hAnsi="Arial"/>
          <w:sz w:val="14"/>
          <w:szCs w:val="14"/>
          <w:color w:val="auto"/>
        </w:rPr>
      </w:pPr>
    </w:p>
    <w:p>
      <w:pPr>
        <w:ind w:left="380" w:hanging="359"/>
        <w:spacing w:after="0" w:line="281"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(i) 4,956 shares of Class A common stock held by Mr. Rosensweig; (ii) 16,759 RSUs relating to Class A common stock that will vest within 60 days of May 20, 2026; and (iii) 161 shares of Class A common stock held by a trust.</w:t>
      </w:r>
    </w:p>
    <w:p>
      <w:pPr>
        <w:spacing w:after="0" w:line="1" w:lineRule="exact"/>
        <w:rPr>
          <w:rFonts w:ascii="Arial" w:cs="Arial" w:eastAsia="Arial" w:hAnsi="Arial"/>
          <w:sz w:val="14"/>
          <w:szCs w:val="14"/>
          <w:color w:val="auto"/>
        </w:rPr>
      </w:pPr>
    </w:p>
    <w:p>
      <w:pPr>
        <w:ind w:left="380" w:right="120" w:hanging="359"/>
        <w:spacing w:after="0" w:line="281"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(i) 90,766 shares of Class A common stock and (ii) 33,518 RSUs relating to Class A common stock that will vest within 60 days of May 20, 2026. Excludes Ms. Hyman as she resigned effective as of May 15, 2026.</w:t>
      </w:r>
    </w:p>
    <w:p>
      <w:pPr>
        <w:spacing w:after="0" w:line="1" w:lineRule="exact"/>
        <w:rPr>
          <w:rFonts w:ascii="Arial" w:cs="Arial" w:eastAsia="Arial" w:hAnsi="Arial"/>
          <w:sz w:val="14"/>
          <w:szCs w:val="14"/>
          <w:color w:val="auto"/>
        </w:rPr>
      </w:pPr>
    </w:p>
    <w:p>
      <w:pPr>
        <w:ind w:left="380" w:right="80" w:hanging="359"/>
        <w:spacing w:after="0" w:line="252"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a Schedule 13D/A filed with the SEC on May 13, 2026. CHS US Investments LLC (“CHS US Investments”) directly holds 19,983,656 shares of Class A common stock. CHS (US) Management LLC (“CHS US Management”) is the investment manager of CHS US Investments. CHS GP LP (“CHS GP”) is the general partner of CHS US Investments. CHS UGP LLC (“CHS UGP”) is the general partner of CHS GP. CHS UGP is a direct, wholly owned subsidiary of CHS Platform Holdings Pte. Ltd. The principal business address and principal office address of each of the foregoing is 550 Madison Avenue, 34th Floor, New York, NY 10022.</w:t>
      </w:r>
    </w:p>
    <w:p>
      <w:pPr>
        <w:spacing w:after="0" w:line="18" w:lineRule="exact"/>
        <w:rPr>
          <w:rFonts w:ascii="Arial" w:cs="Arial" w:eastAsia="Arial" w:hAnsi="Arial"/>
          <w:sz w:val="14"/>
          <w:szCs w:val="14"/>
          <w:color w:val="auto"/>
        </w:rPr>
      </w:pPr>
    </w:p>
    <w:p>
      <w:pPr>
        <w:ind w:left="380" w:right="60" w:hanging="359"/>
        <w:spacing w:after="0" w:line="251" w:lineRule="auto"/>
        <w:tabs>
          <w:tab w:leader="none" w:pos="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a Schedule 13D/A filed with the SEC on May 13, 2026. Gateway Runway directly holds 4,274,394 shares of Class A common stock. Gateway Runway is jointly owned by Gateway Runway Intermediate and Nexus SS III. Nexus SS III Cayman is the limited partner of Nexus SS</w:t>
      </w:r>
    </w:p>
    <w:p>
      <w:pPr>
        <w:spacing w:after="0" w:line="1" w:lineRule="exact"/>
        <w:rPr>
          <w:rFonts w:ascii="Arial" w:cs="Arial" w:eastAsia="Arial" w:hAnsi="Arial"/>
          <w:sz w:val="14"/>
          <w:szCs w:val="14"/>
          <w:color w:val="auto"/>
        </w:rPr>
      </w:pPr>
    </w:p>
    <w:p>
      <w:pPr>
        <w:ind w:left="580" w:hanging="208"/>
        <w:spacing w:after="0"/>
        <w:tabs>
          <w:tab w:leader="none" w:pos="580" w:val="left"/>
        </w:tabs>
        <w:numPr>
          <w:ilvl w:val="1"/>
          <w:numId w:val="41"/>
        </w:numPr>
        <w:rPr>
          <w:rFonts w:ascii="Arial" w:cs="Arial" w:eastAsia="Arial" w:hAnsi="Arial"/>
          <w:sz w:val="14"/>
          <w:szCs w:val="14"/>
          <w:color w:val="auto"/>
        </w:rPr>
      </w:pPr>
      <w:r>
        <w:rPr>
          <w:rFonts w:ascii="Arial" w:cs="Arial" w:eastAsia="Arial" w:hAnsi="Arial"/>
          <w:sz w:val="14"/>
          <w:szCs w:val="14"/>
          <w:color w:val="auto"/>
        </w:rPr>
        <w:t>Nexus Capital Management is the investment manager of Nexus SS III and Nexus SS III Cayman. Nexus SS GP III is the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380" w:right="360"/>
        <w:spacing w:after="0" w:line="263" w:lineRule="auto"/>
        <w:rPr>
          <w:sz w:val="20"/>
          <w:szCs w:val="20"/>
          <w:color w:val="auto"/>
        </w:rPr>
      </w:pPr>
      <w:r>
        <w:rPr>
          <w:rFonts w:ascii="Arial" w:cs="Arial" w:eastAsia="Arial" w:hAnsi="Arial"/>
          <w:sz w:val="14"/>
          <w:szCs w:val="14"/>
          <w:color w:val="auto"/>
        </w:rPr>
        <w:t>general partner of Nexus SS III and Nexus SS III Cayman. Nexus Partners is the general partner of Nexus SS GP III. Mr. Giangiacomo, Mr. Cohen and Mr. Flesh are the owners of Nexus Capital Management and Nexus Partners. The principal business address and principal office address of each of the foregoing is 11111 Santa Monica Blvd, Ste 350, Los Angeles, CA 90025.</w:t>
      </w:r>
    </w:p>
    <w:p>
      <w:pPr>
        <w:spacing w:after="0" w:line="11" w:lineRule="exact"/>
        <w:rPr>
          <w:sz w:val="20"/>
          <w:szCs w:val="20"/>
          <w:color w:val="auto"/>
        </w:rPr>
      </w:pPr>
    </w:p>
    <w:p>
      <w:pPr>
        <w:ind w:left="380" w:right="80" w:hanging="359"/>
        <w:spacing w:after="0" w:line="256" w:lineRule="auto"/>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Based on a Schedule 13D/A filed with the SEC on May 13, 2026. S3 RR directly holds 4,274,394 shares of Class A common stock. S3 RR is jointly owned by funds managed by STORY3 Capital Partners, which is wholly owned by Rising Sons. Peter Comisar is the controlling member of Rising Sons. The principal business address and principal office address of each of the foregoing is 1580 N. Logan St., Suite 660, PMB 43072, Denver, CO 80203.</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Delinquent Section 16(a) Reports</w:t>
      </w:r>
    </w:p>
    <w:p>
      <w:pPr>
        <w:spacing w:after="0" w:line="199" w:lineRule="exact"/>
        <w:rPr>
          <w:sz w:val="20"/>
          <w:szCs w:val="20"/>
          <w:color w:val="auto"/>
        </w:rPr>
      </w:pPr>
    </w:p>
    <w:p>
      <w:pPr>
        <w:ind w:left="20" w:right="60"/>
        <w:spacing w:after="0" w:line="253" w:lineRule="auto"/>
        <w:rPr>
          <w:sz w:val="20"/>
          <w:szCs w:val="20"/>
          <w:color w:val="auto"/>
        </w:rPr>
      </w:pPr>
      <w:r>
        <w:rPr>
          <w:rFonts w:ascii="Arial" w:cs="Arial" w:eastAsia="Arial" w:hAnsi="Arial"/>
          <w:sz w:val="18"/>
          <w:szCs w:val="18"/>
          <w:color w:val="auto"/>
        </w:rPr>
        <w:t>Section 16(a) of the Exchange Act requires our executive officers, directors, and 10% stockholders to file certain reports with respect to beneficial ownership of our equity securities. Such executive officers, directors and stockholders also are required by SEC rules to furnish us with copies of all Section 16(a) forms that they file.</w:t>
      </w:r>
    </w:p>
    <w:p>
      <w:pPr>
        <w:spacing w:after="0" w:line="128"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To our knowledge, based solely on our review of the copies of such reports furnished to us and written representations that no other reports were required to be filed during fiscal 2025, we believe that for fiscal 2025, all required reports were filed on a timely basis under Section 16(a), except for one Form 4 for Michael Roth, reporting one transaction, that was filed one day late.</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Additional Information</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Stockholder Proposals</w:t>
      </w:r>
    </w:p>
    <w:p>
      <w:pPr>
        <w:spacing w:after="0" w:line="199"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Stockholders who would like to have a proposal considered for inclusion in the proxy materials for our 2027 Annual Meeting of Stockholders pursuant to Rule 14a-8 must submit the proposal in writing to our Secretary at Rent the Runway, Inc., 10 Jay Street, Brooklyn, NY 11201, by no later than [  ], 2027, 120 days before the anniversary of mailing and otherwise comply with the SEC’s requirements for stockholder proposals.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who would like to bring a proposal before our 2027 Annual Meeting of Stockholders, or to nominate directors for election, in accordance with the advance notice provisions of our Amended Bylaws, must give timely written notice to our Secretary. To be considered timely, the notice must be delivered to our headquarters at least 90 days, but not more than 120 days before the one-year anniversary of the previous year’s Annual Meeting of Stockholders. That means that to be timely, a notice must be received no later than April 15, 2027 nor earlier than March 16, 2027 (assuming the meeting is held not more than 30 days before or more than 60 days after July 14, 2027). The notice must comply with the requirements set forth in our Amended Bylaws.</w:t>
      </w:r>
    </w:p>
    <w:p>
      <w:pPr>
        <w:spacing w:after="0" w:line="144" w:lineRule="exact"/>
        <w:rPr>
          <w:sz w:val="20"/>
          <w:szCs w:val="20"/>
          <w:color w:val="auto"/>
        </w:rPr>
      </w:pPr>
    </w:p>
    <w:p>
      <w:pPr>
        <w:ind w:left="20" w:right="280"/>
        <w:spacing w:after="0" w:line="247" w:lineRule="auto"/>
        <w:rPr>
          <w:sz w:val="20"/>
          <w:szCs w:val="20"/>
          <w:color w:val="auto"/>
        </w:rPr>
      </w:pPr>
      <w:r>
        <w:rPr>
          <w:rFonts w:ascii="Arial" w:cs="Arial" w:eastAsia="Arial" w:hAnsi="Arial"/>
          <w:sz w:val="18"/>
          <w:szCs w:val="18"/>
          <w:color w:val="auto"/>
        </w:rPr>
        <w:t>In addition to satisfying the foregoing requirements under the Amended Bylaws, to comply with the universal proxy rules, stockholders who intend to solicit proxies in support of director nominees other than the Company’s nominees must provide notice that sets forth the information required by Rule 14a-19 under the Exchange Act no later than May 17, 2027.</w:t>
      </w:r>
    </w:p>
    <w:p>
      <w:pPr>
        <w:spacing w:after="0" w:line="133" w:lineRule="exact"/>
        <w:rPr>
          <w:sz w:val="20"/>
          <w:szCs w:val="20"/>
          <w:color w:val="auto"/>
        </w:rPr>
      </w:pPr>
    </w:p>
    <w:p>
      <w:pPr>
        <w:ind w:left="20" w:right="140"/>
        <w:spacing w:after="0" w:line="271"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Information Requests</w:t>
      </w:r>
    </w:p>
    <w:p>
      <w:pPr>
        <w:spacing w:after="0" w:line="199"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Our Annual Reports on Form 10-K and Quarterly Reports on Form 10-Q are available on the SEC’s website, http://www.sec.gov, or on our website, investors.renttherunway.com. Copies of our Annual Report on Form 10-K for the fiscal year ended January 31, 2026 may also be obtained for free by emailing investors@renttherunway.com. No other information on our website is incorporated by reference in or considered to be part of this Proxy Statement.</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Other Business</w:t>
      </w:r>
    </w:p>
    <w:p>
      <w:pPr>
        <w:spacing w:after="0" w:line="212" w:lineRule="exact"/>
        <w:rPr>
          <w:sz w:val="20"/>
          <w:szCs w:val="20"/>
          <w:color w:val="auto"/>
        </w:rPr>
      </w:pPr>
    </w:p>
    <w:p>
      <w:pPr>
        <w:ind w:left="20" w:right="140"/>
        <w:spacing w:after="0" w:line="253" w:lineRule="auto"/>
        <w:rPr>
          <w:sz w:val="20"/>
          <w:szCs w:val="20"/>
          <w:color w:val="auto"/>
        </w:rPr>
      </w:pPr>
      <w:r>
        <w:rPr>
          <w:rFonts w:ascii="Arial" w:cs="Arial" w:eastAsia="Arial" w:hAnsi="Arial"/>
          <w:sz w:val="18"/>
          <w:szCs w:val="18"/>
          <w:color w:val="auto"/>
        </w:rPr>
        <w:t>We do not know of any other business that may be presented at the Annual Meeting. If any other matters are properly presented at the Annual Meeting, the persons named on the proxy card will have discretion to vote on the matters in accordance with their best judgment.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Forward-Looking Statements</w:t>
      </w:r>
    </w:p>
    <w:p>
      <w:pPr>
        <w:spacing w:after="0" w:line="199"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This proxy statement contains forward-looking statements within the meaning of the Private Securities Litigation Reform Act of 1995. All statements contained in this proxy statement that do not relate to matters of historical fact should be considered forward-looking statements. These statements include, but are not limited to, statements regarding our business strategy and objectives, our executive compensation practices and statements regarding the transition of the Company’s executive leadership.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w:t>
      </w:r>
    </w:p>
    <w:p>
      <w:pPr>
        <w:spacing w:after="0" w:line="153" w:lineRule="exact"/>
        <w:rPr>
          <w:sz w:val="20"/>
          <w:szCs w:val="20"/>
          <w:color w:val="auto"/>
        </w:rPr>
      </w:pPr>
    </w:p>
    <w:p>
      <w:pPr>
        <w:ind w:left="20"/>
        <w:spacing w:after="0" w:line="236"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uncertainties, and other important factors,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proxy statement may not occur and actual results could differ materially from those anticipated or implied in the forward-looking statements. These risks and uncertainties include risks related to our chief executive officer search process and our ability to manage the transition to a new chief executive officer; our chief financial officer search process, and our ability to manage the transition to a new chief financial officer and other management; our ability to drive future growth or manage our growth effectively; the highly competitive and rapidly changing nature of the global fashion industry; risks related to the macroeconomic environment, including war in the Middle East and fuel surcharges; changes in global trade policies, tariffs, and other measures that could restrict international trade; our ability to cost-effectively grow our customer base; any failure to attract or retain customers; our ability to accurately forecast customer demand, acquire and manage our offerings effectively and plan for future expenses; risks arising from the restructuring of our operations; our reliance on the effective operation of proprietary technology systems and software as well as those of third-party vendors and service providers; risks related to shipping, logistics and our supply chain; risks related to AI technology; our failure to realize all of the anticipated benefits of the recapitalization transactions, or that those benefits may be short-lived or insufficient for our future needs; failure to manage the transition of our Board of Directors; our failure to comply with the covenants under our credit agreement; our ability to remediate our material weaknesses in our internal control over financial reporting; our ability to comply with laws and regulations applicable to our business; our reliance on the experience and expertise of our senior management and other key personnel; our ability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to provide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risks related to our debt; our noncompliance with Nasdaq Marketplace Rule 5606(c)(2)(A), which requires listed companies to have at least three audit committee members; and risks related to our Class A capital stock and ownership structure.</w:t>
      </w:r>
    </w:p>
    <w:p>
      <w:pPr>
        <w:spacing w:after="0" w:line="142"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Additional information regarding these and other risks, uncertainties and other important factors that could cause actual results to differ materially from the Company’s expectations is included in our Annual Report on Form 10-K for the year ended January 31, 2026, as may be updated from time to time in our filings with the SEC. Except as required by law, we do not undertake any obligation to publicly update or revise any forward-looking statement, whether as a result of new information, future developments, or otherwise.</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A</w:t>
      </w:r>
    </w:p>
    <w:p>
      <w:pPr>
        <w:spacing w:after="0" w:line="212"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This proxy statement contains the non-GAAP financial measures, Adjusted EBITDA, and Adjusted EBITDA margin. In addition to our results determined in accordance with GAAP, we believe that Adjusted EBITDA and Adjusted EBITDA margin are useful in evaluating our performance. Adjusted EBITDA is a key performance measure used by management to assess our operating performance and the operating leverage of our business prior to capital expenditures. These non-GAAP financial metrics are not meant to be considered as an indicator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proxy statement.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59" w:lineRule="exact"/>
        <w:rPr>
          <w:sz w:val="20"/>
          <w:szCs w:val="20"/>
          <w:color w:val="auto"/>
        </w:rPr>
      </w:pPr>
    </w:p>
    <w:p>
      <w:pPr>
        <w:ind w:left="20" w:right="160"/>
        <w:spacing w:after="0" w:line="244" w:lineRule="auto"/>
        <w:rPr>
          <w:sz w:val="20"/>
          <w:szCs w:val="20"/>
          <w:color w:val="auto"/>
        </w:rPr>
      </w:pPr>
      <w:r>
        <w:rPr>
          <w:rFonts w:ascii="Arial" w:cs="Arial" w:eastAsia="Arial" w:hAnsi="Arial"/>
          <w:sz w:val="18"/>
          <w:szCs w:val="18"/>
          <w:color w:val="auto"/>
        </w:rPr>
        <w:t>We define Adjusted EBITDA as net income (loss), adjusted to exclude interest expense, rental product depreciation, other depreciation and amortization, share-based compensation expense, write-off of liquidated assets, non-recurring adjustments, non-ordinary course legal fees, restructuring charges, Gain on Debt Restructuring, income tax (benefit) expense, other income and expense, and other gains / losses. Adjusted EBITDA margin is defined as Adjusted EBITDA calculated as a percentage of total revenue, net for a period.</w:t>
      </w:r>
    </w:p>
    <w:p>
      <w:pPr>
        <w:spacing w:after="0" w:line="136" w:lineRule="exact"/>
        <w:rPr>
          <w:sz w:val="20"/>
          <w:szCs w:val="20"/>
          <w:color w:val="auto"/>
        </w:rPr>
      </w:pPr>
    </w:p>
    <w:p>
      <w:pPr>
        <w:ind w:left="20" w:right="140"/>
        <w:spacing w:after="0" w:line="247" w:lineRule="auto"/>
        <w:rPr>
          <w:sz w:val="20"/>
          <w:szCs w:val="20"/>
          <w:color w:val="auto"/>
        </w:rPr>
      </w:pPr>
      <w:r>
        <w:rPr>
          <w:rFonts w:ascii="Arial" w:cs="Arial" w:eastAsia="Arial" w:hAnsi="Arial"/>
          <w:sz w:val="18"/>
          <w:szCs w:val="18"/>
          <w:color w:val="auto"/>
        </w:rPr>
        <w:t>The reconciliation of the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340"/>
        <w:spacing w:after="0" w:line="271" w:lineRule="auto"/>
        <w:rPr>
          <w:sz w:val="20"/>
          <w:szCs w:val="20"/>
          <w:color w:val="auto"/>
        </w:rPr>
      </w:pPr>
      <w:r>
        <w:rPr>
          <w:rFonts w:ascii="Arial" w:cs="Arial" w:eastAsia="Arial" w:hAnsi="Arial"/>
          <w:sz w:val="18"/>
          <w:szCs w:val="18"/>
          <w:color w:val="auto"/>
        </w:rPr>
        <w:t>The following table presents a reconciliation of net income (loss), the most comparable GAAP financial measure, to Adjusted EBITDA for the periods presented.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20" w:type="dxa"/>
            <w:vAlign w:val="bottom"/>
            <w:shd w:val="clear" w:color="auto" w:fill="FFE8F5"/>
          </w:tcPr>
          <w:p>
            <w:pPr>
              <w:spacing w:after="0"/>
              <w:rPr>
                <w:sz w:val="22"/>
                <w:szCs w:val="22"/>
                <w:color w:val="auto"/>
              </w:rPr>
            </w:pPr>
          </w:p>
        </w:tc>
        <w:tc>
          <w:tcPr>
            <w:tcW w:w="6040" w:type="dxa"/>
            <w:vAlign w:val="bottom"/>
            <w:vMerge w:val="restart"/>
            <w:shd w:val="clear" w:color="auto" w:fill="FFE8F5"/>
          </w:tcPr>
          <w:p>
            <w:pPr>
              <w:ind w:left="30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FFE8F5"/>
          </w:tcPr>
          <w:p>
            <w:pPr>
              <w:spacing w:after="0"/>
              <w:rPr>
                <w:sz w:val="22"/>
                <w:szCs w:val="22"/>
                <w:color w:val="auto"/>
              </w:rPr>
            </w:pPr>
          </w:p>
        </w:tc>
        <w:tc>
          <w:tcPr>
            <w:tcW w:w="3240" w:type="dxa"/>
            <w:vAlign w:val="bottom"/>
            <w:gridSpan w:val="2"/>
            <w:shd w:val="clear" w:color="auto" w:fill="FFE8F5"/>
          </w:tcPr>
          <w:p>
            <w:pPr>
              <w:jc w:val="right"/>
              <w:ind w:right="688"/>
              <w:spacing w:after="0"/>
              <w:rPr>
                <w:sz w:val="20"/>
                <w:szCs w:val="20"/>
                <w:color w:val="auto"/>
              </w:rPr>
            </w:pPr>
            <w:r>
              <w:rPr>
                <w:rFonts w:ascii="Arial" w:cs="Arial" w:eastAsia="Arial" w:hAnsi="Arial"/>
                <w:sz w:val="14"/>
                <w:szCs w:val="14"/>
                <w:b w:val="1"/>
                <w:bCs w:val="1"/>
                <w:color w:val="auto"/>
              </w:rPr>
              <w:t>Years Ended January 31,</w:t>
            </w:r>
          </w:p>
        </w:tc>
        <w:tc>
          <w:tcPr>
            <w:tcW w:w="0" w:type="dxa"/>
            <w:vAlign w:val="bottom"/>
          </w:tcPr>
          <w:p>
            <w:pPr>
              <w:spacing w:after="0"/>
              <w:rPr>
                <w:sz w:val="1"/>
                <w:szCs w:val="1"/>
                <w:color w:val="auto"/>
              </w:rPr>
            </w:pPr>
          </w:p>
        </w:tc>
      </w:tr>
      <w:tr>
        <w:trPr>
          <w:trHeight w:val="115"/>
        </w:trPr>
        <w:tc>
          <w:tcPr>
            <w:tcW w:w="120" w:type="dxa"/>
            <w:vAlign w:val="bottom"/>
            <w:shd w:val="clear" w:color="auto" w:fill="FFE8F5"/>
          </w:tcPr>
          <w:p>
            <w:pPr>
              <w:spacing w:after="0"/>
              <w:rPr>
                <w:sz w:val="10"/>
                <w:szCs w:val="10"/>
                <w:color w:val="auto"/>
              </w:rPr>
            </w:pPr>
          </w:p>
        </w:tc>
        <w:tc>
          <w:tcPr>
            <w:tcW w:w="6040" w:type="dxa"/>
            <w:vAlign w:val="bottom"/>
            <w:vMerge w:val="continue"/>
            <w:shd w:val="clear" w:color="auto" w:fill="FFE8F5"/>
          </w:tcPr>
          <w:p>
            <w:pPr>
              <w:spacing w:after="0"/>
              <w:rPr>
                <w:sz w:val="10"/>
                <w:szCs w:val="10"/>
                <w:color w:val="auto"/>
              </w:rPr>
            </w:pPr>
          </w:p>
        </w:tc>
        <w:tc>
          <w:tcPr>
            <w:tcW w:w="100" w:type="dxa"/>
            <w:vAlign w:val="bottom"/>
            <w:shd w:val="clear" w:color="auto" w:fill="FFE8F5"/>
          </w:tcPr>
          <w:p>
            <w:pPr>
              <w:spacing w:after="0"/>
              <w:rPr>
                <w:sz w:val="10"/>
                <w:szCs w:val="10"/>
                <w:color w:val="auto"/>
              </w:rPr>
            </w:pPr>
          </w:p>
        </w:tc>
        <w:tc>
          <w:tcPr>
            <w:tcW w:w="2160" w:type="dxa"/>
            <w:vAlign w:val="bottom"/>
            <w:vMerge w:val="restart"/>
            <w:shd w:val="clear" w:color="auto" w:fill="FFE8F5"/>
          </w:tcPr>
          <w:p>
            <w:pPr>
              <w:jc w:val="right"/>
              <w:ind w:right="4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FFE8F5"/>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20" w:type="dxa"/>
            <w:vAlign w:val="bottom"/>
            <w:shd w:val="clear" w:color="auto" w:fill="FFE8F5"/>
          </w:tcPr>
          <w:p>
            <w:pPr>
              <w:spacing w:after="0"/>
              <w:rPr>
                <w:sz w:val="7"/>
                <w:szCs w:val="7"/>
                <w:color w:val="auto"/>
              </w:rPr>
            </w:pPr>
          </w:p>
        </w:tc>
        <w:tc>
          <w:tcPr>
            <w:tcW w:w="6040" w:type="dxa"/>
            <w:vAlign w:val="bottom"/>
            <w:shd w:val="clear" w:color="auto" w:fill="FFE8F5"/>
          </w:tcPr>
          <w:p>
            <w:pPr>
              <w:spacing w:after="0"/>
              <w:rPr>
                <w:sz w:val="7"/>
                <w:szCs w:val="7"/>
                <w:color w:val="auto"/>
              </w:rPr>
            </w:pPr>
          </w:p>
        </w:tc>
        <w:tc>
          <w:tcPr>
            <w:tcW w:w="100" w:type="dxa"/>
            <w:vAlign w:val="bottom"/>
            <w:shd w:val="clear" w:color="auto" w:fill="FFE8F5"/>
          </w:tcPr>
          <w:p>
            <w:pPr>
              <w:spacing w:after="0"/>
              <w:rPr>
                <w:sz w:val="7"/>
                <w:szCs w:val="7"/>
                <w:color w:val="auto"/>
              </w:rPr>
            </w:pPr>
          </w:p>
        </w:tc>
        <w:tc>
          <w:tcPr>
            <w:tcW w:w="2160" w:type="dxa"/>
            <w:vAlign w:val="bottom"/>
            <w:vMerge w:val="continue"/>
            <w:shd w:val="clear" w:color="auto" w:fill="FFE8F5"/>
          </w:tcPr>
          <w:p>
            <w:pPr>
              <w:spacing w:after="0"/>
              <w:rPr>
                <w:sz w:val="7"/>
                <w:szCs w:val="7"/>
                <w:color w:val="auto"/>
              </w:rPr>
            </w:pPr>
          </w:p>
        </w:tc>
        <w:tc>
          <w:tcPr>
            <w:tcW w:w="1080" w:type="dxa"/>
            <w:vAlign w:val="bottom"/>
            <w:shd w:val="clear" w:color="auto" w:fill="FFE8F5"/>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20" w:type="dxa"/>
            <w:vAlign w:val="bottom"/>
            <w:tcBorders>
              <w:bottom w:val="single" w:sz="8" w:color="FFE8F5"/>
            </w:tcBorders>
            <w:shd w:val="clear" w:color="auto" w:fill="FFE8F5"/>
          </w:tcPr>
          <w:p>
            <w:pPr>
              <w:spacing w:after="0"/>
              <w:rPr>
                <w:sz w:val="6"/>
                <w:szCs w:val="6"/>
                <w:color w:val="auto"/>
              </w:rPr>
            </w:pPr>
          </w:p>
        </w:tc>
        <w:tc>
          <w:tcPr>
            <w:tcW w:w="6040" w:type="dxa"/>
            <w:vAlign w:val="bottom"/>
            <w:tcBorders>
              <w:bottom w:val="single" w:sz="8" w:color="FFE8F5"/>
            </w:tcBorders>
            <w:shd w:val="clear" w:color="auto" w:fill="FFE8F5"/>
          </w:tcPr>
          <w:p>
            <w:pPr>
              <w:spacing w:after="0"/>
              <w:rPr>
                <w:sz w:val="6"/>
                <w:szCs w:val="6"/>
                <w:color w:val="auto"/>
              </w:rPr>
            </w:pPr>
          </w:p>
        </w:tc>
        <w:tc>
          <w:tcPr>
            <w:tcW w:w="100" w:type="dxa"/>
            <w:vAlign w:val="bottom"/>
            <w:tcBorders>
              <w:bottom w:val="single" w:sz="8" w:color="FFE8F5"/>
            </w:tcBorders>
            <w:shd w:val="clear" w:color="auto" w:fill="FFE8F5"/>
          </w:tcPr>
          <w:p>
            <w:pPr>
              <w:spacing w:after="0"/>
              <w:rPr>
                <w:sz w:val="6"/>
                <w:szCs w:val="6"/>
                <w:color w:val="auto"/>
              </w:rPr>
            </w:pPr>
          </w:p>
        </w:tc>
        <w:tc>
          <w:tcPr>
            <w:tcW w:w="2160" w:type="dxa"/>
            <w:vAlign w:val="bottom"/>
            <w:tcBorders>
              <w:bottom w:val="single" w:sz="8" w:color="auto"/>
            </w:tcBorders>
            <w:shd w:val="clear" w:color="auto" w:fill="FFE8F5"/>
          </w:tcPr>
          <w:p>
            <w:pPr>
              <w:spacing w:after="0"/>
              <w:rPr>
                <w:sz w:val="6"/>
                <w:szCs w:val="6"/>
                <w:color w:val="auto"/>
              </w:rPr>
            </w:pPr>
          </w:p>
        </w:tc>
        <w:tc>
          <w:tcPr>
            <w:tcW w:w="1080" w:type="dxa"/>
            <w:vAlign w:val="bottom"/>
            <w:tcBorders>
              <w:bottom w:val="single" w:sz="8" w:color="auto"/>
            </w:tcBorders>
            <w:shd w:val="clear" w:color="auto" w:fill="FFE8F5"/>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20" w:type="dxa"/>
            <w:vAlign w:val="bottom"/>
            <w:shd w:val="clear" w:color="auto" w:fill="FFE8F5"/>
          </w:tcPr>
          <w:p>
            <w:pPr>
              <w:spacing w:after="0"/>
              <w:rPr>
                <w:sz w:val="23"/>
                <w:szCs w:val="23"/>
                <w:color w:val="auto"/>
              </w:rPr>
            </w:pPr>
          </w:p>
        </w:tc>
        <w:tc>
          <w:tcPr>
            <w:tcW w:w="6040" w:type="dxa"/>
            <w:vAlign w:val="bottom"/>
            <w:shd w:val="clear" w:color="auto" w:fill="FFE8F5"/>
          </w:tcPr>
          <w:p>
            <w:pPr>
              <w:ind w:left="30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FFE8F5"/>
          </w:tcPr>
          <w:p>
            <w:pPr>
              <w:spacing w:after="0"/>
              <w:rPr>
                <w:sz w:val="23"/>
                <w:szCs w:val="23"/>
                <w:color w:val="auto"/>
              </w:rPr>
            </w:pPr>
          </w:p>
        </w:tc>
        <w:tc>
          <w:tcPr>
            <w:tcW w:w="2160" w:type="dxa"/>
            <w:vAlign w:val="bottom"/>
            <w:shd w:val="clear" w:color="auto" w:fill="FFE8F5"/>
          </w:tcPr>
          <w:p>
            <w:pPr>
              <w:jc w:val="right"/>
              <w:ind w:right="1108"/>
              <w:spacing w:after="0"/>
              <w:rPr>
                <w:sz w:val="20"/>
                <w:szCs w:val="20"/>
                <w:color w:val="auto"/>
              </w:rPr>
            </w:pPr>
            <w:r>
              <w:rPr>
                <w:rFonts w:ascii="Arial" w:cs="Arial" w:eastAsia="Arial" w:hAnsi="Arial"/>
                <w:sz w:val="14"/>
                <w:szCs w:val="14"/>
                <w:b w:val="1"/>
                <w:bCs w:val="1"/>
                <w:color w:val="auto"/>
              </w:rPr>
              <w:t>2026</w:t>
            </w:r>
          </w:p>
        </w:tc>
        <w:tc>
          <w:tcPr>
            <w:tcW w:w="1080" w:type="dxa"/>
            <w:vAlign w:val="bottom"/>
            <w:shd w:val="clear" w:color="auto" w:fill="FFE8F5"/>
          </w:tcPr>
          <w:p>
            <w:pPr>
              <w:jc w:val="right"/>
              <w:ind w:right="56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70"/>
        </w:trPr>
        <w:tc>
          <w:tcPr>
            <w:tcW w:w="120" w:type="dxa"/>
            <w:vAlign w:val="bottom"/>
            <w:tcBorders>
              <w:bottom w:val="single" w:sz="8" w:color="FFE8F5"/>
            </w:tcBorders>
            <w:shd w:val="clear" w:color="auto" w:fill="FFE8F5"/>
          </w:tcPr>
          <w:p>
            <w:pPr>
              <w:spacing w:after="0"/>
              <w:rPr>
                <w:sz w:val="6"/>
                <w:szCs w:val="6"/>
                <w:color w:val="auto"/>
              </w:rPr>
            </w:pPr>
          </w:p>
        </w:tc>
        <w:tc>
          <w:tcPr>
            <w:tcW w:w="6040" w:type="dxa"/>
            <w:vAlign w:val="bottom"/>
            <w:tcBorders>
              <w:bottom w:val="single" w:sz="8" w:color="FFE8F5"/>
            </w:tcBorders>
            <w:shd w:val="clear" w:color="auto" w:fill="FFE8F5"/>
          </w:tcPr>
          <w:p>
            <w:pPr>
              <w:spacing w:after="0"/>
              <w:rPr>
                <w:sz w:val="6"/>
                <w:szCs w:val="6"/>
                <w:color w:val="auto"/>
              </w:rPr>
            </w:pPr>
          </w:p>
        </w:tc>
        <w:tc>
          <w:tcPr>
            <w:tcW w:w="100" w:type="dxa"/>
            <w:vAlign w:val="bottom"/>
            <w:tcBorders>
              <w:bottom w:val="single" w:sz="8" w:color="FFE8F5"/>
            </w:tcBorders>
            <w:shd w:val="clear" w:color="auto" w:fill="FFE8F5"/>
          </w:tcPr>
          <w:p>
            <w:pPr>
              <w:spacing w:after="0"/>
              <w:rPr>
                <w:sz w:val="6"/>
                <w:szCs w:val="6"/>
                <w:color w:val="auto"/>
              </w:rPr>
            </w:pPr>
          </w:p>
        </w:tc>
        <w:tc>
          <w:tcPr>
            <w:tcW w:w="2160" w:type="dxa"/>
            <w:vAlign w:val="bottom"/>
            <w:tcBorders>
              <w:bottom w:val="single" w:sz="8" w:color="auto"/>
            </w:tcBorders>
            <w:shd w:val="clear" w:color="auto" w:fill="FFE8F5"/>
          </w:tcPr>
          <w:p>
            <w:pPr>
              <w:spacing w:after="0"/>
              <w:rPr>
                <w:sz w:val="6"/>
                <w:szCs w:val="6"/>
                <w:color w:val="auto"/>
              </w:rPr>
            </w:pPr>
          </w:p>
        </w:tc>
        <w:tc>
          <w:tcPr>
            <w:tcW w:w="1080" w:type="dxa"/>
            <w:vAlign w:val="bottom"/>
            <w:tcBorders>
              <w:bottom w:val="single" w:sz="8" w:color="auto"/>
            </w:tcBorders>
            <w:shd w:val="clear" w:color="auto" w:fill="FFE8F5"/>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20" w:type="dxa"/>
            <w:vAlign w:val="bottom"/>
            <w:shd w:val="clear" w:color="auto" w:fill="FFE8F5"/>
          </w:tcPr>
          <w:p>
            <w:pPr>
              <w:spacing w:after="0"/>
              <w:rPr>
                <w:sz w:val="23"/>
                <w:szCs w:val="23"/>
                <w:color w:val="auto"/>
              </w:rPr>
            </w:pPr>
          </w:p>
        </w:tc>
        <w:tc>
          <w:tcPr>
            <w:tcW w:w="6040" w:type="dxa"/>
            <w:vAlign w:val="bottom"/>
            <w:shd w:val="clear" w:color="auto" w:fill="FFE8F5"/>
          </w:tcPr>
          <w:p>
            <w:pPr>
              <w:spacing w:after="0"/>
              <w:rPr>
                <w:sz w:val="23"/>
                <w:szCs w:val="23"/>
                <w:color w:val="auto"/>
              </w:rPr>
            </w:pPr>
          </w:p>
        </w:tc>
        <w:tc>
          <w:tcPr>
            <w:tcW w:w="100" w:type="dxa"/>
            <w:vAlign w:val="bottom"/>
            <w:shd w:val="clear" w:color="auto" w:fill="FFE8F5"/>
          </w:tcPr>
          <w:p>
            <w:pPr>
              <w:spacing w:after="0"/>
              <w:rPr>
                <w:sz w:val="23"/>
                <w:szCs w:val="23"/>
                <w:color w:val="auto"/>
              </w:rPr>
            </w:pPr>
          </w:p>
        </w:tc>
        <w:tc>
          <w:tcPr>
            <w:tcW w:w="2160" w:type="dxa"/>
            <w:vAlign w:val="bottom"/>
            <w:shd w:val="clear" w:color="auto" w:fill="FFE8F5"/>
          </w:tcPr>
          <w:p>
            <w:pPr>
              <w:jc w:val="right"/>
              <w:ind w:right="68"/>
              <w:spacing w:after="0"/>
              <w:rPr>
                <w:sz w:val="20"/>
                <w:szCs w:val="20"/>
                <w:color w:val="auto"/>
              </w:rPr>
            </w:pPr>
            <w:r>
              <w:rPr>
                <w:rFonts w:ascii="Arial" w:cs="Arial" w:eastAsia="Arial" w:hAnsi="Arial"/>
                <w:sz w:val="14"/>
                <w:szCs w:val="14"/>
                <w:b w:val="1"/>
                <w:bCs w:val="1"/>
                <w:color w:val="auto"/>
              </w:rPr>
              <w:t>(in​ millions)</w:t>
            </w:r>
          </w:p>
        </w:tc>
        <w:tc>
          <w:tcPr>
            <w:tcW w:w="1080" w:type="dxa"/>
            <w:vAlign w:val="bottom"/>
            <w:shd w:val="clear" w:color="auto" w:fill="FFE8F5"/>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120" w:type="dxa"/>
            <w:vAlign w:val="bottom"/>
            <w:tcBorders>
              <w:bottom w:val="single" w:sz="8" w:color="auto"/>
            </w:tcBorders>
            <w:shd w:val="clear" w:color="auto" w:fill="FFE8F5"/>
          </w:tcPr>
          <w:p>
            <w:pPr>
              <w:spacing w:after="0"/>
              <w:rPr>
                <w:sz w:val="6"/>
                <w:szCs w:val="6"/>
                <w:color w:val="auto"/>
              </w:rPr>
            </w:pPr>
          </w:p>
        </w:tc>
        <w:tc>
          <w:tcPr>
            <w:tcW w:w="6040" w:type="dxa"/>
            <w:vAlign w:val="bottom"/>
            <w:tcBorders>
              <w:bottom w:val="single" w:sz="8" w:color="auto"/>
            </w:tcBorders>
            <w:shd w:val="clear" w:color="auto" w:fill="FFE8F5"/>
          </w:tcPr>
          <w:p>
            <w:pPr>
              <w:spacing w:after="0"/>
              <w:rPr>
                <w:sz w:val="6"/>
                <w:szCs w:val="6"/>
                <w:color w:val="auto"/>
              </w:rPr>
            </w:pPr>
          </w:p>
        </w:tc>
        <w:tc>
          <w:tcPr>
            <w:tcW w:w="100" w:type="dxa"/>
            <w:vAlign w:val="bottom"/>
            <w:tcBorders>
              <w:bottom w:val="single" w:sz="8" w:color="auto"/>
            </w:tcBorders>
            <w:shd w:val="clear" w:color="auto" w:fill="FFE8F5"/>
          </w:tcPr>
          <w:p>
            <w:pPr>
              <w:spacing w:after="0"/>
              <w:rPr>
                <w:sz w:val="6"/>
                <w:szCs w:val="6"/>
                <w:color w:val="auto"/>
              </w:rPr>
            </w:pPr>
          </w:p>
        </w:tc>
        <w:tc>
          <w:tcPr>
            <w:tcW w:w="2160" w:type="dxa"/>
            <w:vAlign w:val="bottom"/>
            <w:tcBorders>
              <w:bottom w:val="single" w:sz="8" w:color="auto"/>
            </w:tcBorders>
            <w:shd w:val="clear" w:color="auto" w:fill="FFE8F5"/>
          </w:tcPr>
          <w:p>
            <w:pPr>
              <w:spacing w:after="0"/>
              <w:rPr>
                <w:sz w:val="6"/>
                <w:szCs w:val="6"/>
                <w:color w:val="auto"/>
              </w:rPr>
            </w:pPr>
          </w:p>
        </w:tc>
        <w:tc>
          <w:tcPr>
            <w:tcW w:w="1080" w:type="dxa"/>
            <w:vAlign w:val="bottom"/>
            <w:tcBorders>
              <w:bottom w:val="single" w:sz="8" w:color="auto"/>
            </w:tcBorders>
            <w:shd w:val="clear" w:color="auto" w:fill="FFE8F5"/>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20" w:type="dxa"/>
            <w:vAlign w:val="bottom"/>
          </w:tcPr>
          <w:p>
            <w:pPr>
              <w:spacing w:after="0"/>
              <w:rPr>
                <w:sz w:val="23"/>
                <w:szCs w:val="23"/>
                <w:color w:val="auto"/>
              </w:rPr>
            </w:pPr>
          </w:p>
        </w:tc>
        <w:tc>
          <w:tcPr>
            <w:tcW w:w="6140" w:type="dxa"/>
            <w:vAlign w:val="bottom"/>
            <w:gridSpan w:val="2"/>
          </w:tcPr>
          <w:p>
            <w:pPr>
              <w:ind w:left="40"/>
              <w:spacing w:after="0"/>
              <w:rPr>
                <w:sz w:val="20"/>
                <w:szCs w:val="20"/>
                <w:color w:val="auto"/>
              </w:rPr>
            </w:pPr>
            <w:r>
              <w:rPr>
                <w:rFonts w:ascii="Arial" w:cs="Arial" w:eastAsia="Arial" w:hAnsi="Arial"/>
                <w:sz w:val="14"/>
                <w:szCs w:val="14"/>
                <w:color w:val="auto"/>
              </w:rPr>
              <w:t>Net​ income (loss)</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$22.6</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6140" w:type="dxa"/>
            <w:vAlign w:val="bottom"/>
            <w:tcBorders>
              <w:bottom w:val="single" w:sz="8" w:color="auto"/>
            </w:tcBorders>
            <w:gridSpan w:val="2"/>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Interest (income) / expense, net</w:t>
            </w:r>
            <w:r>
              <w:rPr>
                <w:rFonts w:ascii="Arial" w:cs="Arial" w:eastAsia="Arial" w:hAnsi="Arial"/>
                <w:sz w:val="23"/>
                <w:szCs w:val="23"/>
                <w:color w:val="auto"/>
                <w:vertAlign w:val="superscript"/>
              </w:rPr>
              <w:t>(1)</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20.3</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6140" w:type="dxa"/>
            <w:vAlign w:val="bottom"/>
            <w:gridSpan w:val="2"/>
          </w:tcPr>
          <w:p>
            <w:pPr>
              <w:ind w:left="40"/>
              <w:spacing w:after="0"/>
              <w:rPr>
                <w:sz w:val="20"/>
                <w:szCs w:val="20"/>
                <w:color w:val="auto"/>
              </w:rPr>
            </w:pPr>
            <w:r>
              <w:rPr>
                <w:rFonts w:ascii="Arial" w:cs="Arial" w:eastAsia="Arial" w:hAnsi="Arial"/>
                <w:sz w:val="14"/>
                <w:szCs w:val="14"/>
                <w:color w:val="auto"/>
              </w:rPr>
              <w:t>Rental product depreciation</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59.9</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6140" w:type="dxa"/>
            <w:vAlign w:val="bottom"/>
            <w:tcBorders>
              <w:bottom w:val="single" w:sz="8" w:color="auto"/>
            </w:tcBorders>
            <w:gridSpan w:val="2"/>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Other depreciation and amortization</w:t>
            </w:r>
            <w:r>
              <w:rPr>
                <w:rFonts w:ascii="Arial" w:cs="Arial" w:eastAsia="Arial" w:hAnsi="Arial"/>
                <w:sz w:val="23"/>
                <w:szCs w:val="23"/>
                <w:color w:val="auto"/>
                <w:vertAlign w:val="superscript"/>
              </w:rPr>
              <w:t>(2)</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9.9</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Share-based compensation</w:t>
            </w:r>
            <w:r>
              <w:rPr>
                <w:rFonts w:ascii="Arial" w:cs="Arial" w:eastAsia="Arial" w:hAnsi="Arial"/>
                <w:sz w:val="23"/>
                <w:szCs w:val="23"/>
                <w:color w:val="auto"/>
                <w:vertAlign w:val="superscript"/>
              </w:rPr>
              <w:t>(3)</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4.2</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Write-off of liquidated assets</w:t>
            </w:r>
            <w:r>
              <w:rPr>
                <w:rFonts w:ascii="Arial" w:cs="Arial" w:eastAsia="Arial" w:hAnsi="Arial"/>
                <w:sz w:val="23"/>
                <w:szCs w:val="23"/>
                <w:color w:val="auto"/>
                <w:vertAlign w:val="superscript"/>
              </w:rPr>
              <w:t>(4)</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2.3</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Non-recurring adjustments</w:t>
            </w:r>
            <w:r>
              <w:rPr>
                <w:rFonts w:ascii="Arial" w:cs="Arial" w:eastAsia="Arial" w:hAnsi="Arial"/>
                <w:sz w:val="23"/>
                <w:szCs w:val="23"/>
                <w:color w:val="auto"/>
                <w:vertAlign w:val="superscript"/>
              </w:rPr>
              <w:t>(5)</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0.5</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Non-ordinary course legal fees</w:t>
            </w:r>
            <w:r>
              <w:rPr>
                <w:rFonts w:ascii="Arial" w:cs="Arial" w:eastAsia="Arial" w:hAnsi="Arial"/>
                <w:sz w:val="23"/>
                <w:szCs w:val="23"/>
                <w:color w:val="auto"/>
                <w:vertAlign w:val="superscript"/>
              </w:rPr>
              <w:t>(6)</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6.0</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Restructuring charges</w:t>
            </w:r>
            <w:r>
              <w:rPr>
                <w:rFonts w:ascii="Arial" w:cs="Arial" w:eastAsia="Arial" w:hAnsi="Arial"/>
                <w:sz w:val="23"/>
                <w:szCs w:val="23"/>
                <w:color w:val="auto"/>
                <w:vertAlign w:val="superscript"/>
              </w:rPr>
              <w:t>(7)</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Gain on Debt Restructuring</w:t>
            </w:r>
            <w:r>
              <w:rPr>
                <w:rFonts w:ascii="Arial" w:cs="Arial" w:eastAsia="Arial" w:hAnsi="Arial"/>
                <w:sz w:val="23"/>
                <w:szCs w:val="23"/>
                <w:color w:val="auto"/>
                <w:vertAlign w:val="superscript"/>
              </w:rPr>
              <w:t>(8)</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(96.3)</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6140" w:type="dxa"/>
            <w:vAlign w:val="bottom"/>
            <w:gridSpan w:val="2"/>
          </w:tcPr>
          <w:p>
            <w:pPr>
              <w:ind w:left="40"/>
              <w:spacing w:after="0"/>
              <w:rPr>
                <w:sz w:val="20"/>
                <w:szCs w:val="20"/>
                <w:color w:val="auto"/>
              </w:rPr>
            </w:pPr>
            <w:r>
              <w:rPr>
                <w:rFonts w:ascii="Arial" w:cs="Arial" w:eastAsia="Arial" w:hAnsi="Arial"/>
                <w:sz w:val="14"/>
                <w:szCs w:val="14"/>
                <w:color w:val="auto"/>
              </w:rPr>
              <w:t>Income tax (benefit) / expense</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0.1</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6140" w:type="dxa"/>
            <w:vAlign w:val="bottom"/>
            <w:tcBorders>
              <w:bottom w:val="single" w:sz="8" w:color="auto"/>
            </w:tcBorders>
            <w:gridSpan w:val="2"/>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Other (income) / expense, net</w:t>
            </w:r>
            <w:r>
              <w:rPr>
                <w:rFonts w:ascii="Arial" w:cs="Arial" w:eastAsia="Arial" w:hAnsi="Arial"/>
                <w:sz w:val="23"/>
                <w:szCs w:val="23"/>
                <w:color w:val="auto"/>
                <w:vertAlign w:val="superscript"/>
              </w:rPr>
              <w:t>(9)</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(4.2)</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Other (gains) / losses</w:t>
            </w:r>
            <w:r>
              <w:rPr>
                <w:rFonts w:ascii="Arial" w:cs="Arial" w:eastAsia="Arial" w:hAnsi="Arial"/>
                <w:sz w:val="23"/>
                <w:szCs w:val="23"/>
                <w:color w:val="auto"/>
                <w:vertAlign w:val="superscript"/>
              </w:rPr>
              <w:t>(10)</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(0.4)</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6140" w:type="dxa"/>
            <w:vAlign w:val="bottom"/>
            <w:gridSpan w:val="2"/>
          </w:tcPr>
          <w:p>
            <w:pPr>
              <w:ind w:left="40"/>
              <w:spacing w:after="0"/>
              <w:rPr>
                <w:sz w:val="20"/>
                <w:szCs w:val="20"/>
                <w:color w:val="auto"/>
              </w:rPr>
            </w:pPr>
            <w:r>
              <w:rPr>
                <w:rFonts w:ascii="Arial" w:cs="Arial" w:eastAsia="Arial" w:hAnsi="Arial"/>
                <w:sz w:val="14"/>
                <w:szCs w:val="14"/>
                <w:color w:val="auto"/>
              </w:rPr>
              <w:t>Adjusted EBITDA</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$24.9</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6140" w:type="dxa"/>
            <w:vAlign w:val="bottom"/>
            <w:tcBorders>
              <w:bottom w:val="single" w:sz="8" w:color="auto"/>
            </w:tcBorders>
            <w:gridSpan w:val="2"/>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6140" w:type="dxa"/>
            <w:vAlign w:val="bottom"/>
            <w:gridSpan w:val="2"/>
          </w:tcPr>
          <w:p>
            <w:pPr>
              <w:ind w:left="40"/>
              <w:spacing w:after="0"/>
              <w:rPr>
                <w:sz w:val="20"/>
                <w:szCs w:val="20"/>
                <w:color w:val="auto"/>
              </w:rPr>
            </w:pPr>
            <w:r>
              <w:rPr>
                <w:rFonts w:ascii="Arial" w:cs="Arial" w:eastAsia="Arial" w:hAnsi="Arial"/>
                <w:sz w:val="14"/>
                <w:szCs w:val="14"/>
                <w:color w:val="auto"/>
              </w:rPr>
              <w:t>Net Income (Loss) as a percentage of revenue</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6.9%</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6140" w:type="dxa"/>
            <w:vAlign w:val="bottom"/>
            <w:tcBorders>
              <w:bottom w:val="single" w:sz="8" w:color="auto"/>
            </w:tcBorders>
            <w:gridSpan w:val="2"/>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1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Adjusted EBITDA Margin</w:t>
            </w:r>
            <w:r>
              <w:rPr>
                <w:rFonts w:ascii="Arial" w:cs="Arial" w:eastAsia="Arial" w:hAnsi="Arial"/>
                <w:sz w:val="23"/>
                <w:szCs w:val="23"/>
                <w:color w:val="auto"/>
                <w:vertAlign w:val="superscript"/>
              </w:rPr>
              <w:t>(11)</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7.6%</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80" w:hanging="359"/>
        <w:spacing w:after="0"/>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debt discount amortization of $(3.3) million in the year ended January 31, 2026 and $27.0 million in the year ended January 31, 2025.</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Reflects non-rental product depreciation and capitalized software amortization.</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Reflects the non-cash expense for share-based compensation.</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Reflects the write-off of the remaining book value of liquidated rental product that had previously been held for sale.</w:t>
      </w:r>
    </w:p>
    <w:p>
      <w:pPr>
        <w:spacing w:after="0" w:line="55" w:lineRule="exact"/>
        <w:rPr>
          <w:rFonts w:ascii="Arial" w:cs="Arial" w:eastAsia="Arial" w:hAnsi="Arial"/>
          <w:sz w:val="14"/>
          <w:szCs w:val="14"/>
          <w:color w:val="auto"/>
        </w:rPr>
      </w:pPr>
    </w:p>
    <w:p>
      <w:pPr>
        <w:ind w:left="380" w:right="180" w:hanging="359"/>
        <w:spacing w:after="0" w:line="281" w:lineRule="auto"/>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Non-recurring adjustments for the year ended January 31, 2026 includes $0.5 million of transaction related and internal controls related costs and for the year ended January 31, 2025 includes $0.1 million of costs related to one-time professional fees.</w:t>
      </w:r>
    </w:p>
    <w:p>
      <w:pPr>
        <w:spacing w:after="0" w:line="1" w:lineRule="exact"/>
        <w:rPr>
          <w:rFonts w:ascii="Arial" w:cs="Arial" w:eastAsia="Arial" w:hAnsi="Arial"/>
          <w:sz w:val="14"/>
          <w:szCs w:val="14"/>
          <w:color w:val="auto"/>
        </w:rPr>
      </w:pPr>
    </w:p>
    <w:p>
      <w:pPr>
        <w:ind w:left="380" w:right="340" w:hanging="359"/>
        <w:spacing w:after="0" w:line="281" w:lineRule="auto"/>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Non-ordinary course legal fees for the years ended January 31, 2026 and 2025 includes $6.0 million and $0.3 million, respectively, of costs related to securities lawsuits and non-recurring legal fees, including transaction related costs and a class action lawsuit.</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Reflects restructuring charges for severance and related costs in connection with the January 2024 restructuring plan.</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Reflects the gain recognized from the troubled debt restructuring from the recapitalization transactions completed in October 2025.</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other (income) expense recognized in the period.</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gains/losses recognized in relation to foreign exchange, operating lease terminations and the related surrender of fixed assets.</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Adjusted EBITDA Margin calculated as Adjusted EBITDA as a percentage of revenue.</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B-1</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IV section 4.1(b) of the Charter, marked to show changes against our current Charter:</w:t>
      </w:r>
    </w:p>
    <w:p>
      <w:pPr>
        <w:spacing w:after="0" w:line="181" w:lineRule="exact"/>
        <w:rPr>
          <w:sz w:val="20"/>
          <w:szCs w:val="20"/>
          <w:color w:val="auto"/>
        </w:rPr>
      </w:pPr>
    </w:p>
    <w:p>
      <w:pPr>
        <w:ind w:left="380" w:firstLine="1"/>
        <w:spacing w:after="0" w:line="286" w:lineRule="auto"/>
        <w:tabs>
          <w:tab w:leader="none" w:pos="635" w:val="left"/>
        </w:tabs>
        <w:numPr>
          <w:ilvl w:val="0"/>
          <w:numId w:val="4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Fifty million (50,000,000) shares of Class B common stock, with a par value of $0.001 per share (the “</w:t>
      </w:r>
      <w:r>
        <w:rPr>
          <w:rFonts w:ascii="Times New Roman" w:cs="Times New Roman" w:eastAsia="Times New Roman" w:hAnsi="Times New Roman"/>
          <w:sz w:val="18"/>
          <w:szCs w:val="18"/>
          <w:b w:val="1"/>
          <w:bCs w:val="1"/>
          <w:i w:val="1"/>
          <w:iCs w:val="1"/>
          <w:color w:val="FF0000"/>
          <w:strike w:val="1"/>
        </w:rPr>
        <w:t>Class B Common</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b w:val="1"/>
          <w:bCs w:val="1"/>
          <w:i w:val="1"/>
          <w:iCs w:val="1"/>
          <w:color w:val="FF0000"/>
          <w:strike w:val="1"/>
        </w:rPr>
        <w:t>Stock</w:t>
      </w:r>
      <w:r>
        <w:rPr>
          <w:rFonts w:ascii="Times New Roman" w:cs="Times New Roman" w:eastAsia="Times New Roman" w:hAnsi="Times New Roman"/>
          <w:sz w:val="18"/>
          <w:szCs w:val="18"/>
          <w:color w:val="FF0000"/>
          <w:strike w:val="1"/>
        </w:rPr>
        <w:t>”, and together with the Class A Common Stock, the “</w:t>
      </w:r>
      <w:r>
        <w:rPr>
          <w:rFonts w:ascii="Times New Roman" w:cs="Times New Roman" w:eastAsia="Times New Roman" w:hAnsi="Times New Roman"/>
          <w:sz w:val="18"/>
          <w:szCs w:val="18"/>
          <w:b w:val="1"/>
          <w:bCs w:val="1"/>
          <w:i w:val="1"/>
          <w:iCs w:val="1"/>
          <w:color w:val="FF0000"/>
          <w:strike w:val="1"/>
        </w:rPr>
        <w:t>Common Stock</w:t>
      </w:r>
      <w:r>
        <w:rPr>
          <w:rFonts w:ascii="Times New Roman" w:cs="Times New Roman" w:eastAsia="Times New Roman" w:hAnsi="Times New Roman"/>
          <w:sz w:val="18"/>
          <w:szCs w:val="18"/>
          <w:color w:val="FF0000"/>
          <w:strike w:val="1"/>
        </w:rPr>
        <w:t>”).</w:t>
      </w:r>
    </w:p>
    <w:p>
      <w:pPr>
        <w:spacing w:after="0" w:line="2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180" w:top="114" w:right="1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B-2</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IV section 4.1(c) of the Charter, marked to show changes against our current Charter:</w:t>
      </w:r>
    </w:p>
    <w:p>
      <w:pPr>
        <w:spacing w:after="0" w:line="221" w:lineRule="exact"/>
        <w:rPr>
          <w:sz w:val="20"/>
          <w:szCs w:val="20"/>
          <w:color w:val="auto"/>
        </w:rPr>
      </w:pPr>
    </w:p>
    <w:p>
      <w:pPr>
        <w:jc w:val="center"/>
        <w:ind w:left="4620" w:right="599" w:hanging="4239"/>
        <w:spacing w:after="0" w:line="662" w:lineRule="auto"/>
        <w:tabs>
          <w:tab w:leader="none" w:pos="625" w:val="left"/>
        </w:tabs>
        <w:numPr>
          <w:ilvl w:val="0"/>
          <w:numId w:val="4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ten million (10,000,000) shares of preferred stock, with a par value of $0.001 per share (the “</w:t>
      </w:r>
      <w:r>
        <w:rPr>
          <w:rFonts w:ascii="Times New Roman" w:cs="Times New Roman" w:eastAsia="Times New Roman" w:hAnsi="Times New Roman"/>
          <w:sz w:val="18"/>
          <w:szCs w:val="18"/>
          <w:b w:val="1"/>
          <w:bCs w:val="1"/>
          <w:i w:val="1"/>
          <w:iCs w:val="1"/>
          <w:color w:val="FF0000"/>
          <w:strike w:val="1"/>
        </w:rPr>
        <w:t>Preferred Stock</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-84455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79"/>
          </w:cols>
          <w:pgMar w:left="1180" w:top="114"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B-3</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V of the Charter, marked to show changes against our current Charter:</w:t>
      </w:r>
    </w:p>
    <w:p>
      <w:pPr>
        <w:spacing w:after="0" w:line="185"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auto"/>
        </w:rPr>
        <w:t>Subject to any additional vote required by this Certificate of Incorporation, in furtherance and not in limitation of the powers conferred upon it by statute, the Board of Directors is expressly authorized to adopt, repeal, alter, amend or rescind the Bylaws of the Corporation (as may be amended and/or restated from time to time,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xml:space="preserve">”). The affirmative vote of at least a majority of the Whole Board of Directors shall be required in order for the Board of Directors to adopt, repeal, alter, amend or rescind the Bylaws. The stockholders shall also have power to adopt, repeal, alter, amend or rescind the Bylaws. In addition to any other vote of the holders of any class or series of stock of the Corporation required by applicable law or by this Certificate of Incorporation, </w:t>
      </w:r>
      <w:r>
        <w:rPr>
          <w:rFonts w:ascii="Times New Roman" w:cs="Times New Roman" w:eastAsia="Times New Roman" w:hAnsi="Times New Roman"/>
          <w:sz w:val="18"/>
          <w:szCs w:val="18"/>
          <w:color w:val="FF0000"/>
          <w:strike w:val="1"/>
        </w:rPr>
        <w:t>such</w:t>
      </w:r>
      <w:r>
        <w:rPr>
          <w:rFonts w:ascii="Times New Roman" w:cs="Times New Roman" w:eastAsia="Times New Roman" w:hAnsi="Times New Roman"/>
          <w:sz w:val="18"/>
          <w:szCs w:val="18"/>
          <w:b w:val="1"/>
          <w:bCs w:val="1"/>
          <w:u w:val="single" w:color="auto"/>
          <w:color w:val="0000FF"/>
        </w:rPr>
        <w:t>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adoption, repeal, alteration, amendment or rescission of the Bylaws by the stockholders shall require the affirmative vote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of the holders of </w:t>
      </w:r>
      <w:r>
        <w:rPr>
          <w:rFonts w:ascii="Times New Roman" w:cs="Times New Roman" w:eastAsia="Times New Roman" w:hAnsi="Times New Roman"/>
          <w:sz w:val="18"/>
          <w:szCs w:val="18"/>
          <w:color w:val="FF0000"/>
          <w:strike w:val="1"/>
        </w:rPr>
        <w:t>at least two-thirds</w:t>
      </w:r>
      <w:r>
        <w:rPr>
          <w:rFonts w:ascii="Times New Roman" w:cs="Times New Roman" w:eastAsia="Times New Roman" w:hAnsi="Times New Roman"/>
          <w:sz w:val="18"/>
          <w:szCs w:val="18"/>
          <w:b w:val="1"/>
          <w:bCs w:val="1"/>
          <w:u w:val="single" w:color="auto"/>
          <w:color w:val="0000FF"/>
        </w:rPr>
        <w:t>a majority</w:t>
      </w:r>
      <w:r>
        <w:rPr>
          <w:rFonts w:ascii="Times New Roman" w:cs="Times New Roman" w:eastAsia="Times New Roman" w:hAnsi="Times New Roman"/>
          <w:sz w:val="18"/>
          <w:szCs w:val="18"/>
          <w:color w:val="000000"/>
        </w:rPr>
        <w:t xml:space="preserve"> of the voting power of all of the then outstanding shares of capital stock of the Corporation entitled to vote generally in the election of directors, voting together as a single class.</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VI section 6.5 of the Charter, marked to show changes against our current Charter:</w:t>
      </w:r>
    </w:p>
    <w:p>
      <w:pPr>
        <w:spacing w:after="0" w:line="185" w:lineRule="exact"/>
        <w:rPr>
          <w:sz w:val="20"/>
          <w:szCs w:val="20"/>
          <w:color w:val="auto"/>
        </w:rPr>
      </w:pPr>
    </w:p>
    <w:p>
      <w:pPr>
        <w:ind w:left="20" w:right="140"/>
        <w:spacing w:after="0" w:line="261"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FF0000"/>
          <w:strike w:val="1"/>
        </w:rPr>
        <w:t>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Removal</w:t>
      </w:r>
      <w:r>
        <w:rPr>
          <w:rFonts w:ascii="Times New Roman" w:cs="Times New Roman" w:eastAsia="Times New Roman" w:hAnsi="Times New Roman"/>
          <w:sz w:val="18"/>
          <w:szCs w:val="18"/>
          <w:color w:val="FF0000"/>
          <w:strike w:val="1"/>
        </w:rPr>
        <w:t>. Subject to the rights of the holders of any series of Preferred Stock then outstanding in respect of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Stock</w:t>
      </w:r>
      <w:r>
        <w:rPr>
          <w:rFonts w:ascii="Times New Roman" w:cs="Times New Roman" w:eastAsia="Times New Roman" w:hAnsi="Times New Roman"/>
          <w:sz w:val="18"/>
          <w:szCs w:val="18"/>
          <w:b w:val="1"/>
          <w:bCs w:val="1"/>
          <w:u w:val="single" w:color="auto"/>
          <w:color w:val="0000FF"/>
        </w:rPr>
        <w:t>6.6 Removal. For so long as the Board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Directors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color w:val="0000FF"/>
        </w:rPr>
        <w:t>is classified</w:t>
      </w:r>
      <w:r>
        <w:rPr>
          <w:rFonts w:ascii="Times New Roman" w:cs="Times New Roman" w:eastAsia="Times New Roman" w:hAnsi="Times New Roman"/>
          <w:sz w:val="18"/>
          <w:szCs w:val="18"/>
          <w:color w:val="000000"/>
        </w:rPr>
        <w:t>, any Director may be removed for cause only by 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affirmative vote of the holders of </w:t>
      </w:r>
      <w:r>
        <w:rPr>
          <w:rFonts w:ascii="Times New Roman" w:cs="Times New Roman" w:eastAsia="Times New Roman" w:hAnsi="Times New Roman"/>
          <w:sz w:val="18"/>
          <w:szCs w:val="18"/>
          <w:color w:val="FF0000"/>
          <w:strike w:val="1"/>
        </w:rPr>
        <w:t>at least two-thirds</w:t>
      </w:r>
      <w:r>
        <w:rPr>
          <w:rFonts w:ascii="Times New Roman" w:cs="Times New Roman" w:eastAsia="Times New Roman" w:hAnsi="Times New Roman"/>
          <w:sz w:val="18"/>
          <w:szCs w:val="18"/>
          <w:b w:val="1"/>
          <w:bCs w:val="1"/>
          <w:u w:val="single" w:color="auto"/>
          <w:color w:val="0000FF"/>
        </w:rPr>
        <w:t>a majority</w:t>
      </w:r>
      <w:r>
        <w:rPr>
          <w:rFonts w:ascii="Times New Roman" w:cs="Times New Roman" w:eastAsia="Times New Roman" w:hAnsi="Times New Roman"/>
          <w:sz w:val="18"/>
          <w:szCs w:val="18"/>
          <w:color w:val="000000"/>
        </w:rPr>
        <w:t xml:space="preserve"> of the voting power of all of the then outstanding shares of capital stock entitled to vote generally in the election of </w:t>
      </w:r>
      <w:r>
        <w:rPr>
          <w:rFonts w:ascii="Times New Roman" w:cs="Times New Roman" w:eastAsia="Times New Roman" w:hAnsi="Times New Roman"/>
          <w:sz w:val="18"/>
          <w:szCs w:val="18"/>
          <w:color w:val="FF0000"/>
          <w:strike w:val="1"/>
        </w:rPr>
        <w:t>directors</w:t>
      </w:r>
      <w:r>
        <w:rPr>
          <w:rFonts w:ascii="Times New Roman" w:cs="Times New Roman" w:eastAsia="Times New Roman" w:hAnsi="Times New Roman"/>
          <w:sz w:val="18"/>
          <w:szCs w:val="18"/>
          <w:b w:val="1"/>
          <w:bCs w:val="1"/>
          <w:u w:val="single" w:color="auto"/>
          <w:color w:val="0000FF"/>
        </w:rPr>
        <w:t>Directors</w:t>
      </w:r>
      <w:r>
        <w:rPr>
          <w:rFonts w:ascii="Times New Roman" w:cs="Times New Roman" w:eastAsia="Times New Roman" w:hAnsi="Times New Roman"/>
          <w:sz w:val="18"/>
          <w:szCs w:val="18"/>
          <w:color w:val="000000"/>
        </w:rPr>
        <w:t>, at a meeting duly called for that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-311150</wp:posOffset>
            </wp:positionV>
            <wp:extent cx="5778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7850" cy="8255"/>
                    </a:xfrm>
                    <a:prstGeom prst="rect">
                      <a:avLst/>
                    </a:prstGeom>
                    <a:noFill/>
                  </pic:spPr>
                </pic:pic>
              </a:graphicData>
            </a:graphic>
          </wp:anchor>
        </w:drawing>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VIII of the Charter, marked to show changes against our current Charter:</w:t>
      </w:r>
    </w:p>
    <w:p>
      <w:pPr>
        <w:spacing w:after="0" w:line="198" w:lineRule="exact"/>
        <w:rPr>
          <w:sz w:val="20"/>
          <w:szCs w:val="20"/>
          <w:color w:val="auto"/>
        </w:rPr>
      </w:pPr>
    </w:p>
    <w:p>
      <w:pPr>
        <w:ind w:left="20" w:right="40"/>
        <w:spacing w:after="0" w:line="253" w:lineRule="auto"/>
        <w:rPr>
          <w:sz w:val="20"/>
          <w:szCs w:val="20"/>
          <w:color w:val="auto"/>
        </w:rPr>
      </w:pPr>
      <w:r>
        <w:rPr>
          <w:rFonts w:ascii="Times New Roman" w:cs="Times New Roman" w:eastAsia="Times New Roman" w:hAnsi="Times New Roman"/>
          <w:sz w:val="18"/>
          <w:szCs w:val="18"/>
          <w:color w:val="auto"/>
        </w:rPr>
        <w:t xml:space="preserve">Except with respect to </w:t>
      </w:r>
      <w:r>
        <w:rPr>
          <w:rFonts w:ascii="Times New Roman" w:cs="Times New Roman" w:eastAsia="Times New Roman" w:hAnsi="Times New Roman"/>
          <w:sz w:val="18"/>
          <w:szCs w:val="18"/>
          <w:u w:val="single" w:color="auto"/>
          <w:color w:val="auto"/>
        </w:rPr>
        <w:t>Articles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in addition to any vote of the holders of shares of any class or series of capital stock of the Corporation required by applicable law or by this Certificate of Incorporation </w:t>
      </w:r>
      <w:r>
        <w:rPr>
          <w:rFonts w:ascii="Times New Roman" w:cs="Times New Roman" w:eastAsia="Times New Roman" w:hAnsi="Times New Roman"/>
          <w:sz w:val="18"/>
          <w:szCs w:val="18"/>
          <w:color w:val="FF0000"/>
          <w:strike w:val="1"/>
        </w:rPr>
        <w:t>(including any Certificate of Designation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respect of one or more series of Preferred Stock)</w:t>
      </w:r>
      <w:r>
        <w:rPr>
          <w:rFonts w:ascii="Times New Roman" w:cs="Times New Roman" w:eastAsia="Times New Roman" w:hAnsi="Times New Roman"/>
          <w:sz w:val="18"/>
          <w:szCs w:val="18"/>
          <w:color w:val="000000"/>
        </w:rPr>
        <w:t>, the adoption, amendment or repeal of the Certificate of Incorporation shall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require the affirmative vote of the holders of </w:t>
      </w:r>
      <w:r>
        <w:rPr>
          <w:rFonts w:ascii="Times New Roman" w:cs="Times New Roman" w:eastAsia="Times New Roman" w:hAnsi="Times New Roman"/>
          <w:sz w:val="18"/>
          <w:szCs w:val="18"/>
          <w:color w:val="FF0000"/>
          <w:strike w:val="1"/>
        </w:rPr>
        <w:t>at least two-thirds</w:t>
      </w:r>
      <w:r>
        <w:rPr>
          <w:rFonts w:ascii="Times New Roman" w:cs="Times New Roman" w:eastAsia="Times New Roman" w:hAnsi="Times New Roman"/>
          <w:sz w:val="18"/>
          <w:szCs w:val="18"/>
          <w:b w:val="1"/>
          <w:bCs w:val="1"/>
          <w:u w:val="single" w:color="auto"/>
          <w:color w:val="0000FF"/>
        </w:rPr>
        <w:t>a majority</w:t>
      </w:r>
      <w:r>
        <w:rPr>
          <w:rFonts w:ascii="Times New Roman" w:cs="Times New Roman" w:eastAsia="Times New Roman" w:hAnsi="Times New Roman"/>
          <w:sz w:val="18"/>
          <w:szCs w:val="18"/>
          <w:color w:val="000000"/>
        </w:rPr>
        <w:t xml:space="preserve"> of the voting power of all of the then outstanding shares of voting stock of the Corporation entitled to vote thereon. If any provision or provisions of this Certificate of Incorporation shall be held to be invalid, illegal or unenforceable as applied to any Person or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and circumstances shall not in any way be affected or impaired thereby.</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XII section 12.2(c) of the Charter, marked to show changes against our current Charter:</w:t>
      </w:r>
    </w:p>
    <w:p>
      <w:pPr>
        <w:spacing w:after="0" w:line="185" w:lineRule="exact"/>
        <w:rPr>
          <w:sz w:val="20"/>
          <w:szCs w:val="20"/>
          <w:color w:val="auto"/>
        </w:rPr>
      </w:pPr>
    </w:p>
    <w:p>
      <w:pPr>
        <w:ind w:left="20" w:firstLine="1"/>
        <w:spacing w:after="0" w:line="261" w:lineRule="auto"/>
        <w:tabs>
          <w:tab w:leader="none" w:pos="2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or subsequent to such time that such stockholder became an Interested Stockholder, the Business Combination is approved by the Board of Directors and authorized at an annual or special meeting of stockholders by the affirmative vote of </w:t>
      </w:r>
      <w:r>
        <w:rPr>
          <w:rFonts w:ascii="Times New Roman" w:cs="Times New Roman" w:eastAsia="Times New Roman" w:hAnsi="Times New Roman"/>
          <w:sz w:val="18"/>
          <w:szCs w:val="18"/>
          <w:color w:val="FF0000"/>
          <w:strike w:val="1"/>
        </w:rPr>
        <w:t>at least sixty-six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and two-thirds percent (66 2/3%)</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00FF"/>
        </w:rPr>
        <w:t>a majority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of the voting power of the outstanding shares of capital stock of the Corporation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which is not owned by such Interested Stockholder.</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114" w:right="1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B-4</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VI of the Charter, marked to show changes against our current Charter:</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Section 6.5 Quorum; Vote Required.</w:t>
      </w:r>
    </w:p>
    <w:p>
      <w:pPr>
        <w:spacing w:after="0" w:line="185" w:lineRule="exact"/>
        <w:rPr>
          <w:sz w:val="20"/>
          <w:szCs w:val="20"/>
          <w:color w:val="auto"/>
        </w:rPr>
      </w:pPr>
    </w:p>
    <w:p>
      <w:pPr>
        <w:ind w:left="20" w:right="120" w:firstLine="1"/>
        <w:spacing w:after="0" w:line="257" w:lineRule="auto"/>
        <w:tabs>
          <w:tab w:leader="none" w:pos="275" w:val="left"/>
        </w:tabs>
        <w:numPr>
          <w:ilvl w:val="0"/>
          <w:numId w:val="47"/>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Subject to Section 6.5(b), at all meetings of the Board of Directors a majority of the Whole Board of Directors shall constitute a quorum for the transaction of business. The affirmative vote of a majority of the Directors present at any meeting of the Board of Directors at which a quorum is present shall be the act of the Board of Directors, except as may be otherwise specifically required by applicable law or this Certificate of Incorporation. If a quorum is not present at any meeting of the Board of Directors, then the directors present thereat may adjourn the meeting from time to time, without notice other than announcement at the meeting, until a quorum is present.</w:t>
      </w:r>
    </w:p>
    <w:p>
      <w:pPr>
        <w:spacing w:after="0" w:line="141" w:lineRule="exact"/>
        <w:rPr>
          <w:rFonts w:ascii="Times New Roman" w:cs="Times New Roman" w:eastAsia="Times New Roman" w:hAnsi="Times New Roman"/>
          <w:sz w:val="18"/>
          <w:szCs w:val="18"/>
          <w:b w:val="1"/>
          <w:bCs w:val="1"/>
          <w:u w:val="single" w:color="auto"/>
          <w:color w:val="0000FF"/>
        </w:rPr>
      </w:pPr>
    </w:p>
    <w:p>
      <w:pPr>
        <w:ind w:left="20" w:firstLine="1"/>
        <w:spacing w:after="0" w:line="253" w:lineRule="auto"/>
        <w:tabs>
          <w:tab w:leader="none" w:pos="285" w:val="left"/>
        </w:tabs>
        <w:numPr>
          <w:ilvl w:val="0"/>
          <w:numId w:val="47"/>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 xml:space="preserve">In addition to any requirements under the DGCL or this Certificate of Incorporation, (i) so long as Nexus has the right to appoint the Nexus Director in accordance with the Investor Rights Agreement, the Nexus Director must be present (in person or by means of conference telephone or other communications equipment by means of which all Persons participating in the meeting can hear each other) at any meeting of the Board of Directors for a quorum to exist, and (ii) so long as Story3 has the right to appoint the Story3 Director in accordance with the Investor Rights Agreement, the Story3 Director must be present (in person or by means of conference telephone or other communications equipment by means of which all Persons participating in the meeting can hear each other) at any meeting of the Board of Directors for a quorum to exist; </w:t>
      </w:r>
      <w:r>
        <w:rPr>
          <w:rFonts w:ascii="Times New Roman" w:cs="Times New Roman" w:eastAsia="Times New Roman" w:hAnsi="Times New Roman"/>
          <w:sz w:val="18"/>
          <w:szCs w:val="18"/>
          <w:b w:val="1"/>
          <w:bCs w:val="1"/>
          <w:i w:val="1"/>
          <w:iCs w:val="1"/>
          <w:u w:val="single" w:color="auto"/>
          <w:color w:val="0000FF"/>
        </w:rPr>
        <w:t>provided, however</w:t>
      </w:r>
      <w:r>
        <w:rPr>
          <w:rFonts w:ascii="Times New Roman" w:cs="Times New Roman" w:eastAsia="Times New Roman" w:hAnsi="Times New Roman"/>
          <w:sz w:val="18"/>
          <w:szCs w:val="18"/>
          <w:b w:val="1"/>
          <w:bCs w:val="1"/>
          <w:u w:val="single" w:color="auto"/>
          <w:color w:val="0000FF"/>
        </w:rPr>
        <w:t>, that if the Nexus Director or the Story3 Director, as applicable, fails to attend three (3) or more consecutive meetings of the Board of Directors that are held during ordinary business hours for which such Director has received notice at least two (2) business days prior to such meeting, quorum shall be deemed to be present at the next meeting immediately following such failure held during ordinary business hours for which such Director has received notice at least two (2) business days prior to such meeting so long as the other Directors required for quorum pursuant to this Section 6.5 are present.</w:t>
      </w: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B-5</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VI of the Charter, marked to show changes against our current Charter:</w:t>
      </w:r>
    </w:p>
    <w:p>
      <w:pPr>
        <w:spacing w:after="0" w:line="181"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7"/>
          <w:szCs w:val="17"/>
          <w:b w:val="1"/>
          <w:bCs w:val="1"/>
          <w:u w:val="single" w:color="auto"/>
          <w:color w:val="0000FF"/>
        </w:rPr>
        <w:t>Section 6.8 Special Meetings of Stockholders. Subject to applicable law, special meetings of stockholders of the Corporation may be called, for any purpose or purposes, at any time only by or at the direction of (i) a majority of the Whole Board of Directors, (ii) the chairperson of the Board of Directors or (iii) the holders of at least forty percent (40%) of the voting power of all of the then-outstanding shares of the Corporation, and may not be called by any other person or persons.</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114" w:right="12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B-6</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VII of the Charter, marked to show changes against our current Charter:</w:t>
      </w:r>
    </w:p>
    <w:p>
      <w:pPr>
        <w:spacing w:after="0" w:line="181"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FF0000"/>
          <w:strike w:val="1"/>
        </w:rPr>
        <w:t>No</w:t>
      </w:r>
      <w:r>
        <w:rPr>
          <w:rFonts w:ascii="Times New Roman" w:cs="Times New Roman" w:eastAsia="Times New Roman" w:hAnsi="Times New Roman"/>
          <w:sz w:val="18"/>
          <w:szCs w:val="18"/>
          <w:b w:val="1"/>
          <w:bCs w:val="1"/>
          <w:u w:val="single" w:color="auto"/>
          <w:color w:val="0000FF"/>
        </w:rPr>
        <w:t>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action required or permitted to be taken at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annual or special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meeting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stockholders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00FF"/>
        </w:rPr>
        <w:t>the holders of Class A Common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u w:val="single" w:color="auto"/>
          <w:color w:val="0000FF"/>
        </w:rPr>
        <w:t>Stock</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may be taken without a meeting</w:t>
      </w:r>
      <w:r>
        <w:rPr>
          <w:rFonts w:ascii="Times New Roman" w:cs="Times New Roman" w:eastAsia="Times New Roman" w:hAnsi="Times New Roman"/>
          <w:sz w:val="18"/>
          <w:szCs w:val="18"/>
          <w:color w:val="FF0000"/>
          <w:strike w:val="1"/>
        </w:rPr>
        <w:t>. No action shall be taken by the stockholders of the Corporation by consent.</w:t>
      </w:r>
      <w:r>
        <w:rPr>
          <w:rFonts w:ascii="Times New Roman" w:cs="Times New Roman" w:eastAsia="Times New Roman" w:hAnsi="Times New Roman"/>
          <w:sz w:val="18"/>
          <w:szCs w:val="18"/>
          <w:b w:val="1"/>
          <w:bCs w:val="1"/>
          <w:u w:val="single" w:color="auto"/>
          <w:color w:val="0000FF"/>
        </w:rPr>
        <w:t>, without prior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notice and without a vote, if a written consent or consents, setting forth the action so taken, shall be signed by the holders of Class A Common Stock then outstanding having not less than the minimum number of votes that would be necessary to authorize or take such action at a meeting at which all shares of Class A Common Stock then outstanding were present and voted and shall be delivered to the Corporation in accordance with the DGCL. Prompt notice of the taking of corporate action without a meeting by less than unanimous consent of the holders of Class A Common Stock then outstanding shall, to the extent required by applicable law, be given to those holders of Class A Common Stock who have not consented and who, if the action had been taken at a meeting, would have been entitled to notice of the meeting if the record date for notice of such meeting had been the date that consents signed by a sufficient number of holders of Class A Common Stock to take the action were delivered to the Corporation in accordance with the DGCL.</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B-7</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IX of the Charter, marked to show changes against our current Charter:</w:t>
      </w:r>
    </w:p>
    <w:p>
      <w:pPr>
        <w:spacing w:after="0" w:line="185"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auto"/>
        </w:rPr>
        <w:t xml:space="preserve">The Corporation is authorized to indemnify, and to advance expenses to, each current or former Director, officer, employee or agent of the Corporation to the fullest extent permitted by Section 145 of the DGCL as it presently exists or may hereafter be amended. To the fullest extent permitted by the laws of the State of Delaware as it exists on the date hereof or as it may hereafter be amended, no Director </w:t>
      </w:r>
      <w:r>
        <w:rPr>
          <w:rFonts w:ascii="Times New Roman" w:cs="Times New Roman" w:eastAsia="Times New Roman" w:hAnsi="Times New Roman"/>
          <w:sz w:val="18"/>
          <w:szCs w:val="18"/>
          <w:b w:val="1"/>
          <w:bCs w:val="1"/>
          <w:u w:val="single" w:color="auto"/>
          <w:color w:val="0000FF"/>
        </w:rPr>
        <w:t>or officer of the Corporation</w:t>
      </w:r>
      <w:r>
        <w:rPr>
          <w:rFonts w:ascii="Times New Roman" w:cs="Times New Roman" w:eastAsia="Times New Roman" w:hAnsi="Times New Roman"/>
          <w:sz w:val="18"/>
          <w:szCs w:val="18"/>
          <w:color w:val="auto"/>
        </w:rPr>
        <w:t xml:space="preserve"> shall be personally liable to the Corporation or its stockholders for monetary damages for any breach of his or her fiduciary duties as a </w:t>
      </w:r>
      <w:r>
        <w:rPr>
          <w:rFonts w:ascii="Times New Roman" w:cs="Times New Roman" w:eastAsia="Times New Roman" w:hAnsi="Times New Roman"/>
          <w:sz w:val="18"/>
          <w:szCs w:val="18"/>
          <w:color w:val="FF0000"/>
          <w:strike w:val="1"/>
        </w:rPr>
        <w:t>director</w:t>
      </w:r>
      <w:r>
        <w:rPr>
          <w:rFonts w:ascii="Times New Roman" w:cs="Times New Roman" w:eastAsia="Times New Roman" w:hAnsi="Times New Roman"/>
          <w:sz w:val="18"/>
          <w:szCs w:val="18"/>
          <w:b w:val="1"/>
          <w:bCs w:val="1"/>
          <w:u w:val="single" w:color="auto"/>
          <w:color w:val="0000FF"/>
        </w:rPr>
        <w:t>Director or officer of the 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0000FF"/>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that the foregoing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clause shall not eliminate or limit the liability of any officer of the Corporation in any action by or in the right of the Corporation</w:t>
      </w:r>
      <w:r>
        <w:rPr>
          <w:rFonts w:ascii="Times New Roman" w:cs="Times New Roman" w:eastAsia="Times New Roman" w:hAnsi="Times New Roman"/>
          <w:sz w:val="18"/>
          <w:szCs w:val="18"/>
          <w:color w:val="000000"/>
        </w:rPr>
        <w:t>. No amendment to, or modification or repeal of, this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Article IX</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shall adversely affect any right or protection of a</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Director or of any officer, employee or agent of the Corporation existing hereunder with respect to any act or omission occurring prior to such amendment, modification or repeal.</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B-8</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VI of the Charter, marked to show changes against our current Charter:</w:t>
      </w:r>
    </w:p>
    <w:p>
      <w:pPr>
        <w:spacing w:after="0" w:line="185"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FF0000"/>
          <w:strike w:val="1"/>
        </w:rPr>
        <w:t xml:space="preserve">Section 6.3 </w:t>
      </w:r>
      <w:r>
        <w:rPr>
          <w:rFonts w:ascii="Times New Roman" w:cs="Times New Roman" w:eastAsia="Times New Roman" w:hAnsi="Times New Roman"/>
          <w:sz w:val="18"/>
          <w:szCs w:val="18"/>
          <w:u w:val="single" w:color="auto"/>
          <w:color w:val="FF0000"/>
          <w:strike w:val="1"/>
        </w:rPr>
        <w:t>Number and Terms of the Board of Directors</w:t>
      </w:r>
      <w:r>
        <w:rPr>
          <w:rFonts w:ascii="Times New Roman" w:cs="Times New Roman" w:eastAsia="Times New Roman" w:hAnsi="Times New Roman"/>
          <w:sz w:val="18"/>
          <w:szCs w:val="18"/>
          <w:color w:val="FF0000"/>
          <w:strike w:val="1"/>
        </w:rPr>
        <w:t>. Subject to the rights of the holders of any series of Preferred Stock to elect directors under specified circumstances (such directors, “</w:t>
      </w:r>
      <w:r>
        <w:rPr>
          <w:rFonts w:ascii="Times New Roman" w:cs="Times New Roman" w:eastAsia="Times New Roman" w:hAnsi="Times New Roman"/>
          <w:sz w:val="18"/>
          <w:szCs w:val="18"/>
          <w:b w:val="1"/>
          <w:bCs w:val="1"/>
          <w:i w:val="1"/>
          <w:iCs w:val="1"/>
          <w:color w:val="FF0000"/>
          <w:strike w:val="1"/>
        </w:rPr>
        <w:t>Preferred Stock Directors</w:t>
      </w:r>
      <w:r>
        <w:rPr>
          <w:rFonts w:ascii="Times New Roman" w:cs="Times New Roman" w:eastAsia="Times New Roman" w:hAnsi="Times New Roman"/>
          <w:sz w:val="18"/>
          <w:szCs w:val="18"/>
          <w:color w:val="FF0000"/>
          <w:strike w:val="1"/>
        </w:rPr>
        <w:t>”), the number of Directors shall be fixed from time to time exclusively by a majority of the Whole Board of Directors. For purposes of this Certificate of Incorporation, the term “</w:t>
      </w:r>
      <w:r>
        <w:rPr>
          <w:rFonts w:ascii="Times New Roman" w:cs="Times New Roman" w:eastAsia="Times New Roman" w:hAnsi="Times New Roman"/>
          <w:sz w:val="18"/>
          <w:szCs w:val="18"/>
          <w:b w:val="1"/>
          <w:bCs w:val="1"/>
          <w:i w:val="1"/>
          <w:iCs w:val="1"/>
          <w:color w:val="FF0000"/>
          <w:strike w:val="1"/>
        </w:rPr>
        <w:t>Whole Board of Directors</w:t>
      </w:r>
      <w:r>
        <w:rPr>
          <w:rFonts w:ascii="Times New Roman" w:cs="Times New Roman" w:eastAsia="Times New Roman" w:hAnsi="Times New Roman"/>
          <w:sz w:val="18"/>
          <w:szCs w:val="18"/>
          <w:color w:val="FF0000"/>
          <w:strike w:val="1"/>
        </w:rPr>
        <w:t>” shall mean the total number of authorized directors (from time to time) whether or not there exist any vacancies in previously authorized directorships or newly created directorships.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Section 6.3 Number and Terms of the Board of Directors.</w:t>
      </w:r>
    </w:p>
    <w:p>
      <w:pPr>
        <w:spacing w:after="0" w:line="225" w:lineRule="exact"/>
        <w:rPr>
          <w:sz w:val="20"/>
          <w:szCs w:val="20"/>
          <w:color w:val="auto"/>
        </w:rPr>
      </w:pPr>
    </w:p>
    <w:p>
      <w:pPr>
        <w:ind w:left="260" w:hanging="239"/>
        <w:spacing w:after="0"/>
        <w:tabs>
          <w:tab w:leader="none" w:pos="260" w:val="left"/>
        </w:tabs>
        <w:numPr>
          <w:ilvl w:val="0"/>
          <w:numId w:val="4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b w:val="1"/>
          <w:bCs w:val="1"/>
          <w:u w:val="single" w:color="auto"/>
          <w:color w:val="0000FF"/>
        </w:rPr>
        <w:t>The number of Directors shall be fixed from time to time in the manner provided in the Bylaws.</w:t>
      </w:r>
    </w:p>
    <w:p>
      <w:pPr>
        <w:spacing w:after="0" w:line="184" w:lineRule="exact"/>
        <w:rPr>
          <w:rFonts w:ascii="Times New Roman" w:cs="Times New Roman" w:eastAsia="Times New Roman" w:hAnsi="Times New Roman"/>
          <w:sz w:val="18"/>
          <w:szCs w:val="18"/>
          <w:u w:val="single" w:color="auto"/>
          <w:color w:val="0000FF"/>
        </w:rPr>
      </w:pPr>
    </w:p>
    <w:p>
      <w:pPr>
        <w:ind w:left="20" w:right="300" w:firstLine="1"/>
        <w:spacing w:after="0" w:line="257" w:lineRule="auto"/>
        <w:tabs>
          <w:tab w:leader="none" w:pos="275" w:val="left"/>
        </w:tabs>
        <w:numPr>
          <w:ilvl w:val="0"/>
          <w:numId w:val="4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b w:val="1"/>
          <w:bCs w:val="1"/>
          <w:u w:val="single" w:color="auto"/>
          <w:color w:val="0000FF"/>
        </w:rPr>
        <w:t>Notwithstanding anything in this Certificate of Incorporation to the contrary in the event that Nexus or STORY3, as applicable, no longer has the right to designate a Director for appointment by the Board of Directors pursuant to the Investor Rights Agreement (each such occurrence, a “</w:t>
      </w:r>
      <w:r>
        <w:rPr>
          <w:rFonts w:ascii="Times New Roman" w:cs="Times New Roman" w:eastAsia="Times New Roman" w:hAnsi="Times New Roman"/>
          <w:sz w:val="18"/>
          <w:szCs w:val="18"/>
          <w:b w:val="1"/>
          <w:bCs w:val="1"/>
          <w:i w:val="1"/>
          <w:iCs w:val="1"/>
          <w:u w:val="single" w:color="auto"/>
          <w:color w:val="0000FF"/>
        </w:rPr>
        <w:t>Loss of Designation Rights</w:t>
      </w:r>
      <w:r>
        <w:rPr>
          <w:rFonts w:ascii="Times New Roman" w:cs="Times New Roman" w:eastAsia="Times New Roman" w:hAnsi="Times New Roman"/>
          <w:sz w:val="18"/>
          <w:szCs w:val="18"/>
          <w:b w:val="1"/>
          <w:bCs w:val="1"/>
          <w:u w:val="single" w:color="auto"/>
          <w:color w:val="0000FF"/>
        </w:rPr>
        <w:t>”), then (unless a majority of Directors (with the affected party’s Board of Directors designees abstaining) agree in writing that such Director’s term shall not expire as a result of a Loss of Designation Rights) the term of such Director designated for appointment by Nexus or STORY3, as applicable, shall expire upon such Loss of Designation Rights.</w:t>
      </w:r>
    </w:p>
    <w:p>
      <w:pPr>
        <w:spacing w:after="0" w:line="159"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xml:space="preserve">. Except as otherwise required by law and </w:t>
      </w:r>
      <w:r>
        <w:rPr>
          <w:rFonts w:ascii="Times New Roman" w:cs="Times New Roman" w:eastAsia="Times New Roman" w:hAnsi="Times New Roman"/>
          <w:sz w:val="18"/>
          <w:szCs w:val="18"/>
          <w:color w:val="FF0000"/>
          <w:strike w:val="1"/>
        </w:rPr>
        <w:t>the separate rights of the 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of any series of Preferred Stock then outstanding in respect of Preferred Stock Director</w:t>
      </w:r>
      <w:r>
        <w:rPr>
          <w:rFonts w:ascii="Times New Roman" w:cs="Times New Roman" w:eastAsia="Times New Roman" w:hAnsi="Times New Roman"/>
          <w:sz w:val="18"/>
          <w:szCs w:val="18"/>
          <w:u w:val="single" w:color="auto"/>
          <w:color w:val="FF0000"/>
          <w:strike w:val="1"/>
        </w:rPr>
        <w:t>s</w:t>
      </w:r>
      <w:r>
        <w:rPr>
          <w:rFonts w:ascii="Times New Roman" w:cs="Times New Roman" w:eastAsia="Times New Roman" w:hAnsi="Times New Roman"/>
          <w:sz w:val="18"/>
          <w:szCs w:val="18"/>
          <w:b w:val="1"/>
          <w:bCs w:val="1"/>
          <w:u w:val="single" w:color="auto"/>
          <w:color w:val="0000FF"/>
        </w:rPr>
        <w:t>this Certificate of Incorporation</w:t>
      </w:r>
      <w:r>
        <w:rPr>
          <w:rFonts w:ascii="Times New Roman" w:cs="Times New Roman" w:eastAsia="Times New Roman" w:hAnsi="Times New Roman"/>
          <w:sz w:val="18"/>
          <w:szCs w:val="18"/>
          <w:color w:val="000000"/>
        </w:rPr>
        <w:t>, unless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Board of Directors otherwise determines, newly created directorships resulting from any increase in the authorized number of directors or any vacancies on the Board of Directors resulting from the death, resignation, disqualification, removal from office or other cause shall be filled only by a majority of the Directors then in office, though less than a quorum, or by a sole remaining Director, and shall not be filled by the stockholders unless the Board of Directors determines by resolution that any such vacancy or newly created directorship shall be filled by the stockholders</w:t>
      </w:r>
      <w:r>
        <w:rPr>
          <w:rFonts w:ascii="Times New Roman" w:cs="Times New Roman" w:eastAsia="Times New Roman" w:hAnsi="Times New Roman"/>
          <w:sz w:val="18"/>
          <w:szCs w:val="18"/>
          <w:color w:val="FF0000"/>
          <w:strike w:val="1"/>
        </w:rPr>
        <w:t>. Any director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i w:val="1"/>
          <w:iCs w:val="1"/>
          <w:u w:val="single" w:color="auto"/>
          <w:color w:val="0000FF"/>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that, in the event of a vacancy on the</w:t>
      </w:r>
    </w:p>
    <w:p>
      <w:pPr>
        <w:spacing w:after="0" w:line="3" w:lineRule="exact"/>
        <w:rPr>
          <w:sz w:val="20"/>
          <w:szCs w:val="20"/>
          <w:color w:val="auto"/>
        </w:rPr>
      </w:pPr>
    </w:p>
    <w:p>
      <w:pPr>
        <w:ind w:left="20"/>
        <w:spacing w:after="0" w:line="251" w:lineRule="auto"/>
        <w:rPr>
          <w:sz w:val="20"/>
          <w:szCs w:val="20"/>
          <w:color w:val="auto"/>
        </w:rPr>
      </w:pPr>
      <w:r>
        <w:rPr>
          <w:rFonts w:ascii="Times New Roman" w:cs="Times New Roman" w:eastAsia="Times New Roman" w:hAnsi="Times New Roman"/>
          <w:sz w:val="18"/>
          <w:szCs w:val="18"/>
          <w:b w:val="1"/>
          <w:bCs w:val="1"/>
          <w:u w:val="single" w:color="auto"/>
          <w:color w:val="0000FF"/>
        </w:rPr>
        <w:t>Board of Directors resulting from the death, resignation, disqualification, removal from office or other cause with respect to a Director designated for appointment in accordance with the Investor Rights Agreement, the Person or Persons entitled to designate such Director in accordance with the Investor Rights Agreement shall have the exclusive right to identify a replacement Director for appointment by the Board of Directors to fill such vacancy. Any Director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elected to fill a newly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created directorship or vacancy in accordance with the preceding sentence shall hold office until the next annual meeting of stockholders held to elect the class of </w:t>
      </w:r>
      <w:r>
        <w:rPr>
          <w:rFonts w:ascii="Times New Roman" w:cs="Times New Roman" w:eastAsia="Times New Roman" w:hAnsi="Times New Roman"/>
          <w:sz w:val="18"/>
          <w:szCs w:val="18"/>
          <w:color w:val="FF0000"/>
          <w:strike w:val="1"/>
        </w:rPr>
        <w:t>directors</w:t>
      </w:r>
      <w:r>
        <w:rPr>
          <w:rFonts w:ascii="Times New Roman" w:cs="Times New Roman" w:eastAsia="Times New Roman" w:hAnsi="Times New Roman"/>
          <w:sz w:val="18"/>
          <w:szCs w:val="18"/>
          <w:b w:val="1"/>
          <w:bCs w:val="1"/>
          <w:u w:val="single" w:color="auto"/>
          <w:color w:val="0000FF"/>
        </w:rPr>
        <w:t>Directors</w:t>
      </w:r>
      <w:r>
        <w:rPr>
          <w:rFonts w:ascii="Times New Roman" w:cs="Times New Roman" w:eastAsia="Times New Roman" w:hAnsi="Times New Roman"/>
          <w:sz w:val="18"/>
          <w:szCs w:val="18"/>
          <w:color w:val="000000"/>
        </w:rPr>
        <w:t xml:space="preserve"> to which such </w:t>
      </w:r>
      <w:r>
        <w:rPr>
          <w:rFonts w:ascii="Times New Roman" w:cs="Times New Roman" w:eastAsia="Times New Roman" w:hAnsi="Times New Roman"/>
          <w:sz w:val="18"/>
          <w:szCs w:val="18"/>
          <w:color w:val="FF0000"/>
          <w:strike w:val="1"/>
        </w:rPr>
        <w:t>director</w:t>
      </w:r>
      <w:r>
        <w:rPr>
          <w:rFonts w:ascii="Times New Roman" w:cs="Times New Roman" w:eastAsia="Times New Roman" w:hAnsi="Times New Roman"/>
          <w:sz w:val="18"/>
          <w:szCs w:val="18"/>
          <w:b w:val="1"/>
          <w:bCs w:val="1"/>
          <w:u w:val="single" w:color="auto"/>
          <w:color w:val="0000FF"/>
        </w:rPr>
        <w:t>Director</w:t>
      </w:r>
      <w:r>
        <w:rPr>
          <w:rFonts w:ascii="Times New Roman" w:cs="Times New Roman" w:eastAsia="Times New Roman" w:hAnsi="Times New Roman"/>
          <w:sz w:val="18"/>
          <w:szCs w:val="18"/>
          <w:color w:val="000000"/>
        </w:rPr>
        <w:t xml:space="preserve"> is elected and until his or her successor is duly elected and qualified or until his or her earlier death, resignation, retirement, disqualification, or removal. </w:t>
      </w:r>
      <w:r>
        <w:rPr>
          <w:rFonts w:ascii="Times New Roman" w:cs="Times New Roman" w:eastAsia="Times New Roman" w:hAnsi="Times New Roman"/>
          <w:sz w:val="18"/>
          <w:szCs w:val="18"/>
          <w:b w:val="1"/>
          <w:bCs w:val="1"/>
          <w:color w:val="0000FF"/>
        </w:rPr>
        <w:t>The Secretary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the Corporation shall maintain a copy of the Investor Rights Agreement at the principal executive offices of the Corporation and a copy thereof shall be provided free of charge to any stockholder who makes a request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5057775</wp:posOffset>
            </wp:positionH>
            <wp:positionV relativeFrom="paragraph">
              <wp:posOffset>-302260</wp:posOffset>
            </wp:positionV>
            <wp:extent cx="838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38835" cy="8255"/>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B-9</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X of the Charter, marked to show changes against our current Charter:</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Corporate Opportunity</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20" w:firstLine="1"/>
        <w:spacing w:after="0" w:line="252" w:lineRule="auto"/>
        <w:tabs>
          <w:tab w:leader="none" w:pos="2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the laws of the State of Delaware and in accordance with Section 122(17) of the DGCL, (i) the Corporation hereby renounces all interest and expectancy that it otherwise would be entitled to have in, and all rights to be offered an opportunity to participate in, any business opportunity that from time to time may be presented to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 STORY 3 Director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Nexus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Director (or his or her respective affiliates) who is not employed by the Corporation or its subsidiaries (each such Person,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 “</w:t>
      </w:r>
      <w:r>
        <w:rPr>
          <w:rFonts w:ascii="Times New Roman" w:cs="Times New Roman" w:eastAsia="Times New Roman" w:hAnsi="Times New Roman"/>
          <w:sz w:val="18"/>
          <w:szCs w:val="18"/>
          <w:b w:val="1"/>
          <w:bCs w:val="1"/>
          <w:i w:val="1"/>
          <w:iCs w:val="1"/>
          <w:color w:val="000000"/>
        </w:rPr>
        <w:t>Exempt Person</w:t>
      </w:r>
      <w:r>
        <w:rPr>
          <w:rFonts w:ascii="Times New Roman" w:cs="Times New Roman" w:eastAsia="Times New Roman" w:hAnsi="Times New Roman"/>
          <w:sz w:val="18"/>
          <w:szCs w:val="18"/>
          <w:color w:val="000000"/>
        </w:rPr>
        <w:t xml:space="preserve">”); (ii) no Exempt Person will have any duty to refrain from (1) engaging in a corporate opportunity in the same or similar lines of business in which the Corporation or its subsidiaries from time to time is engaged or proposes to engage or (2) otherwise competing, directly or indirectly, with the Corporation or any of its subsidiaries; and (iii) if any Exempt Person acquires knowledge of a potential transaction or other business opportunity which may be a corporate opportunity both for such Exempt Person or any of his or her respective Affiliates, on the one hand, and for the Corporation or its subsidiaries, on the other hand, such Exempt Person shall have no duty to communicate or offer such transaction or business opportunity to the Corporation or its subsidiaries and such Exempt Person may take any and all such transactions or opportunities for itself or offer such transactions or opportunities to any other Person. Notwithstanding the foregoing, the preceding sentence of this </w:t>
      </w:r>
      <w:r>
        <w:rPr>
          <w:rFonts w:ascii="Times New Roman" w:cs="Times New Roman" w:eastAsia="Times New Roman" w:hAnsi="Times New Roman"/>
          <w:sz w:val="18"/>
          <w:szCs w:val="18"/>
          <w:u w:val="single" w:color="auto"/>
          <w:color w:val="000000"/>
        </w:rPr>
        <w:t>Section 10.1(a)</w:t>
      </w:r>
      <w:r>
        <w:rPr>
          <w:rFonts w:ascii="Times New Roman" w:cs="Times New Roman" w:eastAsia="Times New Roman" w:hAnsi="Times New Roman"/>
          <w:sz w:val="18"/>
          <w:szCs w:val="18"/>
          <w:color w:val="000000"/>
        </w:rPr>
        <w:t xml:space="preserve"> shall not apply to any potential transaction or business opportunity that is expressly offered to a Director, executive officer or employee of the Corporation or its subsidiaries, solely in his or her capacity as a Director, executive officer or employee of the Corporation or its subsidiaries.</w:t>
      </w:r>
    </w:p>
    <w:p>
      <w:pPr>
        <w:spacing w:after="0" w:line="155" w:lineRule="exact"/>
        <w:rPr>
          <w:rFonts w:ascii="Times New Roman" w:cs="Times New Roman" w:eastAsia="Times New Roman" w:hAnsi="Times New Roman"/>
          <w:sz w:val="18"/>
          <w:szCs w:val="18"/>
          <w:color w:val="auto"/>
        </w:rPr>
      </w:pPr>
    </w:p>
    <w:p>
      <w:pPr>
        <w:ind w:left="20" w:right="60" w:firstLine="1"/>
        <w:spacing w:after="0" w:line="255" w:lineRule="auto"/>
        <w:tabs>
          <w:tab w:leader="none" w:pos="2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laws of the State of Delaware, no potential transaction or business opportunity may be deemed to be a corporate opportunity of the Corporation or its subsidiaries unless (i) the Corporation or its subsidiaries would be permitted to undertake such transaction or opportunity in accordance with this Certificate of Incorporation, (ii) the Corporation or its subsidiaries at such time have sufficient financial resources to undertake such transaction or opportunity, (iii) the Corporation or its subsidiaries have an interest or expectancy in such transaction or opportunity and (iv) such transaction or opportunity would be in the same or similar line of business in which the Corporation or its subsidiaries are then engaged or a line of business that is reasonably related to, or a reasonable extension of, such line of business.</w:t>
      </w:r>
    </w:p>
    <w:p>
      <w:pPr>
        <w:spacing w:after="0" w:line="81" w:lineRule="exact"/>
        <w:rPr>
          <w:sz w:val="20"/>
          <w:szCs w:val="20"/>
          <w:color w:val="auto"/>
        </w:rPr>
      </w:pPr>
    </w:p>
    <w:p>
      <w:pPr>
        <w:jc w:val="both"/>
        <w:ind w:left="20" w:firstLine="360"/>
        <w:spacing w:after="0" w:line="266" w:lineRule="auto"/>
        <w:rPr>
          <w:sz w:val="20"/>
          <w:szCs w:val="20"/>
          <w:color w:val="auto"/>
        </w:rPr>
      </w:pPr>
      <w:r>
        <w:rPr>
          <w:rFonts w:ascii="Times New Roman" w:cs="Times New Roman" w:eastAsia="Times New Roman" w:hAnsi="Times New Roman"/>
          <w:sz w:val="18"/>
          <w:szCs w:val="18"/>
          <w:color w:val="FF0000"/>
          <w:strike w:val="1"/>
        </w:rPr>
        <w:t xml:space="preserve">Section 10.2 </w:t>
      </w:r>
      <w:r>
        <w:rPr>
          <w:rFonts w:ascii="Times New Roman" w:cs="Times New Roman" w:eastAsia="Times New Roman" w:hAnsi="Times New Roman"/>
          <w:sz w:val="18"/>
          <w:szCs w:val="18"/>
          <w:u w:val="single" w:color="auto"/>
          <w:color w:val="FF0000"/>
          <w:strike w:val="1"/>
        </w:rPr>
        <w:t>Liability</w:t>
      </w:r>
      <w:r>
        <w:rPr>
          <w:rFonts w:ascii="Times New Roman" w:cs="Times New Roman" w:eastAsia="Times New Roman" w:hAnsi="Times New Roman"/>
          <w:sz w:val="18"/>
          <w:szCs w:val="18"/>
          <w:color w:val="FF0000"/>
          <w:strike w:val="1"/>
        </w:rPr>
        <w:t xml:space="preserve">. To the fullest extent permitted by law, no stockholder and no Director will be liable to the Corporation or its subsidiaries or stockholders for breach of any duty solely by reason of any activities or omissions of the types referred to in this </w:t>
      </w:r>
      <w:r>
        <w:rPr>
          <w:rFonts w:ascii="Times New Roman" w:cs="Times New Roman" w:eastAsia="Times New Roman" w:hAnsi="Times New Roman"/>
          <w:sz w:val="18"/>
          <w:szCs w:val="18"/>
          <w:u w:val="single" w:color="auto"/>
          <w:color w:val="FF0000"/>
          <w:strike w:val="1"/>
        </w:rPr>
        <w:t>Article X</w:t>
      </w:r>
      <w:r>
        <w:rPr>
          <w:rFonts w:ascii="Times New Roman" w:cs="Times New Roman" w:eastAsia="Times New Roman" w:hAnsi="Times New Roman"/>
          <w:sz w:val="18"/>
          <w:szCs w:val="18"/>
          <w:color w:val="FF0000"/>
          <w:strike w:val="1"/>
        </w:rPr>
        <w:t xml:space="preserve">, except to the extent such actions or omissions are in breach of this </w:t>
      </w:r>
      <w:r>
        <w:rPr>
          <w:rFonts w:ascii="Times New Roman" w:cs="Times New Roman" w:eastAsia="Times New Roman" w:hAnsi="Times New Roman"/>
          <w:sz w:val="18"/>
          <w:szCs w:val="18"/>
          <w:u w:val="single" w:color="auto"/>
          <w:color w:val="FF0000"/>
          <w:strike w:val="1"/>
        </w:rPr>
        <w:t>Article X</w:t>
      </w:r>
      <w:r>
        <w:rPr>
          <w:rFonts w:ascii="Times New Roman" w:cs="Times New Roman" w:eastAsia="Times New Roman" w:hAnsi="Times New Roman"/>
          <w:sz w:val="18"/>
          <w:szCs w:val="18"/>
          <w:color w:val="FF0000"/>
          <w:strike w:val="1"/>
        </w:rPr>
        <w:t>.</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B-10</w:t>
      </w:r>
    </w:p>
    <w:p>
      <w:pPr>
        <w:spacing w:after="0" w:line="383" w:lineRule="exact"/>
        <w:rPr>
          <w:sz w:val="20"/>
          <w:szCs w:val="20"/>
          <w:color w:val="auto"/>
        </w:rPr>
      </w:pPr>
    </w:p>
    <w:p>
      <w:pPr>
        <w:jc w:val="center"/>
        <w:ind w:left="1200" w:right="440"/>
        <w:spacing w:after="0" w:line="270" w:lineRule="auto"/>
        <w:rPr>
          <w:sz w:val="20"/>
          <w:szCs w:val="20"/>
          <w:color w:val="auto"/>
        </w:rPr>
      </w:pPr>
      <w:r>
        <w:rPr>
          <w:rFonts w:ascii="Arial" w:cs="Arial" w:eastAsia="Arial" w:hAnsi="Arial"/>
          <w:sz w:val="20"/>
          <w:szCs w:val="20"/>
          <w:b w:val="1"/>
          <w:bCs w:val="1"/>
          <w:color w:val="FF0000"/>
          <w:strike w:val="1"/>
        </w:rPr>
        <w:t>TWELFTH</w:t>
      </w:r>
      <w:r>
        <w:rPr>
          <w:rFonts w:ascii="Arial" w:cs="Arial" w:eastAsia="Arial" w:hAnsi="Arial"/>
          <w:sz w:val="20"/>
          <w:szCs w:val="20"/>
          <w:b w:val="1"/>
          <w:bCs w:val="1"/>
          <w:color w:val="FF0000"/>
        </w:rPr>
        <w:t xml:space="preserve"> </w:t>
      </w:r>
      <w:r>
        <w:rPr>
          <w:rFonts w:ascii="Arial" w:cs="Arial" w:eastAsia="Arial" w:hAnsi="Arial"/>
          <w:sz w:val="20"/>
          <w:szCs w:val="20"/>
          <w:b w:val="1"/>
          <w:bCs w:val="1"/>
          <w:u w:val="single" w:color="auto"/>
          <w:color w:val="0000FF"/>
        </w:rPr>
        <w:t>THIRTEENTH</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000000"/>
        </w:rPr>
        <w:t>AMENDED AND RESTATED CERTIFICATE OF INCORPORATION OF</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000000"/>
        </w:rPr>
        <w:t>RENT THE RUNWAY, INC.</w:t>
      </w:r>
    </w:p>
    <w:p>
      <w:pPr>
        <w:spacing w:after="0" w:line="55" w:lineRule="exact"/>
        <w:rPr>
          <w:sz w:val="20"/>
          <w:szCs w:val="20"/>
          <w:color w:val="auto"/>
        </w:rPr>
      </w:pPr>
    </w:p>
    <w:p>
      <w:pPr>
        <w:ind w:left="20" w:firstLine="360"/>
        <w:spacing w:after="0" w:line="282" w:lineRule="auto"/>
        <w:rPr>
          <w:sz w:val="20"/>
          <w:szCs w:val="20"/>
          <w:color w:val="auto"/>
        </w:rPr>
      </w:pPr>
      <w:r>
        <w:rPr>
          <w:rFonts w:ascii="Times New Roman" w:cs="Times New Roman" w:eastAsia="Times New Roman" w:hAnsi="Times New Roman"/>
          <w:sz w:val="18"/>
          <w:szCs w:val="18"/>
          <w:color w:val="auto"/>
        </w:rPr>
        <w:t>Rent the Runway, Inc., a corporation organized and existing under the laws of the State of Delaware, hereby certifies as follows:</w:t>
      </w:r>
    </w:p>
    <w:p>
      <w:pPr>
        <w:spacing w:after="0" w:line="54" w:lineRule="exact"/>
        <w:rPr>
          <w:sz w:val="20"/>
          <w:szCs w:val="20"/>
          <w:color w:val="auto"/>
        </w:rPr>
      </w:pPr>
    </w:p>
    <w:p>
      <w:pPr>
        <w:ind w:left="20" w:firstLine="361"/>
        <w:spacing w:after="0" w:line="282" w:lineRule="auto"/>
        <w:tabs>
          <w:tab w:leader="none" w:pos="5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was originally incorporated pursuant to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on March 3, 2009, under the name Rent the Runway, Inc.</w:t>
      </w:r>
    </w:p>
    <w:p>
      <w:pPr>
        <w:spacing w:after="0" w:line="53" w:lineRule="exact"/>
        <w:rPr>
          <w:rFonts w:ascii="Times New Roman" w:cs="Times New Roman" w:eastAsia="Times New Roman" w:hAnsi="Times New Roman"/>
          <w:sz w:val="18"/>
          <w:szCs w:val="18"/>
          <w:color w:val="auto"/>
        </w:rPr>
      </w:pPr>
    </w:p>
    <w:p>
      <w:pPr>
        <w:jc w:val="both"/>
        <w:ind w:left="20" w:firstLine="361"/>
        <w:spacing w:after="0" w:line="258" w:lineRule="auto"/>
        <w:tabs>
          <w:tab w:leader="none" w:pos="5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is filing this </w:t>
      </w:r>
      <w:r>
        <w:rPr>
          <w:rFonts w:ascii="Times New Roman" w:cs="Times New Roman" w:eastAsia="Times New Roman" w:hAnsi="Times New Roman"/>
          <w:sz w:val="18"/>
          <w:szCs w:val="18"/>
          <w:color w:val="FF0000"/>
          <w:strike w:val="1"/>
        </w:rPr>
        <w:t>Twelfth</w:t>
      </w:r>
      <w:r>
        <w:rPr>
          <w:rFonts w:ascii="Times New Roman" w:cs="Times New Roman" w:eastAsia="Times New Roman" w:hAnsi="Times New Roman"/>
          <w:sz w:val="18"/>
          <w:szCs w:val="18"/>
          <w:u w:val="single" w:color="auto"/>
          <w:color w:val="0000FF"/>
        </w:rPr>
        <w:t>Thirteenth</w:t>
      </w:r>
      <w:r>
        <w:rPr>
          <w:rFonts w:ascii="Times New Roman" w:cs="Times New Roman" w:eastAsia="Times New Roman" w:hAnsi="Times New Roman"/>
          <w:sz w:val="18"/>
          <w:szCs w:val="18"/>
          <w:color w:val="auto"/>
        </w:rPr>
        <w:t xml:space="preserve"> Amended and Restated Certificate of Incorporation of the Corporation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xml:space="preserve">”), which restates, integrates and further amends the </w:t>
      </w:r>
      <w:r>
        <w:rPr>
          <w:rFonts w:ascii="Times New Roman" w:cs="Times New Roman" w:eastAsia="Times New Roman" w:hAnsi="Times New Roman"/>
          <w:sz w:val="18"/>
          <w:szCs w:val="18"/>
          <w:color w:val="FF0000"/>
          <w:strike w:val="1"/>
        </w:rPr>
        <w:t>Eleventh</w:t>
      </w:r>
      <w:r>
        <w:rPr>
          <w:rFonts w:ascii="Times New Roman" w:cs="Times New Roman" w:eastAsia="Times New Roman" w:hAnsi="Times New Roman"/>
          <w:sz w:val="18"/>
          <w:szCs w:val="18"/>
          <w:u w:val="single" w:color="auto"/>
          <w:color w:val="0000FF"/>
        </w:rPr>
        <w:t>Twelfth</w:t>
      </w:r>
      <w:r>
        <w:rPr>
          <w:rFonts w:ascii="Times New Roman" w:cs="Times New Roman" w:eastAsia="Times New Roman" w:hAnsi="Times New Roman"/>
          <w:sz w:val="18"/>
          <w:szCs w:val="18"/>
          <w:color w:val="auto"/>
        </w:rPr>
        <w:t xml:space="preserve"> Amended and Restated Certificate of Incorporation, as heretofore amended (the “</w:t>
      </w:r>
      <w:r>
        <w:rPr>
          <w:rFonts w:ascii="Times New Roman" w:cs="Times New Roman" w:eastAsia="Times New Roman" w:hAnsi="Times New Roman"/>
          <w:sz w:val="18"/>
          <w:szCs w:val="18"/>
          <w:b w:val="1"/>
          <w:bCs w:val="1"/>
          <w:i w:val="1"/>
          <w:iCs w:val="1"/>
          <w:color w:val="auto"/>
        </w:rPr>
        <w:t>Prior Certificate</w:t>
      </w:r>
      <w:r>
        <w:rPr>
          <w:rFonts w:ascii="Times New Roman" w:cs="Times New Roman" w:eastAsia="Times New Roman" w:hAnsi="Times New Roman"/>
          <w:sz w:val="18"/>
          <w:szCs w:val="18"/>
          <w:color w:val="auto"/>
        </w:rPr>
        <w:t>”), and which was duly adopted by all necessary action of the Board of Directors of the Corporation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and the stockholders of the Corporation in accordance with the provisions of Sections 242</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245 </w:t>
      </w:r>
      <w:r>
        <w:rPr>
          <w:rFonts w:ascii="Times New Roman" w:cs="Times New Roman" w:eastAsia="Times New Roman" w:hAnsi="Times New Roman"/>
          <w:sz w:val="18"/>
          <w:szCs w:val="18"/>
          <w:color w:val="FF0000"/>
          <w:strike w:val="1"/>
        </w:rPr>
        <w:t>and 228</w:t>
      </w:r>
      <w:r>
        <w:rPr>
          <w:rFonts w:ascii="Times New Roman" w:cs="Times New Roman" w:eastAsia="Times New Roman" w:hAnsi="Times New Roman"/>
          <w:sz w:val="18"/>
          <w:szCs w:val="18"/>
          <w:color w:val="auto"/>
        </w:rPr>
        <w:t xml:space="preserve"> of the DGCL.</w:t>
      </w:r>
    </w:p>
    <w:p>
      <w:pPr>
        <w:spacing w:after="0" w:line="75" w:lineRule="exact"/>
        <w:rPr>
          <w:rFonts w:ascii="Times New Roman" w:cs="Times New Roman" w:eastAsia="Times New Roman" w:hAnsi="Times New Roman"/>
          <w:sz w:val="18"/>
          <w:szCs w:val="18"/>
          <w:color w:val="auto"/>
        </w:rPr>
      </w:pPr>
    </w:p>
    <w:p>
      <w:pPr>
        <w:ind w:left="20" w:firstLine="361"/>
        <w:spacing w:after="0" w:line="282" w:lineRule="auto"/>
        <w:tabs>
          <w:tab w:leader="none" w:pos="5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Prior Certificate is hereby amended and restated in its entirety by this Certificate of Incorporation to read in full as follows: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name of the corporation is Rent the Runway,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II.</w:t>
      </w:r>
    </w:p>
    <w:p>
      <w:pPr>
        <w:spacing w:after="0" w:line="99" w:lineRule="exact"/>
        <w:rPr>
          <w:sz w:val="20"/>
          <w:szCs w:val="20"/>
          <w:color w:val="auto"/>
        </w:rPr>
      </w:pPr>
    </w:p>
    <w:p>
      <w:pPr>
        <w:jc w:val="both"/>
        <w:ind w:left="20" w:firstLine="36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Corporation Trust Center, 1209 Orange St., Wilmington, County of New Castle, Delaware 19801 and its registered agent at such address is The Corporation Trust Company.</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III.</w:t>
      </w:r>
    </w:p>
    <w:p>
      <w:pPr>
        <w:spacing w:after="0" w:line="99" w:lineRule="exact"/>
        <w:rPr>
          <w:sz w:val="20"/>
          <w:szCs w:val="20"/>
          <w:color w:val="auto"/>
        </w:rPr>
      </w:pPr>
    </w:p>
    <w:p>
      <w:pPr>
        <w:jc w:val="both"/>
        <w:ind w:left="20"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Purposes</w:t>
      </w:r>
      <w:r>
        <w:rPr>
          <w:rFonts w:ascii="Times New Roman" w:cs="Times New Roman" w:eastAsia="Times New Roman" w:hAnsi="Times New Roman"/>
          <w:sz w:val="18"/>
          <w:szCs w:val="18"/>
          <w:color w:val="auto"/>
        </w:rPr>
        <w:t>. The nature of the business of the Corporation and the objects or purposes to be transacted, promoted or carried on by the Corporation is to engage in any lawful act or activity for which corporations may be organized under the DGCL, including, without limitation, (i) exercising all rights, powers, privileges and other incidents of ownership or possession with respect to the Corporation’s assets, including managing, holding, selling and disposing of such assets and (ii) engaging in any other activities incidental or ancillary thereto.</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IV.</w:t>
      </w:r>
    </w:p>
    <w:p>
      <w:pPr>
        <w:spacing w:after="0" w:line="99"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18"/>
          <w:szCs w:val="18"/>
          <w:color w:val="FF0000"/>
          <w:strike w:val="1"/>
        </w:rPr>
        <w:t xml:space="preserve">Section 4.1 </w:t>
      </w:r>
      <w:r>
        <w:rPr>
          <w:rFonts w:ascii="Times New Roman" w:cs="Times New Roman" w:eastAsia="Times New Roman" w:hAnsi="Times New Roman"/>
          <w:sz w:val="18"/>
          <w:szCs w:val="18"/>
          <w:u w:val="single" w:color="auto"/>
          <w:color w:val="FF0000"/>
          <w:strike w:val="1"/>
        </w:rPr>
        <w:t>Authorized Stock</w:t>
      </w:r>
      <w:r>
        <w:rPr>
          <w:rFonts w:ascii="Times New Roman" w:cs="Times New Roman" w:eastAsia="Times New Roman" w:hAnsi="Times New Roman"/>
          <w:sz w:val="18"/>
          <w:szCs w:val="18"/>
          <w:color w:val="FF0000"/>
          <w:strike w:val="1"/>
        </w:rPr>
        <w:t>. That, effective as of 5 p.m. Eastern Time on the date this Certificate of Amendment of Amended and Restated Certificate of Incorporation is filed with the Office of the Secretary of State of the State of Delaware (the “Effective Time”), a one for 20 reverse stock split of the Corporation’s Class A Common Stock (as defined below) and Class B Common Stock (as defined below) shall become effective, pursuant to which: (i) each 20 shares of Class A Common Stock outstanding and held of record by each stockholder of the Corporation (including treasury shares) immediately prior to the Effective Time shall be reclassified and combined into one validly issued, fully paid and nonassessable share of Class A Common Stock automatically and without any action by the holder thereof upon the Effective Time and shall represent one share of Class A Common Stock from and after the Effective Time and (ii) each 20 shares of Class B Common Stock outstanding and held of record by each stockholder of the Corporation (including treasury shares) immediately prior to the Effective Time shall be reclassified and combined into one validly issued, fully paid and nonassessable share of Class B Common Stock automatically and without any action by the holder thereof upon the Effective Time and shall represent one share of Class B Common Stock from and after the Effective Time (such reclassification and combination of shares, the “Reverse Stock Split”). The par value of the Class A Common Stock and Class B Common Stock following the Reverse Stock Split shall remain at $0.001 per share. No fractional shares of Class A Common Stock and Class B Common Stock shall be issued as a result of the Reverse Stock Split. In lieu thereof, (i) with respect to holders of one or more certificates which formerly represented shares of Class A Common Stock or Class B Common Stock that were issued and outstanding immediately prior to the Effective Time, upon surrender after the Effective Time of such certificate or certificates, any holder who would otherwise be entitled to a fractional share of Class A Common Stock or Class B Common Stock as a result of the Reverse Stock Split, following the Effective Time, shall be entitled to receive a cash payment (the “Fractional Share Payment”) equal to the fraction of which such holder would otherwise be entitled multiplied by the closing price per share as reported by The Nasdaq Stock Market LLC (as adjusted to give effect to the Reverse Stock Split) on the date</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FF0000"/>
          <w:strike w:val="1"/>
        </w:rPr>
        <w:t>of the Effective Time; provided that, whether or not fractional shares would be issuable as a result of the Reverse Stock Split shall be determined on the basis of (a) the total number of shares of Class A Common Stock or Class B Common Stock that were issued and outstanding immediately prior to the Effective Time formerly represented by certificates that the holder is at the time surrendering and (b) the aggregate number of shares of Class A Common Stock or Class B Common Stock after the Effective Time into which the shares of Common Stock formerly represented by such certificates shall have been reclassified; and (ii) with respect to holders of shares of Class A Common Stock or Class B Common Stock in book entry form in the records of the Company’s transfer agent that were issued and outstanding immediately prior to the Effective Time, any holder who would otherwise be entitled to a fractional share of Common Stock as a result of the Reverse Stock Split, following the Effective Time, shall be entitled to receive the Fractional Share Payment automatically and without any action by the holder.</w:t>
      </w:r>
    </w:p>
    <w:p>
      <w:pPr>
        <w:spacing w:after="0" w:line="80" w:lineRule="exact"/>
        <w:rPr>
          <w:sz w:val="20"/>
          <w:szCs w:val="20"/>
          <w:color w:val="auto"/>
        </w:rPr>
      </w:pPr>
    </w:p>
    <w:p>
      <w:pPr>
        <w:jc w:val="both"/>
        <w:ind w:left="20" w:firstLine="360"/>
        <w:spacing w:after="0" w:line="261" w:lineRule="auto"/>
        <w:rPr>
          <w:sz w:val="20"/>
          <w:szCs w:val="20"/>
          <w:color w:val="auto"/>
        </w:rPr>
      </w:pPr>
      <w:r>
        <w:rPr>
          <w:rFonts w:ascii="Times New Roman" w:cs="Times New Roman" w:eastAsia="Times New Roman" w:hAnsi="Times New Roman"/>
          <w:sz w:val="18"/>
          <w:szCs w:val="18"/>
          <w:u w:val="single" w:color="auto"/>
          <w:color w:val="0000FF"/>
        </w:rPr>
        <w:t>Section 4.1 Authorized Stock.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total number of shares of all classes of stock that the Corporation is authorized to issue 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three hundred </w:t>
      </w:r>
      <w:r>
        <w:rPr>
          <w:rFonts w:ascii="Times New Roman" w:cs="Times New Roman" w:eastAsia="Times New Roman" w:hAnsi="Times New Roman"/>
          <w:sz w:val="18"/>
          <w:szCs w:val="18"/>
          <w:color w:val="FF0000"/>
          <w:strike w:val="1"/>
        </w:rPr>
        <w:t>and sixty</w:t>
      </w:r>
      <w:r>
        <w:rPr>
          <w:rFonts w:ascii="Times New Roman" w:cs="Times New Roman" w:eastAsia="Times New Roman" w:hAnsi="Times New Roman"/>
          <w:sz w:val="18"/>
          <w:szCs w:val="18"/>
          <w:color w:val="000000"/>
        </w:rPr>
        <w:t xml:space="preserve"> million (</w:t>
      </w:r>
      <w:r>
        <w:rPr>
          <w:rFonts w:ascii="Times New Roman" w:cs="Times New Roman" w:eastAsia="Times New Roman" w:hAnsi="Times New Roman"/>
          <w:sz w:val="18"/>
          <w:szCs w:val="18"/>
          <w:color w:val="FF0000"/>
          <w:strike w:val="1"/>
        </w:rPr>
        <w:t>360,000,000</w:t>
      </w:r>
      <w:r>
        <w:rPr>
          <w:rFonts w:ascii="Times New Roman" w:cs="Times New Roman" w:eastAsia="Times New Roman" w:hAnsi="Times New Roman"/>
          <w:sz w:val="18"/>
          <w:szCs w:val="18"/>
          <w:u w:val="single" w:color="auto"/>
          <w:color w:val="0000FF"/>
        </w:rPr>
        <w:t>300,000,000</w:t>
      </w:r>
      <w:r>
        <w:rPr>
          <w:rFonts w:ascii="Times New Roman" w:cs="Times New Roman" w:eastAsia="Times New Roman" w:hAnsi="Times New Roman"/>
          <w:sz w:val="18"/>
          <w:szCs w:val="18"/>
          <w:color w:val="000000"/>
        </w:rPr>
        <w:t>), consisting of</w:t>
      </w:r>
      <w:r>
        <w:rPr>
          <w:rFonts w:ascii="Times New Roman" w:cs="Times New Roman" w:eastAsia="Times New Roman" w:hAnsi="Times New Roman"/>
          <w:sz w:val="18"/>
          <w:szCs w:val="18"/>
          <w:color w:val="FF0000"/>
          <w:strike w:val="1"/>
        </w:rPr>
        <w:t>:</w:t>
      </w:r>
    </w:p>
    <w:p>
      <w:pPr>
        <w:jc w:val="both"/>
        <w:ind w:left="20" w:firstLine="360"/>
        <w:spacing w:after="0" w:line="260" w:lineRule="auto"/>
        <w:rPr>
          <w:sz w:val="20"/>
          <w:szCs w:val="20"/>
          <w:color w:val="auto"/>
        </w:rPr>
      </w:pPr>
      <w:r>
        <w:rPr>
          <w:rFonts w:ascii="Times New Roman" w:cs="Times New Roman" w:eastAsia="Times New Roman" w:hAnsi="Times New Roman"/>
          <w:sz w:val="18"/>
          <w:szCs w:val="18"/>
          <w:u w:val="single" w:color="auto"/>
          <w:color w:val="0000FF"/>
        </w:rPr>
        <w:t>three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 Three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hundred million (300,000,000) shares of Class A common stock, with a par value of $0.001 per share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Class A Common Stock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strike w:val="1"/>
        </w:rPr>
        <w:t>; 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p>
    <w:p>
      <w:pPr>
        <w:spacing w:after="0" w:line="69" w:lineRule="exact"/>
        <w:rPr>
          <w:sz w:val="20"/>
          <w:szCs w:val="20"/>
          <w:color w:val="auto"/>
        </w:rPr>
      </w:pPr>
    </w:p>
    <w:p>
      <w:pPr>
        <w:ind w:left="20" w:firstLine="721"/>
        <w:spacing w:after="0" w:line="286" w:lineRule="auto"/>
        <w:tabs>
          <w:tab w:leader="none" w:pos="1023" w:val="left"/>
        </w:tabs>
        <w:numPr>
          <w:ilvl w:val="0"/>
          <w:numId w:val="5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Fifty million (50,000,000) shares of Class B common stock, with a par value of $0.001</w:t>
      </w:r>
      <w:r>
        <w:rPr>
          <w:rFonts w:ascii="Times New Roman" w:cs="Times New Roman" w:eastAsia="Times New Roman" w:hAnsi="Times New Roman"/>
          <w:sz w:val="18"/>
          <w:szCs w:val="18"/>
          <w:color w:val="FF0000"/>
        </w:rPr>
        <w:t xml:space="preserve"> per share (the “</w:t>
      </w:r>
      <w:r>
        <w:rPr>
          <w:rFonts w:ascii="Times New Roman" w:cs="Times New Roman" w:eastAsia="Times New Roman" w:hAnsi="Times New Roman"/>
          <w:sz w:val="18"/>
          <w:szCs w:val="18"/>
          <w:b w:val="1"/>
          <w:bCs w:val="1"/>
          <w:i w:val="1"/>
          <w:iCs w:val="1"/>
          <w:color w:val="FF0000"/>
        </w:rPr>
        <w:t>Class B</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i w:val="1"/>
          <w:iCs w:val="1"/>
          <w:color w:val="FF0000"/>
        </w:rPr>
        <w:t>Common Stock</w:t>
      </w:r>
      <w:r>
        <w:rPr>
          <w:rFonts w:ascii="Times New Roman" w:cs="Times New Roman" w:eastAsia="Times New Roman" w:hAnsi="Times New Roman"/>
          <w:sz w:val="18"/>
          <w:szCs w:val="18"/>
          <w:color w:val="FF0000"/>
        </w:rPr>
        <w:t>”, and together with the Class A Common Stock, the “</w:t>
      </w:r>
      <w:r>
        <w:rPr>
          <w:rFonts w:ascii="Times New Roman" w:cs="Times New Roman" w:eastAsia="Times New Roman" w:hAnsi="Times New Roman"/>
          <w:sz w:val="18"/>
          <w:szCs w:val="18"/>
          <w:b w:val="1"/>
          <w:bCs w:val="1"/>
          <w:i w:val="1"/>
          <w:iCs w:val="1"/>
          <w:color w:val="FF0000"/>
        </w:rPr>
        <w:t xml:space="preserve">Common </w:t>
      </w:r>
      <w:r>
        <w:rPr>
          <w:rFonts w:ascii="Times New Roman" w:cs="Times New Roman" w:eastAsia="Times New Roman" w:hAnsi="Times New Roman"/>
          <w:sz w:val="18"/>
          <w:szCs w:val="18"/>
          <w:b w:val="1"/>
          <w:bCs w:val="1"/>
          <w:i w:val="1"/>
          <w:iCs w:val="1"/>
          <w:color w:val="FF0000"/>
          <w:strike w:val="1"/>
        </w:rPr>
        <w:t>Stock</w:t>
      </w:r>
      <w:r>
        <w:rPr>
          <w:rFonts w:ascii="Times New Roman" w:cs="Times New Roman" w:eastAsia="Times New Roman" w:hAnsi="Times New Roman"/>
          <w:sz w:val="18"/>
          <w:szCs w:val="18"/>
          <w:color w:val="FF0000"/>
          <w:strike w:val="1"/>
        </w:rPr>
        <w:t>”).</w:t>
      </w:r>
    </w:p>
    <w:p>
      <w:pPr>
        <w:spacing w:after="0" w:line="87" w:lineRule="exact"/>
        <w:rPr>
          <w:rFonts w:ascii="Times New Roman" w:cs="Times New Roman" w:eastAsia="Times New Roman" w:hAnsi="Times New Roman"/>
          <w:sz w:val="18"/>
          <w:szCs w:val="18"/>
          <w:color w:val="FF0000"/>
          <w:strike w:val="1"/>
        </w:rPr>
      </w:pPr>
    </w:p>
    <w:p>
      <w:pPr>
        <w:ind w:left="980" w:hanging="239"/>
        <w:spacing w:after="0"/>
        <w:tabs>
          <w:tab w:leader="none" w:pos="980" w:val="left"/>
        </w:tabs>
        <w:numPr>
          <w:ilvl w:val="0"/>
          <w:numId w:val="5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ten million (10,000,000) shares of preferred stock, with a par value of $0.001 per share (the “</w:t>
      </w:r>
      <w:r>
        <w:rPr>
          <w:rFonts w:ascii="Times New Roman" w:cs="Times New Roman" w:eastAsia="Times New Roman" w:hAnsi="Times New Roman"/>
          <w:sz w:val="18"/>
          <w:szCs w:val="18"/>
          <w:b w:val="1"/>
          <w:bCs w:val="1"/>
          <w:i w:val="1"/>
          <w:iCs w:val="1"/>
          <w:color w:val="FF0000"/>
          <w:strike w:val="1"/>
        </w:rPr>
        <w:t>Preferred Stock</w:t>
      </w:r>
      <w:r>
        <w:rPr>
          <w:rFonts w:ascii="Times New Roman" w:cs="Times New Roman" w:eastAsia="Times New Roman" w:hAnsi="Times New Roman"/>
          <w:sz w:val="18"/>
          <w:szCs w:val="18"/>
          <w:color w:val="FF0000"/>
          <w:strike w:val="1"/>
        </w:rPr>
        <w:t>”).</w:t>
      </w:r>
    </w:p>
    <w:p>
      <w:pPr>
        <w:spacing w:after="0" w:line="121" w:lineRule="exact"/>
        <w:rPr>
          <w:sz w:val="20"/>
          <w:szCs w:val="20"/>
          <w:color w:val="auto"/>
        </w:rPr>
      </w:pPr>
    </w:p>
    <w:p>
      <w:pPr>
        <w:jc w:val="both"/>
        <w:ind w:left="20" w:firstLine="360"/>
        <w:spacing w:after="0" w:line="254" w:lineRule="auto"/>
        <w:rPr>
          <w:sz w:val="20"/>
          <w:szCs w:val="20"/>
          <w:color w:val="auto"/>
        </w:rPr>
      </w:pPr>
      <w:r>
        <w:rPr>
          <w:rFonts w:ascii="Times New Roman" w:cs="Times New Roman" w:eastAsia="Times New Roman" w:hAnsi="Times New Roman"/>
          <w:sz w:val="18"/>
          <w:szCs w:val="18"/>
          <w:color w:val="FF0000"/>
          <w:strike w:val="1"/>
        </w:rPr>
        <w:t xml:space="preserve">Section 4.2 </w:t>
      </w:r>
      <w:r>
        <w:rPr>
          <w:rFonts w:ascii="Times New Roman" w:cs="Times New Roman" w:eastAsia="Times New Roman" w:hAnsi="Times New Roman"/>
          <w:sz w:val="18"/>
          <w:szCs w:val="18"/>
          <w:u w:val="single" w:color="auto"/>
          <w:color w:val="FF0000"/>
          <w:strike w:val="1"/>
        </w:rPr>
        <w:t>Reclassification of Common Stock</w:t>
      </w:r>
      <w:r>
        <w:rPr>
          <w:rFonts w:ascii="Times New Roman" w:cs="Times New Roman" w:eastAsia="Times New Roman" w:hAnsi="Times New Roman"/>
          <w:sz w:val="18"/>
          <w:szCs w:val="18"/>
          <w:color w:val="FF0000"/>
          <w:strike w:val="1"/>
        </w:rPr>
        <w:t>. Upon the filing and effectiveness of this Certificate of Incorporation with the Secretary of State of the State of Delaware (the “</w:t>
      </w:r>
      <w:r>
        <w:rPr>
          <w:rFonts w:ascii="Times New Roman" w:cs="Times New Roman" w:eastAsia="Times New Roman" w:hAnsi="Times New Roman"/>
          <w:sz w:val="18"/>
          <w:szCs w:val="18"/>
          <w:b w:val="1"/>
          <w:bCs w:val="1"/>
          <w:i w:val="1"/>
          <w:iCs w:val="1"/>
          <w:color w:val="FF0000"/>
          <w:strike w:val="1"/>
        </w:rPr>
        <w:t>Effective Time</w:t>
      </w:r>
      <w:r>
        <w:rPr>
          <w:rFonts w:ascii="Times New Roman" w:cs="Times New Roman" w:eastAsia="Times New Roman" w:hAnsi="Times New Roman"/>
          <w:sz w:val="18"/>
          <w:szCs w:val="18"/>
          <w:color w:val="FF0000"/>
          <w:strike w:val="1"/>
        </w:rPr>
        <w:t>”), and without any further action required by the Corporation or its stockholders: (i) each share of Common Stock (as defined in the Prior Certificate) issued and outstanding or held in treasury, immediately prior to the Effective Time, shall be automatically reclassified into one validly issued, fully paid and non-assessable share of Class A Common Stock without any further action by the Corporation or the holder of any such share. Each stock certificate representing shares of Common Stock immediately prior to the Effective Time shall be cancelled without any further action required by the stockholders and the shares of Class A Common Stock into which the shares of Common Stock previously represented by such stock certificate have been reclassified pursuant to this Section 4.2 shall be uncertificated shares.</w:t>
      </w:r>
    </w:p>
    <w:p>
      <w:pPr>
        <w:spacing w:after="0" w:line="84"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18"/>
          <w:szCs w:val="18"/>
          <w:color w:val="FF0000"/>
          <w:strike w:val="1"/>
        </w:rPr>
        <w:t xml:space="preserve">Section 4.3 </w:t>
      </w:r>
      <w:r>
        <w:rPr>
          <w:rFonts w:ascii="Times New Roman" w:cs="Times New Roman" w:eastAsia="Times New Roman" w:hAnsi="Times New Roman"/>
          <w:sz w:val="18"/>
          <w:szCs w:val="18"/>
          <w:u w:val="single" w:color="auto"/>
          <w:color w:val="FF0000"/>
          <w:strike w:val="1"/>
        </w:rPr>
        <w:t>Blank Check Preferred Stock</w:t>
      </w:r>
      <w:r>
        <w:rPr>
          <w:rFonts w:ascii="Times New Roman" w:cs="Times New Roman" w:eastAsia="Times New Roman" w:hAnsi="Times New Roman"/>
          <w:sz w:val="18"/>
          <w:szCs w:val="18"/>
          <w:color w:val="FF0000"/>
          <w:strike w:val="1"/>
        </w:rPr>
        <w:t>. The Board of Directors is authorized, subject to any limitations prescribed by law, to provide, out of the unissued shares of Preferred Stock, for the issuance of shares of Preferred Stock in one or more series, and by filing a certificate pursuant to the applicable law of the State of Delaware (such certificate being hereinafter referred to as a “Preferred Stock Designation”), to establish from time to time the number of shares to be included in each such series and to fix the powers, designations, preferences and relative, participating, optional or other special rights, and qualifications, limitations or restrictions thereof, including, without limitation, the authority to fix or alter the dividend rights, dividend rates, conversion rights, exchange rights, voting powers (which may be full, limited or no voting power), rights and terms of redemption (including sinking and purchase fund provisions), the redemption price or prices, restrictions on the issuance of shares of such series, the dissolution preferences and the rights in respect of any distribution of assets of any wholly unissued series of Preferred Stock and the number of shares constituting any such series, and the designation thereof, or any of them and to increase (but not above the total number of authorized shares of Preferred Stock) or decrease (but not below the number of shares of such series then outstanding) the number of shares of any series so created (except where otherwise provided in the Preferred Stock Designation), subsequent to the issue of that series. In case the authorized number of shares of any series shall be so decreased, the shares constituting such decrease shall resume the status which they had prior to the adoption of the resolution originally fixing the number of shares of such series. There shall be no limitation or restriction on any variation between any of the different series of Preferred Stock as to the designations, powers, preferences and relative, participating, optional or other special rights, and the qualifications, limitations or restrictions thereof; and the several series of Preferred Stock may vary in any and all respects as fixed and determined by the resolution or resolutions of the Board of Directors or by a committee of the Board of Directors, providing for the issuance of the various series of Preferred Stock. Except as otherwise required by law, holders of any series of Preferred Stock shall be entitled only to such voting rights, if any, as shall expressly be granted thereto by this Certificate of Incorporation (including any Preferred Stock Designation).</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Section 4.2 Class A Common Stock.</w:t>
      </w:r>
    </w:p>
    <w:p>
      <w:pPr>
        <w:spacing w:after="0" w:line="117" w:lineRule="exact"/>
        <w:rPr>
          <w:sz w:val="20"/>
          <w:szCs w:val="20"/>
          <w:color w:val="auto"/>
        </w:rPr>
      </w:pPr>
    </w:p>
    <w:p>
      <w:pPr>
        <w:jc w:val="both"/>
        <w:ind w:left="20" w:firstLine="360"/>
        <w:spacing w:after="0" w:line="255" w:lineRule="auto"/>
        <w:rPr>
          <w:sz w:val="20"/>
          <w:szCs w:val="20"/>
          <w:color w:val="auto"/>
        </w:rPr>
      </w:pPr>
      <w:r>
        <w:rPr>
          <w:rFonts w:ascii="Times New Roman" w:cs="Times New Roman" w:eastAsia="Times New Roman" w:hAnsi="Times New Roman"/>
          <w:sz w:val="18"/>
          <w:szCs w:val="18"/>
          <w:color w:val="FF0000"/>
          <w:strike w:val="1"/>
        </w:rPr>
        <w:t xml:space="preserve">Section 4.4 </w:t>
      </w:r>
      <w:r>
        <w:rPr>
          <w:rFonts w:ascii="Times New Roman" w:cs="Times New Roman" w:eastAsia="Times New Roman" w:hAnsi="Times New Roman"/>
          <w:sz w:val="18"/>
          <w:szCs w:val="18"/>
          <w:u w:val="single" w:color="auto"/>
          <w:color w:val="FF0000"/>
          <w:strike w:val="1"/>
        </w:rPr>
        <w:t>Number of Authorized Shares</w:t>
      </w:r>
      <w:r>
        <w:rPr>
          <w:rFonts w:ascii="Times New Roman" w:cs="Times New Roman" w:eastAsia="Times New Roman" w:hAnsi="Times New Roman"/>
          <w:sz w:val="18"/>
          <w:szCs w:val="18"/>
          <w:color w:val="FF0000"/>
          <w:strike w:val="1"/>
        </w:rPr>
        <w:t xml:space="preserve">. Notwithstanding </w:t>
      </w:r>
      <w:r>
        <w:rPr>
          <w:rFonts w:ascii="Times New Roman" w:cs="Times New Roman" w:eastAsia="Times New Roman" w:hAnsi="Times New Roman"/>
          <w:sz w:val="18"/>
          <w:szCs w:val="18"/>
          <w:u w:val="single" w:color="auto"/>
          <w:color w:val="FF0000"/>
          <w:strike w:val="1"/>
        </w:rPr>
        <w:t>Article VIII</w:t>
      </w:r>
      <w:r>
        <w:rPr>
          <w:rFonts w:ascii="Times New Roman" w:cs="Times New Roman" w:eastAsia="Times New Roman" w:hAnsi="Times New Roman"/>
          <w:sz w:val="18"/>
          <w:szCs w:val="18"/>
          <w:color w:val="FF0000"/>
          <w:strike w:val="1"/>
        </w:rPr>
        <w:t xml:space="preserve"> of this Certificate of Incorporation, the number of authorized shares of Class A Common Stock, Class B Common Stock, or Preferred Stock may be increased or decreased (but not below the number of shares thereof then outstanding) by the affirmative vote of the holders of a majority of the voting power of all of the outstanding shares of stock of the Corporation entitled to vote thereon, without a separate vote of any holders of shares of Class A Common Stock, Class B Common Stock or Preferred Stock, or of any series thereof, unless a separate vote of any such holders is required pursuant to the terms of any Preferred Stock Designation, irrespective of the provisions of Section 242(b)(2) of the DGCL.</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20" w:firstLine="360"/>
        <w:spacing w:after="0" w:line="266" w:lineRule="auto"/>
        <w:rPr>
          <w:sz w:val="20"/>
          <w:szCs w:val="20"/>
          <w:color w:val="auto"/>
        </w:rPr>
      </w:pPr>
      <w:r>
        <w:rPr>
          <w:rFonts w:ascii="Times New Roman" w:cs="Times New Roman" w:eastAsia="Times New Roman" w:hAnsi="Times New Roman"/>
          <w:sz w:val="18"/>
          <w:szCs w:val="18"/>
          <w:color w:val="FF0000"/>
          <w:strike w:val="1"/>
        </w:rPr>
        <w:t xml:space="preserve">Section 4.5 </w:t>
      </w:r>
      <w:r>
        <w:rPr>
          <w:rFonts w:ascii="Times New Roman" w:cs="Times New Roman" w:eastAsia="Times New Roman" w:hAnsi="Times New Roman"/>
          <w:sz w:val="18"/>
          <w:szCs w:val="18"/>
          <w:u w:val="single" w:color="auto"/>
          <w:color w:val="FF0000"/>
          <w:strike w:val="1"/>
        </w:rPr>
        <w:t>Class A Common Stock and Class B Common Stock</w:t>
      </w:r>
      <w:r>
        <w:rPr>
          <w:rFonts w:ascii="Times New Roman" w:cs="Times New Roman" w:eastAsia="Times New Roman" w:hAnsi="Times New Roman"/>
          <w:sz w:val="18"/>
          <w:szCs w:val="18"/>
          <w:color w:val="FF0000"/>
          <w:strike w:val="1"/>
        </w:rPr>
        <w:t>. Except as otherwise set forth herein, the powers, preferences and rights of the Class A Common Stock and the Class B Common Stock, and the qualifications, limitations or restrictions thereof shall be identical in all respects.</w:t>
      </w:r>
    </w:p>
    <w:p>
      <w:pPr>
        <w:spacing w:after="0" w:line="176" w:lineRule="exact"/>
        <w:rPr>
          <w:sz w:val="20"/>
          <w:szCs w:val="20"/>
          <w:color w:val="auto"/>
        </w:rPr>
      </w:pPr>
    </w:p>
    <w:p>
      <w:pPr>
        <w:ind w:left="980" w:hanging="239"/>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Except as otherwise required by law,</w:t>
      </w:r>
    </w:p>
    <w:p>
      <w:pPr>
        <w:spacing w:after="0" w:line="117" w:lineRule="exact"/>
        <w:rPr>
          <w:rFonts w:ascii="Times New Roman" w:cs="Times New Roman" w:eastAsia="Times New Roman" w:hAnsi="Times New Roman"/>
          <w:sz w:val="18"/>
          <w:szCs w:val="18"/>
          <w:color w:val="auto"/>
        </w:rPr>
      </w:pPr>
    </w:p>
    <w:p>
      <w:pPr>
        <w:jc w:val="both"/>
        <w:ind w:left="20" w:firstLine="1081"/>
        <w:spacing w:after="0" w:line="266" w:lineRule="auto"/>
        <w:tabs>
          <w:tab w:leader="none" w:pos="1328" w:val="left"/>
        </w:tabs>
        <w:numPr>
          <w:ilvl w:val="1"/>
          <w:numId w:val="52"/>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Each share of Class A Common Stock shall entitle the record holder thereof as of the applicable record date to one (1) vote per share in person or by proxy on all matters submitted to a vote of the holders of Class A Common Stock, whether voting separately as a class or otherwise.</w:t>
      </w:r>
    </w:p>
    <w:p>
      <w:pPr>
        <w:spacing w:after="0" w:line="67" w:lineRule="exact"/>
        <w:rPr>
          <w:rFonts w:ascii="Times New Roman" w:cs="Times New Roman" w:eastAsia="Times New Roman" w:hAnsi="Times New Roman"/>
          <w:sz w:val="18"/>
          <w:szCs w:val="18"/>
          <w:color w:val="auto"/>
          <w:strike w:val="1"/>
        </w:rPr>
      </w:pPr>
    </w:p>
    <w:p>
      <w:pPr>
        <w:jc w:val="both"/>
        <w:ind w:left="20" w:firstLine="1081"/>
        <w:spacing w:after="0" w:line="266" w:lineRule="auto"/>
        <w:tabs>
          <w:tab w:leader="none" w:pos="1378" w:val="left"/>
        </w:tabs>
        <w:numPr>
          <w:ilvl w:val="1"/>
          <w:numId w:val="52"/>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FF0000"/>
          <w:strike w:val="1"/>
        </w:rPr>
        <w:t>Each share</w:t>
      </w:r>
      <w:r>
        <w:rPr>
          <w:rFonts w:ascii="Times New Roman" w:cs="Times New Roman" w:eastAsia="Times New Roman" w:hAnsi="Times New Roman"/>
          <w:sz w:val="18"/>
          <w:szCs w:val="18"/>
          <w:u w:val="single" w:color="auto"/>
          <w:color w:val="0000FF"/>
        </w:rPr>
        <w:t>The holders of shares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of Class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Common Stock shall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entitle the record holder thereof as of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applicable record date to twenty (20) votes per share in person or by proxy</w:t>
      </w:r>
      <w:r>
        <w:rPr>
          <w:rFonts w:ascii="Times New Roman" w:cs="Times New Roman" w:eastAsia="Times New Roman" w:hAnsi="Times New Roman"/>
          <w:sz w:val="18"/>
          <w:szCs w:val="18"/>
          <w:u w:val="single" w:color="auto"/>
          <w:color w:val="0000FF"/>
        </w:rPr>
        <w:t>vote together as a single class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on all matters submitted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 vote of </w:t>
      </w:r>
      <w:r>
        <w:rPr>
          <w:rFonts w:ascii="Times New Roman" w:cs="Times New Roman" w:eastAsia="Times New Roman" w:hAnsi="Times New Roman"/>
          <w:sz w:val="18"/>
          <w:szCs w:val="18"/>
          <w:color w:val="FF0000"/>
          <w:strike w:val="1"/>
        </w:rPr>
        <w:t>the holders of Class B Common Stock, whether voting separately as a class or otherwise</w:t>
      </w:r>
      <w:r>
        <w:rPr>
          <w:rFonts w:ascii="Times New Roman" w:cs="Times New Roman" w:eastAsia="Times New Roman" w:hAnsi="Times New Roman"/>
          <w:sz w:val="18"/>
          <w:szCs w:val="18"/>
          <w:u w:val="single" w:color="auto"/>
          <w:color w:val="0000FF"/>
        </w:rPr>
        <w:t>stockholders of the Corporation</w:t>
      </w:r>
      <w:r>
        <w:rPr>
          <w:rFonts w:ascii="Times New Roman" w:cs="Times New Roman" w:eastAsia="Times New Roman" w:hAnsi="Times New Roman"/>
          <w:sz w:val="18"/>
          <w:szCs w:val="18"/>
          <w:color w:val="0000FF"/>
        </w:rPr>
        <w:t>.</w:t>
      </w:r>
    </w:p>
    <w:p>
      <w:pPr>
        <w:spacing w:after="0" w:line="67" w:lineRule="exact"/>
        <w:rPr>
          <w:rFonts w:ascii="Times New Roman" w:cs="Times New Roman" w:eastAsia="Times New Roman" w:hAnsi="Times New Roman"/>
          <w:sz w:val="18"/>
          <w:szCs w:val="18"/>
          <w:color w:val="auto"/>
          <w:strike w:val="1"/>
        </w:rPr>
      </w:pPr>
    </w:p>
    <w:p>
      <w:pPr>
        <w:jc w:val="both"/>
        <w:ind w:left="20" w:firstLine="1081"/>
        <w:spacing w:after="0" w:line="258" w:lineRule="auto"/>
        <w:tabs>
          <w:tab w:leader="none" w:pos="1430" w:val="left"/>
        </w:tabs>
        <w:numPr>
          <w:ilvl w:val="1"/>
          <w:numId w:val="5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Except as otherwise required in this Certificate of Incorporation as the same may be amended and/or restated from time to time, including by the filing of one or more Preferred Stock Designations or applicable law, the holders of shares of Class A Common Stock, and Class B Common Stock shall vote together as a single class (or, if any holders of shares of Preferred Stock are entitled to vote together with the holders of Class A Common Stock and Class B Common Stock, as a single class with such holders of Preferred Stock) on all matters submitted to a vote of stockholders of the Corporation.</w:t>
      </w:r>
    </w:p>
    <w:p>
      <w:pPr>
        <w:spacing w:after="0" w:line="75" w:lineRule="exact"/>
        <w:rPr>
          <w:rFonts w:ascii="Times New Roman" w:cs="Times New Roman" w:eastAsia="Times New Roman" w:hAnsi="Times New Roman"/>
          <w:sz w:val="18"/>
          <w:szCs w:val="18"/>
          <w:color w:val="FF0000"/>
          <w:strike w:val="1"/>
        </w:rPr>
      </w:pPr>
    </w:p>
    <w:p>
      <w:pPr>
        <w:jc w:val="both"/>
        <w:ind w:left="20" w:firstLine="721"/>
        <w:spacing w:after="0" w:line="252" w:lineRule="auto"/>
        <w:tabs>
          <w:tab w:leader="none" w:pos="9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Subject to applicable law, </w:t>
      </w:r>
      <w:r>
        <w:rPr>
          <w:rFonts w:ascii="Times New Roman" w:cs="Times New Roman" w:eastAsia="Times New Roman" w:hAnsi="Times New Roman"/>
          <w:sz w:val="18"/>
          <w:szCs w:val="18"/>
          <w:color w:val="FF0000"/>
          <w:strike w:val="1"/>
        </w:rPr>
        <w:t>and the rights, if any, of the holders of any outstanding series of Preferred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or any class or series of stock having a preference over or the right to participate with the Class A Common Stock and Class B Common Stock with respect to the payment of dividends, </w:t>
      </w:r>
      <w:r>
        <w:rPr>
          <w:rFonts w:ascii="Times New Roman" w:cs="Times New Roman" w:eastAsia="Times New Roman" w:hAnsi="Times New Roman"/>
          <w:sz w:val="18"/>
          <w:szCs w:val="18"/>
          <w:color w:val="000000"/>
          <w:strike w:val="1"/>
        </w:rPr>
        <w:t>dividends may be declared and paid on the Class A</w:t>
      </w:r>
      <w:r>
        <w:rPr>
          <w:rFonts w:ascii="Times New Roman" w:cs="Times New Roman" w:eastAsia="Times New Roman" w:hAnsi="Times New Roman"/>
          <w:sz w:val="18"/>
          <w:szCs w:val="18"/>
          <w:color w:val="FF0000"/>
          <w:strike w:val="1"/>
        </w:rPr>
        <w:t xml:space="preserve"> Common Stock and Class B </w:t>
      </w:r>
      <w:r>
        <w:rPr>
          <w:rFonts w:ascii="Times New Roman" w:cs="Times New Roman" w:eastAsia="Times New Roman" w:hAnsi="Times New Roman"/>
          <w:sz w:val="18"/>
          <w:szCs w:val="18"/>
          <w:color w:val="000000"/>
          <w:strike w:val="1"/>
        </w:rPr>
        <w:t>Common Stock out of the assets or funds of the Corporation that are by law available therefor, at such times and in such</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amounts as the Board of Directors in its discretion shall determine. </w:t>
      </w:r>
      <w:r>
        <w:rPr>
          <w:rFonts w:ascii="Times New Roman" w:cs="Times New Roman" w:eastAsia="Times New Roman" w:hAnsi="Times New Roman"/>
          <w:sz w:val="18"/>
          <w:szCs w:val="18"/>
          <w:color w:val="FF0000"/>
          <w:strike w:val="1"/>
        </w:rPr>
        <w:t>Dividends may not be declared or paid (x) on the Class A</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 xml:space="preserve">Common Stock unless a dividend of the same amount per share and same type of cash or property (or combination thereof) per share is concurrently declared or paid on the Class B Common Stock or (y) on the Class B Common Stock unless a dividend of the same amount per share and same type of cash or property (or combination thereof) per share is concurrently declared or paid on the Class A Common Stock;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however</w:t>
      </w:r>
      <w:r>
        <w:rPr>
          <w:rFonts w:ascii="Times New Roman" w:cs="Times New Roman" w:eastAsia="Times New Roman" w:hAnsi="Times New Roman"/>
          <w:sz w:val="18"/>
          <w:szCs w:val="18"/>
          <w:color w:val="FF0000"/>
          <w:strike w:val="1"/>
        </w:rPr>
        <w:t>, in the event any dividend is declared or paid in-kind in shares of Class A Common Stock or shares of Class B Common Stock (or rights to acquire such shares, or other securities exercisable, exchangeable or convertible into such shares), as applicable, then the holders of Class A Common Stock will be entitled to receive such dividends only in the form of shares of Class A Common Stock (or rights to acquire such shares, or other securities exercisable, exchangeable or convertible into such shares) and the holders of Class B Common Stock will be entitled to receive such dividend only in the form of shares of Class B Common Stock (or rights to acquire such shares, or other securities exercisable, exchangeable or convertible into such shares) (provided, any such dividend shall be required to be declared and paid at the same rate on the outstanding shares of (i) Class A Common Stock as it is on the outstanding shares of Class B Common Stock and (ii) Class B Common Stock as it is on the outstanding shares of Class A Common Stock).</w:t>
      </w:r>
    </w:p>
    <w:p>
      <w:pPr>
        <w:spacing w:after="0" w:line="85" w:lineRule="exact"/>
        <w:rPr>
          <w:rFonts w:ascii="Times New Roman" w:cs="Times New Roman" w:eastAsia="Times New Roman" w:hAnsi="Times New Roman"/>
          <w:sz w:val="18"/>
          <w:szCs w:val="18"/>
          <w:color w:val="auto"/>
        </w:rPr>
      </w:pPr>
    </w:p>
    <w:p>
      <w:pPr>
        <w:jc w:val="both"/>
        <w:ind w:left="20" w:firstLine="721"/>
        <w:spacing w:after="0" w:line="254" w:lineRule="auto"/>
        <w:tabs>
          <w:tab w:leader="none" w:pos="99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 xml:space="preserve">. In the event of liquidation, dissolution or winding up of the affairs of the Corporation, whether voluntary or involuntary, after payment or provision for payment of the debts and other liabilities of the Corporation </w:t>
      </w:r>
      <w:r>
        <w:rPr>
          <w:rFonts w:ascii="Times New Roman" w:cs="Times New Roman" w:eastAsia="Times New Roman" w:hAnsi="Times New Roman"/>
          <w:sz w:val="18"/>
          <w:szCs w:val="18"/>
          <w:color w:val="FF0000"/>
        </w:rPr>
        <w:t>and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making provisions for preferential and other amounts, if any, to which the holders of Preferred Stock or any class or series of stock having a preference over or the right to participate with the Class A Common Stock and Class B Common Stock with respect to payments in liquidation shall be entitled</w:t>
      </w:r>
      <w:r>
        <w:rPr>
          <w:rFonts w:ascii="Times New Roman" w:cs="Times New Roman" w:eastAsia="Times New Roman" w:hAnsi="Times New Roman"/>
          <w:sz w:val="18"/>
          <w:szCs w:val="18"/>
          <w:color w:val="000000"/>
          <w:strike w:val="1"/>
        </w:rPr>
        <w:t>, the remaining assets and funds of the Corporation available for distribution shall be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divided among and paid ratably to the holders of all outstanding shares of </w:t>
      </w:r>
      <w:r>
        <w:rPr>
          <w:rFonts w:ascii="Times New Roman" w:cs="Times New Roman" w:eastAsia="Times New Roman" w:hAnsi="Times New Roman"/>
          <w:sz w:val="18"/>
          <w:szCs w:val="18"/>
          <w:u w:val="single" w:color="auto"/>
          <w:color w:val="0000FF"/>
          <w:strike w:val="1"/>
        </w:rPr>
        <w:t>Class A</w:t>
      </w:r>
      <w:r>
        <w:rPr>
          <w:rFonts w:ascii="Times New Roman" w:cs="Times New Roman" w:eastAsia="Times New Roman" w:hAnsi="Times New Roman"/>
          <w:sz w:val="18"/>
          <w:szCs w:val="18"/>
          <w:color w:val="000000"/>
          <w:strike w:val="1"/>
        </w:rPr>
        <w:t xml:space="preserve"> Common Stock in proportion to the number of shares held by each such stockholder. A consolidation, reorganization or merger of the Corporation with any other Person or Persons (as defined below), or a sale of all or substantially all of the assets of the Corporation, shall not be considered to be a dissolution, liquidation or winding up of the Corporation within the meaning of this </w:t>
      </w:r>
      <w:r>
        <w:rPr>
          <w:rFonts w:ascii="Times New Roman" w:cs="Times New Roman" w:eastAsia="Times New Roman" w:hAnsi="Times New Roman"/>
          <w:sz w:val="18"/>
          <w:szCs w:val="18"/>
          <w:u w:val="single" w:color="auto"/>
          <w:color w:val="000000"/>
          <w:strike w:val="1"/>
        </w:rPr>
        <w:t>Section</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FF0000"/>
          <w:strike w:val="1"/>
        </w:rPr>
        <w:t>4.5</w:t>
      </w:r>
      <w:r>
        <w:rPr>
          <w:rFonts w:ascii="Times New Roman" w:cs="Times New Roman" w:eastAsia="Times New Roman" w:hAnsi="Times New Roman"/>
          <w:sz w:val="18"/>
          <w:szCs w:val="18"/>
          <w:u w:val="single" w:color="auto"/>
          <w:color w:val="0000FF"/>
          <w:strike w:val="1"/>
        </w:rPr>
        <w:t>4.2</w:t>
      </w:r>
      <w:r>
        <w:rPr>
          <w:rFonts w:ascii="Times New Roman" w:cs="Times New Roman" w:eastAsia="Times New Roman" w:hAnsi="Times New Roman"/>
          <w:sz w:val="18"/>
          <w:szCs w:val="18"/>
          <w:color w:val="000000"/>
          <w:strike w:val="1"/>
        </w:rPr>
        <w:t>(c).</w:t>
      </w:r>
    </w:p>
    <w:p>
      <w:pPr>
        <w:spacing w:after="0" w:line="188" w:lineRule="exact"/>
        <w:rPr>
          <w:rFonts w:ascii="Times New Roman" w:cs="Times New Roman" w:eastAsia="Times New Roman" w:hAnsi="Times New Roman"/>
          <w:sz w:val="18"/>
          <w:szCs w:val="18"/>
          <w:color w:val="auto"/>
        </w:rPr>
      </w:pPr>
    </w:p>
    <w:p>
      <w:pPr>
        <w:ind w:left="1000" w:hanging="259"/>
        <w:spacing w:after="0"/>
        <w:tabs>
          <w:tab w:leader="none" w:pos="1000" w:val="left"/>
        </w:tabs>
        <w:numPr>
          <w:ilvl w:val="0"/>
          <w:numId w:val="52"/>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u w:val="single" w:color="auto"/>
          <w:color w:val="FF0000"/>
          <w:strike w:val="1"/>
        </w:rPr>
        <w:t>Adjustments for Stock Splits or Combinations</w:t>
      </w:r>
      <w:r>
        <w:rPr>
          <w:rFonts w:ascii="Times New Roman" w:cs="Times New Roman" w:eastAsia="Times New Roman" w:hAnsi="Times New Roman"/>
          <w:sz w:val="18"/>
          <w:szCs w:val="18"/>
          <w:color w:val="FF0000"/>
        </w:rPr>
        <w:t>.</w:t>
      </w:r>
    </w:p>
    <w:p>
      <w:pPr>
        <w:spacing w:after="0" w:line="117" w:lineRule="exact"/>
        <w:rPr>
          <w:rFonts w:ascii="Times New Roman" w:cs="Times New Roman" w:eastAsia="Times New Roman" w:hAnsi="Times New Roman"/>
          <w:sz w:val="18"/>
          <w:szCs w:val="18"/>
          <w:color w:val="FF0000"/>
        </w:rPr>
      </w:pPr>
    </w:p>
    <w:p>
      <w:pPr>
        <w:jc w:val="both"/>
        <w:ind w:left="20" w:firstLine="1081"/>
        <w:spacing w:after="0" w:line="255" w:lineRule="auto"/>
        <w:tabs>
          <w:tab w:leader="none" w:pos="1325" w:val="left"/>
        </w:tabs>
        <w:numPr>
          <w:ilvl w:val="1"/>
          <w:numId w:val="5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If at any time or from time to time after the Effective Time, the Corporation effects a subdivision or split of the outstanding shares of the Class A Common Stock into a greater number of shares of Class A Common Stock, the Corporation shall simultaneously effect an equivalent subdivision or split of the outstanding shares of Class B Common Stock into a greater number of shares of Class B Common Stock. If at any time or from time to time after the Effective Time, the Corporation effects a subdivision or split of the outstanding shares of the Class B Common Stock into a greater number of shares of Class B Common Stock, the Corporation shall simultaneously effect an equivalent subdivision or split of the outstanding shares of Class A Common Stock into a greater number of shares of Class A Common Stock.</w:t>
      </w:r>
    </w:p>
    <w:p>
      <w:pPr>
        <w:spacing w:after="0" w:line="80" w:lineRule="exact"/>
        <w:rPr>
          <w:rFonts w:ascii="Times New Roman" w:cs="Times New Roman" w:eastAsia="Times New Roman" w:hAnsi="Times New Roman"/>
          <w:sz w:val="18"/>
          <w:szCs w:val="18"/>
          <w:color w:val="FF0000"/>
          <w:strike w:val="1"/>
        </w:rPr>
      </w:pPr>
    </w:p>
    <w:p>
      <w:pPr>
        <w:jc w:val="both"/>
        <w:ind w:left="20" w:firstLine="1081"/>
        <w:spacing w:after="0" w:line="258" w:lineRule="auto"/>
        <w:tabs>
          <w:tab w:leader="none" w:pos="1397" w:val="left"/>
        </w:tabs>
        <w:numPr>
          <w:ilvl w:val="1"/>
          <w:numId w:val="5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If at any time or from time to time after the Effective Time, the Corporation effects a combination of the outstanding shares of the Class A Common Stock into a smaller number of shares of Class A Common Stock, the Corporation shall simultaneously effect an equivalent combination of the outstanding shares of Class B Common Stock into a smaller number of shares of Class B Common Stock. If at any time or from time to time after the Effective Time, the Corporation effects a combination of the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5581015</wp:posOffset>
            </wp:positionH>
            <wp:positionV relativeFrom="paragraph">
              <wp:posOffset>-3103245</wp:posOffset>
            </wp:positionV>
            <wp:extent cx="4654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65455" cy="8255"/>
                    </a:xfrm>
                    <a:prstGeom prst="rect">
                      <a:avLst/>
                    </a:prstGeom>
                    <a:noFill/>
                  </pic:spPr>
                </pic:pic>
              </a:graphicData>
            </a:graphic>
          </wp:anchor>
        </w:drawing>
      </w: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FF0000"/>
          <w:strike w:val="1"/>
        </w:rPr>
        <w:t>shares of the Class B Common Stock into a smaller number of shares of Class B Common Stock, the Corporation shall simultaneously effect an equivalent combination of the outstanding shares of Class A Common Stock into a smaller number of shares of Class A Common Stock.</w:t>
      </w:r>
    </w:p>
    <w:p>
      <w:pPr>
        <w:spacing w:after="0" w:line="68" w:lineRule="exact"/>
        <w:rPr>
          <w:sz w:val="20"/>
          <w:szCs w:val="20"/>
          <w:color w:val="auto"/>
        </w:rPr>
      </w:pPr>
    </w:p>
    <w:p>
      <w:pPr>
        <w:jc w:val="both"/>
        <w:ind w:left="20" w:firstLine="721"/>
        <w:spacing w:after="0" w:line="266" w:lineRule="auto"/>
        <w:tabs>
          <w:tab w:leader="none" w:pos="984" w:val="left"/>
        </w:tabs>
        <w:numPr>
          <w:ilvl w:val="0"/>
          <w:numId w:val="53"/>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u w:val="single" w:color="auto"/>
          <w:color w:val="FF0000"/>
          <w:strike w:val="1"/>
        </w:rPr>
        <w:t>Class B Common Stock</w:t>
      </w:r>
      <w:r>
        <w:rPr>
          <w:rFonts w:ascii="Times New Roman" w:cs="Times New Roman" w:eastAsia="Times New Roman" w:hAnsi="Times New Roman"/>
          <w:sz w:val="18"/>
          <w:szCs w:val="18"/>
          <w:color w:val="FF0000"/>
          <w:strike w:val="1"/>
        </w:rPr>
        <w:t>. From and after the Effective Time, shares of Class B Common Stock may be issued only to,</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and registered only in the name of any Key Holder and any Person in such Key Holder’s Permitted Ownership Group (any such Person, a “</w:t>
      </w:r>
      <w:r>
        <w:rPr>
          <w:rFonts w:ascii="Times New Roman" w:cs="Times New Roman" w:eastAsia="Times New Roman" w:hAnsi="Times New Roman"/>
          <w:sz w:val="18"/>
          <w:szCs w:val="18"/>
          <w:b w:val="1"/>
          <w:bCs w:val="1"/>
          <w:i w:val="1"/>
          <w:iCs w:val="1"/>
          <w:color w:val="FF0000"/>
          <w:strike w:val="1"/>
        </w:rPr>
        <w:t>Permitted Class B Holder</w:t>
      </w:r>
      <w:r>
        <w:rPr>
          <w:rFonts w:ascii="Times New Roman" w:cs="Times New Roman" w:eastAsia="Times New Roman" w:hAnsi="Times New Roman"/>
          <w:sz w:val="18"/>
          <w:szCs w:val="18"/>
          <w:color w:val="FF0000"/>
          <w:strike w:val="1"/>
        </w:rPr>
        <w:t>”).</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FF0000"/>
          <w:strike w:val="1"/>
        </w:rPr>
        <w:t>Section 4.6</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Transfers of Class B Common Stock</w:t>
      </w:r>
      <w:r>
        <w:rPr>
          <w:rFonts w:ascii="Times New Roman" w:cs="Times New Roman" w:eastAsia="Times New Roman" w:hAnsi="Times New Roman"/>
          <w:sz w:val="18"/>
          <w:szCs w:val="18"/>
          <w:color w:val="FF0000"/>
        </w:rPr>
        <w:t>.</w:t>
      </w:r>
    </w:p>
    <w:p>
      <w:pPr>
        <w:spacing w:after="0" w:line="117" w:lineRule="exact"/>
        <w:rPr>
          <w:sz w:val="20"/>
          <w:szCs w:val="20"/>
          <w:color w:val="auto"/>
        </w:rPr>
      </w:pPr>
    </w:p>
    <w:p>
      <w:pPr>
        <w:jc w:val="both"/>
        <w:ind w:left="20" w:firstLine="721"/>
        <w:spacing w:after="0" w:line="261" w:lineRule="auto"/>
        <w:tabs>
          <w:tab w:leader="none" w:pos="994" w:val="left"/>
        </w:tabs>
        <w:numPr>
          <w:ilvl w:val="0"/>
          <w:numId w:val="5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A Permitted Class B Holder may surrender and transfer shares of such Class B Common Stock, as applicable, to the Corporation for cancellation for no consideration at any time. Following the surrender and transfer, or other acquisition, of any shares of Class B Common Stock to or by the Corporation, the Corporation shall take all actions necessary to cancel and retire such shares and such shares shall not be re-issued by the Corporation.</w:t>
      </w:r>
    </w:p>
    <w:p>
      <w:pPr>
        <w:spacing w:after="0" w:line="71" w:lineRule="exact"/>
        <w:rPr>
          <w:rFonts w:ascii="Times New Roman" w:cs="Times New Roman" w:eastAsia="Times New Roman" w:hAnsi="Times New Roman"/>
          <w:sz w:val="18"/>
          <w:szCs w:val="18"/>
          <w:color w:val="FF0000"/>
          <w:strike w:val="1"/>
        </w:rPr>
      </w:pPr>
    </w:p>
    <w:p>
      <w:pPr>
        <w:jc w:val="both"/>
        <w:ind w:left="20" w:firstLine="721"/>
        <w:spacing w:after="0" w:line="256" w:lineRule="auto"/>
        <w:tabs>
          <w:tab w:leader="none" w:pos="1024" w:val="left"/>
        </w:tabs>
        <w:numPr>
          <w:ilvl w:val="0"/>
          <w:numId w:val="5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If a Permitted Class B Holder Transfers shares of Class B Common Stock to any Person in the same Permitted Ownership Group as such Permitted Class B Holder, such shares shall remain shares of Class B Common Stock upon consummation of such Transfer. If a Permitted Class B Holder Transfers shares of Class B Common Stock to any Person that is not in the same Permitted Ownership Group as such Permitted Class B Holder, such shares shall automatically, without any further action by the Corporation or the holder of any such share, convert into shares of Class A Common Stock, on a one-for-one basis, upon consummation of such Transfer.</w:t>
      </w:r>
    </w:p>
    <w:p>
      <w:pPr>
        <w:spacing w:after="0" w:line="79" w:lineRule="exact"/>
        <w:rPr>
          <w:rFonts w:ascii="Times New Roman" w:cs="Times New Roman" w:eastAsia="Times New Roman" w:hAnsi="Times New Roman"/>
          <w:sz w:val="18"/>
          <w:szCs w:val="18"/>
          <w:color w:val="FF0000"/>
          <w:strike w:val="1"/>
        </w:rPr>
      </w:pPr>
    </w:p>
    <w:p>
      <w:pPr>
        <w:jc w:val="both"/>
        <w:ind w:left="20" w:firstLine="721"/>
        <w:spacing w:after="0" w:line="253" w:lineRule="auto"/>
        <w:tabs>
          <w:tab w:leader="none" w:pos="989" w:val="left"/>
        </w:tabs>
        <w:numPr>
          <w:ilvl w:val="0"/>
          <w:numId w:val="5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If a Permitted Class B Holder, voluntarily or involuntarily (including by way of a foreclosure), purportedly Transfers, or attempts to Transfer, any such shares of Class B Common Stock to any Person that is not in the same Permitted Ownership Group as such Permitted Class B Holder, upon consummation of such Transfer, such shares of Class B Common Stock shall be automatically, without any further action by the Corporation or the holder of any such share, converted into an equal number of shares of Class A Common Stock and the purported transferee of such shares of Class B Common Stock shall not obtain any rights in, to or with respect to such shares of Class B Common Stock (the “</w:t>
      </w:r>
      <w:r>
        <w:rPr>
          <w:rFonts w:ascii="Times New Roman" w:cs="Times New Roman" w:eastAsia="Times New Roman" w:hAnsi="Times New Roman"/>
          <w:sz w:val="18"/>
          <w:szCs w:val="18"/>
          <w:b w:val="1"/>
          <w:bCs w:val="1"/>
          <w:i w:val="1"/>
          <w:iCs w:val="1"/>
          <w:color w:val="FF0000"/>
          <w:strike w:val="1"/>
        </w:rPr>
        <w:t>Class B Restricted Shares</w:t>
      </w:r>
      <w:r>
        <w:rPr>
          <w:rFonts w:ascii="Times New Roman" w:cs="Times New Roman" w:eastAsia="Times New Roman" w:hAnsi="Times New Roman"/>
          <w:sz w:val="18"/>
          <w:szCs w:val="18"/>
          <w:color w:val="FF0000"/>
          <w:strike w:val="1"/>
        </w:rPr>
        <w:t>”) (other than rights in, to or with respect to the shares of Class A Common Stock into which such Class B Restricted Shares are converted), and the purported Transfer of such Class B Restricted Shares shall not be recognized by the Corporation, the transfer agent or the Secretary of the Corporation (other than to the extent necessary to recognize the ownership by the transferee of the shares of Class A Common Stock into which such Class B Restricted Shares are converted).</w:t>
      </w:r>
    </w:p>
    <w:p>
      <w:pPr>
        <w:spacing w:after="0" w:line="86" w:lineRule="exact"/>
        <w:rPr>
          <w:rFonts w:ascii="Times New Roman" w:cs="Times New Roman" w:eastAsia="Times New Roman" w:hAnsi="Times New Roman"/>
          <w:sz w:val="18"/>
          <w:szCs w:val="18"/>
          <w:color w:val="FF0000"/>
          <w:strike w:val="1"/>
        </w:rPr>
      </w:pPr>
    </w:p>
    <w:p>
      <w:pPr>
        <w:jc w:val="both"/>
        <w:ind w:left="20" w:firstLine="721"/>
        <w:spacing w:after="0" w:line="254" w:lineRule="auto"/>
        <w:tabs>
          <w:tab w:leader="none" w:pos="1006" w:val="left"/>
        </w:tabs>
        <w:numPr>
          <w:ilvl w:val="0"/>
          <w:numId w:val="5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Upon a determination by the Corporation that a Permitted Class B Holder has attempted or may attempt to Transfer shares of Class B Common Stock to a Person that is not in the same Permitted Ownership Group as such Permitted Class B Holder, the Corporation may take such action as it deems necessary or advisable to refuse to give effect to such Transfer or acquisition on the books and records of the Corporation, including without limitation to cause the transfer agent or the Secretary of the Corporation, as applicable, to not record the purported transferee as the record owner of the Class B Restricted Shares, and to institute proceedings to enjoin or rescind any such Transfer or acquisition (in each case, other than to the extent necessary to recognize the ownership by the transferee of the shares of Class A Common Stock into which such Class B Restricted Shares are converted).</w:t>
      </w:r>
    </w:p>
    <w:p>
      <w:pPr>
        <w:spacing w:after="0" w:line="83" w:lineRule="exact"/>
        <w:rPr>
          <w:rFonts w:ascii="Times New Roman" w:cs="Times New Roman" w:eastAsia="Times New Roman" w:hAnsi="Times New Roman"/>
          <w:sz w:val="18"/>
          <w:szCs w:val="18"/>
          <w:color w:val="FF0000"/>
          <w:strike w:val="1"/>
        </w:rPr>
      </w:pPr>
    </w:p>
    <w:p>
      <w:pPr>
        <w:jc w:val="both"/>
        <w:ind w:left="20" w:firstLine="721"/>
        <w:spacing w:after="0" w:line="255" w:lineRule="auto"/>
        <w:tabs>
          <w:tab w:leader="none" w:pos="987" w:val="left"/>
        </w:tabs>
        <w:numPr>
          <w:ilvl w:val="0"/>
          <w:numId w:val="5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The Board of Directors may, to the extent permitted by law, from time to time establish, modify, amend or rescind, by bylaw or otherwise, regulations and procedures not inconsistent with the provisions of this </w:t>
      </w:r>
      <w:r>
        <w:rPr>
          <w:rFonts w:ascii="Times New Roman" w:cs="Times New Roman" w:eastAsia="Times New Roman" w:hAnsi="Times New Roman"/>
          <w:sz w:val="18"/>
          <w:szCs w:val="18"/>
          <w:u w:val="single" w:color="auto"/>
          <w:color w:val="FF0000"/>
          <w:strike w:val="1"/>
        </w:rPr>
        <w:t>Section 4.6</w:t>
      </w:r>
      <w:r>
        <w:rPr>
          <w:rFonts w:ascii="Times New Roman" w:cs="Times New Roman" w:eastAsia="Times New Roman" w:hAnsi="Times New Roman"/>
          <w:sz w:val="18"/>
          <w:szCs w:val="18"/>
          <w:color w:val="FF0000"/>
          <w:strike w:val="1"/>
        </w:rPr>
        <w:t xml:space="preserve"> for determining whether any Transfer or acquisition of shares of Class B Common Stock is being made to a Person that is not in the same Permitted Ownership Group as the transferor, and for the orderly application, administration and implementation of the provisions of this </w:t>
      </w:r>
      <w:r>
        <w:rPr>
          <w:rFonts w:ascii="Times New Roman" w:cs="Times New Roman" w:eastAsia="Times New Roman" w:hAnsi="Times New Roman"/>
          <w:sz w:val="18"/>
          <w:szCs w:val="18"/>
          <w:u w:val="single" w:color="auto"/>
          <w:color w:val="FF0000"/>
          <w:strike w:val="1"/>
        </w:rPr>
        <w:t>Section 4.6</w:t>
      </w:r>
      <w:r>
        <w:rPr>
          <w:rFonts w:ascii="Times New Roman" w:cs="Times New Roman" w:eastAsia="Times New Roman" w:hAnsi="Times New Roman"/>
          <w:sz w:val="18"/>
          <w:szCs w:val="18"/>
          <w:color w:val="FF0000"/>
          <w:strike w:val="1"/>
        </w:rPr>
        <w:t>. Any such procedures and regulations shall be kept on file with the Secretary of the Corporation and with the transfer agent and shall be made available for inspection by and, upon written request shall be mailed to, any requesting holders of shares of Class B Common Stock.</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FF0000"/>
          <w:strike w:val="1"/>
        </w:rPr>
        <w:t>Section 4.7</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Other Conversions of Class B Common Stock</w:t>
      </w:r>
      <w:r>
        <w:rPr>
          <w:rFonts w:ascii="Times New Roman" w:cs="Times New Roman" w:eastAsia="Times New Roman" w:hAnsi="Times New Roman"/>
          <w:sz w:val="18"/>
          <w:szCs w:val="18"/>
          <w:color w:val="FF0000"/>
        </w:rPr>
        <w:t>.</w:t>
      </w:r>
    </w:p>
    <w:p>
      <w:pPr>
        <w:spacing w:after="0" w:line="117" w:lineRule="exact"/>
        <w:rPr>
          <w:sz w:val="20"/>
          <w:szCs w:val="20"/>
          <w:color w:val="auto"/>
        </w:rPr>
      </w:pPr>
    </w:p>
    <w:p>
      <w:pPr>
        <w:jc w:val="both"/>
        <w:ind w:left="20" w:firstLine="721"/>
        <w:spacing w:after="0" w:line="253" w:lineRule="auto"/>
        <w:tabs>
          <w:tab w:leader="none" w:pos="984" w:val="left"/>
        </w:tabs>
        <w:numPr>
          <w:ilvl w:val="0"/>
          <w:numId w:val="5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FF0000"/>
          <w:strike w:val="1"/>
        </w:rPr>
        <w:t>Voluntary Conversion</w:t>
      </w:r>
      <w:r>
        <w:rPr>
          <w:rFonts w:ascii="Times New Roman" w:cs="Times New Roman" w:eastAsia="Times New Roman" w:hAnsi="Times New Roman"/>
          <w:sz w:val="18"/>
          <w:szCs w:val="18"/>
          <w:color w:val="FF0000"/>
          <w:strike w:val="1"/>
        </w:rPr>
        <w:t>. Each share of Class B Common Stock shall be convertible, at the option of the holder thereof,</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at any time after the Effective Time at the office of Corporation or any transfer agent for such stock, into one (1) fully paid and nonassessable share of Class A Common Stock. Before any holder of Class B Common Stock shall be entitled to voluntarily convert the same into shares of Class A Common Stock, he, she or it shall (i) if such holder’s shares are certificated, surrender the certificate or certificates therefor (or, if such holder alleges that such certificate(s) has been lost, stolen or destroyed, a lost certificate affidavit and agreement reasonably acceptable to the Corporation to indemnify the Corporation against any claim that may be made against the Corporation on account of the alleged loss, theft or destruction of such certificate), duly endorsed, at the office of the Corporation or of any transfer agent for the Common Stock, and (ii) give written notice to the Corporation at its principal corporate office, of the election to convert the same and, if applicable, any event on which such conversion is contingent. Such notice shall state such holder’s name or the names of the nominees (i) in which such holder wishes the certificate or certificates for shares of Class A Common Stock to be issued (if such shares of Class A Common Stock are to be certificated) or (ii) in which such shares of Class A Common Stock are</w:t>
      </w: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FF0000"/>
          <w:strike w:val="1"/>
        </w:rPr>
        <w:t>to be registered in book entry (if such shares of Class A Common Stock are uncertificated). If required by the Corporation, such holder shall furnish, in a form satisfactory to the Corporation, a written instrument or instruments of transfer, duly executed by the holder or his, her or its attorney duly authorized in writing. As soon as practicable after the conversion of such shares, there shall be issued and delivered to such holder, or to his, her or its nominees, a certificate or certificates (if such shares are to be certificated) or a book entry or book entries (if such shares are to be uncertificated) for the number of shares of Class A Common Stock into which the shares of Class B Common Stock so surrendered were converted and a certificate (if such shares are to be certificated) or a book entry or book entries (if such shares are to be uncertificated) for the number (if any) of the shares of Class B Common Stock represented by the surrendered certificate or a book entry or book entries that were not converted into Class A Common Stock.</w:t>
      </w:r>
    </w:p>
    <w:p>
      <w:pPr>
        <w:spacing w:after="0" w:line="84" w:lineRule="exact"/>
        <w:rPr>
          <w:sz w:val="20"/>
          <w:szCs w:val="20"/>
          <w:color w:val="auto"/>
        </w:rPr>
      </w:pPr>
    </w:p>
    <w:p>
      <w:pPr>
        <w:jc w:val="both"/>
        <w:ind w:left="20" w:firstLine="721"/>
        <w:spacing w:after="0" w:line="255" w:lineRule="auto"/>
        <w:tabs>
          <w:tab w:leader="none" w:pos="1008" w:val="left"/>
        </w:tabs>
        <w:numPr>
          <w:ilvl w:val="1"/>
          <w:numId w:val="5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FF0000"/>
          <w:strike w:val="1"/>
        </w:rPr>
        <w:t>Mandatory Conversion</w:t>
      </w:r>
      <w:r>
        <w:rPr>
          <w:rFonts w:ascii="Times New Roman" w:cs="Times New Roman" w:eastAsia="Times New Roman" w:hAnsi="Times New Roman"/>
          <w:sz w:val="18"/>
          <w:szCs w:val="18"/>
          <w:color w:val="FF0000"/>
          <w:strike w:val="1"/>
        </w:rPr>
        <w:t>. Each share of Class B Common Stock held by any Permitted Class B Holder shall convert</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 xml:space="preserve">into one (1) fully paid and nonassessable share of Class A Common Stock upon the earlier of (i) the Transfer of such share to a Person that is not in the same Permitted Ownership Group as such Permitted Class B Holder, as contemplated by </w:t>
      </w:r>
      <w:r>
        <w:rPr>
          <w:rFonts w:ascii="Times New Roman" w:cs="Times New Roman" w:eastAsia="Times New Roman" w:hAnsi="Times New Roman"/>
          <w:sz w:val="18"/>
          <w:szCs w:val="18"/>
          <w:u w:val="single" w:color="auto"/>
          <w:color w:val="FF0000"/>
          <w:strike w:val="1"/>
        </w:rPr>
        <w:t>Section 4.6</w:t>
      </w:r>
      <w:r>
        <w:rPr>
          <w:rFonts w:ascii="Times New Roman" w:cs="Times New Roman" w:eastAsia="Times New Roman" w:hAnsi="Times New Roman"/>
          <w:sz w:val="18"/>
          <w:szCs w:val="18"/>
          <w:color w:val="FF0000"/>
          <w:strike w:val="1"/>
        </w:rPr>
        <w:t xml:space="preserve"> hereof, (ii) November 1, 2028, or (iii) with respect to any shares held by any Person in a Key Holder’s Permitted Ownership Group,</w:t>
      </w:r>
    </w:p>
    <w:p>
      <w:pPr>
        <w:spacing w:after="0" w:line="2" w:lineRule="exact"/>
        <w:rPr>
          <w:rFonts w:ascii="Times New Roman" w:cs="Times New Roman" w:eastAsia="Times New Roman" w:hAnsi="Times New Roman"/>
          <w:sz w:val="18"/>
          <w:szCs w:val="18"/>
          <w:color w:val="FF0000"/>
          <w:strike w:val="1"/>
        </w:rPr>
      </w:pPr>
    </w:p>
    <w:p>
      <w:pPr>
        <w:jc w:val="both"/>
        <w:ind w:left="20" w:firstLine="1"/>
        <w:spacing w:after="0" w:line="255" w:lineRule="auto"/>
        <w:tabs>
          <w:tab w:leader="none" w:pos="319" w:val="left"/>
        </w:tabs>
        <w:numPr>
          <w:ilvl w:val="0"/>
          <w:numId w:val="5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such time as a Key Holder is removed or resigns from the Board of Directors, or otherwise ceases to serve as a Director on the Board of Directors, (B) such time as a Key Holder ceases to be either an employee, officer or consultant of the Corporation or any of its subsidiaries, or (C) the date that is 12 months after the death or Disability of a Key Holder.</w:t>
      </w:r>
    </w:p>
    <w:p>
      <w:pPr>
        <w:spacing w:after="0" w:line="77" w:lineRule="exact"/>
        <w:rPr>
          <w:rFonts w:ascii="Times New Roman" w:cs="Times New Roman" w:eastAsia="Times New Roman" w:hAnsi="Times New Roman"/>
          <w:sz w:val="18"/>
          <w:szCs w:val="18"/>
          <w:color w:val="FF0000"/>
          <w:strike w:val="1"/>
        </w:rPr>
      </w:pPr>
    </w:p>
    <w:p>
      <w:pPr>
        <w:jc w:val="both"/>
        <w:ind w:left="20" w:firstLine="721"/>
        <w:spacing w:after="0" w:line="253" w:lineRule="auto"/>
        <w:tabs>
          <w:tab w:leader="none" w:pos="998" w:val="left"/>
        </w:tabs>
        <w:numPr>
          <w:ilvl w:val="1"/>
          <w:numId w:val="5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FF0000"/>
          <w:strike w:val="1"/>
        </w:rPr>
        <w:t>Record Holders</w:t>
      </w:r>
      <w:r>
        <w:rPr>
          <w:rFonts w:ascii="Times New Roman" w:cs="Times New Roman" w:eastAsia="Times New Roman" w:hAnsi="Times New Roman"/>
          <w:sz w:val="18"/>
          <w:szCs w:val="18"/>
          <w:color w:val="FF0000"/>
          <w:strike w:val="1"/>
        </w:rPr>
        <w:t>. The Persons entitled to shares of Class A Common Stock upon conversion of Class B Common</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Stock shall be treated for all purposes as the record holders of such shares of Class A Common Stock as of the date of conversion. Notwithstanding anything to the contrary in this Certificate of Incorporation, if the date on which any share of Class B Common Stock is converted into Class A Common Stock occurs after the record date for the determination of the holders of Class B Common Stock entitled to receive any dividend or distribution to be paid on the shares of Class B Common Stock, the holder of such shares of Class B Common Stock as of such record date will be entitled to receive such dividend or distribution on such payment date; provided, that, notwithstanding any other provision of this Certificate of Incorporation, to the extent that any such dividend or distribution is payable in shares of Class B Common Stock (or other securities exercisable, exchangeable or convertible into such shares), such dividend or distribution shall be deemed to have been declared, and shall be payable in, shares of Class A Common Stock (or other securities exercisable, exchangeable or convertible into such shares) and no shares of Class B Common Stock (or other securities exercisable, exchangeable or convertible into such shares) shall be issued in payment thereof.</w:t>
      </w:r>
    </w:p>
    <w:p>
      <w:pPr>
        <w:spacing w:after="0" w:line="83" w:lineRule="exact"/>
        <w:rPr>
          <w:rFonts w:ascii="Times New Roman" w:cs="Times New Roman" w:eastAsia="Times New Roman" w:hAnsi="Times New Roman"/>
          <w:sz w:val="18"/>
          <w:szCs w:val="18"/>
          <w:color w:val="FF0000"/>
          <w:strike w:val="1"/>
        </w:rPr>
      </w:pPr>
    </w:p>
    <w:p>
      <w:pPr>
        <w:jc w:val="both"/>
        <w:ind w:left="20" w:firstLine="721"/>
        <w:spacing w:after="0" w:line="253" w:lineRule="auto"/>
        <w:tabs>
          <w:tab w:leader="none" w:pos="995" w:val="left"/>
        </w:tabs>
        <w:numPr>
          <w:ilvl w:val="1"/>
          <w:numId w:val="5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FF0000"/>
          <w:strike w:val="1"/>
        </w:rPr>
        <w:t>Reservation of Stock Issuable Upon Conversion</w:t>
      </w:r>
      <w:r>
        <w:rPr>
          <w:rFonts w:ascii="Times New Roman" w:cs="Times New Roman" w:eastAsia="Times New Roman" w:hAnsi="Times New Roman"/>
          <w:sz w:val="18"/>
          <w:szCs w:val="18"/>
          <w:color w:val="FF0000"/>
          <w:strike w:val="1"/>
        </w:rPr>
        <w:t>. The Corporation shall at all times reserve and keep available out of</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its authorized but unissued shares of Class A Common Stock, solely for the purpose of effecting the conversion of the shares of the Class B Common Stock, such number of its shares of Class A Common Stock as shall from time to time be sufficient to effect the conversion of all outstanding shares of Class B Common Stock; and if at any time the number of authorized but unissued shares of Class A Common Stock shall not be sufficient to effect the conversion of all then outstanding shares of Class B Common Stock, in addition to such other remedies as shall be available to the holders of Class B Common Stock, the Corporation shall take such corporate action as may, in the opinion of its counsel, be necessary to increase its authorized but unissued shares of Class A Common Stock to such number of shares as shall be sufficient for such purposes, including, without limitation, engaging in commercially reasonable efforts to obtain the requisite stockholder approval of any necessary amendment to this Certificate of Incorporation.</w:t>
      </w:r>
    </w:p>
    <w:p>
      <w:pPr>
        <w:spacing w:after="0" w:line="86" w:lineRule="exact"/>
        <w:rPr>
          <w:rFonts w:ascii="Times New Roman" w:cs="Times New Roman" w:eastAsia="Times New Roman" w:hAnsi="Times New Roman"/>
          <w:sz w:val="18"/>
          <w:szCs w:val="18"/>
          <w:color w:val="FF0000"/>
          <w:strike w:val="1"/>
        </w:rPr>
      </w:pPr>
    </w:p>
    <w:p>
      <w:pPr>
        <w:jc w:val="both"/>
        <w:ind w:left="20" w:firstLine="721"/>
        <w:spacing w:after="0" w:line="266" w:lineRule="auto"/>
        <w:tabs>
          <w:tab w:leader="none" w:pos="984" w:val="left"/>
        </w:tabs>
        <w:numPr>
          <w:ilvl w:val="1"/>
          <w:numId w:val="5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FF0000"/>
          <w:strike w:val="1"/>
        </w:rPr>
        <w:t>Status of Converted Stock</w:t>
      </w:r>
      <w:r>
        <w:rPr>
          <w:rFonts w:ascii="Times New Roman" w:cs="Times New Roman" w:eastAsia="Times New Roman" w:hAnsi="Times New Roman"/>
          <w:sz w:val="18"/>
          <w:szCs w:val="18"/>
          <w:color w:val="FF0000"/>
          <w:strike w:val="1"/>
        </w:rPr>
        <w:t>. In the event any shares of Class B Common Stock shall be converted pursuant to the terms</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of this Certificate of Incorporation or otherwise acquired by the Corporation, the shares so converted shall be cancelled and shall not be reissued by the Corporation and the Corporation shall take all actions necessary to cancel and retire such shares.</w:t>
      </w:r>
    </w:p>
    <w:p>
      <w:pPr>
        <w:spacing w:after="0" w:line="67" w:lineRule="exact"/>
        <w:rPr>
          <w:rFonts w:ascii="Times New Roman" w:cs="Times New Roman" w:eastAsia="Times New Roman" w:hAnsi="Times New Roman"/>
          <w:sz w:val="18"/>
          <w:szCs w:val="18"/>
          <w:color w:val="FF0000"/>
          <w:strike w:val="1"/>
        </w:rPr>
      </w:pPr>
    </w:p>
    <w:p>
      <w:pPr>
        <w:jc w:val="both"/>
        <w:ind w:left="20" w:firstLine="721"/>
        <w:spacing w:after="0" w:line="258" w:lineRule="auto"/>
        <w:tabs>
          <w:tab w:leader="none" w:pos="965" w:val="left"/>
        </w:tabs>
        <w:numPr>
          <w:ilvl w:val="1"/>
          <w:numId w:val="5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FF0000"/>
          <w:strike w:val="1"/>
        </w:rPr>
        <w:t>Taxes Payable</w:t>
      </w:r>
      <w:r>
        <w:rPr>
          <w:rFonts w:ascii="Times New Roman" w:cs="Times New Roman" w:eastAsia="Times New Roman" w:hAnsi="Times New Roman"/>
          <w:sz w:val="18"/>
          <w:szCs w:val="18"/>
          <w:color w:val="FF0000"/>
          <w:strike w:val="1"/>
        </w:rPr>
        <w:t>. The Corporation shall not be required to pay any tax which may be payable in respect of any Transfer</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involved in the issuance and delivery of shares of Class A Common Stock in a name other than that in which the shares of Class B Common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 or is not otherwise payable.</w:t>
      </w:r>
    </w:p>
    <w:p>
      <w:pPr>
        <w:spacing w:after="0" w:line="75" w:lineRule="exact"/>
        <w:rPr>
          <w:sz w:val="20"/>
          <w:szCs w:val="20"/>
          <w:color w:val="auto"/>
        </w:rPr>
      </w:pPr>
    </w:p>
    <w:p>
      <w:pPr>
        <w:ind w:left="20" w:firstLine="720"/>
        <w:spacing w:after="0" w:line="282" w:lineRule="auto"/>
        <w:rPr>
          <w:sz w:val="20"/>
          <w:szCs w:val="20"/>
          <w:color w:val="auto"/>
        </w:rPr>
      </w:pPr>
      <w:r>
        <w:rPr>
          <w:rFonts w:ascii="Times New Roman" w:cs="Times New Roman" w:eastAsia="Times New Roman" w:hAnsi="Times New Roman"/>
          <w:sz w:val="18"/>
          <w:szCs w:val="18"/>
          <w:color w:val="FF0000"/>
          <w:strike w:val="1"/>
        </w:rPr>
        <w:t xml:space="preserve">Section 4.8 </w:t>
      </w:r>
      <w:r>
        <w:rPr>
          <w:rFonts w:ascii="Times New Roman" w:cs="Times New Roman" w:eastAsia="Times New Roman" w:hAnsi="Times New Roman"/>
          <w:sz w:val="18"/>
          <w:szCs w:val="18"/>
          <w:u w:val="single" w:color="auto"/>
          <w:color w:val="FF0000"/>
          <w:strike w:val="1"/>
        </w:rPr>
        <w:t>Certificates; Notice</w:t>
      </w:r>
      <w:r>
        <w:rPr>
          <w:rFonts w:ascii="Times New Roman" w:cs="Times New Roman" w:eastAsia="Times New Roman" w:hAnsi="Times New Roman"/>
          <w:sz w:val="18"/>
          <w:szCs w:val="18"/>
          <w:color w:val="FF0000"/>
          <w:strike w:val="1"/>
        </w:rPr>
        <w:t>. All certificates or book entries representing shares of Class B Common Stock shall bear a legend substantially in the following form (or in such other form as the Board of Directors may determine):</w:t>
      </w:r>
    </w:p>
    <w:p>
      <w:pPr>
        <w:spacing w:after="0" w:line="121" w:lineRule="exact"/>
        <w:rPr>
          <w:sz w:val="20"/>
          <w:szCs w:val="20"/>
          <w:color w:val="auto"/>
        </w:rPr>
      </w:pPr>
    </w:p>
    <w:p>
      <w:pPr>
        <w:ind w:left="1460" w:right="180"/>
        <w:spacing w:after="0" w:line="277" w:lineRule="auto"/>
        <w:rPr>
          <w:sz w:val="20"/>
          <w:szCs w:val="20"/>
          <w:color w:val="auto"/>
        </w:rPr>
      </w:pPr>
      <w:r>
        <w:rPr>
          <w:rFonts w:ascii="Times New Roman" w:cs="Times New Roman" w:eastAsia="Times New Roman" w:hAnsi="Times New Roman"/>
          <w:sz w:val="17"/>
          <w:szCs w:val="17"/>
          <w:color w:val="FF0000"/>
          <w:strike w:val="1"/>
        </w:rPr>
        <w:t>THE SECURITIES REPRESENTED BY THIS [CERTIFICATE][BOOK ENTRY] ARE SUBJECT TO THE RESTRICTIONS (INCLUDING RESTRICTIONS ON TRANSFER) SET FORTH IN THE CERTIFICATE OF INCORPORATION OF THE CORPORATION, AS IT MAY BE AMENDED AND/OR RESTATED, (A COPY OF WHICH IS ON FILE WITH THE SECRETARY OF THE CORPORATION AND SHALL BE PROVIDED FREE OF CHARGE TO ANY STOCKHOLDER MAKING A REQUEST THEREFOR).</w:t>
      </w: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20" w:firstLine="360"/>
        <w:spacing w:after="0" w:line="258" w:lineRule="auto"/>
        <w:rPr>
          <w:sz w:val="20"/>
          <w:szCs w:val="20"/>
          <w:color w:val="auto"/>
        </w:rPr>
      </w:pPr>
      <w:r>
        <w:rPr>
          <w:rFonts w:ascii="Times New Roman" w:cs="Times New Roman" w:eastAsia="Times New Roman" w:hAnsi="Times New Roman"/>
          <w:sz w:val="18"/>
          <w:szCs w:val="18"/>
          <w:color w:val="FF0000"/>
          <w:strike w:val="1"/>
        </w:rPr>
        <w:t>All holders of uncertificated shares of Class B Common Stock shall be given notice within a reasonable time after the issuance or transfer of uncertificated shares of such stock, in writing or by electronic transmission, that the Class B Common Stock represented by book entry or book entries are subject to the restrictions (including restrictions on transfer) set forth in this Certificate of Incorporation (a copy of which is on file with the Secretary of the Corporation and shall be provided free of charge to any stockholder making a request therefor)</w:t>
      </w:r>
    </w:p>
    <w:p>
      <w:pPr>
        <w:spacing w:after="0" w:line="75" w:lineRule="exact"/>
        <w:rPr>
          <w:sz w:val="20"/>
          <w:szCs w:val="20"/>
          <w:color w:val="auto"/>
        </w:rPr>
      </w:pPr>
    </w:p>
    <w:p>
      <w:pPr>
        <w:jc w:val="both"/>
        <w:ind w:left="20" w:firstLine="360"/>
        <w:spacing w:after="0" w:line="261" w:lineRule="auto"/>
        <w:rPr>
          <w:sz w:val="20"/>
          <w:szCs w:val="20"/>
          <w:color w:val="auto"/>
        </w:rPr>
      </w:pPr>
      <w:r>
        <w:rPr>
          <w:rFonts w:ascii="Times New Roman" w:cs="Times New Roman" w:eastAsia="Times New Roman" w:hAnsi="Times New Roman"/>
          <w:sz w:val="18"/>
          <w:szCs w:val="18"/>
          <w:color w:val="FF0000"/>
          <w:strike w:val="1"/>
        </w:rPr>
        <w:t xml:space="preserve">Section 4.9 </w:t>
      </w:r>
      <w:r>
        <w:rPr>
          <w:rFonts w:ascii="Times New Roman" w:cs="Times New Roman" w:eastAsia="Times New Roman" w:hAnsi="Times New Roman"/>
          <w:sz w:val="18"/>
          <w:szCs w:val="18"/>
          <w:u w:val="single" w:color="auto"/>
          <w:color w:val="FF0000"/>
          <w:strike w:val="1"/>
        </w:rPr>
        <w:t>Fractions</w:t>
      </w:r>
      <w:r>
        <w:rPr>
          <w:rFonts w:ascii="Times New Roman" w:cs="Times New Roman" w:eastAsia="Times New Roman" w:hAnsi="Times New Roman"/>
          <w:sz w:val="18"/>
          <w:szCs w:val="18"/>
          <w:color w:val="FF0000"/>
          <w:strike w:val="1"/>
        </w:rPr>
        <w:t xml:space="preserve">. No fractional shares of Class A Common Stock shall be deliverable upon any conversion contemplated by this </w:t>
      </w:r>
      <w:r>
        <w:rPr>
          <w:rFonts w:ascii="Times New Roman" w:cs="Times New Roman" w:eastAsia="Times New Roman" w:hAnsi="Times New Roman"/>
          <w:sz w:val="18"/>
          <w:szCs w:val="18"/>
          <w:u w:val="single" w:color="auto"/>
          <w:color w:val="FF0000"/>
          <w:strike w:val="1"/>
        </w:rPr>
        <w:t>Section 4</w:t>
      </w:r>
      <w:r>
        <w:rPr>
          <w:rFonts w:ascii="Times New Roman" w:cs="Times New Roman" w:eastAsia="Times New Roman" w:hAnsi="Times New Roman"/>
          <w:sz w:val="18"/>
          <w:szCs w:val="18"/>
          <w:color w:val="FF0000"/>
          <w:strike w:val="1"/>
        </w:rPr>
        <w:t xml:space="preserve">. Stockholders who otherwise would have been entitled to receive any fractional share of Class A Common Stock pursuant to a conversion contemplated by this </w:t>
      </w:r>
      <w:r>
        <w:rPr>
          <w:rFonts w:ascii="Times New Roman" w:cs="Times New Roman" w:eastAsia="Times New Roman" w:hAnsi="Times New Roman"/>
          <w:sz w:val="18"/>
          <w:szCs w:val="18"/>
          <w:u w:val="single" w:color="auto"/>
          <w:color w:val="FF0000"/>
          <w:strike w:val="1"/>
        </w:rPr>
        <w:t>Section 4</w:t>
      </w:r>
      <w:r>
        <w:rPr>
          <w:rFonts w:ascii="Times New Roman" w:cs="Times New Roman" w:eastAsia="Times New Roman" w:hAnsi="Times New Roman"/>
          <w:sz w:val="18"/>
          <w:szCs w:val="18"/>
          <w:color w:val="FF0000"/>
          <w:strike w:val="1"/>
        </w:rPr>
        <w:t>, in lieu of receipt of such fractional interest, shall be entitled to receive from the Corporation an amount in cash equal to the fair value of such fractional share as of the time of conversion.</w:t>
      </w:r>
    </w:p>
    <w:p>
      <w:pPr>
        <w:spacing w:after="0" w:line="72" w:lineRule="exact"/>
        <w:rPr>
          <w:sz w:val="20"/>
          <w:szCs w:val="20"/>
          <w:color w:val="auto"/>
        </w:rPr>
      </w:pPr>
    </w:p>
    <w:p>
      <w:pPr>
        <w:jc w:val="both"/>
        <w:ind w:left="20" w:firstLine="360"/>
        <w:spacing w:after="0" w:line="258" w:lineRule="auto"/>
        <w:rPr>
          <w:sz w:val="20"/>
          <w:szCs w:val="20"/>
          <w:color w:val="auto"/>
        </w:rPr>
      </w:pPr>
      <w:r>
        <w:rPr>
          <w:rFonts w:ascii="Times New Roman" w:cs="Times New Roman" w:eastAsia="Times New Roman" w:hAnsi="Times New Roman"/>
          <w:sz w:val="18"/>
          <w:szCs w:val="18"/>
          <w:color w:val="FF0000"/>
          <w:strike w:val="1"/>
        </w:rPr>
        <w:t xml:space="preserve">Section 4.10 </w:t>
      </w:r>
      <w:r>
        <w:rPr>
          <w:rFonts w:ascii="Times New Roman" w:cs="Times New Roman" w:eastAsia="Times New Roman" w:hAnsi="Times New Roman"/>
          <w:sz w:val="18"/>
          <w:szCs w:val="18"/>
          <w:u w:val="single" w:color="auto"/>
          <w:color w:val="FF0000"/>
          <w:strike w:val="1"/>
        </w:rPr>
        <w:t>Amendment</w:t>
      </w:r>
      <w:r>
        <w:rPr>
          <w:rFonts w:ascii="Times New Roman" w:cs="Times New Roman" w:eastAsia="Times New Roman" w:hAnsi="Times New Roman"/>
          <w:sz w:val="18"/>
          <w:szCs w:val="18"/>
          <w:color w:val="FF0000"/>
          <w:strike w:val="1"/>
        </w:rPr>
        <w:t>. Except as otherwise required by law, holders of Class A Common Stock and Class B Common Stock shall not be entitled to vote on any amendment to this Certificate of Incorporation (including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Preferred Stock Designation).</w:t>
      </w:r>
    </w:p>
    <w:p>
      <w:pPr>
        <w:spacing w:after="0" w:line="75" w:lineRule="exact"/>
        <w:rPr>
          <w:sz w:val="20"/>
          <w:szCs w:val="20"/>
          <w:color w:val="auto"/>
        </w:rPr>
      </w:pPr>
    </w:p>
    <w:p>
      <w:pPr>
        <w:jc w:val="both"/>
        <w:ind w:left="20" w:firstLine="360"/>
        <w:spacing w:after="0" w:line="253" w:lineRule="auto"/>
        <w:rPr>
          <w:sz w:val="20"/>
          <w:szCs w:val="20"/>
          <w:color w:val="auto"/>
        </w:rPr>
      </w:pPr>
      <w:r>
        <w:rPr>
          <w:rFonts w:ascii="Times New Roman" w:cs="Times New Roman" w:eastAsia="Times New Roman" w:hAnsi="Times New Roman"/>
          <w:sz w:val="18"/>
          <w:szCs w:val="18"/>
          <w:color w:val="FF0000"/>
          <w:strike w:val="1"/>
        </w:rPr>
        <w:t xml:space="preserve">Section 4.11 </w:t>
      </w:r>
      <w:r>
        <w:rPr>
          <w:rFonts w:ascii="Times New Roman" w:cs="Times New Roman" w:eastAsia="Times New Roman" w:hAnsi="Times New Roman"/>
          <w:sz w:val="18"/>
          <w:szCs w:val="18"/>
          <w:u w:val="single" w:color="auto"/>
          <w:color w:val="FF0000"/>
          <w:strike w:val="1"/>
        </w:rPr>
        <w:t>Equal Treatment in a Change of Control Transaction</w:t>
      </w:r>
      <w:r>
        <w:rPr>
          <w:rFonts w:ascii="Times New Roman" w:cs="Times New Roman" w:eastAsia="Times New Roman" w:hAnsi="Times New Roman"/>
          <w:sz w:val="18"/>
          <w:szCs w:val="18"/>
          <w:color w:val="FF0000"/>
          <w:strike w:val="1"/>
        </w:rPr>
        <w:t>. In connection with any Change of Control Transaction, shares of Class A Common Stock and Class B Common Stock shall be treated equally, identically and ratably, on a per share basis, with respect to any consideration into which such shares are converted or any consideration paid or otherwise distributed to stockholders of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Any merger or consolidation of the Corporation with or into any other entity, which is not a Change of Control Transaction, shall require approval by the affirmative vote of the holders of a majority of the outstanding shares of Class A Common Stock and by the affirmative vote of the holders of a majority of the outstanding shares of Class B Common Stock, each voting separately as a class, unless (i) the shares of Class A Common Stock and Class B Common Stock remain outstanding and no other consideration is received in respect thereof or (ii) such shares are converted on a pro rata basis into shares of the surviving or parent entity in such transaction having identical rights to the shares of Class A Common Stock and Class B Common Stock, respectively.</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w:t>
      </w:r>
    </w:p>
    <w:p>
      <w:pPr>
        <w:spacing w:after="0" w:line="99" w:lineRule="exact"/>
        <w:rPr>
          <w:sz w:val="20"/>
          <w:szCs w:val="20"/>
          <w:color w:val="auto"/>
        </w:rPr>
      </w:pPr>
    </w:p>
    <w:p>
      <w:pPr>
        <w:jc w:val="both"/>
        <w:ind w:left="20" w:firstLine="360"/>
        <w:spacing w:after="0" w:line="255" w:lineRule="auto"/>
        <w:rPr>
          <w:sz w:val="20"/>
          <w:szCs w:val="20"/>
          <w:color w:val="auto"/>
        </w:rPr>
      </w:pPr>
      <w:r>
        <w:rPr>
          <w:rFonts w:ascii="Times New Roman" w:cs="Times New Roman" w:eastAsia="Times New Roman" w:hAnsi="Times New Roman"/>
          <w:sz w:val="18"/>
          <w:szCs w:val="18"/>
          <w:color w:val="auto"/>
        </w:rPr>
        <w:t>Subject to any additional vote required by this Certificate of Incorporation, in furtherance and not in limitation of the powers conferred upon it by statute, the Board of Directors is expressly authorized to adopt, repeal, alter, amend or rescind the Bylaws of the Corporation (as may be amended and/or restated from time to time,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xml:space="preserve">”). The affirmative vote of at least a majority of the Whole Board of Directors shall be required in order for the Board of Directors to adopt, repeal, alter, amend or rescind the Bylaws. </w:t>
      </w:r>
      <w:r>
        <w:rPr>
          <w:rFonts w:ascii="Times New Roman" w:cs="Times New Roman" w:eastAsia="Times New Roman" w:hAnsi="Times New Roman"/>
          <w:sz w:val="18"/>
          <w:szCs w:val="18"/>
          <w:u w:val="single" w:color="auto"/>
          <w:color w:val="0000FF"/>
        </w:rPr>
        <w:t>For purposes of this Certificate of Incorporation, the term “</w:t>
      </w:r>
      <w:r>
        <w:rPr>
          <w:rFonts w:ascii="Times New Roman" w:cs="Times New Roman" w:eastAsia="Times New Roman" w:hAnsi="Times New Roman"/>
          <w:sz w:val="18"/>
          <w:szCs w:val="18"/>
          <w:b w:val="1"/>
          <w:bCs w:val="1"/>
          <w:i w:val="1"/>
          <w:iCs w:val="1"/>
          <w:u w:val="single" w:color="auto"/>
          <w:color w:val="0000FF"/>
        </w:rPr>
        <w:t>Whole Board of Directors</w:t>
      </w:r>
      <w:r>
        <w:rPr>
          <w:rFonts w:ascii="Times New Roman" w:cs="Times New Roman" w:eastAsia="Times New Roman" w:hAnsi="Times New Roman"/>
          <w:sz w:val="18"/>
          <w:szCs w:val="18"/>
          <w:u w:val="single" w:color="auto"/>
          <w:color w:val="0000FF"/>
        </w:rPr>
        <w:t>” shall mean the total number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authorized directors (from time to time) whether or not there exist any vacancies in previously authorized directorships or newly created directorships.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stockholders shall also have power</w:t>
      </w:r>
    </w:p>
    <w:p>
      <w:pPr>
        <w:spacing w:after="0" w:line="81" w:lineRule="exact"/>
        <w:rPr>
          <w:sz w:val="20"/>
          <w:szCs w:val="20"/>
          <w:color w:val="auto"/>
        </w:rPr>
      </w:pPr>
    </w:p>
    <w:p>
      <w:pPr>
        <w:jc w:val="both"/>
        <w:ind w:left="20" w:firstLine="360"/>
        <w:spacing w:after="0" w:line="258" w:lineRule="auto"/>
        <w:rPr>
          <w:sz w:val="20"/>
          <w:szCs w:val="20"/>
          <w:color w:val="auto"/>
        </w:rPr>
      </w:pPr>
      <w:r>
        <w:rPr>
          <w:rFonts w:ascii="Times New Roman" w:cs="Times New Roman" w:eastAsia="Times New Roman" w:hAnsi="Times New Roman"/>
          <w:sz w:val="18"/>
          <w:szCs w:val="18"/>
          <w:color w:val="auto"/>
        </w:rPr>
        <w:t xml:space="preserve">to adopt, repeal, alter, amend or rescind the Bylaws. In addition to any other vote of the holders of any class or series of stock of the Corporation required by applicable law or by this Certificate of Incorporation, </w:t>
      </w:r>
      <w:r>
        <w:rPr>
          <w:rFonts w:ascii="Times New Roman" w:cs="Times New Roman" w:eastAsia="Times New Roman" w:hAnsi="Times New Roman"/>
          <w:sz w:val="18"/>
          <w:szCs w:val="18"/>
          <w:color w:val="FF0000"/>
          <w:strike w:val="1"/>
        </w:rPr>
        <w:t>such</w:t>
      </w:r>
      <w:r>
        <w:rPr>
          <w:rFonts w:ascii="Times New Roman" w:cs="Times New Roman" w:eastAsia="Times New Roman" w:hAnsi="Times New Roman"/>
          <w:sz w:val="18"/>
          <w:szCs w:val="18"/>
          <w:u w:val="single" w:color="auto"/>
          <w:color w:val="0000FF"/>
        </w:rPr>
        <w:t>any</w:t>
      </w:r>
      <w:r>
        <w:rPr>
          <w:rFonts w:ascii="Times New Roman" w:cs="Times New Roman" w:eastAsia="Times New Roman" w:hAnsi="Times New Roman"/>
          <w:sz w:val="18"/>
          <w:szCs w:val="18"/>
          <w:color w:val="auto"/>
        </w:rPr>
        <w:t xml:space="preserve"> adoption, repeal, alteration, amendment or rescission of the Bylaws by the stockholders shall require the affirmative vote of the holders of </w:t>
      </w:r>
      <w:r>
        <w:rPr>
          <w:rFonts w:ascii="Times New Roman" w:cs="Times New Roman" w:eastAsia="Times New Roman" w:hAnsi="Times New Roman"/>
          <w:sz w:val="18"/>
          <w:szCs w:val="18"/>
          <w:color w:val="FF0000"/>
          <w:strike w:val="1"/>
        </w:rPr>
        <w:t>at least two-thirds</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majority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voting power of all of the then outstanding shares of capital stock of the Corporation entitled to vote generally in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election of directors, voting together as a single class.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w:t>
      </w:r>
    </w:p>
    <w:p>
      <w:pPr>
        <w:spacing w:after="0" w:line="95" w:lineRule="exact"/>
        <w:rPr>
          <w:sz w:val="20"/>
          <w:szCs w:val="20"/>
          <w:color w:val="auto"/>
        </w:rPr>
      </w:pPr>
    </w:p>
    <w:p>
      <w:pPr>
        <w:jc w:val="both"/>
        <w:ind w:left="20" w:firstLine="360"/>
        <w:spacing w:after="0" w:line="28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Ballot</w:t>
      </w:r>
      <w:r>
        <w:rPr>
          <w:rFonts w:ascii="Times New Roman" w:cs="Times New Roman" w:eastAsia="Times New Roman" w:hAnsi="Times New Roman"/>
          <w:sz w:val="18"/>
          <w:szCs w:val="18"/>
          <w:color w:val="auto"/>
        </w:rPr>
        <w:t>. Elections of directors (each such director, in such capacity, a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need not be by written ballot unless the Bylaws shall so provide.</w:t>
      </w:r>
    </w:p>
    <w:p>
      <w:pPr>
        <w:spacing w:after="0" w:line="51" w:lineRule="exact"/>
        <w:rPr>
          <w:sz w:val="20"/>
          <w:szCs w:val="20"/>
          <w:color w:val="auto"/>
        </w:rPr>
      </w:pPr>
    </w:p>
    <w:p>
      <w:pPr>
        <w:jc w:val="both"/>
        <w:ind w:left="20"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Classification of the Board of Directors</w:t>
      </w:r>
      <w:r>
        <w:rPr>
          <w:rFonts w:ascii="Times New Roman" w:cs="Times New Roman" w:eastAsia="Times New Roman" w:hAnsi="Times New Roman"/>
          <w:sz w:val="18"/>
          <w:szCs w:val="18"/>
          <w:color w:val="auto"/>
        </w:rPr>
        <w:t xml:space="preserve">. Except as </w:t>
      </w:r>
      <w:r>
        <w:rPr>
          <w:rFonts w:ascii="Times New Roman" w:cs="Times New Roman" w:eastAsia="Times New Roman" w:hAnsi="Times New Roman"/>
          <w:sz w:val="18"/>
          <w:szCs w:val="18"/>
          <w:color w:val="FF0000"/>
          <w:strike w:val="1"/>
        </w:rPr>
        <w:t>may be provided in a resolution or resolutions of the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Directors providing for any series of Preferred Stock with respect to any directors elected (or to be elected) by the holders of such series and except as </w:t>
      </w:r>
      <w:r>
        <w:rPr>
          <w:rFonts w:ascii="Times New Roman" w:cs="Times New Roman" w:eastAsia="Times New Roman" w:hAnsi="Times New Roman"/>
          <w:sz w:val="18"/>
          <w:szCs w:val="18"/>
          <w:color w:val="000000"/>
          <w:strike w:val="1"/>
        </w:rPr>
        <w:t>otherwise required by applicable law, the Directors shall be divided into three classes, designated as Class I,</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Class II and Class III, as nearly equal in number as possible. Directors already in office shall be assigned to each class at the time such classification becomes effective, in accordance with a resolution or resolutions adopted by the Board of Directors. </w:t>
      </w:r>
      <w:r>
        <w:rPr>
          <w:rFonts w:ascii="Times New Roman" w:cs="Times New Roman" w:eastAsia="Times New Roman" w:hAnsi="Times New Roman"/>
          <w:sz w:val="18"/>
          <w:szCs w:val="18"/>
          <w:color w:val="FF0000"/>
          <w:strike w:val="1"/>
        </w:rPr>
        <w:t>Class I</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Directors shall initially serve for a term expiring at the first annual meeting of stockholders following the time at which the initial classification of the Board of Directors becomes effective, Class II Directors shall initially serve for a term expiring at the second annual meeting of stockholders following the time at which the initial classification of the Board of Directors becomes effective and Class III Directors shall initially serve for a term expiring at the third annual meeting of stockholders following the time at which the initial classification of the Board</w:t>
      </w: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FF0000"/>
          <w:strike w:val="1"/>
        </w:rPr>
        <w:t>of Directors becomes effective.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At each annual meeting of stockholders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commencing with the first annual meeting of stockholders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following the time at which the initial classification of the Board of Directors becomes effective</w:t>
      </w:r>
      <w:r>
        <w:rPr>
          <w:rFonts w:ascii="Times New Roman" w:cs="Times New Roman" w:eastAsia="Times New Roman" w:hAnsi="Times New Roman"/>
          <w:sz w:val="18"/>
          <w:szCs w:val="18"/>
          <w:color w:val="000000"/>
        </w:rPr>
        <w:t>, the Directors of the class to be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elected at each annual meeting of stockholders shall be elected for a three-year term. If the total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in accordance with </w:t>
      </w:r>
      <w:r>
        <w:rPr>
          <w:rFonts w:ascii="Times New Roman" w:cs="Times New Roman" w:eastAsia="Times New Roman" w:hAnsi="Times New Roman"/>
          <w:sz w:val="18"/>
          <w:szCs w:val="18"/>
          <w:u w:val="single" w:color="auto"/>
          <w:color w:val="000000"/>
        </w:rPr>
        <w:t>Section 6.4</w:t>
      </w:r>
      <w:r>
        <w:rPr>
          <w:rFonts w:ascii="Times New Roman" w:cs="Times New Roman" w:eastAsia="Times New Roman" w:hAnsi="Times New Roman"/>
          <w:sz w:val="18"/>
          <w:szCs w:val="18"/>
          <w:color w:val="000000"/>
        </w:rPr>
        <w:t xml:space="preserve">, shall hold office for a term that shall coincide with the remaining term of that class, but in no case shall a decrease in the total number of Directors remove or shorten the term of any incumbent Director. Notwithstanding the foregoing provisions of this </w:t>
      </w:r>
      <w:r>
        <w:rPr>
          <w:rFonts w:ascii="Times New Roman" w:cs="Times New Roman" w:eastAsia="Times New Roman" w:hAnsi="Times New Roman"/>
          <w:sz w:val="18"/>
          <w:szCs w:val="18"/>
          <w:u w:val="single" w:color="auto"/>
          <w:color w:val="000000"/>
        </w:rPr>
        <w:t>Section 6.2</w:t>
      </w:r>
      <w:r>
        <w:rPr>
          <w:rFonts w:ascii="Times New Roman" w:cs="Times New Roman" w:eastAsia="Times New Roman" w:hAnsi="Times New Roman"/>
          <w:sz w:val="18"/>
          <w:szCs w:val="18"/>
          <w:color w:val="000000"/>
        </w:rPr>
        <w:t xml:space="preserve">, each Director shall serve until his or her successor is duly elected and qualified or until his or her death, resignation, disqualification, retirement, or removal. </w:t>
      </w:r>
      <w:r>
        <w:rPr>
          <w:rFonts w:ascii="Times New Roman" w:cs="Times New Roman" w:eastAsia="Times New Roman" w:hAnsi="Times New Roman"/>
          <w:sz w:val="18"/>
          <w:szCs w:val="18"/>
          <w:color w:val="FF0000"/>
          <w:strike w:val="1"/>
        </w:rPr>
        <w:t>Subject to the rights of the holders of 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series of Preferred Stock then outstanding in respect of Preferred Directors, each</w:t>
      </w:r>
      <w:r>
        <w:rPr>
          <w:rFonts w:ascii="Times New Roman" w:cs="Times New Roman" w:eastAsia="Times New Roman" w:hAnsi="Times New Roman"/>
          <w:sz w:val="18"/>
          <w:szCs w:val="18"/>
          <w:u w:val="single" w:color="auto"/>
          <w:color w:val="0000FF"/>
        </w:rPr>
        <w:t>Each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director shall hold office until the annual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meeting at which such Director’s term expires and until his or her successor is duly elected and qualified, or until his or her earlier death, resignation, disqualification or removal. No decrease in the number of Directors shall shorten the term of any incumbent Director.</w:t>
      </w:r>
    </w:p>
    <w:p>
      <w:pPr>
        <w:spacing w:after="0" w:line="79" w:lineRule="exact"/>
        <w:rPr>
          <w:sz w:val="20"/>
          <w:szCs w:val="20"/>
          <w:color w:val="auto"/>
        </w:rPr>
      </w:pPr>
    </w:p>
    <w:p>
      <w:pPr>
        <w:jc w:val="both"/>
        <w:ind w:left="20"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Number and Terms of the Board of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Subject to the rights of the holders of any series of Preferred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to elect directors under specified circumstances (such directors, “</w:t>
      </w:r>
      <w:r>
        <w:rPr>
          <w:rFonts w:ascii="Times New Roman" w:cs="Times New Roman" w:eastAsia="Times New Roman" w:hAnsi="Times New Roman"/>
          <w:sz w:val="18"/>
          <w:szCs w:val="18"/>
          <w:b w:val="1"/>
          <w:bCs w:val="1"/>
          <w:i w:val="1"/>
          <w:iCs w:val="1"/>
          <w:color w:val="FF0000"/>
          <w:strike w:val="1"/>
        </w:rPr>
        <w:t>Preferred Stock Directors</w:t>
      </w:r>
      <w:r>
        <w:rPr>
          <w:rFonts w:ascii="Times New Roman" w:cs="Times New Roman" w:eastAsia="Times New Roman" w:hAnsi="Times New Roman"/>
          <w:sz w:val="18"/>
          <w:szCs w:val="18"/>
          <w:color w:val="FF0000"/>
          <w:strike w:val="1"/>
        </w:rPr>
        <w:t>”), the number of Directors shall be fixed from time to time exclusively by a majority of the Whole Board of Directors. For purposes of</w:t>
      </w:r>
    </w:p>
    <w:p>
      <w:pPr>
        <w:spacing w:after="0" w:line="108" w:lineRule="exact"/>
        <w:rPr>
          <w:sz w:val="20"/>
          <w:szCs w:val="20"/>
          <w:color w:val="auto"/>
        </w:rPr>
      </w:pPr>
    </w:p>
    <w:p>
      <w:pPr>
        <w:ind w:left="980" w:hanging="239"/>
        <w:spacing w:after="0"/>
        <w:tabs>
          <w:tab w:leader="none" w:pos="980" w:val="left"/>
        </w:tabs>
        <w:numPr>
          <w:ilvl w:val="0"/>
          <w:numId w:val="5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number of Directors shall be fixed from time to time in the manner provided in the Bylaws.</w:t>
      </w:r>
    </w:p>
    <w:p>
      <w:pPr>
        <w:spacing w:after="0" w:line="113" w:lineRule="exact"/>
        <w:rPr>
          <w:rFonts w:ascii="Times New Roman" w:cs="Times New Roman" w:eastAsia="Times New Roman" w:hAnsi="Times New Roman"/>
          <w:sz w:val="18"/>
          <w:szCs w:val="18"/>
          <w:u w:val="single" w:color="auto"/>
          <w:color w:val="0000FF"/>
        </w:rPr>
      </w:pPr>
    </w:p>
    <w:p>
      <w:pPr>
        <w:jc w:val="both"/>
        <w:ind w:left="20" w:firstLine="721"/>
        <w:spacing w:after="0" w:line="256" w:lineRule="auto"/>
        <w:tabs>
          <w:tab w:leader="none" w:pos="1002" w:val="left"/>
        </w:tabs>
        <w:numPr>
          <w:ilvl w:val="0"/>
          <w:numId w:val="5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Notwithstanding anything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this Certificate of Incorporation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term “</w:t>
      </w:r>
      <w:r>
        <w:rPr>
          <w:rFonts w:ascii="Times New Roman" w:cs="Times New Roman" w:eastAsia="Times New Roman" w:hAnsi="Times New Roman"/>
          <w:sz w:val="18"/>
          <w:szCs w:val="18"/>
          <w:b w:val="1"/>
          <w:bCs w:val="1"/>
          <w:i w:val="1"/>
          <w:iCs w:val="1"/>
          <w:color w:val="FF0000"/>
          <w:strike w:val="1"/>
        </w:rPr>
        <w:t>Whole</w:t>
      </w:r>
      <w:r>
        <w:rPr>
          <w:rFonts w:ascii="Times New Roman" w:cs="Times New Roman" w:eastAsia="Times New Roman" w:hAnsi="Times New Roman"/>
          <w:sz w:val="18"/>
          <w:szCs w:val="18"/>
          <w:u w:val="single" w:color="auto"/>
          <w:color w:val="0000FF"/>
        </w:rPr>
        <w:t>contrary, in the event that Nexus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STORY 3, as applicable, no longer has the right to designate a Director for appointment by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FF0000"/>
          <w:strike w:val="1"/>
        </w:rPr>
        <w:t>” shall mean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 xml:space="preserve">total number of authorized directors (from time to time) whether or not there exist any vacancies in previously authorized directorships or newly created directorships. </w:t>
      </w:r>
      <w:r>
        <w:rPr>
          <w:rFonts w:ascii="Times New Roman" w:cs="Times New Roman" w:eastAsia="Times New Roman" w:hAnsi="Times New Roman"/>
          <w:sz w:val="18"/>
          <w:szCs w:val="18"/>
          <w:u w:val="single" w:color="auto"/>
          <w:color w:val="0000FF"/>
          <w:strike w:val="1"/>
        </w:rPr>
        <w:t>pursuant to the Investor Rights Agreement (each such occurrence, a “</w:t>
      </w:r>
      <w:r>
        <w:rPr>
          <w:rFonts w:ascii="Times New Roman" w:cs="Times New Roman" w:eastAsia="Times New Roman" w:hAnsi="Times New Roman"/>
          <w:sz w:val="18"/>
          <w:szCs w:val="18"/>
          <w:b w:val="1"/>
          <w:bCs w:val="1"/>
          <w:i w:val="1"/>
          <w:iCs w:val="1"/>
          <w:u w:val="single" w:color="auto"/>
          <w:color w:val="0000FF"/>
          <w:strike w:val="1"/>
        </w:rPr>
        <w:t>Loss of</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b w:val="1"/>
          <w:bCs w:val="1"/>
          <w:i w:val="1"/>
          <w:iCs w:val="1"/>
          <w:u w:val="single" w:color="auto"/>
          <w:color w:val="0000FF"/>
          <w:strike w:val="1"/>
        </w:rPr>
        <w:t>Designation Rights</w:t>
      </w:r>
      <w:r>
        <w:rPr>
          <w:rFonts w:ascii="Times New Roman" w:cs="Times New Roman" w:eastAsia="Times New Roman" w:hAnsi="Times New Roman"/>
          <w:sz w:val="18"/>
          <w:szCs w:val="18"/>
          <w:u w:val="single" w:color="auto"/>
          <w:color w:val="0000FF"/>
          <w:strike w:val="1"/>
        </w:rPr>
        <w:t>”), then (unless a majority of Directors (with the affected party’s Board of Directors designees abstaining) agree</w:t>
      </w:r>
      <w:r>
        <w:rPr>
          <w:rFonts w:ascii="Times New Roman" w:cs="Times New Roman" w:eastAsia="Times New Roman" w:hAnsi="Times New Roman"/>
          <w:sz w:val="18"/>
          <w:szCs w:val="18"/>
          <w:b w:val="1"/>
          <w:bCs w:val="1"/>
          <w:i w:val="1"/>
          <w:iCs w:val="1"/>
          <w:u w:val="single" w:color="auto"/>
          <w:color w:val="0000FF"/>
          <w:strike w:val="1"/>
        </w:rPr>
        <w:t xml:space="preserve"> </w:t>
      </w:r>
      <w:r>
        <w:rPr>
          <w:rFonts w:ascii="Times New Roman" w:cs="Times New Roman" w:eastAsia="Times New Roman" w:hAnsi="Times New Roman"/>
          <w:sz w:val="18"/>
          <w:szCs w:val="18"/>
          <w:u w:val="single" w:color="auto"/>
          <w:color w:val="0000FF"/>
          <w:strike w:val="1"/>
        </w:rPr>
        <w:t>in writing that such Director’s term shall not expire as a result of a Loss of Designation Rights) the term of such Director designated for appointment by Nexus or STORY 3, as applicable, shall expire upon such Loss of Designation Rights.</w:t>
      </w:r>
    </w:p>
    <w:p>
      <w:pPr>
        <w:spacing w:after="0" w:line="79"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xml:space="preserve">. Except as otherwise required by law and </w:t>
      </w:r>
      <w:r>
        <w:rPr>
          <w:rFonts w:ascii="Times New Roman" w:cs="Times New Roman" w:eastAsia="Times New Roman" w:hAnsi="Times New Roman"/>
          <w:sz w:val="18"/>
          <w:szCs w:val="18"/>
          <w:color w:val="FF0000"/>
          <w:strike w:val="1"/>
        </w:rPr>
        <w:t>the separate rights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holders of any series of Preferred Stock then outstanding in respect of Preferred Stock Directors</w:t>
      </w:r>
      <w:r>
        <w:rPr>
          <w:rFonts w:ascii="Times New Roman" w:cs="Times New Roman" w:eastAsia="Times New Roman" w:hAnsi="Times New Roman"/>
          <w:sz w:val="18"/>
          <w:szCs w:val="18"/>
          <w:u w:val="single" w:color="auto"/>
          <w:color w:val="0000FF"/>
        </w:rPr>
        <w:t>this Certificate of 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unless the Board of Directors otherwise determines, newly created directorships resulting from any increase in the authorized number of directors or any vacancies on the Board of Directors resulting from the death, resignation, disqualification, removal from office or other cause shall be filled only by a majority of the Directors then in office, though less than a quorum, or by a sole remaining Director, and shall not be filled by the stockholders unless the Board of Directors determines by resolution that any such vacancy or newly created directorship shall be filled by the stockholders</w:t>
      </w:r>
      <w:r>
        <w:rPr>
          <w:rFonts w:ascii="Times New Roman" w:cs="Times New Roman" w:eastAsia="Times New Roman" w:hAnsi="Times New Roman"/>
          <w:sz w:val="18"/>
          <w:szCs w:val="18"/>
          <w:color w:val="FF0000"/>
          <w:strike w:val="1"/>
        </w:rPr>
        <w:t>. Any director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that, in the event of a vacancy 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the Board of Directors resulting from the death, resignation, disqualification, removal from office or other cause with respect to a Director designated for appointment in accordance with the Investor Rights Agreement, the Person or Persons entitled to designate such Director in accordance with the Investor Rights Agreement shall have the exclusive right to identify a replacement Director for appointment by the Board of Directors to fill such vacancy. Any Director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elected to fill a newly created directorship or vacancy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in accordance with the preceding sentence shall hold office until the next annual meeting of stockholders held to elect the class of </w:t>
      </w:r>
      <w:r>
        <w:rPr>
          <w:rFonts w:ascii="Times New Roman" w:cs="Times New Roman" w:eastAsia="Times New Roman" w:hAnsi="Times New Roman"/>
          <w:sz w:val="18"/>
          <w:szCs w:val="18"/>
          <w:color w:val="FF0000"/>
          <w:strike w:val="1"/>
        </w:rPr>
        <w:t>directors</w:t>
      </w:r>
      <w:r>
        <w:rPr>
          <w:rFonts w:ascii="Times New Roman" w:cs="Times New Roman" w:eastAsia="Times New Roman" w:hAnsi="Times New Roman"/>
          <w:sz w:val="18"/>
          <w:szCs w:val="18"/>
          <w:u w:val="single" w:color="auto"/>
          <w:color w:val="0000FF"/>
        </w:rPr>
        <w:t>Directors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to which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director</w:t>
      </w:r>
      <w:r>
        <w:rPr>
          <w:rFonts w:ascii="Times New Roman" w:cs="Times New Roman" w:eastAsia="Times New Roman" w:hAnsi="Times New Roman"/>
          <w:sz w:val="18"/>
          <w:szCs w:val="18"/>
          <w:u w:val="single" w:color="auto"/>
          <w:color w:val="0000FF"/>
        </w:rPr>
        <w:t>Director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is elected and until his or her successor is duly elected and qualified or until his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her earlier death, resignation, retirement, disqualification, or removal. </w:t>
      </w:r>
      <w:r>
        <w:rPr>
          <w:rFonts w:ascii="Times New Roman" w:cs="Times New Roman" w:eastAsia="Times New Roman" w:hAnsi="Times New Roman"/>
          <w:sz w:val="18"/>
          <w:szCs w:val="18"/>
          <w:color w:val="0000FF"/>
        </w:rPr>
        <w:t>The Secretary of the Corporation shall maintain a copy of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Investor Rights Agreement at the principal executive offices of the Corporation and a copy thereof shall be provided free of charge to any stockholder who makes a request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-283845</wp:posOffset>
            </wp:positionV>
            <wp:extent cx="28460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-300990</wp:posOffset>
            </wp:positionV>
            <wp:extent cx="28416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41625" cy="8890"/>
                    </a:xfrm>
                    <a:prstGeom prst="rect">
                      <a:avLst/>
                    </a:prstGeom>
                    <a:noFill/>
                  </pic:spPr>
                </pic:pic>
              </a:graphicData>
            </a:graphic>
          </wp:anchor>
        </w:drawing>
      </w:r>
    </w:p>
    <w:p>
      <w:pPr>
        <w:spacing w:after="0" w:line="1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Section 6.5 Quorum; Vote Required.</w:t>
      </w:r>
    </w:p>
    <w:p>
      <w:pPr>
        <w:spacing w:after="0" w:line="117" w:lineRule="exact"/>
        <w:rPr>
          <w:sz w:val="20"/>
          <w:szCs w:val="20"/>
          <w:color w:val="auto"/>
        </w:rPr>
      </w:pPr>
    </w:p>
    <w:p>
      <w:pPr>
        <w:jc w:val="both"/>
        <w:ind w:left="20" w:firstLine="721"/>
        <w:spacing w:after="0" w:line="256" w:lineRule="auto"/>
        <w:tabs>
          <w:tab w:leader="none" w:pos="994" w:val="left"/>
        </w:tabs>
        <w:numPr>
          <w:ilvl w:val="0"/>
          <w:numId w:val="5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Subject to Section 6.5(b), at all meetings of the Board of Directors a majority of the Whole Board of Directors shall constitute a quorum for the transaction of business. The affirmative vote of a majority of the Directors present at any meeting of the Board of Directors at which a quorum is present shall be the act of the Board of Directors, except as may be otherwise specifically required by applicable law or this Certificate of Incorporation. If a quorum is not present at any meeting of the Board of Directors, then the directors present thereat may adjourn the meeting from time to time, without notice other than announcement at the meeting, until a quorum is present.</w:t>
      </w:r>
    </w:p>
    <w:p>
      <w:pPr>
        <w:spacing w:after="0" w:line="79" w:lineRule="exact"/>
        <w:rPr>
          <w:rFonts w:ascii="Times New Roman" w:cs="Times New Roman" w:eastAsia="Times New Roman" w:hAnsi="Times New Roman"/>
          <w:sz w:val="18"/>
          <w:szCs w:val="18"/>
          <w:u w:val="single" w:color="auto"/>
          <w:color w:val="0000FF"/>
        </w:rPr>
      </w:pPr>
    </w:p>
    <w:p>
      <w:pPr>
        <w:jc w:val="both"/>
        <w:ind w:left="20" w:firstLine="721"/>
        <w:spacing w:after="0" w:line="254" w:lineRule="auto"/>
        <w:tabs>
          <w:tab w:leader="none" w:pos="996" w:val="left"/>
        </w:tabs>
        <w:numPr>
          <w:ilvl w:val="0"/>
          <w:numId w:val="5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 xml:space="preserve">In addition to any requirements under the DGCL or this Certificate of Incorporation, (i) so long as Nexus has the right to appoint the Nexus Director in accordance with the Investor Rights Agreement, the Nexus Director must be present (in person or by means of conference telephone or other communications equipment by means of which all Persons participating in the meeting can hear each other) at any meeting of the Board of Directors for a quorum to exist and (ii) so long as STORY 3 has the right to appoint the STORY 3 Director in accordance with the Investor Rights Agreement, the STORY 3 Director must be present (in person or by means of conference telephone or other communications equipment by means of which all Persons participating in the meeting can hear each other) at any meeting of the Board of Directors for a quorum to exist;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i w:val="1"/>
          <w:iCs w:val="1"/>
          <w:u w:val="single" w:color="auto"/>
          <w:color w:val="0000FF"/>
        </w:rPr>
        <w:t>however</w:t>
      </w:r>
      <w:r>
        <w:rPr>
          <w:rFonts w:ascii="Times New Roman" w:cs="Times New Roman" w:eastAsia="Times New Roman" w:hAnsi="Times New Roman"/>
          <w:sz w:val="18"/>
          <w:szCs w:val="18"/>
          <w:u w:val="single" w:color="auto"/>
          <w:color w:val="0000FF"/>
        </w:rPr>
        <w:t>, that if the Nexus Director or the STORY 3</w:t>
      </w: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u w:val="single" w:color="auto"/>
          <w:color w:val="0000FF"/>
        </w:rPr>
        <w:t>Director, as applicable, fails to attend three (3) or more consecutive meetings of the Board of Directors that are held during ordinary business hours for which such Director has received notice at least two (2) business days prior to such meeting, quorum shall be deemed to be present at the next meeting immediately following such failure held during ordinary business hours for which such Director has received notice at least two (2) business days prior to such meeting so long as the other Directors required for quorum pursuant to this Section 6.5 are present.</w:t>
      </w:r>
    </w:p>
    <w:p>
      <w:pPr>
        <w:spacing w:after="0" w:line="75" w:lineRule="exact"/>
        <w:rPr>
          <w:sz w:val="20"/>
          <w:szCs w:val="20"/>
          <w:color w:val="auto"/>
        </w:rPr>
      </w:pPr>
    </w:p>
    <w:p>
      <w:pPr>
        <w:jc w:val="both"/>
        <w:ind w:left="20"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FF0000"/>
          <w:strike w:val="1"/>
        </w:rPr>
        <w:t>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Removal</w:t>
      </w:r>
      <w:r>
        <w:rPr>
          <w:rFonts w:ascii="Times New Roman" w:cs="Times New Roman" w:eastAsia="Times New Roman" w:hAnsi="Times New Roman"/>
          <w:sz w:val="18"/>
          <w:szCs w:val="18"/>
          <w:color w:val="FF0000"/>
          <w:strike w:val="1"/>
        </w:rPr>
        <w:t>. Subject to the rights of the holders of any series of Preferred Stock then outstanding in respect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Preferred Stock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6.6</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strike w:val="1"/>
        </w:rPr>
        <w:t>Removal</w:t>
      </w:r>
      <w:r>
        <w:rPr>
          <w:rFonts w:ascii="Times New Roman" w:cs="Times New Roman" w:eastAsia="Times New Roman" w:hAnsi="Times New Roman"/>
          <w:sz w:val="18"/>
          <w:szCs w:val="18"/>
          <w:u w:val="single" w:color="auto"/>
          <w:color w:val="0000FF"/>
        </w:rPr>
        <w:t>. For so long as the Board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Directors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FF"/>
        </w:rPr>
        <w:t>is classified</w:t>
      </w:r>
      <w:r>
        <w:rPr>
          <w:rFonts w:ascii="Times New Roman" w:cs="Times New Roman" w:eastAsia="Times New Roman" w:hAnsi="Times New Roman"/>
          <w:sz w:val="18"/>
          <w:szCs w:val="18"/>
          <w:color w:val="000000"/>
        </w:rPr>
        <w:t>, any Director may be removed for cause only by 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affirmative vote of the holders of </w:t>
      </w:r>
      <w:r>
        <w:rPr>
          <w:rFonts w:ascii="Times New Roman" w:cs="Times New Roman" w:eastAsia="Times New Roman" w:hAnsi="Times New Roman"/>
          <w:sz w:val="18"/>
          <w:szCs w:val="18"/>
          <w:color w:val="FF0000"/>
          <w:strike w:val="1"/>
        </w:rPr>
        <w:t>at least two-thirds</w:t>
      </w:r>
      <w:r>
        <w:rPr>
          <w:rFonts w:ascii="Times New Roman" w:cs="Times New Roman" w:eastAsia="Times New Roman" w:hAnsi="Times New Roman"/>
          <w:sz w:val="18"/>
          <w:szCs w:val="18"/>
          <w:u w:val="single" w:color="auto"/>
          <w:color w:val="0000FF"/>
        </w:rPr>
        <w:t>a majority</w:t>
      </w:r>
      <w:r>
        <w:rPr>
          <w:rFonts w:ascii="Times New Roman" w:cs="Times New Roman" w:eastAsia="Times New Roman" w:hAnsi="Times New Roman"/>
          <w:sz w:val="18"/>
          <w:szCs w:val="18"/>
          <w:color w:val="000000"/>
        </w:rPr>
        <w:t xml:space="preserve"> of the voting power of all of the then outstanding shares of capital stock entitled to vote generally in the election of </w:t>
      </w:r>
      <w:r>
        <w:rPr>
          <w:rFonts w:ascii="Times New Roman" w:cs="Times New Roman" w:eastAsia="Times New Roman" w:hAnsi="Times New Roman"/>
          <w:sz w:val="18"/>
          <w:szCs w:val="18"/>
          <w:color w:val="FF0000"/>
          <w:strike w:val="1"/>
        </w:rPr>
        <w:t>directors</w:t>
      </w:r>
      <w:r>
        <w:rPr>
          <w:rFonts w:ascii="Times New Roman" w:cs="Times New Roman" w:eastAsia="Times New Roman" w:hAnsi="Times New Roman"/>
          <w:sz w:val="18"/>
          <w:szCs w:val="18"/>
          <w:u w:val="single" w:color="auto"/>
          <w:color w:val="0000FF"/>
        </w:rPr>
        <w:t>Directors</w:t>
      </w:r>
      <w:r>
        <w:rPr>
          <w:rFonts w:ascii="Times New Roman" w:cs="Times New Roman" w:eastAsia="Times New Roman" w:hAnsi="Times New Roman"/>
          <w:sz w:val="18"/>
          <w:szCs w:val="18"/>
          <w:color w:val="000000"/>
        </w:rPr>
        <w:t>, at a meeting duly called for that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-294005</wp:posOffset>
            </wp:positionV>
            <wp:extent cx="5657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-311150</wp:posOffset>
            </wp:positionV>
            <wp:extent cx="5645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4515" cy="8890"/>
                    </a:xfrm>
                    <a:prstGeom prst="rect">
                      <a:avLst/>
                    </a:prstGeom>
                    <a:noFill/>
                  </pic:spPr>
                </pic:pic>
              </a:graphicData>
            </a:graphic>
          </wp:anchor>
        </w:drawing>
      </w:r>
    </w:p>
    <w:p>
      <w:pPr>
        <w:spacing w:after="0" w:line="52" w:lineRule="exact"/>
        <w:rPr>
          <w:sz w:val="20"/>
          <w:szCs w:val="20"/>
          <w:color w:val="auto"/>
        </w:rPr>
      </w:pPr>
    </w:p>
    <w:p>
      <w:pPr>
        <w:jc w:val="both"/>
        <w:ind w:left="20"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FF0000"/>
          <w:strike w:val="1"/>
        </w:rPr>
        <w:t>6.6</w:t>
      </w:r>
      <w:r>
        <w:rPr>
          <w:rFonts w:ascii="Times New Roman" w:cs="Times New Roman" w:eastAsia="Times New Roman" w:hAnsi="Times New Roman"/>
          <w:sz w:val="18"/>
          <w:szCs w:val="18"/>
          <w:u w:val="single" w:color="auto"/>
          <w:color w:val="0000FF"/>
        </w:rPr>
        <w:t>6.7 Notice</w:t>
      </w:r>
      <w:r>
        <w:rPr>
          <w:rFonts w:ascii="Times New Roman" w:cs="Times New Roman" w:eastAsia="Times New Roman" w:hAnsi="Times New Roman"/>
          <w:sz w:val="18"/>
          <w:szCs w:val="18"/>
          <w:color w:val="auto"/>
        </w:rPr>
        <w:t>. Advance notice of stockholder nominations for election of Directors and other business to be brought by stockholders before a meeting of stockholders shall be given in the manner provided by the Bylaws.</w:t>
      </w:r>
    </w:p>
    <w:p>
      <w:pPr>
        <w:spacing w:after="0" w:line="54" w:lineRule="exact"/>
        <w:rPr>
          <w:sz w:val="20"/>
          <w:szCs w:val="20"/>
          <w:color w:val="auto"/>
        </w:rPr>
      </w:pPr>
    </w:p>
    <w:p>
      <w:pPr>
        <w:jc w:val="both"/>
        <w:ind w:left="20" w:firstLine="360"/>
        <w:spacing w:after="0" w:line="261" w:lineRule="auto"/>
        <w:rPr>
          <w:sz w:val="20"/>
          <w:szCs w:val="20"/>
          <w:color w:val="auto"/>
        </w:rPr>
      </w:pPr>
      <w:r>
        <w:rPr>
          <w:rFonts w:ascii="Times New Roman" w:cs="Times New Roman" w:eastAsia="Times New Roman" w:hAnsi="Times New Roman"/>
          <w:sz w:val="18"/>
          <w:szCs w:val="18"/>
          <w:u w:val="single" w:color="auto"/>
          <w:color w:val="0000FF"/>
        </w:rPr>
        <w:t>Section 6.8 Special Meetings of Stockholders. Subject to applicable law, special meetings of stockholders of the Corporation may be called, for any purpose or purposes, at any time only by or at the direction of (i) a majority of the Whole Board of Directors, (ii) the chairperson of the Board of Directors or (iii) the holders of at least forty percent (40%) of the voting power of all of the then-outstanding shares of the Corporation, and may not be called by any other person or persons.</w:t>
      </w:r>
    </w:p>
    <w:p>
      <w:pPr>
        <w:spacing w:after="0" w:line="72" w:lineRule="exact"/>
        <w:rPr>
          <w:sz w:val="20"/>
          <w:szCs w:val="20"/>
          <w:color w:val="auto"/>
        </w:rPr>
      </w:pPr>
    </w:p>
    <w:p>
      <w:pPr>
        <w:jc w:val="both"/>
        <w:ind w:left="20" w:firstLine="360"/>
        <w:spacing w:after="0" w:line="253" w:lineRule="auto"/>
        <w:rPr>
          <w:sz w:val="20"/>
          <w:szCs w:val="20"/>
          <w:color w:val="auto"/>
        </w:rPr>
      </w:pPr>
      <w:r>
        <w:rPr>
          <w:rFonts w:ascii="Times New Roman" w:cs="Times New Roman" w:eastAsia="Times New Roman" w:hAnsi="Times New Roman"/>
          <w:sz w:val="18"/>
          <w:szCs w:val="18"/>
          <w:color w:val="FF0000"/>
          <w:strike w:val="1"/>
        </w:rPr>
        <w:t>Section 6.7</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rPr>
        <w:t>Preferred Directors</w:t>
      </w:r>
      <w:r>
        <w:rPr>
          <w:rFonts w:ascii="Times New Roman" w:cs="Times New Roman" w:eastAsia="Times New Roman" w:hAnsi="Times New Roman"/>
          <w:sz w:val="18"/>
          <w:szCs w:val="18"/>
          <w:color w:val="FF0000"/>
        </w:rPr>
        <w:t xml:space="preserv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w:t>
      </w:r>
      <w:r>
        <w:rPr>
          <w:rFonts w:ascii="Times New Roman" w:cs="Times New Roman" w:eastAsia="Times New Roman" w:hAnsi="Times New Roman"/>
          <w:sz w:val="18"/>
          <w:szCs w:val="18"/>
          <w:color w:val="FF0000"/>
          <w:strike w:val="1"/>
        </w:rPr>
        <w:t>Certificate of Incorporation (including any Preferred Stock Designation) applicable thereto.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number of directors that may be elected by the holders of any such series of Preferred Stock shall be in addition to the</w:t>
      </w:r>
      <w:r>
        <w:rPr>
          <w:rFonts w:ascii="Times New Roman" w:cs="Times New Roman" w:eastAsia="Times New Roman" w:hAnsi="Times New Roman"/>
          <w:sz w:val="18"/>
          <w:szCs w:val="18"/>
          <w:color w:val="FF0000"/>
        </w:rPr>
        <w:t xml:space="preserve"> number fixed pursuant to Section 6.3 hereof, and the total number of directors constituting the Whole </w:t>
      </w:r>
      <w:r>
        <w:rPr>
          <w:rFonts w:ascii="Times New Roman" w:cs="Times New Roman" w:eastAsia="Times New Roman" w:hAnsi="Times New Roman"/>
          <w:sz w:val="18"/>
          <w:szCs w:val="18"/>
          <w:color w:val="FF0000"/>
          <w:strike w:val="1"/>
        </w:rPr>
        <w:t>Board of Directors shall be automatically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adjusted accordingly.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VII.</w:t>
      </w:r>
    </w:p>
    <w:p>
      <w:pPr>
        <w:spacing w:after="0" w:line="99" w:lineRule="exact"/>
        <w:rPr>
          <w:sz w:val="20"/>
          <w:szCs w:val="20"/>
          <w:color w:val="auto"/>
        </w:rPr>
      </w:pPr>
    </w:p>
    <w:p>
      <w:pPr>
        <w:jc w:val="both"/>
        <w:ind w:left="20" w:firstLine="360"/>
        <w:spacing w:after="0" w:line="253" w:lineRule="auto"/>
        <w:rPr>
          <w:sz w:val="20"/>
          <w:szCs w:val="20"/>
          <w:color w:val="auto"/>
        </w:rPr>
      </w:pPr>
      <w:r>
        <w:rPr>
          <w:rFonts w:ascii="Times New Roman" w:cs="Times New Roman" w:eastAsia="Times New Roman" w:hAnsi="Times New Roman"/>
          <w:sz w:val="18"/>
          <w:szCs w:val="18"/>
          <w:color w:val="FF0000"/>
          <w:strike w:val="1"/>
        </w:rPr>
        <w:t>No</w:t>
      </w:r>
      <w:r>
        <w:rPr>
          <w:rFonts w:ascii="Times New Roman" w:cs="Times New Roman" w:eastAsia="Times New Roman" w:hAnsi="Times New Roman"/>
          <w:sz w:val="18"/>
          <w:szCs w:val="18"/>
          <w:u w:val="single" w:color="auto"/>
          <w:color w:val="FF0000"/>
        </w:rPr>
        <w:t>Any</w:t>
      </w:r>
      <w:r>
        <w:rPr>
          <w:rFonts w:ascii="Times New Roman" w:cs="Times New Roman" w:eastAsia="Times New Roman" w:hAnsi="Times New Roman"/>
          <w:sz w:val="18"/>
          <w:szCs w:val="18"/>
          <w:color w:val="FF0000"/>
        </w:rPr>
        <w:t xml:space="preserve"> action required or permitted to be taken at any </w:t>
      </w:r>
      <w:r>
        <w:rPr>
          <w:rFonts w:ascii="Times New Roman" w:cs="Times New Roman" w:eastAsia="Times New Roman" w:hAnsi="Times New Roman"/>
          <w:sz w:val="18"/>
          <w:szCs w:val="18"/>
          <w:color w:val="FF0000"/>
          <w:strike w:val="1"/>
        </w:rPr>
        <w:t>annual or special</w:t>
      </w:r>
      <w:r>
        <w:rPr>
          <w:rFonts w:ascii="Times New Roman" w:cs="Times New Roman" w:eastAsia="Times New Roman" w:hAnsi="Times New Roman"/>
          <w:sz w:val="18"/>
          <w:szCs w:val="18"/>
          <w:color w:val="FF0000"/>
        </w:rPr>
        <w:t xml:space="preserve"> meeting of </w:t>
      </w:r>
      <w:r>
        <w:rPr>
          <w:rFonts w:ascii="Times New Roman" w:cs="Times New Roman" w:eastAsia="Times New Roman" w:hAnsi="Times New Roman"/>
          <w:sz w:val="18"/>
          <w:szCs w:val="18"/>
          <w:color w:val="FF0000"/>
          <w:strike w:val="1"/>
        </w:rPr>
        <w:t>stockholders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rPr>
        <w:t>the holders of Class 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rPr>
        <w:t>Common Stock</w:t>
      </w:r>
      <w:r>
        <w:rPr>
          <w:rFonts w:ascii="Times New Roman" w:cs="Times New Roman" w:eastAsia="Times New Roman" w:hAnsi="Times New Roman"/>
          <w:sz w:val="18"/>
          <w:szCs w:val="18"/>
          <w:color w:val="FF0000"/>
        </w:rPr>
        <w:t xml:space="preserve"> may be taken without a meeting</w:t>
      </w:r>
      <w:r>
        <w:rPr>
          <w:rFonts w:ascii="Times New Roman" w:cs="Times New Roman" w:eastAsia="Times New Roman" w:hAnsi="Times New Roman"/>
          <w:sz w:val="18"/>
          <w:szCs w:val="18"/>
          <w:color w:val="FF0000"/>
          <w:strike w:val="1"/>
        </w:rPr>
        <w:t>. No action shall be taken by the stockholders of the Corporation by consent.</w:t>
      </w:r>
      <w:r>
        <w:rPr>
          <w:rFonts w:ascii="Times New Roman" w:cs="Times New Roman" w:eastAsia="Times New Roman" w:hAnsi="Times New Roman"/>
          <w:sz w:val="18"/>
          <w:szCs w:val="18"/>
          <w:u w:val="single" w:color="auto"/>
          <w:color w:val="FF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rPr>
        <w:t>without prior notice and without a vote, if a written consent or consents, setting forth the action so taken, shall be signed by the holders of Class A Common Stock then outstanding having not less than the minimum number of votes that would be necessary to authorize or take such action at a meeting at which all shares of Class A Common Stock then outstanding were present and voted and shall be delivered to the Corporation in accordance with the DGCL. Prompt notice of the taking of corporate action without a meeting by less than unanimous consent of the holders of Class A Common Stock then outstanding shall, to the extent required by applicable law, be given to those holders of Class A Common Stock who have not consented and who, if the action had been taken at a meeting, would have been entitled to notice of the meeting if the record date for notice of such meeting had been the date that consents signed by a sufficient number of holders of Class A Common Stock to take the action were delivered to the Corporation in accordance with the DGCL.</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VIII.</w:t>
      </w:r>
    </w:p>
    <w:p>
      <w:pPr>
        <w:spacing w:after="0" w:line="99" w:lineRule="exact"/>
        <w:rPr>
          <w:sz w:val="20"/>
          <w:szCs w:val="20"/>
          <w:color w:val="auto"/>
        </w:rPr>
      </w:pPr>
    </w:p>
    <w:p>
      <w:pPr>
        <w:jc w:val="both"/>
        <w:ind w:left="20" w:firstLine="360"/>
        <w:spacing w:after="0" w:line="253" w:lineRule="auto"/>
        <w:rPr>
          <w:sz w:val="20"/>
          <w:szCs w:val="20"/>
          <w:color w:val="auto"/>
        </w:rPr>
      </w:pPr>
      <w:r>
        <w:rPr>
          <w:rFonts w:ascii="Times New Roman" w:cs="Times New Roman" w:eastAsia="Times New Roman" w:hAnsi="Times New Roman"/>
          <w:sz w:val="18"/>
          <w:szCs w:val="18"/>
          <w:color w:val="auto"/>
        </w:rPr>
        <w:t xml:space="preserve">Except with respect to </w:t>
      </w:r>
      <w:r>
        <w:rPr>
          <w:rFonts w:ascii="Times New Roman" w:cs="Times New Roman" w:eastAsia="Times New Roman" w:hAnsi="Times New Roman"/>
          <w:sz w:val="18"/>
          <w:szCs w:val="18"/>
          <w:u w:val="single" w:color="auto"/>
          <w:color w:val="auto"/>
        </w:rPr>
        <w:t>Articles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in addition to any vote of the holders of shares of any class or series of capital stock of the Corporation required by applicable law or by this Certificate of Incorporation </w:t>
      </w:r>
      <w:r>
        <w:rPr>
          <w:rFonts w:ascii="Times New Roman" w:cs="Times New Roman" w:eastAsia="Times New Roman" w:hAnsi="Times New Roman"/>
          <w:sz w:val="18"/>
          <w:szCs w:val="18"/>
          <w:color w:val="FF0000"/>
          <w:strike w:val="1"/>
        </w:rPr>
        <w:t>(including any Certificate of Designation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in respect of one or more series of Preferred Stock)</w:t>
      </w:r>
      <w:r>
        <w:rPr>
          <w:rFonts w:ascii="Times New Roman" w:cs="Times New Roman" w:eastAsia="Times New Roman" w:hAnsi="Times New Roman"/>
          <w:sz w:val="18"/>
          <w:szCs w:val="18"/>
          <w:color w:val="000000"/>
        </w:rPr>
        <w:t>, the adoption, amendment or repeal of the Certificate of Incorporation shall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require the affirmative vote of the holders of </w:t>
      </w:r>
      <w:r>
        <w:rPr>
          <w:rFonts w:ascii="Times New Roman" w:cs="Times New Roman" w:eastAsia="Times New Roman" w:hAnsi="Times New Roman"/>
          <w:sz w:val="18"/>
          <w:szCs w:val="18"/>
          <w:color w:val="FF0000"/>
          <w:strike w:val="1"/>
        </w:rPr>
        <w:t>at least two-thirds</w:t>
      </w:r>
      <w:r>
        <w:rPr>
          <w:rFonts w:ascii="Times New Roman" w:cs="Times New Roman" w:eastAsia="Times New Roman" w:hAnsi="Times New Roman"/>
          <w:sz w:val="18"/>
          <w:szCs w:val="18"/>
          <w:u w:val="single" w:color="auto"/>
          <w:color w:val="0000FF"/>
        </w:rPr>
        <w:t>a majority</w:t>
      </w:r>
      <w:r>
        <w:rPr>
          <w:rFonts w:ascii="Times New Roman" w:cs="Times New Roman" w:eastAsia="Times New Roman" w:hAnsi="Times New Roman"/>
          <w:sz w:val="18"/>
          <w:szCs w:val="18"/>
          <w:color w:val="000000"/>
        </w:rPr>
        <w:t xml:space="preserve"> of the voting power of all of the then outstanding shares of voting stock of the Corporation entitled to vote thereon. If any provision or provisions of this Certificate of Incorporation shall be held to be invalid, illegal or unenforceable as applied to any Person or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and circumstances shall not in any way be affected or impaired thereby.</w:t>
      </w: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IX.</w:t>
      </w:r>
    </w:p>
    <w:p>
      <w:pPr>
        <w:spacing w:after="0" w:line="99" w:lineRule="exact"/>
        <w:rPr>
          <w:sz w:val="20"/>
          <w:szCs w:val="20"/>
          <w:color w:val="auto"/>
        </w:rPr>
      </w:pPr>
    </w:p>
    <w:p>
      <w:pPr>
        <w:jc w:val="both"/>
        <w:ind w:left="20"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Corporation is authorized to indemnify, and to advance expenses to, each current or former Director, officer, employee or agent of the Corporation to the fullest extent permitted by Section 145 of the DGCL as it presently exists or may hereafter be amended. To the fullest extent permitted by the laws of the State of Delaware as it exists on the date hereof or as it may hereafter be amended, no Director </w:t>
      </w:r>
      <w:r>
        <w:rPr>
          <w:rFonts w:ascii="Times New Roman" w:cs="Times New Roman" w:eastAsia="Times New Roman" w:hAnsi="Times New Roman"/>
          <w:sz w:val="18"/>
          <w:szCs w:val="18"/>
          <w:u w:val="single" w:color="auto"/>
          <w:color w:val="0000FF"/>
        </w:rPr>
        <w:t>or officer of the Corporation</w:t>
      </w:r>
      <w:r>
        <w:rPr>
          <w:rFonts w:ascii="Times New Roman" w:cs="Times New Roman" w:eastAsia="Times New Roman" w:hAnsi="Times New Roman"/>
          <w:sz w:val="18"/>
          <w:szCs w:val="18"/>
          <w:color w:val="auto"/>
        </w:rPr>
        <w:t xml:space="preserve"> shall be personally liable to the Corporation or its stockholders for monetary damages for any breach of his or her fiduciary duties as a </w:t>
      </w:r>
      <w:r>
        <w:rPr>
          <w:rFonts w:ascii="Times New Roman" w:cs="Times New Roman" w:eastAsia="Times New Roman" w:hAnsi="Times New Roman"/>
          <w:sz w:val="18"/>
          <w:szCs w:val="18"/>
          <w:color w:val="FF0000"/>
          <w:strike w:val="1"/>
        </w:rPr>
        <w:t>director</w:t>
      </w:r>
      <w:r>
        <w:rPr>
          <w:rFonts w:ascii="Times New Roman" w:cs="Times New Roman" w:eastAsia="Times New Roman" w:hAnsi="Times New Roman"/>
          <w:sz w:val="18"/>
          <w:szCs w:val="18"/>
          <w:u w:val="single" w:color="auto"/>
          <w:color w:val="0000FF"/>
        </w:rPr>
        <w:t>Director or officer of the 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that the foregoing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clause shall not eliminate or limit the liability of any officer of the Corporation in any action by or in the right of the 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No amendment to, or modification or repeal of, this </w:t>
      </w:r>
      <w:r>
        <w:rPr>
          <w:rFonts w:ascii="Times New Roman" w:cs="Times New Roman" w:eastAsia="Times New Roman" w:hAnsi="Times New Roman"/>
          <w:sz w:val="18"/>
          <w:szCs w:val="18"/>
          <w:u w:val="single" w:color="auto"/>
          <w:color w:val="000000"/>
        </w:rPr>
        <w:t>Article IX</w:t>
      </w:r>
      <w:r>
        <w:rPr>
          <w:rFonts w:ascii="Times New Roman" w:cs="Times New Roman" w:eastAsia="Times New Roman" w:hAnsi="Times New Roman"/>
          <w:sz w:val="18"/>
          <w:szCs w:val="18"/>
          <w:color w:val="000000"/>
        </w:rPr>
        <w:t xml:space="preserve"> shall adversely affect any right or protection of a Director or of any officer, employee or agent of the Corporation existing hereunder with respect to any act or omission occurring prior to such amendment, modification or repeal.</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X.</w:t>
      </w:r>
    </w:p>
    <w:p>
      <w:pPr>
        <w:spacing w:after="0" w:line="1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Corporate Opportunity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20" w:firstLine="721"/>
        <w:spacing w:after="0" w:line="252" w:lineRule="auto"/>
        <w:tabs>
          <w:tab w:leader="none" w:pos="100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the laws of the State of Delaware and in accordance with Section 122(17) of the DGCL, (i) the Corporation hereby renounces all interest and expectancy that it otherwise would be entitled to have in, and all rights to be offered an opportunity to participate in, any business opportunity that from time to time may be presented to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u w:val="single" w:color="auto"/>
          <w:color w:val="0000FF"/>
        </w:rPr>
        <w:t>the STORY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Director or the Nexus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Director (or his or her respective affiliates) who is not employed by the Corporation or its subsidiaries (each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such Person, an “</w:t>
      </w:r>
      <w:r>
        <w:rPr>
          <w:rFonts w:ascii="Times New Roman" w:cs="Times New Roman" w:eastAsia="Times New Roman" w:hAnsi="Times New Roman"/>
          <w:sz w:val="18"/>
          <w:szCs w:val="18"/>
          <w:b w:val="1"/>
          <w:bCs w:val="1"/>
          <w:i w:val="1"/>
          <w:iCs w:val="1"/>
          <w:color w:val="000000"/>
        </w:rPr>
        <w:t>Exempt Person</w:t>
      </w:r>
      <w:r>
        <w:rPr>
          <w:rFonts w:ascii="Times New Roman" w:cs="Times New Roman" w:eastAsia="Times New Roman" w:hAnsi="Times New Roman"/>
          <w:sz w:val="18"/>
          <w:szCs w:val="18"/>
          <w:color w:val="000000"/>
        </w:rPr>
        <w:t xml:space="preserve">”); (ii) no Exempt Person will have any duty to refrain from (1) engaging in a corporate opportunity in the same or similar lines of business in which the Corporation or its subsidiaries from time to time is engaged or proposes to engage or (2) otherwise competing, directly or indirectly, with the Corporation or any of its subsidiaries; and (iii) if any Exempt Person acquires knowledge of a potential transaction or other business opportunity which may be a corporate opportunity both for such Exempt Person or any of his or her respective Affiliates, on the one hand, and for the Corporation or its subsidiaries, on the other hand, such Exempt Person shall have no duty to communicate or offer such transaction or business opportunity to the Corporation or its subsidiaries and such Exempt Person may take any and all such transactions or opportunities for itself or offer such transactions or opportunities to any other Person. Notwithstanding the foregoing, the preceding sentence of this </w:t>
      </w:r>
      <w:r>
        <w:rPr>
          <w:rFonts w:ascii="Times New Roman" w:cs="Times New Roman" w:eastAsia="Times New Roman" w:hAnsi="Times New Roman"/>
          <w:sz w:val="18"/>
          <w:szCs w:val="18"/>
          <w:u w:val="single" w:color="auto"/>
          <w:color w:val="000000"/>
        </w:rPr>
        <w:t>Section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10.1(a)</w:t>
      </w:r>
      <w:r>
        <w:rPr>
          <w:rFonts w:ascii="Times New Roman" w:cs="Times New Roman" w:eastAsia="Times New Roman" w:hAnsi="Times New Roman"/>
          <w:sz w:val="18"/>
          <w:szCs w:val="18"/>
          <w:color w:val="000000"/>
        </w:rPr>
        <w:t xml:space="preserve"> shall not apply to any potential transaction or business opportunity that is expressly offered to a Director, executive officer or employee of the Corporation or its subsidiaries, solely in his or her capacity as a Director, executive officer or employee of the Corporation or its subsidiaries.</w:t>
      </w:r>
    </w:p>
    <w:p>
      <w:pPr>
        <w:spacing w:after="0" w:line="87" w:lineRule="exact"/>
        <w:rPr>
          <w:rFonts w:ascii="Times New Roman" w:cs="Times New Roman" w:eastAsia="Times New Roman" w:hAnsi="Times New Roman"/>
          <w:sz w:val="18"/>
          <w:szCs w:val="18"/>
          <w:color w:val="auto"/>
        </w:rPr>
      </w:pPr>
    </w:p>
    <w:p>
      <w:pPr>
        <w:jc w:val="both"/>
        <w:ind w:left="20" w:firstLine="721"/>
        <w:spacing w:after="0" w:line="255" w:lineRule="auto"/>
        <w:tabs>
          <w:tab w:leader="none" w:pos="100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laws of the State of Delaware, no potential transaction or business opportunity may be deemed to be a corporate opportunity of the Corporation or its subsidiaries unless (i) the Corporation or its subsidiaries would be permitted to undertake such transaction or opportunity in accordance with this Certificate of Incorporation, (ii) the Corporation or its subsidiaries at such time have sufficient financial resources to undertake such transaction or opportunity, (iii) the Corporation or its subsidiaries have an interest or expectancy in such transaction or opportunity and (iv) such transaction or opportunity would be in the same or similar line of business in which the Corporation or its subsidiaries are then engaged or a line of business that is reasonably related to, or a reasonable extension of, such line of business.</w:t>
      </w:r>
    </w:p>
    <w:p>
      <w:pPr>
        <w:spacing w:after="0" w:line="81" w:lineRule="exact"/>
        <w:rPr>
          <w:sz w:val="20"/>
          <w:szCs w:val="20"/>
          <w:color w:val="auto"/>
        </w:rPr>
      </w:pPr>
    </w:p>
    <w:p>
      <w:pPr>
        <w:jc w:val="both"/>
        <w:ind w:left="20" w:firstLine="360"/>
        <w:spacing w:after="0" w:line="266" w:lineRule="auto"/>
        <w:rPr>
          <w:sz w:val="20"/>
          <w:szCs w:val="20"/>
          <w:color w:val="auto"/>
        </w:rPr>
      </w:pPr>
      <w:r>
        <w:rPr>
          <w:rFonts w:ascii="Times New Roman" w:cs="Times New Roman" w:eastAsia="Times New Roman" w:hAnsi="Times New Roman"/>
          <w:sz w:val="18"/>
          <w:szCs w:val="18"/>
          <w:color w:val="FF0000"/>
          <w:strike w:val="1"/>
        </w:rPr>
        <w:t xml:space="preserve">Section 10.2 </w:t>
      </w:r>
      <w:r>
        <w:rPr>
          <w:rFonts w:ascii="Times New Roman" w:cs="Times New Roman" w:eastAsia="Times New Roman" w:hAnsi="Times New Roman"/>
          <w:sz w:val="18"/>
          <w:szCs w:val="18"/>
          <w:u w:val="single" w:color="auto"/>
          <w:color w:val="FF0000"/>
          <w:strike w:val="1"/>
        </w:rPr>
        <w:t>Liability</w:t>
      </w:r>
      <w:r>
        <w:rPr>
          <w:rFonts w:ascii="Times New Roman" w:cs="Times New Roman" w:eastAsia="Times New Roman" w:hAnsi="Times New Roman"/>
          <w:sz w:val="18"/>
          <w:szCs w:val="18"/>
          <w:color w:val="FF0000"/>
          <w:strike w:val="1"/>
        </w:rPr>
        <w:t xml:space="preserve">. To the fullest extent permitted by law, no stockholder and no Director will be liable to the Corporation or its subsidiaries or stockholders for breach of any duty solely by reason of any activities or omissions of the types referred to in this </w:t>
      </w:r>
      <w:r>
        <w:rPr>
          <w:rFonts w:ascii="Times New Roman" w:cs="Times New Roman" w:eastAsia="Times New Roman" w:hAnsi="Times New Roman"/>
          <w:sz w:val="18"/>
          <w:szCs w:val="18"/>
          <w:u w:val="single" w:color="auto"/>
          <w:color w:val="FF0000"/>
          <w:strike w:val="1"/>
        </w:rPr>
        <w:t>Article X</w:t>
      </w:r>
      <w:r>
        <w:rPr>
          <w:rFonts w:ascii="Times New Roman" w:cs="Times New Roman" w:eastAsia="Times New Roman" w:hAnsi="Times New Roman"/>
          <w:sz w:val="18"/>
          <w:szCs w:val="18"/>
          <w:color w:val="FF0000"/>
          <w:strike w:val="1"/>
        </w:rPr>
        <w:t xml:space="preserve">, except to the extent such actions or omissions are in breach of this </w:t>
      </w:r>
      <w:r>
        <w:rPr>
          <w:rFonts w:ascii="Times New Roman" w:cs="Times New Roman" w:eastAsia="Times New Roman" w:hAnsi="Times New Roman"/>
          <w:sz w:val="18"/>
          <w:szCs w:val="18"/>
          <w:u w:val="single" w:color="auto"/>
          <w:color w:val="FF0000"/>
          <w:strike w:val="1"/>
        </w:rPr>
        <w:t>Article X.</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XI.</w:t>
      </w:r>
    </w:p>
    <w:p>
      <w:pPr>
        <w:spacing w:after="0" w:line="99"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(a) (i) any derivative action, suit or proceeding brought on behalf of the Corporation, (ii) any action, suit or proceeding asserting a claim of breach of a fiduciary duty owed by any current or former Director, officer or other employee or stockholder of the Corporation to the Corporation or the Corporation’s stockholders, creditors or other constituents, (iii) any action, suit or proceeding asserting a claim arising pursuant to any provision of the DGCL, this Certificate of Incorporation or the Bylaws (as either may be amended or restated) or as to which the DGCL confers exclusive jurisdiction on the Court of Chancery of the State of Delaware (the “</w:t>
      </w:r>
      <w:r>
        <w:rPr>
          <w:rFonts w:ascii="Times New Roman" w:cs="Times New Roman" w:eastAsia="Times New Roman" w:hAnsi="Times New Roman"/>
          <w:sz w:val="18"/>
          <w:szCs w:val="18"/>
          <w:b w:val="1"/>
          <w:bCs w:val="1"/>
          <w:i w:val="1"/>
          <w:iCs w:val="1"/>
          <w:color w:val="auto"/>
        </w:rPr>
        <w:t>Court of Chancery</w:t>
      </w:r>
      <w:r>
        <w:rPr>
          <w:rFonts w:ascii="Times New Roman" w:cs="Times New Roman" w:eastAsia="Times New Roman" w:hAnsi="Times New Roman"/>
          <w:sz w:val="18"/>
          <w:szCs w:val="18"/>
          <w:color w:val="auto"/>
        </w:rPr>
        <w:t>”), or (iv) any action, suit or proceeding asserting a claim governed by the internal affairs doctrine, shall be exclusively brought in the Court of Chancery or, if such court does not have subject matter jurisdiction thereof, the federal district court of the District of Delaware or other state courts of the State of Delaware; and (b) the federal district courts of the United States of America (the “</w:t>
      </w:r>
      <w:r>
        <w:rPr>
          <w:rFonts w:ascii="Times New Roman" w:cs="Times New Roman" w:eastAsia="Times New Roman" w:hAnsi="Times New Roman"/>
          <w:sz w:val="18"/>
          <w:szCs w:val="18"/>
          <w:b w:val="1"/>
          <w:bCs w:val="1"/>
          <w:i w:val="1"/>
          <w:iCs w:val="1"/>
          <w:color w:val="auto"/>
        </w:rPr>
        <w:t>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Courts</w:t>
      </w:r>
      <w:r>
        <w:rPr>
          <w:rFonts w:ascii="Times New Roman" w:cs="Times New Roman" w:eastAsia="Times New Roman" w:hAnsi="Times New Roman"/>
          <w:sz w:val="18"/>
          <w:szCs w:val="18"/>
          <w:color w:val="auto"/>
        </w:rPr>
        <w:t>”) shall be the exclusive forum for the resolution of any complaint asserting a cause of action arising under the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Act. If any provision or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be held to be invalid, illegal or unenforceable as applied to any </w:t>
      </w:r>
      <w:r>
        <w:rPr>
          <w:rFonts w:ascii="Times New Roman" w:cs="Times New Roman" w:eastAsia="Times New Roman" w:hAnsi="Times New Roman"/>
          <w:sz w:val="18"/>
          <w:szCs w:val="18"/>
          <w:color w:val="FF0000"/>
          <w:strike w:val="1"/>
        </w:rPr>
        <w:t>person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entity</w:t>
      </w:r>
      <w:r>
        <w:rPr>
          <w:rFonts w:ascii="Times New Roman" w:cs="Times New Roman" w:eastAsia="Times New Roman" w:hAnsi="Times New Roman"/>
          <w:sz w:val="18"/>
          <w:szCs w:val="18"/>
          <w:u w:val="single" w:color="auto"/>
          <w:color w:val="0000FF"/>
        </w:rPr>
        <w:t>Person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circumstance for any reason whatsoever, then, to the fullest extent permitted by law, the validity, legality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enforceability of such provisions in any other circumstance and of the remaining provisions of this </w:t>
      </w:r>
      <w:r>
        <w:rPr>
          <w:rFonts w:ascii="Times New Roman" w:cs="Times New Roman" w:eastAsia="Times New Roman" w:hAnsi="Times New Roman"/>
          <w:sz w:val="18"/>
          <w:szCs w:val="18"/>
          <w:u w:val="single" w:color="auto"/>
          <w:color w:val="000000"/>
        </w:rPr>
        <w:t>Article XI</w:t>
      </w:r>
      <w:r>
        <w:rPr>
          <w:rFonts w:ascii="Times New Roman" w:cs="Times New Roman" w:eastAsia="Times New Roman" w:hAnsi="Times New Roman"/>
          <w:sz w:val="18"/>
          <w:szCs w:val="18"/>
          <w:color w:val="000000"/>
        </w:rPr>
        <w:t xml:space="preserve"> (including, without limitation, each portion of any sentence of this </w:t>
      </w:r>
      <w:r>
        <w:rPr>
          <w:rFonts w:ascii="Times New Roman" w:cs="Times New Roman" w:eastAsia="Times New Roman" w:hAnsi="Times New Roman"/>
          <w:sz w:val="18"/>
          <w:szCs w:val="18"/>
          <w:u w:val="single" w:color="auto"/>
          <w:color w:val="000000"/>
        </w:rPr>
        <w:t>Article XI</w:t>
      </w:r>
      <w:r>
        <w:rPr>
          <w:rFonts w:ascii="Times New Roman" w:cs="Times New Roman" w:eastAsia="Times New Roman" w:hAnsi="Times New Roman"/>
          <w:sz w:val="18"/>
          <w:szCs w:val="18"/>
          <w:color w:val="000000"/>
        </w:rPr>
        <w:t xml:space="preserve"> containing any such provision held to be invalid, illegal or unenforceable that is not itself held to be invalid, illegal or</w:t>
      </w: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 xml:space="preserve">unenforceable) and the application of such provision to other </w:t>
      </w:r>
      <w:r>
        <w:rPr>
          <w:rFonts w:ascii="Times New Roman" w:cs="Times New Roman" w:eastAsia="Times New Roman" w:hAnsi="Times New Roman"/>
          <w:sz w:val="18"/>
          <w:szCs w:val="18"/>
          <w:color w:val="FF0000"/>
          <w:strike w:val="1"/>
        </w:rPr>
        <w:t>persons or entities</w:t>
      </w:r>
      <w:r>
        <w:rPr>
          <w:rFonts w:ascii="Times New Roman" w:cs="Times New Roman" w:eastAsia="Times New Roman" w:hAnsi="Times New Roman"/>
          <w:sz w:val="18"/>
          <w:szCs w:val="18"/>
          <w:u w:val="single" w:color="auto"/>
          <w:color w:val="0000FF"/>
        </w:rPr>
        <w:t>Persons</w:t>
      </w:r>
      <w:r>
        <w:rPr>
          <w:rFonts w:ascii="Times New Roman" w:cs="Times New Roman" w:eastAsia="Times New Roman" w:hAnsi="Times New Roman"/>
          <w:sz w:val="18"/>
          <w:szCs w:val="18"/>
          <w:color w:val="auto"/>
        </w:rPr>
        <w:t xml:space="preserve"> and circumstances shall not in any way be affected or impaired thereby. If any action, the subject matter of which is within the scope of the first sentence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is filed in a court other than the Court of Chancery or the Federal Courts, as applicable, (a “</w:t>
      </w:r>
      <w:r>
        <w:rPr>
          <w:rFonts w:ascii="Times New Roman" w:cs="Times New Roman" w:eastAsia="Times New Roman" w:hAnsi="Times New Roman"/>
          <w:sz w:val="18"/>
          <w:szCs w:val="18"/>
          <w:b w:val="1"/>
          <w:bCs w:val="1"/>
          <w:i w:val="1"/>
          <w:iCs w:val="1"/>
          <w:color w:val="auto"/>
        </w:rPr>
        <w:t>Foreign Action</w:t>
      </w:r>
      <w:r>
        <w:rPr>
          <w:rFonts w:ascii="Times New Roman" w:cs="Times New Roman" w:eastAsia="Times New Roman" w:hAnsi="Times New Roman"/>
          <w:sz w:val="18"/>
          <w:szCs w:val="18"/>
          <w:color w:val="auto"/>
        </w:rPr>
        <w:t xml:space="preserve">”) in the name of any stockholder, such stockholder shall be deemed to have consented to (i) the personal jurisdiction of the Court of Chancery and the other state and federal courts in the State of Delaware or the Federal Courts, as applicable, in connection with any action brought in any such court to enforce the first sentence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(ii) having service of process made upon such stockholder in any such action by service upon such stockholder’s counsel in the Foreign Action as agent for such stockholder. To the fullest extent permitted by law, any </w:t>
      </w:r>
      <w:r>
        <w:rPr>
          <w:rFonts w:ascii="Times New Roman" w:cs="Times New Roman" w:eastAsia="Times New Roman" w:hAnsi="Times New Roman"/>
          <w:sz w:val="18"/>
          <w:szCs w:val="18"/>
          <w:color w:val="FF0000"/>
          <w:strike w:val="1"/>
        </w:rPr>
        <w:t>person or entity</w:t>
      </w:r>
      <w:r>
        <w:rPr>
          <w:rFonts w:ascii="Times New Roman" w:cs="Times New Roman" w:eastAsia="Times New Roman" w:hAnsi="Times New Roman"/>
          <w:sz w:val="18"/>
          <w:szCs w:val="18"/>
          <w:u w:val="single" w:color="auto"/>
          <w:color w:val="0000FF"/>
        </w:rPr>
        <w:t>Person</w:t>
      </w:r>
      <w:r>
        <w:rPr>
          <w:rFonts w:ascii="Times New Roman" w:cs="Times New Roman" w:eastAsia="Times New Roman" w:hAnsi="Times New Roman"/>
          <w:sz w:val="18"/>
          <w:szCs w:val="18"/>
          <w:color w:val="auto"/>
        </w:rPr>
        <w:t xml:space="preserve"> purchasing or otherwise acquiring or holding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shall not apply to suits brought to enforce any liability or duty created by the Exchange Act or any other claim for which the federal courts of the United States have exclusive jurisdiction.</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XII.</w:t>
      </w:r>
    </w:p>
    <w:p>
      <w:pPr>
        <w:spacing w:after="0" w:line="99" w:lineRule="exact"/>
        <w:rPr>
          <w:sz w:val="20"/>
          <w:szCs w:val="20"/>
          <w:color w:val="auto"/>
        </w:rPr>
      </w:pPr>
    </w:p>
    <w:p>
      <w:pPr>
        <w:jc w:val="both"/>
        <w:ind w:left="20" w:firstLine="360"/>
        <w:spacing w:after="0" w:line="282" w:lineRule="auto"/>
        <w:rPr>
          <w:sz w:val="20"/>
          <w:szCs w:val="20"/>
          <w:color w:val="auto"/>
        </w:rPr>
      </w:pPr>
      <w:r>
        <w:rPr>
          <w:rFonts w:ascii="Times New Roman" w:cs="Times New Roman" w:eastAsia="Times New Roman" w:hAnsi="Times New Roman"/>
          <w:sz w:val="18"/>
          <w:szCs w:val="18"/>
          <w:color w:val="FF0000"/>
          <w:strike w:val="1"/>
        </w:rPr>
        <w:t>Section 12.1</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Section 203 of the DGCL.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Corporation expressly elects not to be governed by Section 203 of the DGCL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restrictions and limitations set forth therein.</w:t>
      </w:r>
    </w:p>
    <w:p>
      <w:pPr>
        <w:spacing w:after="0" w:line="54" w:lineRule="exact"/>
        <w:rPr>
          <w:sz w:val="20"/>
          <w:szCs w:val="20"/>
          <w:color w:val="auto"/>
        </w:rPr>
      </w:pPr>
    </w:p>
    <w:p>
      <w:pPr>
        <w:jc w:val="both"/>
        <w:ind w:left="20" w:firstLine="360"/>
        <w:spacing w:after="0" w:line="256" w:lineRule="auto"/>
        <w:rPr>
          <w:sz w:val="20"/>
          <w:szCs w:val="20"/>
          <w:color w:val="auto"/>
        </w:rPr>
      </w:pPr>
      <w:r>
        <w:rPr>
          <w:rFonts w:ascii="Times New Roman" w:cs="Times New Roman" w:eastAsia="Times New Roman" w:hAnsi="Times New Roman"/>
          <w:sz w:val="18"/>
          <w:szCs w:val="18"/>
          <w:color w:val="FF0000"/>
          <w:strike w:val="1"/>
        </w:rPr>
        <w:t xml:space="preserve">Section 12.2 </w:t>
      </w:r>
      <w:r>
        <w:rPr>
          <w:rFonts w:ascii="Times New Roman" w:cs="Times New Roman" w:eastAsia="Times New Roman" w:hAnsi="Times New Roman"/>
          <w:sz w:val="18"/>
          <w:szCs w:val="18"/>
          <w:u w:val="single" w:color="auto"/>
          <w:color w:val="FF0000"/>
          <w:strike w:val="1"/>
        </w:rPr>
        <w:t>Business Combinations with Interested Stockholders</w:t>
      </w:r>
      <w:r>
        <w:rPr>
          <w:rFonts w:ascii="Times New Roman" w:cs="Times New Roman" w:eastAsia="Times New Roman" w:hAnsi="Times New Roman"/>
          <w:sz w:val="18"/>
          <w:szCs w:val="18"/>
          <w:color w:val="FF0000"/>
          <w:strike w:val="1"/>
        </w:rPr>
        <w:t>. Notwithstanding anything to the contrary set forth in this Certificate of Incorporation, at any point in time at which the Class A Common Stock or Class B Common Stock is listed on a national securities exchange registered under the Exchange Act or if the Corporation’s Class A Common Stock or Class B Common stock was so listed but is no longer so listed as a result of action taken directly or indirectly by the Interested Stockholder (as defined below), the Corporation shall not engage in a Business Combination (as defined below) with any Interested Stockholder for a period of three (3) years following the time that such stockholder became an Interested Stockholder, unless:</w:t>
      </w:r>
    </w:p>
    <w:p>
      <w:pPr>
        <w:spacing w:after="0" w:line="79" w:lineRule="exact"/>
        <w:rPr>
          <w:sz w:val="20"/>
          <w:szCs w:val="20"/>
          <w:color w:val="auto"/>
        </w:rPr>
      </w:pPr>
    </w:p>
    <w:p>
      <w:pPr>
        <w:ind w:left="20" w:firstLine="721"/>
        <w:spacing w:after="0" w:line="282" w:lineRule="auto"/>
        <w:tabs>
          <w:tab w:leader="none" w:pos="989" w:val="left"/>
        </w:tabs>
        <w:numPr>
          <w:ilvl w:val="1"/>
          <w:numId w:val="6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prior to such time that such stockholder became an Interested Stockholder, the Board of Directors approved either the Business Combination or the transaction which resulted in such stockholder becoming an Interested Stockholder;</w:t>
      </w:r>
    </w:p>
    <w:p>
      <w:pPr>
        <w:spacing w:after="0" w:line="53" w:lineRule="exact"/>
        <w:rPr>
          <w:rFonts w:ascii="Times New Roman" w:cs="Times New Roman" w:eastAsia="Times New Roman" w:hAnsi="Times New Roman"/>
          <w:sz w:val="18"/>
          <w:szCs w:val="18"/>
          <w:color w:val="FF0000"/>
          <w:strike w:val="1"/>
        </w:rPr>
      </w:pPr>
    </w:p>
    <w:p>
      <w:pPr>
        <w:jc w:val="both"/>
        <w:ind w:left="20" w:firstLine="721"/>
        <w:spacing w:after="0" w:line="256" w:lineRule="auto"/>
        <w:tabs>
          <w:tab w:leader="none" w:pos="1024" w:val="left"/>
        </w:tabs>
        <w:numPr>
          <w:ilvl w:val="1"/>
          <w:numId w:val="6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upon consummation of the transaction which resulted in the stockholder becoming an interested stockholder, the interested stockholder owned at least eighty-five percent (85%) of the voting stock (as defined below)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79" w:lineRule="exact"/>
        <w:rPr>
          <w:rFonts w:ascii="Times New Roman" w:cs="Times New Roman" w:eastAsia="Times New Roman" w:hAnsi="Times New Roman"/>
          <w:sz w:val="18"/>
          <w:szCs w:val="18"/>
          <w:color w:val="FF0000"/>
          <w:strike w:val="1"/>
        </w:rPr>
      </w:pPr>
    </w:p>
    <w:p>
      <w:pPr>
        <w:jc w:val="both"/>
        <w:ind w:left="20" w:firstLine="361"/>
        <w:spacing w:after="0" w:line="261" w:lineRule="auto"/>
        <w:tabs>
          <w:tab w:leader="none" w:pos="660" w:val="left"/>
        </w:tabs>
        <w:numPr>
          <w:ilvl w:val="0"/>
          <w:numId w:val="6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at or subsequent to such time that such stockholder became an Interested Stockholder, the Business Combination is approved by the Board of Directors and authorized at an annual or special meeting of stockholders by the affirmative vote of at least sixty-six and two-thirds percent (66 2/3%) of the voting power of the outstanding shares of capital stock of the Corporation which is not owned by such Interested Stockholder.</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FF0000"/>
          <w:strike w:val="1"/>
        </w:rPr>
        <w:t xml:space="preserve">Section 12.3 </w:t>
      </w:r>
      <w:r>
        <w:rPr>
          <w:rFonts w:ascii="Times New Roman" w:cs="Times New Roman" w:eastAsia="Times New Roman" w:hAnsi="Times New Roman"/>
          <w:sz w:val="18"/>
          <w:szCs w:val="18"/>
          <w:u w:val="single" w:color="auto"/>
          <w:color w:val="FF0000"/>
          <w:strike w:val="1"/>
        </w:rPr>
        <w:t>Definitions</w:t>
      </w:r>
      <w:r>
        <w:rPr>
          <w:rFonts w:ascii="Times New Roman" w:cs="Times New Roman" w:eastAsia="Times New Roman" w:hAnsi="Times New Roman"/>
          <w:sz w:val="18"/>
          <w:szCs w:val="18"/>
          <w:color w:val="FF0000"/>
          <w:strike w:val="1"/>
        </w:rPr>
        <w:t>. As used in this Certificate of Incorporation, the following terms shall have the following meaning:</w:t>
      </w:r>
    </w:p>
    <w:p>
      <w:pPr>
        <w:spacing w:after="0" w:line="113" w:lineRule="exact"/>
        <w:rPr>
          <w:sz w:val="20"/>
          <w:szCs w:val="20"/>
          <w:color w:val="auto"/>
        </w:rPr>
      </w:pPr>
    </w:p>
    <w:p>
      <w:pPr>
        <w:jc w:val="both"/>
        <w:ind w:left="20" w:firstLine="721"/>
        <w:spacing w:after="0" w:line="254" w:lineRule="auto"/>
        <w:tabs>
          <w:tab w:leader="none" w:pos="985" w:val="left"/>
        </w:tabs>
        <w:numPr>
          <w:ilvl w:val="0"/>
          <w:numId w:val="6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Affiliate</w:t>
      </w:r>
      <w:r>
        <w:rPr>
          <w:rFonts w:ascii="Times New Roman" w:cs="Times New Roman" w:eastAsia="Times New Roman" w:hAnsi="Times New Roman"/>
          <w:sz w:val="18"/>
          <w:szCs w:val="18"/>
          <w:color w:val="FF0000"/>
          <w:strike w:val="1"/>
        </w:rPr>
        <w:t>” means a Person that directly, or indirectly through one or more intermediaries, controls, or is controlled by, or is under common control with, another Person and, for purposes of the definition of Affiliate “control,”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twenty percent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XII, as an agent, bank, broker, nominee, custodian or trustee for one or more owners who do not individually or as a group have control of such entity.</w:t>
      </w:r>
    </w:p>
    <w:p>
      <w:pPr>
        <w:spacing w:after="0" w:line="77" w:lineRule="exact"/>
        <w:rPr>
          <w:rFonts w:ascii="Times New Roman" w:cs="Times New Roman" w:eastAsia="Times New Roman" w:hAnsi="Times New Roman"/>
          <w:sz w:val="18"/>
          <w:szCs w:val="18"/>
          <w:color w:val="FF0000"/>
          <w:strike w:val="1"/>
        </w:rPr>
      </w:pPr>
    </w:p>
    <w:p>
      <w:pPr>
        <w:jc w:val="both"/>
        <w:ind w:left="20" w:firstLine="721"/>
        <w:spacing w:after="0" w:line="259" w:lineRule="auto"/>
        <w:tabs>
          <w:tab w:leader="none" w:pos="1049" w:val="left"/>
        </w:tabs>
        <w:numPr>
          <w:ilvl w:val="0"/>
          <w:numId w:val="6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Associate</w:t>
      </w:r>
      <w:r>
        <w:rPr>
          <w:rFonts w:ascii="Times New Roman" w:cs="Times New Roman" w:eastAsia="Times New Roman" w:hAnsi="Times New Roman"/>
          <w:sz w:val="18"/>
          <w:szCs w:val="18"/>
          <w:color w:val="FF0000"/>
          <w:strike w:val="1"/>
        </w:rPr>
        <w:t>”, when used to indicate a relationship with any Person, means: (i) any corporation, partnership, unincorporated association or other entity of which such Person is a director, officer or partner or is, directly or indirectly, the owner of 20% or more of any class of shares of voting stock of the Corporation;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71" w:lineRule="exact"/>
        <w:rPr>
          <w:rFonts w:ascii="Times New Roman" w:cs="Times New Roman" w:eastAsia="Times New Roman" w:hAnsi="Times New Roman"/>
          <w:sz w:val="18"/>
          <w:szCs w:val="18"/>
          <w:color w:val="FF0000"/>
          <w:strike w:val="1"/>
        </w:rPr>
      </w:pPr>
    </w:p>
    <w:p>
      <w:pPr>
        <w:jc w:val="both"/>
        <w:ind w:left="20" w:firstLine="721"/>
        <w:spacing w:after="0" w:line="259" w:lineRule="auto"/>
        <w:tabs>
          <w:tab w:leader="none" w:pos="985" w:val="left"/>
        </w:tabs>
        <w:numPr>
          <w:ilvl w:val="0"/>
          <w:numId w:val="6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Business Combination</w:t>
      </w:r>
      <w:r>
        <w:rPr>
          <w:rFonts w:ascii="Times New Roman" w:cs="Times New Roman" w:eastAsia="Times New Roman" w:hAnsi="Times New Roman"/>
          <w:sz w:val="18"/>
          <w:szCs w:val="18"/>
          <w:color w:val="FF0000"/>
          <w:strike w:val="1"/>
        </w:rPr>
        <w:t>” means (i) 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this Article XII is not applicable to the surviving entity; (ii) any sale, lease, exchange, mortgage, pledge,</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FF0000"/>
          <w:strike w:val="1"/>
        </w:rPr>
        <w:t>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shares of capital stock of the Corporation; 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items (C) through (E) of this subsection (iii) shall there be an increase in the interested stockholder’s proportionate share of the stock of any class or series of the Corporation or of the voting stock of the Corporation (except as a result of immaterial changes due to fractional share adjustments); (iv) 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 any receipt by the interested stockholder of the benefit, directly or indirectly (except proportionately as a stockholder of the Corporation), of any loans, advances, guarantees, pledges, or other financial benefits (other than those expressly permitted in subsections (i) through (iv) above) provided by or through the Corporation or any direct or indirect majority-owned subsidiary.</w:t>
      </w:r>
    </w:p>
    <w:p>
      <w:pPr>
        <w:spacing w:after="0" w:line="93" w:lineRule="exact"/>
        <w:rPr>
          <w:sz w:val="20"/>
          <w:szCs w:val="20"/>
          <w:color w:val="auto"/>
        </w:rPr>
      </w:pPr>
    </w:p>
    <w:p>
      <w:pPr>
        <w:jc w:val="both"/>
        <w:ind w:left="20" w:firstLine="721"/>
        <w:spacing w:after="0" w:line="251" w:lineRule="auto"/>
        <w:tabs>
          <w:tab w:leader="none" w:pos="1008" w:val="left"/>
        </w:tabs>
        <w:numPr>
          <w:ilvl w:val="0"/>
          <w:numId w:val="6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Interested Stockholder</w:t>
      </w:r>
      <w:r>
        <w:rPr>
          <w:rFonts w:ascii="Times New Roman" w:cs="Times New Roman" w:eastAsia="Times New Roman" w:hAnsi="Times New Roman"/>
          <w:sz w:val="18"/>
          <w:szCs w:val="18"/>
          <w:color w:val="FF0000"/>
          <w:strike w:val="1"/>
        </w:rPr>
        <w:t xml:space="preserve">” means any Person (other than the Corporation and any direct or indirect majority-owned subsidiary of the Corporation) that (i) is the owner of fifteen percent (15%) or more of the outstanding voting stock of the Corporation, or (ii) is an Affiliate of the Corporation and was the owner of fifteen percent (15%) or more of the outstanding voting stock of the Corporation at any time within the three-year period immediately prior to the date on which it is sought to be determined whether such Person is an Interested Stockholder, and the Affiliates and Associates of such Person. Notwithstanding anything in this </w:t>
      </w:r>
      <w:r>
        <w:rPr>
          <w:rFonts w:ascii="Times New Roman" w:cs="Times New Roman" w:eastAsia="Times New Roman" w:hAnsi="Times New Roman"/>
          <w:sz w:val="18"/>
          <w:szCs w:val="18"/>
          <w:u w:val="single" w:color="auto"/>
          <w:color w:val="FF0000"/>
          <w:strike w:val="1"/>
        </w:rPr>
        <w:t>Article XII</w:t>
      </w:r>
      <w:r>
        <w:rPr>
          <w:rFonts w:ascii="Times New Roman" w:cs="Times New Roman" w:eastAsia="Times New Roman" w:hAnsi="Times New Roman"/>
          <w:sz w:val="18"/>
          <w:szCs w:val="18"/>
          <w:color w:val="FF0000"/>
          <w:strike w:val="1"/>
        </w:rPr>
        <w:t xml:space="preserve"> to the contrary, the term “Interested Stockholder” shall not include: (v) the JYH Related Parties or any of their current and future Affiliates (so long as such affiliate remains an affiliate) or Associates, including any investment funds managed, directly or indirectly, by JYH or any other Person with whom any of the foregoing are acting as a group or in concert for the purpose of acquiring, holding, voting or disposing of shares of capital stock of the Corporation; (w) the Bain Capital Ventures Related Parties or any of their current and future Affiliates (so long as such affiliate remains an affiliate) or Associates, including any investment funds affiliated with Bain Capital Ventures or any other Person with whom any of the foregoing are acting as a group or in concert for the purpose of acquiring, holding, voting or disposing of shares of capital stock of the Corporation; (x) the HCP Related Parties or any of their current and future Affiliates (so long as such affiliate remains an affiliate) or Associates, including any investment funds managed, directly or indirectly, by HCP or any other Person with whom any of the foregoing are acting as a group or in concert for the purpose of acquiring, holding, voting or disposing of shares of capital stock of the Corporation; (y) any Person who acquires ownership of fifteen percent (15%) or more of the then-outstanding voting stock of the Corporation directly or indirectly from a JYH Related Party, Bain Capital Ventures Related Party or a HCP Related Party, and excluding, for the avoidance of doubt, any Person who acquires voting stock of the Corporation through a broker’s transaction executed on any securities exchange or other over-the-counter market or pursuant to an underwritten public offering; (z) a stockholder that becomes an Interested Stockholder inadvertently and (A) as soon as practicable divests itself of ownership of sufficient shares so that such stockholder ceases to be an Interested Stockholder and (B) would not, at any time within the three-year period immediately prior to a business combination between the Corporation and such stockholder, have been an Interested Stockholder but for the inadvertent acquisition of ownership or (aa) any person whose ownership of shares in excess of the fifteen percent (15%) limitation set forth herein is the result of any action taken solely by the Corporation;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however</w:t>
      </w:r>
      <w:r>
        <w:rPr>
          <w:rFonts w:ascii="Times New Roman" w:cs="Times New Roman" w:eastAsia="Times New Roman" w:hAnsi="Times New Roman"/>
          <w:sz w:val="18"/>
          <w:szCs w:val="18"/>
          <w:color w:val="FF0000"/>
          <w:strike w:val="1"/>
        </w:rPr>
        <w:t>, that such person specified in this clause (aa)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20" w:lineRule="exact"/>
        <w:rPr>
          <w:rFonts w:ascii="Times New Roman" w:cs="Times New Roman" w:eastAsia="Times New Roman" w:hAnsi="Times New Roman"/>
          <w:sz w:val="18"/>
          <w:szCs w:val="18"/>
          <w:color w:val="FF0000"/>
          <w:strike w:val="1"/>
        </w:rPr>
      </w:pPr>
    </w:p>
    <w:p>
      <w:pPr>
        <w:ind w:left="980" w:hanging="239"/>
        <w:spacing w:after="0"/>
        <w:tabs>
          <w:tab w:leader="none" w:pos="980" w:val="left"/>
        </w:tabs>
        <w:numPr>
          <w:ilvl w:val="0"/>
          <w:numId w:val="6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Bain Capital Ventures</w:t>
      </w:r>
      <w:r>
        <w:rPr>
          <w:rFonts w:ascii="Times New Roman" w:cs="Times New Roman" w:eastAsia="Times New Roman" w:hAnsi="Times New Roman"/>
          <w:sz w:val="18"/>
          <w:szCs w:val="18"/>
          <w:color w:val="FF0000"/>
          <w:strike w:val="1"/>
        </w:rPr>
        <w:t>” means Bain Capital Venture Investors, LLC, a Delaware limited liability company.</w:t>
      </w:r>
    </w:p>
    <w:p>
      <w:pPr>
        <w:spacing w:after="0" w:line="157" w:lineRule="exact"/>
        <w:rPr>
          <w:rFonts w:ascii="Times New Roman" w:cs="Times New Roman" w:eastAsia="Times New Roman" w:hAnsi="Times New Roman"/>
          <w:sz w:val="18"/>
          <w:szCs w:val="18"/>
          <w:color w:val="FF0000"/>
          <w:strike w:val="1"/>
        </w:rPr>
      </w:pPr>
    </w:p>
    <w:p>
      <w:pPr>
        <w:ind w:left="960" w:hanging="219"/>
        <w:spacing w:after="0"/>
        <w:tabs>
          <w:tab w:leader="none" w:pos="960" w:val="left"/>
        </w:tabs>
        <w:numPr>
          <w:ilvl w:val="0"/>
          <w:numId w:val="6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Bain Capital Ventures Related Parties</w:t>
      </w:r>
      <w:r>
        <w:rPr>
          <w:rFonts w:ascii="Times New Roman" w:cs="Times New Roman" w:eastAsia="Times New Roman" w:hAnsi="Times New Roman"/>
          <w:sz w:val="18"/>
          <w:szCs w:val="18"/>
          <w:color w:val="FF0000"/>
          <w:strike w:val="1"/>
        </w:rPr>
        <w:t>” means Bain Capital Ventures and its Affiliates.</w:t>
      </w:r>
    </w:p>
    <w:p>
      <w:pPr>
        <w:spacing w:after="0" w:line="157" w:lineRule="exact"/>
        <w:rPr>
          <w:rFonts w:ascii="Times New Roman" w:cs="Times New Roman" w:eastAsia="Times New Roman" w:hAnsi="Times New Roman"/>
          <w:sz w:val="18"/>
          <w:szCs w:val="18"/>
          <w:color w:val="FF0000"/>
          <w:strike w:val="1"/>
        </w:rPr>
      </w:pPr>
    </w:p>
    <w:p>
      <w:pPr>
        <w:ind w:left="1000" w:hanging="259"/>
        <w:spacing w:after="0"/>
        <w:tabs>
          <w:tab w:leader="none" w:pos="1000" w:val="left"/>
        </w:tabs>
        <w:numPr>
          <w:ilvl w:val="0"/>
          <w:numId w:val="6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HCP</w:t>
      </w:r>
      <w:r>
        <w:rPr>
          <w:rFonts w:ascii="Times New Roman" w:cs="Times New Roman" w:eastAsia="Times New Roman" w:hAnsi="Times New Roman"/>
          <w:sz w:val="18"/>
          <w:szCs w:val="18"/>
          <w:color w:val="FF0000"/>
          <w:strike w:val="1"/>
        </w:rPr>
        <w:t>” means Highland Management Partners VIII Ltd, a Cayman limited company.</w:t>
      </w: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000" w:hanging="259"/>
        <w:spacing w:after="0"/>
        <w:tabs>
          <w:tab w:leader="none" w:pos="1000" w:val="left"/>
        </w:tabs>
        <w:numPr>
          <w:ilvl w:val="0"/>
          <w:numId w:val="6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HCP Related Parties</w:t>
      </w:r>
      <w:r>
        <w:rPr>
          <w:rFonts w:ascii="Times New Roman" w:cs="Times New Roman" w:eastAsia="Times New Roman" w:hAnsi="Times New Roman"/>
          <w:sz w:val="18"/>
          <w:szCs w:val="18"/>
          <w:color w:val="FF0000"/>
          <w:strike w:val="1"/>
        </w:rPr>
        <w:t>” means HCP and its Affiliates.</w:t>
      </w:r>
    </w:p>
    <w:p>
      <w:pPr>
        <w:spacing w:after="0" w:line="157" w:lineRule="exact"/>
        <w:rPr>
          <w:rFonts w:ascii="Times New Roman" w:cs="Times New Roman" w:eastAsia="Times New Roman" w:hAnsi="Times New Roman"/>
          <w:sz w:val="18"/>
          <w:szCs w:val="18"/>
          <w:color w:val="FF0000"/>
          <w:strike w:val="1"/>
        </w:rPr>
      </w:pPr>
    </w:p>
    <w:p>
      <w:pPr>
        <w:ind w:left="960" w:hanging="219"/>
        <w:spacing w:after="0"/>
        <w:tabs>
          <w:tab w:leader="none" w:pos="960" w:val="left"/>
        </w:tabs>
        <w:numPr>
          <w:ilvl w:val="0"/>
          <w:numId w:val="6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JYH</w:t>
      </w:r>
      <w:r>
        <w:rPr>
          <w:rFonts w:ascii="Times New Roman" w:cs="Times New Roman" w:eastAsia="Times New Roman" w:hAnsi="Times New Roman"/>
          <w:sz w:val="18"/>
          <w:szCs w:val="18"/>
          <w:color w:val="FF0000"/>
          <w:strike w:val="1"/>
        </w:rPr>
        <w:t>” means Jennifer Y. Hyman.</w:t>
      </w:r>
    </w:p>
    <w:p>
      <w:pPr>
        <w:spacing w:after="0" w:line="157" w:lineRule="exact"/>
        <w:rPr>
          <w:rFonts w:ascii="Times New Roman" w:cs="Times New Roman" w:eastAsia="Times New Roman" w:hAnsi="Times New Roman"/>
          <w:sz w:val="18"/>
          <w:szCs w:val="18"/>
          <w:color w:val="FF0000"/>
          <w:strike w:val="1"/>
        </w:rPr>
      </w:pPr>
    </w:p>
    <w:p>
      <w:pPr>
        <w:ind w:left="960" w:hanging="219"/>
        <w:spacing w:after="0"/>
        <w:tabs>
          <w:tab w:leader="none" w:pos="960" w:val="left"/>
        </w:tabs>
        <w:numPr>
          <w:ilvl w:val="0"/>
          <w:numId w:val="6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JYH Related Parties</w:t>
      </w:r>
      <w:r>
        <w:rPr>
          <w:rFonts w:ascii="Times New Roman" w:cs="Times New Roman" w:eastAsia="Times New Roman" w:hAnsi="Times New Roman"/>
          <w:sz w:val="18"/>
          <w:szCs w:val="18"/>
          <w:color w:val="FF0000"/>
          <w:strike w:val="1"/>
        </w:rPr>
        <w:t>” means JYH and her Affiliates.</w:t>
      </w:r>
    </w:p>
    <w:p>
      <w:pPr>
        <w:spacing w:after="0" w:line="117" w:lineRule="exact"/>
        <w:rPr>
          <w:rFonts w:ascii="Times New Roman" w:cs="Times New Roman" w:eastAsia="Times New Roman" w:hAnsi="Times New Roman"/>
          <w:sz w:val="18"/>
          <w:szCs w:val="18"/>
          <w:color w:val="FF0000"/>
          <w:strike w:val="1"/>
        </w:rPr>
      </w:pPr>
    </w:p>
    <w:p>
      <w:pPr>
        <w:ind w:left="20" w:firstLine="721"/>
        <w:spacing w:after="0" w:line="286" w:lineRule="auto"/>
        <w:tabs>
          <w:tab w:leader="none" w:pos="995" w:val="left"/>
        </w:tabs>
        <w:numPr>
          <w:ilvl w:val="0"/>
          <w:numId w:val="6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owner</w:t>
      </w:r>
      <w:r>
        <w:rPr>
          <w:rFonts w:ascii="Times New Roman" w:cs="Times New Roman" w:eastAsia="Times New Roman" w:hAnsi="Times New Roman"/>
          <w:sz w:val="18"/>
          <w:szCs w:val="18"/>
          <w:color w:val="FF0000"/>
          <w:strike w:val="1"/>
        </w:rPr>
        <w:t>,” including the terms “own” and “owned,” when used with respect to any stock, means, for purposes of this Article XII, a person that individually or with or through any of its affiliates or associates:</w:t>
      </w:r>
    </w:p>
    <w:p>
      <w:pPr>
        <w:spacing w:after="0" w:line="104" w:lineRule="exact"/>
        <w:rPr>
          <w:rFonts w:ascii="Times New Roman" w:cs="Times New Roman" w:eastAsia="Times New Roman" w:hAnsi="Times New Roman"/>
          <w:sz w:val="18"/>
          <w:szCs w:val="18"/>
          <w:color w:val="FF0000"/>
          <w:strike w:val="1"/>
        </w:rPr>
      </w:pPr>
    </w:p>
    <w:p>
      <w:pPr>
        <w:ind w:left="1320" w:hanging="219"/>
        <w:spacing w:after="0"/>
        <w:tabs>
          <w:tab w:leader="none" w:pos="1320" w:val="left"/>
        </w:tabs>
        <w:numPr>
          <w:ilvl w:val="1"/>
          <w:numId w:val="6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beneficially owns such stock, directly or indirectly;</w:t>
      </w:r>
    </w:p>
    <w:p>
      <w:pPr>
        <w:spacing w:after="0" w:line="117" w:lineRule="exact"/>
        <w:rPr>
          <w:rFonts w:ascii="Times New Roman" w:cs="Times New Roman" w:eastAsia="Times New Roman" w:hAnsi="Times New Roman"/>
          <w:sz w:val="18"/>
          <w:szCs w:val="18"/>
          <w:color w:val="FF0000"/>
          <w:strike w:val="1"/>
        </w:rPr>
      </w:pPr>
    </w:p>
    <w:p>
      <w:pPr>
        <w:jc w:val="both"/>
        <w:ind w:left="380" w:firstLine="721"/>
        <w:spacing w:after="0" w:line="254" w:lineRule="auto"/>
        <w:tabs>
          <w:tab w:leader="none" w:pos="1365" w:val="left"/>
        </w:tabs>
        <w:numPr>
          <w:ilvl w:val="1"/>
          <w:numId w:val="6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has (A)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83" w:lineRule="exact"/>
        <w:rPr>
          <w:rFonts w:ascii="Times New Roman" w:cs="Times New Roman" w:eastAsia="Times New Roman" w:hAnsi="Times New Roman"/>
          <w:sz w:val="18"/>
          <w:szCs w:val="18"/>
          <w:color w:val="FF0000"/>
          <w:strike w:val="1"/>
        </w:rPr>
      </w:pPr>
    </w:p>
    <w:p>
      <w:pPr>
        <w:jc w:val="both"/>
        <w:ind w:left="380" w:firstLine="721"/>
        <w:spacing w:after="0" w:line="266" w:lineRule="auto"/>
        <w:tabs>
          <w:tab w:leader="none" w:pos="1427" w:val="left"/>
        </w:tabs>
        <w:numPr>
          <w:ilvl w:val="1"/>
          <w:numId w:val="6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has any agreement, arrangement or understanding for the purpose of acquiring, holding, voting (except voting pursuant to a revocable proxy or consent as described in clause (B) of subsection (ii) above), or disposing of such stock with any other person that beneficially owns, or whose affiliates or associates beneficially own, directly or indirectly, such stock.</w:t>
      </w:r>
    </w:p>
    <w:p>
      <w:pPr>
        <w:spacing w:after="0" w:line="63" w:lineRule="exact"/>
        <w:rPr>
          <w:rFonts w:ascii="Times New Roman" w:cs="Times New Roman" w:eastAsia="Times New Roman" w:hAnsi="Times New Roman"/>
          <w:sz w:val="18"/>
          <w:szCs w:val="18"/>
          <w:color w:val="FF0000"/>
          <w:strike w:val="1"/>
        </w:rPr>
      </w:pPr>
    </w:p>
    <w:p>
      <w:pPr>
        <w:ind w:left="980" w:hanging="239"/>
        <w:spacing w:after="0"/>
        <w:tabs>
          <w:tab w:leader="none" w:pos="980" w:val="left"/>
        </w:tabs>
        <w:numPr>
          <w:ilvl w:val="0"/>
          <w:numId w:val="6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Person</w:t>
      </w:r>
      <w:r>
        <w:rPr>
          <w:rFonts w:ascii="Times New Roman" w:cs="Times New Roman" w:eastAsia="Times New Roman" w:hAnsi="Times New Roman"/>
          <w:sz w:val="18"/>
          <w:szCs w:val="18"/>
          <w:color w:val="FF0000"/>
          <w:strike w:val="1"/>
        </w:rPr>
        <w:t>” means any individual, corporation, partnership, limited liability company, unincorporated association or</w:t>
      </w:r>
    </w:p>
    <w:p>
      <w:pPr>
        <w:spacing w:after="0" w:line="31" w:lineRule="exact"/>
        <w:rPr>
          <w:rFonts w:ascii="Times New Roman" w:cs="Times New Roman" w:eastAsia="Times New Roman" w:hAnsi="Times New Roman"/>
          <w:sz w:val="18"/>
          <w:szCs w:val="18"/>
          <w:color w:val="FF0000"/>
          <w:strike w:val="1"/>
        </w:rPr>
      </w:pPr>
    </w:p>
    <w:p>
      <w:pPr>
        <w:ind w:left="20"/>
        <w:spacing w:after="0"/>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other entity.</w:t>
      </w:r>
    </w:p>
    <w:p>
      <w:pPr>
        <w:spacing w:after="0" w:line="94" w:lineRule="exact"/>
        <w:rPr>
          <w:rFonts w:ascii="Times New Roman" w:cs="Times New Roman" w:eastAsia="Times New Roman" w:hAnsi="Times New Roman"/>
          <w:sz w:val="18"/>
          <w:szCs w:val="18"/>
          <w:color w:val="FF0000"/>
          <w:strike w:val="1"/>
        </w:rPr>
      </w:pPr>
    </w:p>
    <w:p>
      <w:pPr>
        <w:ind w:left="20" w:firstLine="721"/>
        <w:spacing w:after="0" w:line="286" w:lineRule="auto"/>
        <w:tabs>
          <w:tab w:leader="none" w:pos="1045" w:val="left"/>
        </w:tabs>
        <w:numPr>
          <w:ilvl w:val="0"/>
          <w:numId w:val="6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stock</w:t>
      </w:r>
      <w:r>
        <w:rPr>
          <w:rFonts w:ascii="Times New Roman" w:cs="Times New Roman" w:eastAsia="Times New Roman" w:hAnsi="Times New Roman"/>
          <w:sz w:val="18"/>
          <w:szCs w:val="18"/>
          <w:color w:val="FF0000"/>
          <w:strike w:val="1"/>
        </w:rPr>
        <w:t>” means, for purposes of this Article XII, with respect to any corporation, capital stock and, with respect to any other entity, any equity interest.</w:t>
      </w:r>
    </w:p>
    <w:p>
      <w:pPr>
        <w:spacing w:after="0" w:line="46" w:lineRule="exact"/>
        <w:rPr>
          <w:rFonts w:ascii="Times New Roman" w:cs="Times New Roman" w:eastAsia="Times New Roman" w:hAnsi="Times New Roman"/>
          <w:sz w:val="18"/>
          <w:szCs w:val="18"/>
          <w:color w:val="FF0000"/>
          <w:strike w:val="1"/>
        </w:rPr>
      </w:pPr>
    </w:p>
    <w:p>
      <w:pPr>
        <w:jc w:val="both"/>
        <w:ind w:left="20" w:firstLine="721"/>
        <w:spacing w:after="0" w:line="262" w:lineRule="auto"/>
        <w:tabs>
          <w:tab w:leader="none" w:pos="1008" w:val="left"/>
        </w:tabs>
        <w:numPr>
          <w:ilvl w:val="0"/>
          <w:numId w:val="6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voting stock</w:t>
      </w:r>
      <w:r>
        <w:rPr>
          <w:rFonts w:ascii="Times New Roman" w:cs="Times New Roman" w:eastAsia="Times New Roman" w:hAnsi="Times New Roman"/>
          <w:sz w:val="18"/>
          <w:szCs w:val="18"/>
          <w:color w:val="FF0000"/>
          <w:strike w:val="1"/>
        </w:rPr>
        <w:t>” means stock of any class or series entitled to vote generally in the election of directors and, with respect to any entity that is not a corporation, any equity interest entitled to vote generally in the election of the governing body of such entity. Every reference in this Article XII to a percentage or proportion of voting stock shall refer to such percentage or other proportion of the votes of such voting stock.</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XIII.</w:t>
      </w:r>
    </w:p>
    <w:p>
      <w:pPr>
        <w:spacing w:after="0" w:line="99" w:lineRule="exact"/>
        <w:rPr>
          <w:sz w:val="20"/>
          <w:szCs w:val="20"/>
          <w:color w:val="auto"/>
        </w:rPr>
      </w:pPr>
    </w:p>
    <w:p>
      <w:pPr>
        <w:ind w:left="20"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As used in this Certificate of Incorporation, the following terms shall have the following </w:t>
      </w:r>
      <w:r>
        <w:rPr>
          <w:rFonts w:ascii="Times New Roman" w:cs="Times New Roman" w:eastAsia="Times New Roman" w:hAnsi="Times New Roman"/>
          <w:sz w:val="18"/>
          <w:szCs w:val="18"/>
          <w:color w:val="FF0000"/>
          <w:strike w:val="1"/>
        </w:rPr>
        <w:t>meaning</w:t>
      </w:r>
      <w:r>
        <w:rPr>
          <w:rFonts w:ascii="Times New Roman" w:cs="Times New Roman" w:eastAsia="Times New Roman" w:hAnsi="Times New Roman"/>
          <w:sz w:val="18"/>
          <w:szCs w:val="18"/>
          <w:u w:val="single" w:color="auto"/>
          <w:color w:val="0000FF"/>
        </w:rPr>
        <w:t>meanings</w:t>
      </w:r>
      <w:r>
        <w:rPr>
          <w:rFonts w:ascii="Times New Roman" w:cs="Times New Roman" w:eastAsia="Times New Roman" w:hAnsi="Times New Roman"/>
          <w:sz w:val="18"/>
          <w:szCs w:val="18"/>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-31115</wp:posOffset>
            </wp:positionV>
            <wp:extent cx="4368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30" w:lineRule="exact"/>
        <w:rPr>
          <w:sz w:val="20"/>
          <w:szCs w:val="20"/>
          <w:color w:val="auto"/>
        </w:rPr>
      </w:pPr>
    </w:p>
    <w:p>
      <w:pPr>
        <w:ind w:left="20" w:firstLine="721"/>
        <w:spacing w:after="0" w:line="286" w:lineRule="auto"/>
        <w:tabs>
          <w:tab w:leader="none" w:pos="998" w:val="left"/>
        </w:tabs>
        <w:numPr>
          <w:ilvl w:val="0"/>
          <w:numId w:val="6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Affiliate</w:t>
      </w:r>
      <w:r>
        <w:rPr>
          <w:rFonts w:ascii="Times New Roman" w:cs="Times New Roman" w:eastAsia="Times New Roman" w:hAnsi="Times New Roman"/>
          <w:sz w:val="18"/>
          <w:szCs w:val="18"/>
          <w:color w:val="000000"/>
        </w:rPr>
        <w:t>” means, with respect to any Person, any other Person who or which, directly or indirectly, controls, is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controlled by, or is under common control with such specified Person;.</w:t>
      </w:r>
    </w:p>
    <w:p>
      <w:pPr>
        <w:spacing w:after="0" w:line="46" w:lineRule="exact"/>
        <w:rPr>
          <w:rFonts w:ascii="Times New Roman" w:cs="Times New Roman" w:eastAsia="Times New Roman" w:hAnsi="Times New Roman"/>
          <w:sz w:val="18"/>
          <w:szCs w:val="18"/>
          <w:u w:val="single" w:color="auto"/>
          <w:color w:val="0000FF"/>
        </w:rPr>
      </w:pPr>
    </w:p>
    <w:p>
      <w:pPr>
        <w:jc w:val="both"/>
        <w:ind w:left="20" w:firstLine="721"/>
        <w:spacing w:after="0" w:line="262" w:lineRule="auto"/>
        <w:tabs>
          <w:tab w:leader="none" w:pos="1022" w:val="left"/>
        </w:tabs>
        <w:numPr>
          <w:ilvl w:val="0"/>
          <w:numId w:val="66"/>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Change of Control Transaction</w:t>
      </w:r>
      <w:r>
        <w:rPr>
          <w:rFonts w:ascii="Times New Roman" w:cs="Times New Roman" w:eastAsia="Times New Roman" w:hAnsi="Times New Roman"/>
          <w:sz w:val="18"/>
          <w:szCs w:val="18"/>
          <w:color w:val="FF0000"/>
          <w:strike w:val="1"/>
        </w:rPr>
        <w:t>” means (i) a merger or consolidation of the Corporation into or with another corporation or entity (except one in which the holders of capital stock of the Corporation immediately prior to such merger or consolidation and/or the Affiliates of such holders collectively continue to hold at least a majority of the voting power of the capital stock of the surviving corporation) or (ii) the sale, transfer or license of all or substantially of the assets of the Corporation.</w:t>
      </w:r>
    </w:p>
    <w:p>
      <w:pPr>
        <w:spacing w:after="0" w:line="68" w:lineRule="exact"/>
        <w:rPr>
          <w:rFonts w:ascii="Times New Roman" w:cs="Times New Roman" w:eastAsia="Times New Roman" w:hAnsi="Times New Roman"/>
          <w:sz w:val="18"/>
          <w:szCs w:val="18"/>
          <w:color w:val="FF0000"/>
        </w:rPr>
      </w:pPr>
    </w:p>
    <w:p>
      <w:pPr>
        <w:jc w:val="both"/>
        <w:ind w:left="20" w:firstLine="721"/>
        <w:spacing w:after="0" w:line="253" w:lineRule="auto"/>
        <w:tabs>
          <w:tab w:leader="none" w:pos="984" w:val="left"/>
        </w:tabs>
        <w:numPr>
          <w:ilvl w:val="0"/>
          <w:numId w:val="66"/>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Disability</w:t>
      </w:r>
      <w:r>
        <w:rPr>
          <w:rFonts w:ascii="Times New Roman" w:cs="Times New Roman" w:eastAsia="Times New Roman" w:hAnsi="Times New Roman"/>
          <w:sz w:val="18"/>
          <w:szCs w:val="18"/>
          <w:color w:val="FF0000"/>
          <w:strike w:val="1"/>
        </w:rPr>
        <w:t>” means, with respect to a Key Holder, the permanent and total disability of such Key Holder, as the case may be, such that such Key Holder is unable to engage in any substantial gainful activity by 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Whole Board of Directors and such Key Holder. If such Key Holder is incapable of selecting a licensed physician, then the spouse of such Key Holder, as applicable, shall make the selection on behalf of such Key Holder, or in the absence or incapacity of such spouse, the adult children of such Key Holder, by majority vote, shall make the selection on behalf of such Key Holder, or in the absence such adult children or their inability to act by majority vote, a natural person then acting as the successor trustee of a revocable living trust which was created by such Key Holder, and which holds more shares of all classes of capital stock of the Corporation than any other revocable living trust created by such Key Holder, shall make the selection on behalf of such Key Holder, or in absence of any such successor trustee, the legal guardian or conservator of the estate of such Key Holder, shall make the selection on behalf of such Key Holder.</w:t>
      </w:r>
    </w:p>
    <w:p>
      <w:pPr>
        <w:spacing w:after="0" w:line="82" w:lineRule="exact"/>
        <w:rPr>
          <w:sz w:val="20"/>
          <w:szCs w:val="20"/>
          <w:color w:val="auto"/>
        </w:rPr>
      </w:pPr>
    </w:p>
    <w:p>
      <w:pPr>
        <w:ind w:left="20" w:firstLine="721"/>
        <w:spacing w:after="0" w:line="286" w:lineRule="auto"/>
        <w:tabs>
          <w:tab w:leader="none" w:pos="1008" w:val="left"/>
        </w:tabs>
        <w:numPr>
          <w:ilvl w:val="0"/>
          <w:numId w:val="6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Exchange Act</w:t>
      </w:r>
      <w:r>
        <w:rPr>
          <w:rFonts w:ascii="Times New Roman" w:cs="Times New Roman" w:eastAsia="Times New Roman" w:hAnsi="Times New Roman"/>
          <w:sz w:val="18"/>
          <w:szCs w:val="18"/>
          <w:color w:val="000000"/>
        </w:rPr>
        <w:t>” means the U.S. Securities Exchange Act of 1934, as amended, and any applicable rules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regulations promulgated thereunder, and any successor to such statute, rules or regulations.</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0" w:firstLine="721"/>
        <w:spacing w:after="0" w:line="286" w:lineRule="auto"/>
        <w:tabs>
          <w:tab w:leader="none" w:pos="998" w:val="left"/>
        </w:tabs>
        <w:numPr>
          <w:ilvl w:val="0"/>
          <w:numId w:val="6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Investor Rights Agreement</w:t>
      </w:r>
      <w:r>
        <w:rPr>
          <w:rFonts w:ascii="Times New Roman" w:cs="Times New Roman" w:eastAsia="Times New Roman" w:hAnsi="Times New Roman"/>
          <w:sz w:val="18"/>
          <w:szCs w:val="18"/>
          <w:u w:val="single" w:color="auto"/>
          <w:color w:val="0000FF"/>
        </w:rPr>
        <w:t>” means that certain Investor Rights Agreement, dated as of August 20, 2025, by and among the Corporation, CHS US Investments LLC, Nexus and STORY 3.</w:t>
      </w:r>
    </w:p>
    <w:p>
      <w:pPr>
        <w:spacing w:after="0" w:line="73" w:lineRule="exact"/>
        <w:rPr>
          <w:rFonts w:ascii="Times New Roman" w:cs="Times New Roman" w:eastAsia="Times New Roman" w:hAnsi="Times New Roman"/>
          <w:sz w:val="18"/>
          <w:szCs w:val="18"/>
          <w:u w:val="single" w:color="auto"/>
          <w:color w:val="0000FF"/>
        </w:rPr>
      </w:pPr>
    </w:p>
    <w:p>
      <w:pPr>
        <w:ind w:left="1000" w:hanging="259"/>
        <w:spacing w:after="0"/>
        <w:tabs>
          <w:tab w:leader="none" w:pos="1000" w:val="left"/>
        </w:tabs>
        <w:numPr>
          <w:ilvl w:val="0"/>
          <w:numId w:val="6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Nexus</w:t>
      </w:r>
      <w:r>
        <w:rPr>
          <w:rFonts w:ascii="Times New Roman" w:cs="Times New Roman" w:eastAsia="Times New Roman" w:hAnsi="Times New Roman"/>
          <w:sz w:val="18"/>
          <w:szCs w:val="18"/>
          <w:u w:val="single" w:color="auto"/>
          <w:color w:val="0000FF"/>
        </w:rPr>
        <w:t>” means Gateway Runway, LLC, a Delaware limited liability company, together with its Affiliates.</w:t>
      </w:r>
    </w:p>
    <w:p>
      <w:pPr>
        <w:spacing w:after="0" w:line="117" w:lineRule="exact"/>
        <w:rPr>
          <w:rFonts w:ascii="Times New Roman" w:cs="Times New Roman" w:eastAsia="Times New Roman" w:hAnsi="Times New Roman"/>
          <w:sz w:val="18"/>
          <w:szCs w:val="18"/>
          <w:u w:val="single" w:color="auto"/>
          <w:color w:val="0000FF"/>
        </w:rPr>
      </w:pPr>
    </w:p>
    <w:p>
      <w:pPr>
        <w:ind w:left="20" w:firstLine="721"/>
        <w:spacing w:after="0" w:line="286" w:lineRule="auto"/>
        <w:tabs>
          <w:tab w:leader="none" w:pos="998" w:val="left"/>
        </w:tabs>
        <w:numPr>
          <w:ilvl w:val="0"/>
          <w:numId w:val="6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Nexus Director</w:t>
      </w:r>
      <w:r>
        <w:rPr>
          <w:rFonts w:ascii="Times New Roman" w:cs="Times New Roman" w:eastAsia="Times New Roman" w:hAnsi="Times New Roman"/>
          <w:sz w:val="18"/>
          <w:szCs w:val="18"/>
          <w:u w:val="single" w:color="auto"/>
          <w:color w:val="0000FF"/>
        </w:rPr>
        <w:t>” means a Director appointed to the Board of Directors by Nexus in accordance with the Investor Rights Agreement.</w:t>
      </w:r>
    </w:p>
    <w:p>
      <w:pPr>
        <w:spacing w:after="0" w:line="47" w:lineRule="exact"/>
        <w:rPr>
          <w:sz w:val="20"/>
          <w:szCs w:val="20"/>
          <w:color w:val="auto"/>
        </w:rPr>
      </w:pPr>
    </w:p>
    <w:p>
      <w:pPr>
        <w:jc w:val="both"/>
        <w:ind w:left="20" w:firstLine="721"/>
        <w:spacing w:after="0" w:line="268" w:lineRule="auto"/>
        <w:tabs>
          <w:tab w:leader="none" w:pos="1025" w:val="left"/>
        </w:tabs>
        <w:numPr>
          <w:ilvl w:val="0"/>
          <w:numId w:val="6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Family Member</w:t>
      </w:r>
      <w:r>
        <w:rPr>
          <w:rFonts w:ascii="Times New Roman" w:cs="Times New Roman" w:eastAsia="Times New Roman" w:hAnsi="Times New Roman"/>
          <w:sz w:val="18"/>
          <w:szCs w:val="18"/>
          <w:color w:val="FF0000"/>
          <w:strike w:val="1"/>
        </w:rPr>
        <w:t>” means, in respect of any Person, the spouse, domestic partner, parents, grandparents, lineal descendants, siblings and lineal descendants of siblings of such Person (including adopted persons, former spouses or former domestic partners of such Person).</w:t>
      </w:r>
    </w:p>
    <w:p>
      <w:pPr>
        <w:spacing w:after="0" w:line="103" w:lineRule="exact"/>
        <w:rPr>
          <w:rFonts w:ascii="Times New Roman" w:cs="Times New Roman" w:eastAsia="Times New Roman" w:hAnsi="Times New Roman"/>
          <w:sz w:val="18"/>
          <w:szCs w:val="18"/>
          <w:color w:val="FF0000"/>
          <w:strike w:val="1"/>
        </w:rPr>
      </w:pPr>
    </w:p>
    <w:p>
      <w:pPr>
        <w:ind w:left="960" w:hanging="219"/>
        <w:spacing w:after="0"/>
        <w:tabs>
          <w:tab w:leader="none" w:pos="960" w:val="left"/>
        </w:tabs>
        <w:numPr>
          <w:ilvl w:val="0"/>
          <w:numId w:val="6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Key Holder</w:t>
      </w:r>
      <w:r>
        <w:rPr>
          <w:rFonts w:ascii="Times New Roman" w:cs="Times New Roman" w:eastAsia="Times New Roman" w:hAnsi="Times New Roman"/>
          <w:sz w:val="18"/>
          <w:szCs w:val="18"/>
          <w:color w:val="FF0000"/>
          <w:strike w:val="1"/>
        </w:rPr>
        <w:t>” means each of Jennifer Y. Hyman and Jennifer C. Fleiss.</w:t>
      </w:r>
    </w:p>
    <w:p>
      <w:pPr>
        <w:spacing w:after="0" w:line="117" w:lineRule="exact"/>
        <w:rPr>
          <w:rFonts w:ascii="Times New Roman" w:cs="Times New Roman" w:eastAsia="Times New Roman" w:hAnsi="Times New Roman"/>
          <w:sz w:val="18"/>
          <w:szCs w:val="18"/>
          <w:color w:val="FF0000"/>
          <w:strike w:val="1"/>
        </w:rPr>
      </w:pPr>
    </w:p>
    <w:p>
      <w:pPr>
        <w:ind w:left="1000" w:hanging="259"/>
        <w:spacing w:after="0"/>
        <w:tabs>
          <w:tab w:leader="none" w:pos="1000" w:val="left"/>
        </w:tabs>
        <w:numPr>
          <w:ilvl w:val="0"/>
          <w:numId w:val="6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Permitted Ownership Group</w:t>
      </w:r>
      <w:r>
        <w:rPr>
          <w:rFonts w:ascii="Times New Roman" w:cs="Times New Roman" w:eastAsia="Times New Roman" w:hAnsi="Times New Roman"/>
          <w:sz w:val="18"/>
          <w:szCs w:val="18"/>
          <w:color w:val="FF0000"/>
          <w:strike w:val="1"/>
        </w:rPr>
        <w:t>” means, (i) with respect to any Key Holder that is an individual, each of the following</w:t>
      </w:r>
    </w:p>
    <w:p>
      <w:pPr>
        <w:spacing w:after="0" w:line="31" w:lineRule="exact"/>
        <w:rPr>
          <w:rFonts w:ascii="Times New Roman" w:cs="Times New Roman" w:eastAsia="Times New Roman" w:hAnsi="Times New Roman"/>
          <w:sz w:val="18"/>
          <w:szCs w:val="18"/>
          <w:color w:val="FF0000"/>
          <w:strike w:val="1"/>
        </w:rPr>
      </w:pPr>
    </w:p>
    <w:p>
      <w:pPr>
        <w:jc w:val="both"/>
        <w:ind w:left="20"/>
        <w:spacing w:after="0" w:line="251" w:lineRule="auto"/>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Persons: (A) such Key Holder, (B) any Affiliate of such Key Holder, (C) a trust which is directly or indirectly controlled by such Key Holder and the income from which may be paid only to beneficiaries who are such Key Holder and her Family Members, (D) a corporation, partnership or limited liability company, which is directly or indirectly controlled by such Key Holder and the other equityholders of which (if any) are only such Key Holder and her Family Members, in the case of clauses (C) and (D), which is established for bona fide estate planning purposes of such individual, or a limited liability company wholly owned by a trust described in clause (C) or (ii), and (E) a private foundation, organization or similar entity established by a Key Holder and/or one or more of her Family Members and controlled (directly or indirectly) by such Key Holder, (ii) each of BS 2021 Family Trust, JYH 2021 Family Trust and Trust Under Article Second U/A dtd 9/19/2012, or any successor in interest to any such trust, (iii) Linda S. Hyman and Dov I. Hyman, jointly and (iv) Ben Stauffer.</w:t>
      </w:r>
    </w:p>
    <w:p>
      <w:pPr>
        <w:spacing w:after="0" w:line="81" w:lineRule="exact"/>
        <w:rPr>
          <w:sz w:val="20"/>
          <w:szCs w:val="20"/>
          <w:color w:val="auto"/>
        </w:rPr>
      </w:pPr>
    </w:p>
    <w:p>
      <w:pPr>
        <w:ind w:left="20" w:firstLine="721"/>
        <w:spacing w:after="0" w:line="286" w:lineRule="auto"/>
        <w:tabs>
          <w:tab w:leader="none" w:pos="1019" w:val="left"/>
        </w:tabs>
        <w:numPr>
          <w:ilvl w:val="0"/>
          <w:numId w:val="7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Person</w:t>
      </w:r>
      <w:r>
        <w:rPr>
          <w:rFonts w:ascii="Times New Roman" w:cs="Times New Roman" w:eastAsia="Times New Roman" w:hAnsi="Times New Roman"/>
          <w:sz w:val="18"/>
          <w:szCs w:val="18"/>
          <w:color w:val="000000"/>
        </w:rPr>
        <w:t>” means any individual, corporation, partnership, limited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partnerships,</w:t>
      </w:r>
      <w:r>
        <w:rPr>
          <w:rFonts w:ascii="Times New Roman" w:cs="Times New Roman" w:eastAsia="Times New Roman" w:hAnsi="Times New Roman"/>
          <w:sz w:val="18"/>
          <w:szCs w:val="18"/>
          <w:u w:val="single" w:color="auto"/>
          <w:color w:val="0000FF"/>
        </w:rPr>
        <w:t>partnership,</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limited liability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company, unincorporated association, trusts or other entity.</w:t>
      </w:r>
    </w:p>
    <w:p>
      <w:pPr>
        <w:spacing w:after="0" w:line="46" w:lineRule="exact"/>
        <w:rPr>
          <w:rFonts w:ascii="Times New Roman" w:cs="Times New Roman" w:eastAsia="Times New Roman" w:hAnsi="Times New Roman"/>
          <w:sz w:val="18"/>
          <w:szCs w:val="18"/>
          <w:u w:val="single" w:color="auto"/>
          <w:color w:val="0000FF"/>
        </w:rPr>
      </w:pPr>
    </w:p>
    <w:p>
      <w:pPr>
        <w:ind w:left="20" w:firstLine="721"/>
        <w:spacing w:after="0" w:line="286" w:lineRule="auto"/>
        <w:tabs>
          <w:tab w:leader="none" w:pos="1035" w:val="left"/>
        </w:tabs>
        <w:numPr>
          <w:ilvl w:val="0"/>
          <w:numId w:val="7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Securities Act</w:t>
      </w:r>
      <w:r>
        <w:rPr>
          <w:rFonts w:ascii="Times New Roman" w:cs="Times New Roman" w:eastAsia="Times New Roman" w:hAnsi="Times New Roman"/>
          <w:sz w:val="18"/>
          <w:szCs w:val="18"/>
          <w:color w:val="000000"/>
        </w:rPr>
        <w:t>” means the U.S. Securities Act of 1933, as amended, and applicable rules and regulations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promulgated thereunder, and any successor to such statute, rules or regulations.</w:t>
      </w:r>
    </w:p>
    <w:p>
      <w:pPr>
        <w:spacing w:after="0" w:line="47" w:lineRule="exact"/>
        <w:rPr>
          <w:sz w:val="20"/>
          <w:szCs w:val="20"/>
          <w:color w:val="auto"/>
        </w:rPr>
      </w:pPr>
    </w:p>
    <w:p>
      <w:pPr>
        <w:jc w:val="both"/>
        <w:ind w:left="20" w:firstLine="721"/>
        <w:spacing w:after="0" w:line="252" w:lineRule="auto"/>
        <w:tabs>
          <w:tab w:leader="none" w:pos="968" w:val="left"/>
        </w:tabs>
        <w:numPr>
          <w:ilvl w:val="0"/>
          <w:numId w:val="7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Transfer</w:t>
      </w:r>
      <w:r>
        <w:rPr>
          <w:rFonts w:ascii="Times New Roman" w:cs="Times New Roman" w:eastAsia="Times New Roman" w:hAnsi="Times New Roman"/>
          <w:sz w:val="18"/>
          <w:szCs w:val="18"/>
          <w:color w:val="FF0000"/>
          <w:strike w:val="1"/>
        </w:rPr>
        <w:t>” (and, with a correlative meaning, “</w:t>
      </w:r>
      <w:r>
        <w:rPr>
          <w:rFonts w:ascii="Times New Roman" w:cs="Times New Roman" w:eastAsia="Times New Roman" w:hAnsi="Times New Roman"/>
          <w:sz w:val="18"/>
          <w:szCs w:val="18"/>
          <w:b w:val="1"/>
          <w:bCs w:val="1"/>
          <w:i w:val="1"/>
          <w:iCs w:val="1"/>
          <w:color w:val="FF0000"/>
          <w:strike w:val="1"/>
        </w:rPr>
        <w:t>Transferring</w:t>
      </w:r>
      <w:r>
        <w:rPr>
          <w:rFonts w:ascii="Times New Roman" w:cs="Times New Roman" w:eastAsia="Times New Roman" w:hAnsi="Times New Roman"/>
          <w:sz w:val="18"/>
          <w:szCs w:val="18"/>
          <w:color w:val="FF0000"/>
          <w:strike w:val="1"/>
        </w:rPr>
        <w:t xml:space="preserve">”) means any sale, transfer, assignment, redemption or other disposition of (whether directly or indirectly, whether with or without consideration and whether voluntarily or involuntarily or by operation of Law) (a) any interest (legal or beneficial) in any shares of capital of stock of the Corporation or (b) any equity or other interest (legal or beneficial) in any stockholder if substantially all of the assets of such stockholder consist solely of shares of capital stock of the Corporation. In addition, the entry into a binding agreement conveying voting control over any shares of capital stock (or over equity or other interest (legal or beneficial) in any stockholder if substantially all of the assets of such stockholder consist solely of shares of capital stock of the Corporation) shall constitute a “Transfer” of such stock for all purposes hereof, except in connection with (i) the grant of a proxy to officers or directors of the Corporation at the request of the Board of Directors of the Corporation in connection with actions to be taken at an annual or special meeting of stockholders or (ii) the entering into a support, voting, tender or similar agreement, arrangement or understanding (with or without granting a proxy) in connection with a Change of Control Transaction; </w:t>
      </w:r>
      <w:r>
        <w:rPr>
          <w:rFonts w:ascii="Times New Roman" w:cs="Times New Roman" w:eastAsia="Times New Roman" w:hAnsi="Times New Roman"/>
          <w:sz w:val="18"/>
          <w:szCs w:val="18"/>
          <w:i w:val="1"/>
          <w:iCs w:val="1"/>
          <w:color w:val="FF0000"/>
          <w:strike w:val="1"/>
        </w:rPr>
        <w:t>provided, however,</w:t>
      </w:r>
      <w:r>
        <w:rPr>
          <w:rFonts w:ascii="Times New Roman" w:cs="Times New Roman" w:eastAsia="Times New Roman" w:hAnsi="Times New Roman"/>
          <w:sz w:val="18"/>
          <w:szCs w:val="18"/>
          <w:color w:val="FF0000"/>
          <w:strike w:val="1"/>
        </w:rPr>
        <w:t xml:space="preserve"> that such Change of Control Transaction was approved by a majority of the Whole Board of Directors. Notwithstanding the foregoing, (A) in the event that a Key Holder or any Person in a Key Holder’s Permitted Ownership Group enters into or consummates a transaction that would otherwise constitute a “Transfer” under the first sentence of this definition involving a transferee other than such Key Holder or any Person in such Key Holder’s Permitted Ownership Group, and in connection with such transaction, such transferee conveys voting control, directly or indirectly, over the applicable shares of capital stock or equity or other interest back to such Key Holder or such transferring Person in such Key Holder’s Permitted Ownership Group, then such transaction shall not be deemed a Transfer for purposes hereof until such time as such Key Holder or such transferring Person ceases to retain such voting control, and (B) “Transfer” shall not be deemed to include any bona fide pledge or collateralization by a holder thereof to a financial institution in connection with any bona fide loan or debt transaction, but such term shall include any foreclosure on such shares by such financial institution following or in connection with any such pledge or collateralization.</w:t>
      </w:r>
    </w:p>
    <w:p>
      <w:pPr>
        <w:spacing w:after="0" w:line="120" w:lineRule="exact"/>
        <w:rPr>
          <w:sz w:val="20"/>
          <w:szCs w:val="20"/>
          <w:color w:val="auto"/>
        </w:rPr>
      </w:pPr>
    </w:p>
    <w:p>
      <w:pPr>
        <w:ind w:left="1000" w:hanging="259"/>
        <w:spacing w:after="0"/>
        <w:tabs>
          <w:tab w:leader="none" w:pos="1000" w:val="left"/>
        </w:tabs>
        <w:numPr>
          <w:ilvl w:val="0"/>
          <w:numId w:val="7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STORY 3</w:t>
      </w:r>
      <w:r>
        <w:rPr>
          <w:rFonts w:ascii="Times New Roman" w:cs="Times New Roman" w:eastAsia="Times New Roman" w:hAnsi="Times New Roman"/>
          <w:sz w:val="18"/>
          <w:szCs w:val="18"/>
          <w:u w:val="single" w:color="auto"/>
          <w:color w:val="0000FF"/>
        </w:rPr>
        <w:t>” means S3 RR Aggregator, LLC, a Delaware limited liability company, together with its Affiliates.</w:t>
      </w:r>
    </w:p>
    <w:p>
      <w:pPr>
        <w:spacing w:after="0" w:line="117" w:lineRule="exact"/>
        <w:rPr>
          <w:rFonts w:ascii="Times New Roman" w:cs="Times New Roman" w:eastAsia="Times New Roman" w:hAnsi="Times New Roman"/>
          <w:sz w:val="18"/>
          <w:szCs w:val="18"/>
          <w:u w:val="single" w:color="auto"/>
          <w:color w:val="0000FF"/>
        </w:rPr>
      </w:pPr>
    </w:p>
    <w:p>
      <w:pPr>
        <w:ind w:left="20" w:firstLine="721"/>
        <w:spacing w:after="0" w:line="286" w:lineRule="auto"/>
        <w:tabs>
          <w:tab w:leader="none" w:pos="982" w:val="left"/>
        </w:tabs>
        <w:numPr>
          <w:ilvl w:val="0"/>
          <w:numId w:val="7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STORY 3 Director</w:t>
      </w:r>
      <w:r>
        <w:rPr>
          <w:rFonts w:ascii="Times New Roman" w:cs="Times New Roman" w:eastAsia="Times New Roman" w:hAnsi="Times New Roman"/>
          <w:sz w:val="18"/>
          <w:szCs w:val="18"/>
          <w:u w:val="single" w:color="auto"/>
          <w:color w:val="0000FF"/>
        </w:rPr>
        <w:t>” means a Director appointed to the Board of Directors by STORY 3 in accordance with the Investor Rights Agreement.</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65"/>
          <w:szCs w:val="65"/>
          <w:b w:val="1"/>
          <w:bCs w:val="1"/>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90170</wp:posOffset>
            </wp:positionV>
            <wp:extent cx="6038850" cy="5784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8850" cy="578485"/>
                    </a:xfrm>
                    <a:prstGeom prst="rect">
                      <a:avLst/>
                    </a:prstGeom>
                    <a:noFill/>
                  </pic:spPr>
                </pic:pic>
              </a:graphicData>
            </a:graphic>
          </wp:anchor>
        </w:drawing>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SECOND AMENDED AND RESTATED 2021 INCENTIVE AWARD PLAN</w:t>
      </w:r>
    </w:p>
    <w:p>
      <w:pPr>
        <w:spacing w:after="0" w:line="200" w:lineRule="exact"/>
        <w:rPr>
          <w:sz w:val="20"/>
          <w:szCs w:val="20"/>
          <w:color w:val="auto"/>
        </w:rPr>
      </w:pPr>
    </w:p>
    <w:p>
      <w:pPr>
        <w:spacing w:after="0" w:line="228" w:lineRule="exact"/>
        <w:rPr>
          <w:sz w:val="20"/>
          <w:szCs w:val="20"/>
          <w:color w:val="auto"/>
        </w:rPr>
      </w:pPr>
    </w:p>
    <w:p>
      <w:pPr>
        <w:jc w:val="right"/>
        <w:ind w:right="424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right"/>
        <w:ind w:right="4280"/>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158" w:lineRule="exact"/>
        <w:rPr>
          <w:sz w:val="20"/>
          <w:szCs w:val="20"/>
          <w:color w:val="auto"/>
        </w:rPr>
      </w:pPr>
    </w:p>
    <w:p>
      <w:pPr>
        <w:ind w:left="20" w:right="20"/>
        <w:spacing w:after="0" w:line="254" w:lineRule="auto"/>
        <w:rPr>
          <w:sz w:val="20"/>
          <w:szCs w:val="20"/>
          <w:color w:val="auto"/>
        </w:rPr>
      </w:pPr>
      <w:r>
        <w:rPr>
          <w:rFonts w:ascii="Times New Roman" w:cs="Times New Roman" w:eastAsia="Times New Roman" w:hAnsi="Times New Roman"/>
          <w:sz w:val="18"/>
          <w:szCs w:val="18"/>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If approved by the Company’s stockholders at the special meeting of the Company’s stockholders to be held on October 21, 2025, the Plan will amend and restate the 2021 Plan, and any Awards granted under the 2021 Plan prior to the Closing Date (the “</w:t>
      </w:r>
      <w:r>
        <w:rPr>
          <w:rFonts w:ascii="Times New Roman" w:cs="Times New Roman" w:eastAsia="Times New Roman" w:hAnsi="Times New Roman"/>
          <w:sz w:val="18"/>
          <w:szCs w:val="18"/>
          <w:b w:val="1"/>
          <w:bCs w:val="1"/>
          <w:i w:val="1"/>
          <w:iCs w:val="1"/>
          <w:color w:val="auto"/>
        </w:rPr>
        <w:t>Existing Awards</w:t>
      </w:r>
      <w:r>
        <w:rPr>
          <w:rFonts w:ascii="Times New Roman" w:cs="Times New Roman" w:eastAsia="Times New Roman" w:hAnsi="Times New Roman"/>
          <w:sz w:val="18"/>
          <w:szCs w:val="18"/>
          <w:color w:val="auto"/>
        </w:rPr>
        <w:t>”) shall continue to be governed by the terms and conditions of the 2021 Plan in effect before this amendment and restatement and the applicable Award Agreement. The Plan is being amended and restated as set forth herein in anticipation of the Closing and will not become effective unless (i) the Plan is approved by the Company’s stockholders at the special meeting of the Company’s stockholders to be held on October 21, 2025, and (ii) the Closing occurs. Capitalized terms used in the Plan are defined in Article XI.</w:t>
      </w:r>
    </w:p>
    <w:p>
      <w:pPr>
        <w:spacing w:after="0" w:line="28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ELIGIBILITY</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Service Providers are eligible to be granted Awards under the Plan, subject to the limitations described herein.</w:t>
      </w: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ADMINISTRATION AND DELEGATION</w:t>
      </w:r>
    </w:p>
    <w:p>
      <w:pPr>
        <w:spacing w:after="0" w:line="171" w:lineRule="exact"/>
        <w:rPr>
          <w:sz w:val="20"/>
          <w:szCs w:val="20"/>
          <w:color w:val="auto"/>
        </w:rPr>
      </w:pPr>
    </w:p>
    <w:p>
      <w:pPr>
        <w:ind w:left="20" w:right="120"/>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51" w:lineRule="exact"/>
        <w:rPr>
          <w:sz w:val="20"/>
          <w:szCs w:val="20"/>
          <w:color w:val="auto"/>
        </w:rPr>
      </w:pPr>
    </w:p>
    <w:p>
      <w:pPr>
        <w:ind w:left="20"/>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Appointment of Committees</w:t>
      </w:r>
      <w:r>
        <w:rPr>
          <w:rFonts w:ascii="Times New Roman" w:cs="Times New Roman" w:eastAsia="Times New Roman" w:hAnsi="Times New Roman"/>
          <w:sz w:val="18"/>
          <w:szCs w:val="18"/>
          <w:color w:val="auto"/>
        </w:rPr>
        <w:t xml:space="preserve">. To the extent Applicable Laws permit, the Board or the Administrator may delegate any or all of its powers under the Plan to one or more Committees or one or more committees of directors or officers of the Company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The Board or the Administrator, as applicable, may rescind any such delegation, abolish any such Committee or committee and/or re-vest in itself any previously delegated authority at any time.</w:t>
      </w: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STOCK AVAILABLE FOR AWARDS</w:t>
      </w:r>
    </w:p>
    <w:p>
      <w:pPr>
        <w:spacing w:after="0" w:line="171"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Article VIII and the terms of this Article IV, the maximum number of Shares that may be issued pursuant to Awards under the Plan following the Closing shall be equal to the Overall Share Limit. As of the Effective Date, the Company ceased granting awards under the Prior Plans; however, Prior Plan Awards will remain subject to the terms of the applicable Prior Plan. Shares issued under the Plan may consist of authorized but unissued Shares, Shares purchased on the open market or treasury Shares.</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20"/>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Share Recycling</w:t>
      </w:r>
      <w:r>
        <w:rPr>
          <w:rFonts w:ascii="Times New Roman" w:cs="Times New Roman" w:eastAsia="Times New Roman" w:hAnsi="Times New Roman"/>
          <w:sz w:val="18"/>
          <w:szCs w:val="18"/>
          <w:color w:val="auto"/>
        </w:rPr>
        <w:t>. If all or any part of an Award (which shall include any Existing Awards) or Prior Plan Award expires, lapses or is terminated, exchanged for or settled in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with respect to Shares, other than with respect to any Shares subject to a Forfeited Section 16 Officer Award. In addition, Shares delivered (either by actual delivery or attestation) to the Company by a Participant to satisfy the applicable exercise or purchase price of an Award (which shall include any Existing Awards) or Prior Plan Award and/or to satisfy any applicable tax withholding obligation with respect to an Award or Prior Plan Award (including Shares retained by the Company from the Award or Prior Plan Award being exercised or purchased and/or creating the tax obligation) will, as applicable, become or again be available for Award grants under the Plan with respect to Shares. The payment of Dividend Equivalents in cash in conjunction with any outstanding Awards shall not count against the Overall Share Limit. Notwithstanding anything to the contrary contained herein, the following Shares shall not be added to the Shares authorized for grant under Section 4.1 and shall not be available for future grants of Awards: (i) Shares subject to a Stock Appreciation Right that are not issued in connection with the stock settlement of the Stock Appreciation Right on exercise thereof; (ii) Shares purchased on the open market by the Company with the cash proceeds from the exercise of Options; and (iii) Shares subject to any Forfeited Section 16 Officer Award.</w:t>
      </w:r>
    </w:p>
    <w:p>
      <w:pPr>
        <w:spacing w:after="0" w:line="153" w:lineRule="exact"/>
        <w:rPr>
          <w:sz w:val="20"/>
          <w:szCs w:val="20"/>
          <w:color w:val="auto"/>
        </w:rPr>
      </w:pPr>
    </w:p>
    <w:p>
      <w:pPr>
        <w:ind w:left="20" w:right="140"/>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Incentive Stock Option Limitations</w:t>
      </w:r>
      <w:r>
        <w:rPr>
          <w:rFonts w:ascii="Times New Roman" w:cs="Times New Roman" w:eastAsia="Times New Roman" w:hAnsi="Times New Roman"/>
          <w:sz w:val="18"/>
          <w:szCs w:val="18"/>
          <w:color w:val="auto"/>
        </w:rPr>
        <w:t>. Notwithstanding anything to the contrary herein, no more than 15,665,544 Shares may be issued pursuant to the exercise of Incentive Stock Options.</w:t>
      </w:r>
    </w:p>
    <w:p>
      <w:pPr>
        <w:spacing w:after="0" w:line="121" w:lineRule="exact"/>
        <w:rPr>
          <w:sz w:val="20"/>
          <w:szCs w:val="20"/>
          <w:color w:val="auto"/>
        </w:rPr>
      </w:pPr>
    </w:p>
    <w:p>
      <w:pPr>
        <w:jc w:val="both"/>
        <w:ind w:left="20" w:right="180"/>
        <w:spacing w:after="0" w:line="270"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Substitute Awards</w:t>
      </w:r>
      <w:r>
        <w:rPr>
          <w:rFonts w:ascii="Times New Roman" w:cs="Times New Roman" w:eastAsia="Times New Roman" w:hAnsi="Times New Roman"/>
          <w:sz w:val="17"/>
          <w:szCs w:val="17"/>
          <w:color w:val="auto"/>
        </w:rPr>
        <w:t>. In connection with an entity’s merger or consolidation with the Company or the Company’s acquisition of an entity’s property or stock, the Administrator may grant Substitute Awards for any options or other stock or stock-based awards granted before such merger or consolidation by such entity or its affiliate in accordance with Applicable Laws. Substitute Awards may be granted on such terms as the Administrator deems appropriate, notwithstanding limitations on Awards in the Plan.</w:t>
      </w:r>
    </w:p>
    <w:p>
      <w:pPr>
        <w:spacing w:after="0" w:line="3" w:lineRule="exact"/>
        <w:rPr>
          <w:sz w:val="20"/>
          <w:szCs w:val="20"/>
          <w:color w:val="auto"/>
        </w:rPr>
      </w:pPr>
    </w:p>
    <w:p>
      <w:pPr>
        <w:ind w:left="20" w:right="20"/>
        <w:spacing w:after="0" w:line="251" w:lineRule="auto"/>
        <w:rPr>
          <w:sz w:val="20"/>
          <w:szCs w:val="20"/>
          <w:color w:val="auto"/>
        </w:rPr>
      </w:pPr>
      <w:r>
        <w:rPr>
          <w:rFonts w:ascii="Times New Roman" w:cs="Times New Roman" w:eastAsia="Times New Roman" w:hAnsi="Times New Roman"/>
          <w:sz w:val="18"/>
          <w:szCs w:val="18"/>
          <w:color w:val="auto"/>
        </w:rPr>
        <w:t>Substitute Awards will not count against the Overall Share Limit (nor shall Shares subject to a Substitute Award be added back to the Shares available for Awards under the Plan as provided in Section 4.2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count against the Overall Share Limit (and Shares subject to such Awards shall not be added to the Shares available for Awards under the Plan as provided in Section 4.2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165" w:lineRule="exact"/>
        <w:rPr>
          <w:sz w:val="20"/>
          <w:szCs w:val="20"/>
          <w:color w:val="auto"/>
        </w:rPr>
      </w:pPr>
    </w:p>
    <w:p>
      <w:pPr>
        <w:ind w:left="20" w:right="60"/>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Non-Employee Director Compensation</w:t>
      </w:r>
      <w:r>
        <w:rPr>
          <w:rFonts w:ascii="Times New Roman" w:cs="Times New Roman" w:eastAsia="Times New Roman" w:hAnsi="Times New Roman"/>
          <w:sz w:val="18"/>
          <w:szCs w:val="18"/>
          <w:color w:val="auto"/>
        </w:rPr>
        <w:t>. Notwithstanding any provision to the contrary in the Plan, the Administrator may, pursuant to the exercise of its business judgment, taking into account such factors, circumstances and considerations as it deems relevant from time to time, establish compensation for some or all Non-Employee Directors from time to time, subject to the limitations in the Plan and/or pursuant to a written nondiscretionary formula established by the Administrator (the “</w:t>
      </w:r>
      <w:r>
        <w:rPr>
          <w:rFonts w:ascii="Times New Roman" w:cs="Times New Roman" w:eastAsia="Times New Roman" w:hAnsi="Times New Roman"/>
          <w:sz w:val="18"/>
          <w:szCs w:val="18"/>
          <w:b w:val="1"/>
          <w:bCs w:val="1"/>
          <w:i w:val="1"/>
          <w:iCs w:val="1"/>
          <w:color w:val="auto"/>
        </w:rPr>
        <w:t>Non-Employee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 Compensation Program</w:t>
      </w:r>
      <w:r>
        <w:rPr>
          <w:rFonts w:ascii="Times New Roman" w:cs="Times New Roman" w:eastAsia="Times New Roman" w:hAnsi="Times New Roman"/>
          <w:sz w:val="18"/>
          <w:szCs w:val="18"/>
          <w:color w:val="auto"/>
        </w:rPr>
        <w:t>”). The sum of any cash compensation, or other compensation, and the value (determined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$750,000, increased to $1,000,000 in the fiscal year of a Non-Employee Director’s initial service as a Non-Employee Director (the “</w:t>
      </w:r>
      <w:r>
        <w:rPr>
          <w:rFonts w:ascii="Times New Roman" w:cs="Times New Roman" w:eastAsia="Times New Roman" w:hAnsi="Times New Roman"/>
          <w:sz w:val="18"/>
          <w:szCs w:val="18"/>
          <w:b w:val="1"/>
          <w:bCs w:val="1"/>
          <w:i w:val="1"/>
          <w:iCs w:val="1"/>
          <w:color w:val="auto"/>
        </w:rPr>
        <w:t>Director Limits</w:t>
      </w:r>
      <w:r>
        <w:rPr>
          <w:rFonts w:ascii="Times New Roman" w:cs="Times New Roman" w:eastAsia="Times New Roman" w:hAnsi="Times New Roman"/>
          <w:sz w:val="18"/>
          <w:szCs w:val="18"/>
          <w:color w:val="auto"/>
        </w:rPr>
        <w:t>”). The Administrator may make exceptions to the Director Limits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STOCK OPTIONS AND STOCK APPRECIATION RIGHTS</w:t>
      </w:r>
    </w:p>
    <w:p>
      <w:pPr>
        <w:spacing w:after="0" w:line="158"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51" w:lineRule="exact"/>
        <w:rPr>
          <w:sz w:val="20"/>
          <w:szCs w:val="20"/>
          <w:color w:val="auto"/>
        </w:rPr>
      </w:pPr>
    </w:p>
    <w:p>
      <w:pPr>
        <w:ind w:left="20" w:right="20"/>
        <w:spacing w:after="0" w:line="255"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Administrator will establish each Option’s and Stock Appreciation Right’s exercise price and specify the exercise price in the Award Agreement.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exercise price of any Substitute Award shall be determined in accordance with the applicable requirements of Sections 424 and 409A of the Code.</w:t>
      </w:r>
    </w:p>
    <w:p>
      <w:pPr>
        <w:spacing w:after="0" w:line="162" w:lineRule="exact"/>
        <w:rPr>
          <w:sz w:val="20"/>
          <w:szCs w:val="20"/>
          <w:color w:val="auto"/>
        </w:rPr>
      </w:pPr>
    </w:p>
    <w:p>
      <w:pPr>
        <w:ind w:left="20" w:right="20"/>
        <w:spacing w:after="0" w:line="25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Duration</w:t>
      </w:r>
      <w:r>
        <w:rPr>
          <w:rFonts w:ascii="Times New Roman" w:cs="Times New Roman" w:eastAsia="Times New Roman" w:hAnsi="Times New Roman"/>
          <w:sz w:val="18"/>
          <w:szCs w:val="18"/>
          <w:color w:val="auto"/>
        </w:rPr>
        <w:t xml:space="preserve">. Each Option or Stock Appreciation Right will be exercisable at such times and as specified in the Award Agreement, provided that, subject to Section 5.6,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(a) the exercise of the Option or Stock Appreciation Right is prohibited by Applicable Law, as determined by the Company, or (b)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30 days after the end of the legal prohibition, black-out period or lock-up agreement, as determined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no event shall the extension last beyond the ten year term of the applicable Option or Stock Appreciation Right. Unless otherwise determined by the Administrator in the Award Agreement or by action of the Administrator following the grant of the Option or Stock Appreciation Right, (i) no portion of an Option or Stock Appreciation Right which is unexercisable at a Participant’s Termination of Service shall thereafter become exercisable and (ii) the portion of an Option or Stock Appreciation Right that is unexercisable at a Participant’s Termination of Service shall automatically expire thirty (30) days following such Termination of Service. Notwithstanding the foregoing, to the extent permitted under Applicable Laws,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Subsidiary, the right of the Participant and the Participant’s transferees to exercise any Option or Stock Appreciation Right issued to the Participant shall terminate immediately upon such violation, unless the Company otherwise determines.</w:t>
      </w:r>
    </w:p>
    <w:p>
      <w:pPr>
        <w:spacing w:after="0" w:line="150" w:lineRule="exact"/>
        <w:rPr>
          <w:sz w:val="20"/>
          <w:szCs w:val="20"/>
          <w:color w:val="auto"/>
        </w:rPr>
      </w:pPr>
    </w:p>
    <w:p>
      <w:pPr>
        <w:ind w:left="20" w:right="60"/>
        <w:spacing w:after="0" w:line="25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(a) as specified in Section 5.5 for the number of Shares for which the Award is exercised and (b) as specified in Section 9.5 for any applicable taxes. Unless the Administrator otherwise determines, an Option or Stock Appreciation Right may not be exercised for a fraction of a Share.</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Subject to Section 10.8, any Company insider trading policy (including blackout periods) and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Applicable Laws, the exercise price of an Option must be paid by:</w:t>
      </w:r>
    </w:p>
    <w:p>
      <w:pPr>
        <w:spacing w:after="0" w:line="180" w:lineRule="exact"/>
        <w:rPr>
          <w:sz w:val="20"/>
          <w:szCs w:val="20"/>
          <w:color w:val="auto"/>
        </w:rPr>
      </w:pPr>
    </w:p>
    <w:p>
      <w:pPr>
        <w:ind w:left="380" w:right="180" w:firstLine="1"/>
        <w:spacing w:after="0" w:line="282" w:lineRule="auto"/>
        <w:tabs>
          <w:tab w:leader="none" w:pos="62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21" w:lineRule="exact"/>
        <w:rPr>
          <w:rFonts w:ascii="Times New Roman" w:cs="Times New Roman" w:eastAsia="Times New Roman" w:hAnsi="Times New Roman"/>
          <w:sz w:val="18"/>
          <w:szCs w:val="18"/>
          <w:color w:val="auto"/>
        </w:rPr>
      </w:pPr>
    </w:p>
    <w:p>
      <w:pPr>
        <w:ind w:left="380" w:right="120" w:firstLine="1"/>
        <w:spacing w:after="0" w:line="256" w:lineRule="auto"/>
        <w:tabs>
          <w:tab w:leader="none" w:pos="6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public market for Shares at the time of exercise, unless the Company otherwise determines, (i) delivery (including electronically or telephonically to the extent permitted by the Company) of an irrevocable and unconditional undertaking by a broker acceptable to the Company to deliver promptly to the Company sufficient funds to pay the exercise price, or (ii)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114" w:right="1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80" w:right="440" w:firstLine="1"/>
        <w:spacing w:after="0" w:line="282" w:lineRule="auto"/>
        <w:tabs>
          <w:tab w:leader="none" w:pos="62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delivery (either by actual delivery or attestation) of Shares owned by the Participant valued at their Fair Market Value;</w:t>
      </w:r>
    </w:p>
    <w:p>
      <w:pPr>
        <w:spacing w:after="0" w:line="121" w:lineRule="exact"/>
        <w:rPr>
          <w:rFonts w:ascii="Times New Roman" w:cs="Times New Roman" w:eastAsia="Times New Roman" w:hAnsi="Times New Roman"/>
          <w:sz w:val="18"/>
          <w:szCs w:val="18"/>
          <w:color w:val="auto"/>
        </w:rPr>
      </w:pPr>
    </w:p>
    <w:p>
      <w:pPr>
        <w:ind w:left="380" w:right="180" w:firstLine="1"/>
        <w:spacing w:after="0" w:line="282" w:lineRule="auto"/>
        <w:tabs>
          <w:tab w:leader="none" w:pos="6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surrendering Shares then issuable upon the Option’s exercise valued at their Fair Market Value on the exercise date;</w:t>
      </w:r>
    </w:p>
    <w:p>
      <w:pPr>
        <w:spacing w:after="0" w:line="121" w:lineRule="exact"/>
        <w:rPr>
          <w:rFonts w:ascii="Times New Roman" w:cs="Times New Roman" w:eastAsia="Times New Roman" w:hAnsi="Times New Roman"/>
          <w:sz w:val="18"/>
          <w:szCs w:val="18"/>
          <w:color w:val="auto"/>
        </w:rPr>
      </w:pPr>
    </w:p>
    <w:p>
      <w:pPr>
        <w:ind w:left="380" w:right="320" w:firstLine="1"/>
        <w:spacing w:after="0" w:line="282" w:lineRule="auto"/>
        <w:tabs>
          <w:tab w:leader="none" w:pos="62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delivery of a promissory note or any other property that the Administrator determines is good and valuable consideration; or</w:t>
      </w:r>
    </w:p>
    <w:p>
      <w:pPr>
        <w:spacing w:after="0" w:line="175" w:lineRule="exact"/>
        <w:rPr>
          <w:rFonts w:ascii="Times New Roman" w:cs="Times New Roman" w:eastAsia="Times New Roman" w:hAnsi="Times New Roman"/>
          <w:sz w:val="18"/>
          <w:szCs w:val="18"/>
          <w:color w:val="auto"/>
        </w:rPr>
      </w:pPr>
    </w:p>
    <w:p>
      <w:pPr>
        <w:ind w:left="600" w:hanging="219"/>
        <w:spacing w:after="0"/>
        <w:tabs>
          <w:tab w:leader="none" w:pos="6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Company, any combination of the above payment forms approved by the Administrator.</w:t>
      </w:r>
    </w:p>
    <w:p>
      <w:pPr>
        <w:spacing w:after="0" w:line="185" w:lineRule="exact"/>
        <w:rPr>
          <w:sz w:val="20"/>
          <w:szCs w:val="20"/>
          <w:color w:val="auto"/>
        </w:rPr>
      </w:pPr>
    </w:p>
    <w:p>
      <w:pPr>
        <w:ind w:left="20" w:right="80"/>
        <w:spacing w:after="0" w:line="25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Additional Terms of Incentive Stock Options</w:t>
      </w:r>
      <w:r>
        <w:rPr>
          <w:rFonts w:ascii="Times New Roman" w:cs="Times New Roman" w:eastAsia="Times New Roman" w:hAnsi="Times New Roman"/>
          <w:sz w:val="18"/>
          <w:szCs w:val="18"/>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(a) two years from the grant date of the Option or (b)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RESTRICTED STOCK; RESTRICTED STOCK UNITS</w:t>
      </w:r>
    </w:p>
    <w:p>
      <w:pPr>
        <w:spacing w:after="0" w:line="158"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380" w:right="20" w:firstLine="1"/>
        <w:spacing w:after="0" w:line="266" w:lineRule="auto"/>
        <w:tabs>
          <w:tab w:leader="none" w:pos="6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Stockholders</w:t>
      </w:r>
      <w:r>
        <w:rPr>
          <w:rFonts w:ascii="Times New Roman" w:cs="Times New Roman" w:eastAsia="Times New Roman" w:hAnsi="Times New Roman"/>
          <w:sz w:val="18"/>
          <w:szCs w:val="18"/>
          <w:color w:val="auto"/>
        </w:rPr>
        <w:t>. Subject to the Company’s right of repurchase as described above, upon issuance of Restricted Stock, the Participant shall have, unless otherwise provided by the Administrator, all of the rights of a stockholder with respect to said Shares, subject to the restrictions in the Plan.</w:t>
      </w:r>
    </w:p>
    <w:p>
      <w:pPr>
        <w:spacing w:after="0" w:line="135" w:lineRule="exact"/>
        <w:rPr>
          <w:rFonts w:ascii="Times New Roman" w:cs="Times New Roman" w:eastAsia="Times New Roman" w:hAnsi="Times New Roman"/>
          <w:sz w:val="18"/>
          <w:szCs w:val="18"/>
          <w:color w:val="auto"/>
        </w:rPr>
      </w:pPr>
    </w:p>
    <w:p>
      <w:pPr>
        <w:ind w:left="380" w:right="80" w:firstLine="1"/>
        <w:spacing w:after="0" w:line="254" w:lineRule="auto"/>
        <w:tabs>
          <w:tab w:leader="none" w:pos="6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only be paid out to the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spacing w:after="0" w:line="161" w:lineRule="exact"/>
        <w:rPr>
          <w:rFonts w:ascii="Times New Roman" w:cs="Times New Roman" w:eastAsia="Times New Roman" w:hAnsi="Times New Roman"/>
          <w:sz w:val="18"/>
          <w:szCs w:val="18"/>
          <w:color w:val="auto"/>
        </w:rPr>
      </w:pPr>
    </w:p>
    <w:p>
      <w:pPr>
        <w:ind w:left="380" w:firstLine="1"/>
        <w:spacing w:after="0" w:line="282" w:lineRule="auto"/>
        <w:tabs>
          <w:tab w:leader="none" w:pos="6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The Company may require that the Participant deposit in escrow with the Company (or its designee) any stock certificates issued in respect of Shares of Restricted Stock, together with a stock power endorsed in blank.</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Restricted Stock Units.</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80" w:right="640" w:firstLine="1"/>
        <w:spacing w:after="0" w:line="266" w:lineRule="auto"/>
        <w:tabs>
          <w:tab w:leader="none" w:pos="6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35" w:lineRule="exact"/>
        <w:rPr>
          <w:rFonts w:ascii="Times New Roman" w:cs="Times New Roman" w:eastAsia="Times New Roman" w:hAnsi="Times New Roman"/>
          <w:sz w:val="18"/>
          <w:szCs w:val="18"/>
          <w:color w:val="auto"/>
        </w:rPr>
      </w:pPr>
    </w:p>
    <w:p>
      <w:pPr>
        <w:ind w:left="380" w:right="420" w:firstLine="1"/>
        <w:spacing w:after="0" w:line="282" w:lineRule="auto"/>
        <w:tabs>
          <w:tab w:leader="none" w:pos="6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A Participant will have no rights of a stockholder with respect to Shares subject to any Restricted Stock Unit unless and until the Shares are delivered in settlement of the Restricted Stock Unit.</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OTHER STOCK OR CASH BASED AWARDS; DIVIDEND EQUIVALENTS</w:t>
      </w:r>
    </w:p>
    <w:p>
      <w:pPr>
        <w:spacing w:after="0" w:line="171"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Other Stock or Cash Based Awards</w:t>
      </w:r>
      <w:r>
        <w:rPr>
          <w:rFonts w:ascii="Times New Roman" w:cs="Times New Roman" w:eastAsia="Times New Roman" w:hAnsi="Times New Roman"/>
          <w:sz w:val="18"/>
          <w:szCs w:val="18"/>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w:t>
      </w:r>
    </w:p>
    <w:p>
      <w:pPr>
        <w:spacing w:after="0" w:line="147" w:lineRule="exact"/>
        <w:rPr>
          <w:sz w:val="20"/>
          <w:szCs w:val="20"/>
          <w:color w:val="auto"/>
        </w:rPr>
      </w:pPr>
    </w:p>
    <w:p>
      <w:pPr>
        <w:ind w:left="20" w:right="20"/>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A grant of Restricted Stock Units or Other Stock or Cash Based Award may provide a Participant with the right to receive Dividend Equivalents, and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to which the Dividend Equivalents are paid and subject to other terms and conditions as set forth in the Award Agreement. Notwithstanding anything to the contrary herein, Dividend Equivalents with respect to an Award shall only be paid out to the Participant to the extent that the vesting conditions applicable to the underlying Award are satisfied. All such Dividend Equivalent payments will be made no later than March 15 of the calendar year following the calendar year in which the right to the Dividend Equivalent payment becomes nonforfeitable in accordance with the foregoing, unless otherwise determined by the Administrator.</w:t>
      </w: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ADJUSTMENTS FOR CHANGES IN COMMON STOCK</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AND CERTAIN OTHER EVENTS</w:t>
      </w:r>
    </w:p>
    <w:p>
      <w:pPr>
        <w:spacing w:after="0" w:line="158" w:lineRule="exact"/>
        <w:rPr>
          <w:sz w:val="20"/>
          <w:szCs w:val="20"/>
          <w:color w:val="auto"/>
        </w:rPr>
      </w:pPr>
    </w:p>
    <w:p>
      <w:pPr>
        <w:ind w:left="20" w:right="600"/>
        <w:spacing w:after="0" w:line="25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Equity Restructuring</w:t>
      </w:r>
      <w:r>
        <w:rPr>
          <w:rFonts w:ascii="Times New Roman" w:cs="Times New Roman" w:eastAsia="Times New Roman" w:hAnsi="Times New Roman"/>
          <w:sz w:val="18"/>
          <w:szCs w:val="18"/>
          <w:color w:val="auto"/>
        </w:rPr>
        <w:t>.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47" w:lineRule="exact"/>
        <w:rPr>
          <w:sz w:val="20"/>
          <w:szCs w:val="20"/>
          <w:color w:val="auto"/>
        </w:rPr>
      </w:pPr>
    </w:p>
    <w:p>
      <w:pPr>
        <w:ind w:left="20" w:right="80"/>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facilitate such transaction or event or (z) give effect to such changes in Applicable Laws or accounting principles:</w:t>
      </w:r>
    </w:p>
    <w:p>
      <w:pPr>
        <w:spacing w:after="0" w:line="160" w:lineRule="exact"/>
        <w:rPr>
          <w:sz w:val="20"/>
          <w:szCs w:val="20"/>
          <w:color w:val="auto"/>
        </w:rPr>
      </w:pPr>
    </w:p>
    <w:p>
      <w:pPr>
        <w:ind w:left="380" w:firstLine="1"/>
        <w:spacing w:after="0" w:line="258" w:lineRule="auto"/>
        <w:tabs>
          <w:tab w:leader="none" w:pos="62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80" w:right="620" w:firstLine="1"/>
        <w:spacing w:after="0" w:line="282" w:lineRule="auto"/>
        <w:tabs>
          <w:tab w:leader="none" w:pos="6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121" w:lineRule="exact"/>
        <w:rPr>
          <w:rFonts w:ascii="Times New Roman" w:cs="Times New Roman" w:eastAsia="Times New Roman" w:hAnsi="Times New Roman"/>
          <w:sz w:val="18"/>
          <w:szCs w:val="18"/>
          <w:color w:val="auto"/>
        </w:rPr>
      </w:pPr>
    </w:p>
    <w:p>
      <w:pPr>
        <w:jc w:val="both"/>
        <w:ind w:left="380" w:right="20" w:firstLine="1"/>
        <w:spacing w:after="0" w:line="261" w:lineRule="auto"/>
        <w:tabs>
          <w:tab w:leader="none" w:pos="62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139" w:lineRule="exact"/>
        <w:rPr>
          <w:rFonts w:ascii="Times New Roman" w:cs="Times New Roman" w:eastAsia="Times New Roman" w:hAnsi="Times New Roman"/>
          <w:sz w:val="18"/>
          <w:szCs w:val="18"/>
          <w:color w:val="auto"/>
        </w:rPr>
      </w:pPr>
    </w:p>
    <w:p>
      <w:pPr>
        <w:ind w:left="380" w:right="280" w:firstLine="1"/>
        <w:spacing w:after="0" w:line="258" w:lineRule="auto"/>
        <w:tabs>
          <w:tab w:leader="none" w:pos="6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including pursuant to any Non-Employee Director Compensation Program) and/or in the terms and conditions of (including the grant or exercise price or applicable performance goals), and the criteria included in, outstanding Awards;</w:t>
      </w:r>
    </w:p>
    <w:p>
      <w:pPr>
        <w:spacing w:after="0" w:line="196" w:lineRule="exact"/>
        <w:rPr>
          <w:rFonts w:ascii="Times New Roman" w:cs="Times New Roman" w:eastAsia="Times New Roman" w:hAnsi="Times New Roman"/>
          <w:sz w:val="18"/>
          <w:szCs w:val="18"/>
          <w:color w:val="auto"/>
        </w:rPr>
      </w:pPr>
    </w:p>
    <w:p>
      <w:pPr>
        <w:ind w:left="620" w:hanging="239"/>
        <w:spacing w:after="0"/>
        <w:tabs>
          <w:tab w:leader="none" w:pos="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such Award with other rights or property selected by the Administrator; and/or</w:t>
      </w:r>
    </w:p>
    <w:p>
      <w:pPr>
        <w:spacing w:after="0" w:line="238" w:lineRule="exact"/>
        <w:rPr>
          <w:rFonts w:ascii="Times New Roman" w:cs="Times New Roman" w:eastAsia="Times New Roman" w:hAnsi="Times New Roman"/>
          <w:sz w:val="18"/>
          <w:szCs w:val="18"/>
          <w:color w:val="auto"/>
        </w:rPr>
      </w:pPr>
    </w:p>
    <w:p>
      <w:pPr>
        <w:ind w:left="600" w:hanging="219"/>
        <w:spacing w:after="0"/>
        <w:tabs>
          <w:tab w:leader="none" w:pos="6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Award will terminate and cannot vest, be exercised or become payable after the applicable event.</w:t>
      </w:r>
    </w:p>
    <w:p>
      <w:pPr>
        <w:spacing w:after="0" w:line="185" w:lineRule="exact"/>
        <w:rPr>
          <w:sz w:val="20"/>
          <w:szCs w:val="20"/>
          <w:color w:val="auto"/>
        </w:rPr>
      </w:pPr>
    </w:p>
    <w:p>
      <w:pPr>
        <w:ind w:left="20"/>
        <w:spacing w:after="0" w:line="25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Effect of Non-Assumption in a Change in Control</w:t>
      </w:r>
      <w:r>
        <w:rPr>
          <w:rFonts w:ascii="Times New Roman" w:cs="Times New Roman" w:eastAsia="Times New Roman" w:hAnsi="Times New Roman"/>
          <w:sz w:val="18"/>
          <w:szCs w:val="18"/>
          <w:color w:val="auto"/>
        </w:rPr>
        <w:t>. Notwithstanding the provisions of Section 8.2, if a Change in Control occurs and a Participant’s Award is not continued, converted, assumed or replaced with a substantially similar award by (i) the Company, or (ii) a successor entity or its parent or subsidiary (an “</w:t>
      </w:r>
      <w:r>
        <w:rPr>
          <w:rFonts w:ascii="Times New Roman" w:cs="Times New Roman" w:eastAsia="Times New Roman" w:hAnsi="Times New Roman"/>
          <w:sz w:val="18"/>
          <w:szCs w:val="18"/>
          <w:b w:val="1"/>
          <w:bCs w:val="1"/>
          <w:i w:val="1"/>
          <w:iCs w:val="1"/>
          <w:color w:val="auto"/>
        </w:rPr>
        <w:t>Assumption</w:t>
      </w:r>
      <w:r>
        <w:rPr>
          <w:rFonts w:ascii="Times New Roman" w:cs="Times New Roman" w:eastAsia="Times New Roman" w:hAnsi="Times New Roman"/>
          <w:sz w:val="18"/>
          <w:szCs w:val="18"/>
          <w:color w:val="auto"/>
        </w:rPr>
        <w:t>”), and provided that the Participant has not had a Termination of Service, then, immediately prior to the Change in Control, such Award shall become fully vested, exercisable and/or payable, as applicable, and all forfeiture, repurchase and other restrictions on such Award shall lapse, in which case, such Award shall be canceled upon the consummation of the Change in Control in exchange for the right to receive the Change in Control consideration payable to other holders of Common Stock (A)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(B) determined by reference to the number of Shares subject to such Award and net of any applicable exercise price; provided that to the extent that any Award constitutes “nonqualified deferred compensation” that may not be paid upon the Change in Control under Section 409A without the imposition of taxes thereon under Section 409A (including payments as a result of any termination of “nonqualified deferred compensation” Awards permitted under Section 409A in connection with a Change in Control), the timing of such payments shall be governed by the applicable Award Agreement (subject to any deferred consideration provisions applicable under the Change in Control documents); and provided, further, that if the amount to which the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151" w:lineRule="exact"/>
        <w:rPr>
          <w:sz w:val="20"/>
          <w:szCs w:val="20"/>
          <w:color w:val="auto"/>
        </w:rPr>
      </w:pPr>
    </w:p>
    <w:p>
      <w:pPr>
        <w:ind w:left="20" w:right="120"/>
        <w:spacing w:after="0" w:line="258"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Administrative Stand Still</w:t>
      </w:r>
      <w:r>
        <w:rPr>
          <w:rFonts w:ascii="Times New Roman" w:cs="Times New Roman" w:eastAsia="Times New Roman" w:hAnsi="Times New Roman"/>
          <w:sz w:val="18"/>
          <w:szCs w:val="18"/>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Equity Restructuring or any securities offering or other similar transaction, for administrative convenience, the Administrator may refuse to permit the exercise of any Award for up to 60 days before or after such transaction.</w:t>
      </w:r>
    </w:p>
    <w:p>
      <w:pPr>
        <w:spacing w:after="0" w:line="156" w:lineRule="exact"/>
        <w:rPr>
          <w:sz w:val="20"/>
          <w:szCs w:val="20"/>
          <w:color w:val="auto"/>
        </w:rPr>
      </w:pPr>
    </w:p>
    <w:p>
      <w:pPr>
        <w:ind w:left="20"/>
        <w:spacing w:after="0" w:line="269"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price or exercise price (if applicable). The existence of the Plan, any Award Agreements and the Awards granted hereunder will not affect or restrict in any way the Company’s right or power to make or authorize (a) any adjustment, recapitalization, reorganization or other change in the Company’s capital structure or its business, (b) any merger, consolidation dissolution or liquidation of the Company or sale of Company assets or (c)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GENERAL PROVISIONS APPLICABLE TO AWARDS</w:t>
      </w:r>
    </w:p>
    <w:p>
      <w:pPr>
        <w:spacing w:after="0" w:line="158" w:lineRule="exact"/>
        <w:rPr>
          <w:sz w:val="20"/>
          <w:szCs w:val="20"/>
          <w:color w:val="auto"/>
        </w:rPr>
      </w:pPr>
    </w:p>
    <w:p>
      <w:pPr>
        <w:ind w:left="20" w:right="100"/>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and such Award transferred to a permitted transferee shall continue to be subject to all the terms and conditions of the Award as applicable to the original Participant and the Participant or transferor and the receiving permitted transferee shall execute any and all documents requested by the Administrator. References to a Participant, to the extent relevant in the context, will include references to a Participant’s authorized transferee that the Administrator specifically approves.</w:t>
      </w:r>
    </w:p>
    <w:p>
      <w:pPr>
        <w:spacing w:after="0" w:line="148" w:lineRule="exact"/>
        <w:rPr>
          <w:sz w:val="20"/>
          <w:szCs w:val="20"/>
          <w:color w:val="auto"/>
        </w:rPr>
      </w:pPr>
    </w:p>
    <w:p>
      <w:pPr>
        <w:ind w:left="20" w:right="200"/>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will be evidenced in an Award Agreement, which may be written or electronic, as the Administrator determines. The Award Agreement will contain the terms and conditions applicable to an Award. Each Award may contain terms and conditions in addition to those set forth in the Plan.</w:t>
      </w:r>
    </w:p>
    <w:p>
      <w:pPr>
        <w:spacing w:after="0" w:line="149" w:lineRule="exact"/>
        <w:rPr>
          <w:sz w:val="20"/>
          <w:szCs w:val="20"/>
          <w:color w:val="auto"/>
        </w:rPr>
      </w:pPr>
    </w:p>
    <w:p>
      <w:pPr>
        <w:ind w:left="20" w:right="80"/>
        <w:spacing w:after="0" w:line="26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Discretion</w:t>
      </w:r>
      <w:r>
        <w:rPr>
          <w:rFonts w:ascii="Times New Roman" w:cs="Times New Roman" w:eastAsia="Times New Roman" w:hAnsi="Times New Roman"/>
          <w:sz w:val="18"/>
          <w:szCs w:val="18"/>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35" w:lineRule="exact"/>
        <w:rPr>
          <w:sz w:val="20"/>
          <w:szCs w:val="20"/>
          <w:color w:val="auto"/>
        </w:rPr>
      </w:pPr>
    </w:p>
    <w:p>
      <w:pPr>
        <w:ind w:left="20" w:right="20"/>
        <w:spacing w:after="0" w:line="261"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Change in Status</w:t>
      </w:r>
      <w:r>
        <w:rPr>
          <w:rFonts w:ascii="Times New Roman" w:cs="Times New Roman" w:eastAsia="Times New Roman" w:hAnsi="Times New Roman"/>
          <w:sz w:val="18"/>
          <w:szCs w:val="18"/>
          <w:color w:val="auto"/>
        </w:rPr>
        <w:t>. The Administrator will determine how the disability, death, retirement, an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39" w:lineRule="exact"/>
        <w:rPr>
          <w:sz w:val="20"/>
          <w:szCs w:val="20"/>
          <w:color w:val="auto"/>
        </w:rPr>
      </w:pPr>
    </w:p>
    <w:p>
      <w:pPr>
        <w:ind w:left="20"/>
        <w:spacing w:after="0" w:line="251"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Each Participant must pay the Company, or make provision satisfactory to the Administrator for payment of, any taxes required by Applicable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(b) below with respect to Awards held by individuals subject to Section 16 of the Exchange Act, a contrary determination by the Administrator), all tax withholding obligations will be calculated based on the maximum applicable statutory withholding rates. Subject to Section 10.8 and any Company insider trading policy (including blackout periods), Participants may satisfy such tax obligations (a) in cash, by wire transfer of immediately available funds, by check made payable to the order of the Company, provided that the Company may limit the use of the foregoing payment forms if one or more of the payment forms below is permitted, (b) to the extent permitted by the Administrator, in whole or in part by delivery of Shares, including Shares delivered by attestation and Shares retained from the Award creating the tax obligation, valued at their Fair Market Value on the date of delivery, (c) if there is a public market for Shares at the time the tax obligations are satisfied, unless the Company otherwise determines, (i) delivery (including electronically or telephonically to the extent permitted by the Company) of an irrevocable and unconditional undertaking by a broker acceptable to the Company to deliver promptly to the Company sufficient funds to satisfy the tax obligations, or (ii)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(d) to the extent permitted by the Company, any combination of the foregoing payment forms approved by the Administrator. Notwithstanding any other provision of the Plan, the number of Shares which may be so delivered or retained pursuant to clause (b)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such Shares were acquired by Participant from the Company as compensation, the Shares must have been held for the minimum period required by applicable accounting rules to avoid a charge to the Company’s earnings for financial reporting purposes; provided, further, that, any such Shares delivered or retained shall be rounded up to the nearest whole Share to the extent rounding up to the nearest whole Share does not result in the liability classification of the applicable Award under generally accepted accounting principles in the United States of America. If any tax withholding obligation will be satisfied under clause (b)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w:t>
      </w: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20" w:right="160"/>
        <w:spacing w:after="0" w:line="266" w:lineRule="auto"/>
        <w:rPr>
          <w:sz w:val="20"/>
          <w:szCs w:val="20"/>
          <w:color w:val="auto"/>
        </w:rPr>
      </w:pPr>
      <w:r>
        <w:rPr>
          <w:rFonts w:ascii="Times New Roman" w:cs="Times New Roman" w:eastAsia="Times New Roman" w:hAnsi="Times New Roman"/>
          <w:sz w:val="18"/>
          <w:szCs w:val="18"/>
          <w:color w:val="auto"/>
        </w:rPr>
        <w:t>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35" w:lineRule="exact"/>
        <w:rPr>
          <w:sz w:val="20"/>
          <w:szCs w:val="20"/>
          <w:color w:val="auto"/>
        </w:rPr>
      </w:pPr>
    </w:p>
    <w:p>
      <w:pPr>
        <w:ind w:left="20" w:right="40"/>
        <w:spacing w:after="0" w:line="258"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Amendment of Award</w:t>
      </w:r>
      <w:r>
        <w:rPr>
          <w:rFonts w:ascii="Times New Roman" w:cs="Times New Roman" w:eastAsia="Times New Roman" w:hAnsi="Times New Roman"/>
          <w:sz w:val="18"/>
          <w:szCs w:val="18"/>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(a) the action, taking into account any related action, does not materially and adversely affect the Participant’s rights under the Award, or (b) the change is permitted under Article VIII or pursuant to Section 10.6.</w:t>
      </w:r>
    </w:p>
    <w:p>
      <w:pPr>
        <w:spacing w:after="0" w:line="143" w:lineRule="exact"/>
        <w:rPr>
          <w:sz w:val="20"/>
          <w:szCs w:val="20"/>
          <w:color w:val="auto"/>
        </w:rPr>
      </w:pPr>
    </w:p>
    <w:p>
      <w:pPr>
        <w:ind w:left="20" w:right="140"/>
        <w:spacing w:after="0" w:line="270" w:lineRule="auto"/>
        <w:rPr>
          <w:sz w:val="20"/>
          <w:szCs w:val="20"/>
          <w:color w:val="auto"/>
        </w:rPr>
      </w:pPr>
      <w:r>
        <w:rPr>
          <w:rFonts w:ascii="Times New Roman" w:cs="Times New Roman" w:eastAsia="Times New Roman" w:hAnsi="Times New Roman"/>
          <w:sz w:val="17"/>
          <w:szCs w:val="17"/>
          <w:color w:val="auto"/>
        </w:rPr>
        <w:t xml:space="preserve">9.7 </w:t>
      </w:r>
      <w:r>
        <w:rPr>
          <w:rFonts w:ascii="Times New Roman" w:cs="Times New Roman" w:eastAsia="Times New Roman" w:hAnsi="Times New Roman"/>
          <w:sz w:val="17"/>
          <w:szCs w:val="17"/>
          <w:u w:val="single" w:color="auto"/>
          <w:color w:val="auto"/>
        </w:rPr>
        <w:t>Conditions on Delivery of Stock</w:t>
      </w:r>
      <w:r>
        <w:rPr>
          <w:rFonts w:ascii="Times New Roman" w:cs="Times New Roman" w:eastAsia="Times New Roman" w:hAnsi="Times New Roman"/>
          <w:sz w:val="17"/>
          <w:szCs w:val="17"/>
          <w:color w:val="auto"/>
        </w:rPr>
        <w:t>. The Company will not be obligated to deliver any Shares under the Plan or remove restrictions from Shares previously delivered under the Plan until (a) all Award conditions have been met or removed to the Company’s satisfaction, (b) as determined by the Company, all other legal matters regarding the issuance and delivery of such Shares have been satisfied, including any applicable securities laws and stock exchange or stock market rules and regulations, and</w:t>
      </w:r>
    </w:p>
    <w:p>
      <w:pPr>
        <w:spacing w:after="0" w:line="3" w:lineRule="exact"/>
        <w:rPr>
          <w:sz w:val="20"/>
          <w:szCs w:val="20"/>
          <w:color w:val="auto"/>
        </w:rPr>
      </w:pPr>
    </w:p>
    <w:p>
      <w:pPr>
        <w:ind w:left="20" w:right="180" w:firstLine="1"/>
        <w:spacing w:after="0" w:line="253" w:lineRule="auto"/>
        <w:tabs>
          <w:tab w:leader="none" w:pos="26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62" w:lineRule="exact"/>
        <w:rPr>
          <w:sz w:val="20"/>
          <w:szCs w:val="20"/>
          <w:color w:val="auto"/>
        </w:rPr>
      </w:pPr>
    </w:p>
    <w:p>
      <w:pPr>
        <w:ind w:left="20" w:right="40"/>
        <w:spacing w:after="0" w:line="282"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121"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Cash Settlement</w:t>
      </w:r>
      <w:r>
        <w:rPr>
          <w:rFonts w:ascii="Times New Roman" w:cs="Times New Roman" w:eastAsia="Times New Roman" w:hAnsi="Times New Roman"/>
          <w:sz w:val="18"/>
          <w:szCs w:val="18"/>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135" w:lineRule="exact"/>
        <w:rPr>
          <w:sz w:val="20"/>
          <w:szCs w:val="20"/>
          <w:color w:val="auto"/>
        </w:rPr>
      </w:pPr>
    </w:p>
    <w:p>
      <w:pPr>
        <w:ind w:left="20" w:right="60"/>
        <w:spacing w:after="0" w:line="253"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Broker-Assisted Sales</w:t>
      </w:r>
      <w:r>
        <w:rPr>
          <w:rFonts w:ascii="Times New Roman" w:cs="Times New Roman" w:eastAsia="Times New Roman" w:hAnsi="Times New Roman"/>
          <w:sz w:val="18"/>
          <w:szCs w:val="18"/>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27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58" w:lineRule="exact"/>
        <w:rPr>
          <w:sz w:val="20"/>
          <w:szCs w:val="20"/>
          <w:color w:val="auto"/>
        </w:rPr>
      </w:pPr>
    </w:p>
    <w:p>
      <w:pPr>
        <w:ind w:left="20" w:right="100"/>
        <w:spacing w:after="0" w:line="258"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will have any claim or right to be granted an Award, and the grant of an Award will not be construed as giving a Participant the right to continued employment or any other relationship with the Company or any Subsidiary. The Company and its Subsidiaries expressly reserve the right at any time to dismiss or otherwise terminate its relationship with a Participant free from any liability or claim under the Plan or any Award, except as expressly provided in an Award Agreement or in the Plan.</w:t>
      </w:r>
    </w:p>
    <w:p>
      <w:pPr>
        <w:spacing w:after="0" w:line="156" w:lineRule="exact"/>
        <w:rPr>
          <w:sz w:val="20"/>
          <w:szCs w:val="20"/>
          <w:color w:val="auto"/>
        </w:rPr>
      </w:pPr>
    </w:p>
    <w:p>
      <w:pPr>
        <w:ind w:left="20" w:right="40"/>
        <w:spacing w:after="0" w:line="255"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 Rights as Stockholder; Certificates</w:t>
      </w:r>
      <w:r>
        <w:rPr>
          <w:rFonts w:ascii="Times New Roman" w:cs="Times New Roman" w:eastAsia="Times New Roman" w:hAnsi="Times New Roman"/>
          <w:sz w:val="18"/>
          <w:szCs w:val="18"/>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48" w:lineRule="exact"/>
        <w:rPr>
          <w:sz w:val="20"/>
          <w:szCs w:val="20"/>
          <w:color w:val="auto"/>
        </w:rPr>
      </w:pPr>
    </w:p>
    <w:p>
      <w:pPr>
        <w:ind w:left="20" w:right="240"/>
        <w:spacing w:after="0" w:line="312" w:lineRule="auto"/>
        <w:rPr>
          <w:sz w:val="20"/>
          <w:szCs w:val="20"/>
          <w:color w:val="auto"/>
        </w:rPr>
      </w:pPr>
      <w:r>
        <w:rPr>
          <w:rFonts w:ascii="Times New Roman" w:cs="Times New Roman" w:eastAsia="Times New Roman" w:hAnsi="Times New Roman"/>
          <w:sz w:val="17"/>
          <w:szCs w:val="17"/>
          <w:color w:val="auto"/>
        </w:rPr>
        <w:t xml:space="preserve">10.3 </w:t>
      </w:r>
      <w:r>
        <w:rPr>
          <w:rFonts w:ascii="Times New Roman" w:cs="Times New Roman" w:eastAsia="Times New Roman" w:hAnsi="Times New Roman"/>
          <w:sz w:val="17"/>
          <w:szCs w:val="17"/>
          <w:u w:val="single" w:color="auto"/>
          <w:color w:val="auto"/>
        </w:rPr>
        <w:t>Effective Date and Term of Plan</w:t>
      </w:r>
      <w:r>
        <w:rPr>
          <w:rFonts w:ascii="Times New Roman" w:cs="Times New Roman" w:eastAsia="Times New Roman" w:hAnsi="Times New Roman"/>
          <w:sz w:val="17"/>
          <w:szCs w:val="17"/>
          <w:color w:val="auto"/>
        </w:rPr>
        <w:t>. The Plan became effective on October 26, 2021, which was the day prior to the Public Trading Date (the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and, unless terminated earlier by the Board, shall remain in effect until the tenth anniversary</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auto"/>
        </w:rPr>
        <w:t>of the Closing Date, but Awards previously granted may extend beyond that date in accordance with the Plan. Notwithstanding anything to the contrary in the Plan, an Incentive Stock Option may not be granted under the Plan after the tenth anniversary of the earlier of (a) the date the Board adopted the amendment and restatement of the 2021 Plan pursuant to the Plan or (b) the date the Company’s stockholders approved the amendment and restatement of the 2021 Plan pursuant to the Plan, but Incentive Stock Options previously granted may extend beyond that date in accordance with the Plan. If the Plan is not approved by the Company’s stockholders at the special meeting of the Company’s stockholders to be held on October 21, 2025, or if the Closing does not occur as a result of the termination of the Exchange Agreement, the Plan will not become effective, no Awards will be granted under the Plan, and the 2021 Plan and the Prior Plans (to the extent in effect as of the date that the Exchange Agreement is terminated) will continue in full force and effect in accordance with their respective terms.</w:t>
      </w:r>
    </w:p>
    <w:p>
      <w:pPr>
        <w:spacing w:after="0" w:line="148" w:lineRule="exact"/>
        <w:rPr>
          <w:sz w:val="20"/>
          <w:szCs w:val="20"/>
          <w:color w:val="auto"/>
        </w:rPr>
      </w:pPr>
    </w:p>
    <w:p>
      <w:pPr>
        <w:ind w:left="20" w:right="100"/>
        <w:spacing w:after="0" w:line="25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Amendment and Termination of Plan</w:t>
      </w:r>
      <w:r>
        <w:rPr>
          <w:rFonts w:ascii="Times New Roman" w:cs="Times New Roman" w:eastAsia="Times New Roman" w:hAnsi="Times New Roman"/>
          <w:sz w:val="18"/>
          <w:szCs w:val="18"/>
          <w:color w:val="auto"/>
        </w:rPr>
        <w:t>. The Board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47" w:lineRule="exact"/>
        <w:rPr>
          <w:sz w:val="20"/>
          <w:szCs w:val="20"/>
          <w:color w:val="auto"/>
        </w:rPr>
      </w:pPr>
    </w:p>
    <w:p>
      <w:pPr>
        <w:ind w:left="20" w:right="120"/>
        <w:spacing w:after="0" w:line="281" w:lineRule="auto"/>
        <w:rPr>
          <w:sz w:val="20"/>
          <w:szCs w:val="20"/>
          <w:color w:val="auto"/>
        </w:rPr>
      </w:pPr>
      <w:r>
        <w:rPr>
          <w:rFonts w:ascii="Times New Roman" w:cs="Times New Roman" w:eastAsia="Times New Roman" w:hAnsi="Times New Roman"/>
          <w:sz w:val="17"/>
          <w:szCs w:val="17"/>
          <w:color w:val="auto"/>
        </w:rPr>
        <w:t xml:space="preserve">10.5 </w:t>
      </w:r>
      <w:r>
        <w:rPr>
          <w:rFonts w:ascii="Times New Roman" w:cs="Times New Roman" w:eastAsia="Times New Roman" w:hAnsi="Times New Roman"/>
          <w:sz w:val="17"/>
          <w:szCs w:val="17"/>
          <w:u w:val="single" w:color="auto"/>
          <w:color w:val="auto"/>
        </w:rPr>
        <w:t>Provisions for Foreign Participants</w:t>
      </w:r>
      <w:r>
        <w:rPr>
          <w:rFonts w:ascii="Times New Roman" w:cs="Times New Roman" w:eastAsia="Times New Roman" w:hAnsi="Times New Roman"/>
          <w:sz w:val="17"/>
          <w:szCs w:val="17"/>
          <w:color w:val="auto"/>
        </w:rPr>
        <w:t xml:space="preserve">.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such subplans and/or modifications shall increase the Overall Share Limit or the Director Limit.</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380" w:right="20" w:firstLine="1"/>
        <w:spacing w:after="0" w:line="253" w:lineRule="auto"/>
        <w:tabs>
          <w:tab w:leader="none" w:pos="6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(i) 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62" w:lineRule="exact"/>
        <w:rPr>
          <w:rFonts w:ascii="Times New Roman" w:cs="Times New Roman" w:eastAsia="Times New Roman" w:hAnsi="Times New Roman"/>
          <w:sz w:val="18"/>
          <w:szCs w:val="18"/>
          <w:color w:val="auto"/>
        </w:rPr>
      </w:pPr>
    </w:p>
    <w:p>
      <w:pPr>
        <w:ind w:left="380" w:firstLine="1"/>
        <w:spacing w:after="0" w:line="256" w:lineRule="auto"/>
        <w:tabs>
          <w:tab w:leader="none" w:pos="6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46" w:lineRule="exact"/>
        <w:rPr>
          <w:rFonts w:ascii="Times New Roman" w:cs="Times New Roman" w:eastAsia="Times New Roman" w:hAnsi="Times New Roman"/>
          <w:sz w:val="18"/>
          <w:szCs w:val="18"/>
          <w:color w:val="auto"/>
        </w:rPr>
      </w:pPr>
    </w:p>
    <w:p>
      <w:pPr>
        <w:ind w:left="380" w:right="80" w:firstLine="1"/>
        <w:spacing w:after="0" w:line="254" w:lineRule="auto"/>
        <w:tabs>
          <w:tab w:leader="none" w:pos="6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Specified Employees</w:t>
      </w:r>
      <w:r>
        <w:rPr>
          <w:rFonts w:ascii="Times New Roman" w:cs="Times New Roman" w:eastAsia="Times New Roman" w:hAnsi="Times New Roman"/>
          <w:sz w:val="18"/>
          <w:szCs w:val="18"/>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114" w:right="1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48" w:lineRule="exact"/>
        <w:rPr>
          <w:sz w:val="20"/>
          <w:szCs w:val="20"/>
          <w:color w:val="auto"/>
        </w:rPr>
      </w:pPr>
    </w:p>
    <w:p>
      <w:pPr>
        <w:ind w:left="20" w:right="20"/>
        <w:spacing w:after="0" w:line="261"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139" w:lineRule="exact"/>
        <w:rPr>
          <w:sz w:val="20"/>
          <w:szCs w:val="20"/>
          <w:color w:val="auto"/>
        </w:rPr>
      </w:pPr>
    </w:p>
    <w:p>
      <w:pPr>
        <w:ind w:left="20" w:right="40"/>
        <w:spacing w:after="0" w:line="251"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any Subsidiary and any of their respective affiliates exclusively for implementing, administering and managing the Participant’s participation in the Plan. The Company and the Subsidiaries and their respective affiliates may hold certain personal information about a Participant, including the Participant’s name, address and telephone number; birthdate; social security, insurance number or other identification number; salary; nationality; job title(s); any Shares held in the Company or any Subsidiaries or any of their respective affiliates; and Award details, to implement, manage and administer the Plan and Awards (the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The Company and the Subsidiaries and their respective affiliates may transfer the Data amongst themselves as necessary to implement, administer and manage a Participant’s participation in the Plan, and the Company and the Subsidiaries and their respective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any Subsidiary or the Participant may elect to deposit any Shares. The Data related to a Participant will be held only as long as necessary to implement, administer, and manage the Participant’s participation in the Plan. A Participant may, at any time, view the Data that the Company and any Subsidiary hold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If the Participant refuses or withdraws the consents in this Section 10.9,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178" w:lineRule="exact"/>
        <w:rPr>
          <w:sz w:val="20"/>
          <w:szCs w:val="20"/>
          <w:color w:val="auto"/>
        </w:rPr>
      </w:pPr>
    </w:p>
    <w:p>
      <w:pPr>
        <w:ind w:left="20" w:right="240"/>
        <w:spacing w:after="0" w:line="266"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35" w:lineRule="exact"/>
        <w:rPr>
          <w:sz w:val="20"/>
          <w:szCs w:val="20"/>
          <w:color w:val="auto"/>
        </w:rPr>
      </w:pPr>
    </w:p>
    <w:p>
      <w:pPr>
        <w:jc w:val="both"/>
        <w:ind w:left="20" w:right="180"/>
        <w:spacing w:after="0" w:line="289" w:lineRule="auto"/>
        <w:rPr>
          <w:sz w:val="20"/>
          <w:szCs w:val="20"/>
          <w:color w:val="auto"/>
        </w:rPr>
      </w:pPr>
      <w:r>
        <w:rPr>
          <w:rFonts w:ascii="Times New Roman" w:cs="Times New Roman" w:eastAsia="Times New Roman" w:hAnsi="Times New Roman"/>
          <w:sz w:val="17"/>
          <w:szCs w:val="17"/>
          <w:color w:val="auto"/>
        </w:rPr>
        <w:t xml:space="preserve">10.11 </w:t>
      </w:r>
      <w:r>
        <w:rPr>
          <w:rFonts w:ascii="Times New Roman" w:cs="Times New Roman" w:eastAsia="Times New Roman" w:hAnsi="Times New Roman"/>
          <w:sz w:val="17"/>
          <w:szCs w:val="17"/>
          <w:u w:val="single" w:color="auto"/>
          <w:color w:val="auto"/>
        </w:rPr>
        <w:t>Governing Documents</w:t>
      </w:r>
      <w:r>
        <w:rPr>
          <w:rFonts w:ascii="Times New Roman" w:cs="Times New Roman" w:eastAsia="Times New Roman" w:hAnsi="Times New Roman"/>
          <w:sz w:val="17"/>
          <w:szCs w:val="17"/>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17" w:lineRule="exact"/>
        <w:rPr>
          <w:sz w:val="20"/>
          <w:szCs w:val="20"/>
          <w:color w:val="auto"/>
        </w:rPr>
      </w:pPr>
    </w:p>
    <w:p>
      <w:pPr>
        <w:ind w:left="20" w:right="100"/>
        <w:spacing w:after="0" w:line="26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49" w:lineRule="exact"/>
        <w:rPr>
          <w:sz w:val="20"/>
          <w:szCs w:val="20"/>
          <w:color w:val="auto"/>
        </w:rPr>
      </w:pPr>
    </w:p>
    <w:p>
      <w:pPr>
        <w:ind w:left="20" w:right="80"/>
        <w:spacing w:after="0" w:line="258"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All Awards (including, without limitation, any proceeds, gains or other economic benefit actually or constructively received by Participant upon any receipt or exercise of any Award or upon the receipt or resale of any Shares underlying the Award) shall be subject to the provisions of any claw-back policy implemented by the Company, including, without limitation, the Company’s Policy Relating to Recovery of Erroneously Awarded Compensation and any other claw back policy adopted to comply with Applicable Laws, as and to the extent set forth in such claw-back policy or the Award Agreement.</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20" w:right="120"/>
        <w:spacing w:after="0" w:line="282"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in the Plan are for convenience of reference only and, if any conflict, the Plan’s text, rather than such titles or headings, will control.</w:t>
      </w:r>
    </w:p>
    <w:p>
      <w:pPr>
        <w:spacing w:after="0" w:line="121" w:lineRule="exact"/>
        <w:rPr>
          <w:sz w:val="20"/>
          <w:szCs w:val="20"/>
          <w:color w:val="auto"/>
        </w:rPr>
      </w:pPr>
    </w:p>
    <w:p>
      <w:pPr>
        <w:ind w:left="20" w:right="240"/>
        <w:spacing w:after="0" w:line="261"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39"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27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2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used in the Plan, the following words and phrases will have the following meanings:</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 means the Amended and Restated 2021 Incentive Award Plan.</w:t>
      </w:r>
    </w:p>
    <w:p>
      <w:pPr>
        <w:spacing w:after="0" w:line="185" w:lineRule="exact"/>
        <w:rPr>
          <w:sz w:val="20"/>
          <w:szCs w:val="20"/>
          <w:color w:val="auto"/>
        </w:rPr>
      </w:pPr>
    </w:p>
    <w:p>
      <w:pPr>
        <w:ind w:left="20" w:right="100"/>
        <w:spacing w:after="0" w:line="262"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or a Committee to the extent that the Board’s powers or authority under the Plan have been delegated to such Committee. Notwithstanding the foregoing, the full Board, acting by a majority of its members in office, shall conduct the general administration of the Plan with respect to Awards granted to Directors and, with respect to such Awards, the term “Administrator” as used in the Plan shall be deemed to refer to the Board.</w:t>
      </w:r>
    </w:p>
    <w:p>
      <w:pPr>
        <w:spacing w:after="0" w:line="136" w:lineRule="exact"/>
        <w:rPr>
          <w:sz w:val="20"/>
          <w:szCs w:val="20"/>
          <w:color w:val="auto"/>
        </w:rPr>
      </w:pPr>
    </w:p>
    <w:p>
      <w:pPr>
        <w:ind w:left="20" w:right="20"/>
        <w:spacing w:after="0" w:line="262"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49" w:lineRule="exact"/>
        <w:rPr>
          <w:sz w:val="20"/>
          <w:szCs w:val="20"/>
          <w:color w:val="auto"/>
        </w:rPr>
      </w:pPr>
    </w:p>
    <w:p>
      <w:pPr>
        <w:ind w:left="20" w:right="220"/>
        <w:spacing w:after="0" w:line="286"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individually or collectively, a grant under the Plan or the 2021 Plan of Options, Stock Appreciation Rights, Restricted Stock, Restricted Stock Units, Dividend Equivalents, or Other Stock or Cash Based Awards.</w:t>
      </w:r>
    </w:p>
    <w:p>
      <w:pPr>
        <w:spacing w:after="0" w:line="114" w:lineRule="exact"/>
        <w:rPr>
          <w:sz w:val="20"/>
          <w:szCs w:val="20"/>
          <w:color w:val="auto"/>
        </w:rPr>
      </w:pPr>
    </w:p>
    <w:p>
      <w:pPr>
        <w:jc w:val="both"/>
        <w:ind w:left="20" w:right="60"/>
        <w:spacing w:after="0" w:line="268"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evidencing an Award, which may be electronic, that contains such terms and conditions as the Administrator determines, consistent with and subject to the terms and conditions of the Plan or the 2021 Plan (as applicable).</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and includes each of the following:</w:t>
      </w:r>
    </w:p>
    <w:p>
      <w:pPr>
        <w:spacing w:after="0" w:line="202" w:lineRule="exact"/>
        <w:rPr>
          <w:sz w:val="20"/>
          <w:szCs w:val="20"/>
          <w:color w:val="auto"/>
        </w:rPr>
      </w:pPr>
    </w:p>
    <w:p>
      <w:pPr>
        <w:ind w:left="380" w:right="40" w:firstLine="1"/>
        <w:spacing w:after="0" w:line="254" w:lineRule="auto"/>
        <w:tabs>
          <w:tab w:leader="none" w:pos="62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the Subsidiaries, an employee benefit plan maintained by the Company or any of the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47" w:lineRule="exact"/>
        <w:rPr>
          <w:rFonts w:ascii="Times New Roman" w:cs="Times New Roman" w:eastAsia="Times New Roman" w:hAnsi="Times New Roman"/>
          <w:sz w:val="18"/>
          <w:szCs w:val="18"/>
          <w:color w:val="auto"/>
        </w:rPr>
      </w:pPr>
    </w:p>
    <w:p>
      <w:pPr>
        <w:ind w:left="380" w:right="20" w:firstLine="1"/>
        <w:spacing w:after="0" w:line="256" w:lineRule="auto"/>
        <w:tabs>
          <w:tab w:leader="none" w:pos="63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24 consecutive months,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24-month period or whose election or nomination for election was previously so approved, cease for any reason to constitute a majority thereof; or</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80" w:right="80" w:firstLine="1"/>
        <w:spacing w:after="0" w:line="272" w:lineRule="auto"/>
        <w:tabs>
          <w:tab w:leader="none" w:pos="625"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w:t>
      </w:r>
    </w:p>
    <w:p>
      <w:pPr>
        <w:spacing w:after="0" w:line="1" w:lineRule="exact"/>
        <w:rPr>
          <w:rFonts w:ascii="Times New Roman" w:cs="Times New Roman" w:eastAsia="Times New Roman" w:hAnsi="Times New Roman"/>
          <w:sz w:val="17"/>
          <w:szCs w:val="17"/>
          <w:color w:val="auto"/>
        </w:rPr>
      </w:pPr>
    </w:p>
    <w:p>
      <w:pPr>
        <w:ind w:left="620" w:hanging="239"/>
        <w:spacing w:after="0"/>
        <w:tabs>
          <w:tab w:leader="none" w:pos="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assets or stock of another entity, in each case other than a transaction:</w:t>
      </w:r>
    </w:p>
    <w:p>
      <w:pPr>
        <w:spacing w:after="0" w:line="166" w:lineRule="exact"/>
        <w:rPr>
          <w:rFonts w:ascii="Times New Roman" w:cs="Times New Roman" w:eastAsia="Times New Roman" w:hAnsi="Times New Roman"/>
          <w:sz w:val="18"/>
          <w:szCs w:val="18"/>
          <w:color w:val="auto"/>
        </w:rPr>
      </w:pPr>
    </w:p>
    <w:p>
      <w:pPr>
        <w:ind w:left="740" w:firstLine="1"/>
        <w:spacing w:after="0" w:line="256" w:lineRule="auto"/>
        <w:tabs>
          <w:tab w:leader="none" w:pos="95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directly or indirectly, at least a majority of the combined voting power of the Successor Entity’s outstanding voting securities immediately after the transaction, and</w:t>
      </w:r>
    </w:p>
    <w:p>
      <w:pPr>
        <w:spacing w:after="0" w:line="146" w:lineRule="exact"/>
        <w:rPr>
          <w:rFonts w:ascii="Times New Roman" w:cs="Times New Roman" w:eastAsia="Times New Roman" w:hAnsi="Times New Roman"/>
          <w:sz w:val="18"/>
          <w:szCs w:val="18"/>
          <w:color w:val="auto"/>
        </w:rPr>
      </w:pPr>
    </w:p>
    <w:p>
      <w:pPr>
        <w:jc w:val="both"/>
        <w:ind w:left="740" w:right="40" w:firstLine="1"/>
        <w:spacing w:after="0" w:line="261" w:lineRule="auto"/>
        <w:tabs>
          <w:tab w:leader="none" w:pos="100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53" w:lineRule="exact"/>
        <w:rPr>
          <w:sz w:val="20"/>
          <w:szCs w:val="20"/>
          <w:color w:val="auto"/>
        </w:rPr>
      </w:pPr>
    </w:p>
    <w:p>
      <w:pPr>
        <w:ind w:left="20" w:right="4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43" w:lineRule="exact"/>
        <w:rPr>
          <w:sz w:val="20"/>
          <w:szCs w:val="20"/>
          <w:color w:val="auto"/>
        </w:rPr>
      </w:pPr>
    </w:p>
    <w:p>
      <w:pPr>
        <w:ind w:left="20" w:right="40"/>
        <w:spacing w:after="0" w:line="258" w:lineRule="auto"/>
        <w:rPr>
          <w:sz w:val="20"/>
          <w:szCs w:val="20"/>
          <w:color w:val="auto"/>
        </w:rPr>
      </w:pPr>
      <w:r>
        <w:rPr>
          <w:rFonts w:ascii="Times New Roman" w:cs="Times New Roman" w:eastAsia="Times New Roman" w:hAnsi="Times New Roman"/>
          <w:sz w:val="18"/>
          <w:szCs w:val="18"/>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means the consummation of the Recapitalization Transactions.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the date that the Closing occurs.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11.10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the regulations issued thereunder.</w:t>
      </w:r>
    </w:p>
    <w:p>
      <w:pPr>
        <w:spacing w:after="0" w:line="185" w:lineRule="exact"/>
        <w:rPr>
          <w:sz w:val="20"/>
          <w:szCs w:val="20"/>
          <w:color w:val="auto"/>
        </w:rPr>
      </w:pPr>
    </w:p>
    <w:p>
      <w:pPr>
        <w:ind w:left="20" w:right="20"/>
        <w:spacing w:after="0" w:line="257" w:lineRule="auto"/>
        <w:rPr>
          <w:sz w:val="20"/>
          <w:szCs w:val="20"/>
          <w:color w:val="auto"/>
        </w:rPr>
      </w:pPr>
      <w:r>
        <w:rPr>
          <w:rFonts w:ascii="Times New Roman" w:cs="Times New Roman" w:eastAsia="Times New Roman" w:hAnsi="Times New Roman"/>
          <w:sz w:val="18"/>
          <w:szCs w:val="18"/>
          <w:color w:val="auto"/>
        </w:rPr>
        <w:t>11.11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one or more committees or subcommittees of the Board, which may include one or more directors or executive officers of the Company,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11.12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Class A common stock of the Company.</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11.13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Rent the Runway, Inc., a Delaware corporation, or any successor.</w:t>
      </w:r>
    </w:p>
    <w:p>
      <w:pPr>
        <w:spacing w:after="0" w:line="185" w:lineRule="exact"/>
        <w:rPr>
          <w:sz w:val="20"/>
          <w:szCs w:val="20"/>
          <w:color w:val="auto"/>
        </w:rPr>
      </w:pPr>
    </w:p>
    <w:p>
      <w:pPr>
        <w:ind w:left="20"/>
        <w:spacing w:after="0" w:line="262" w:lineRule="auto"/>
        <w:rPr>
          <w:sz w:val="20"/>
          <w:szCs w:val="20"/>
          <w:color w:val="auto"/>
        </w:rPr>
      </w:pPr>
      <w:r>
        <w:rPr>
          <w:rFonts w:ascii="Times New Roman" w:cs="Times New Roman" w:eastAsia="Times New Roman" w:hAnsi="Times New Roman"/>
          <w:sz w:val="18"/>
          <w:szCs w:val="18"/>
          <w:color w:val="auto"/>
        </w:rPr>
        <w:t>11.14 “</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any adviser, engaged by the Company or any Subsidiary to render services to such entity if the consultant or adviser: (a) renders bona fide services to the Company or the Subsidiary; (b) renders services not in connection with the offer or sale of securities in a capital-raising transaction and does not directly or indirectly promote or maintain a market for the Company’s securities; and (c) is a natural person.</w:t>
      </w:r>
    </w:p>
    <w:p>
      <w:pPr>
        <w:spacing w:after="0" w:line="136" w:lineRule="exact"/>
        <w:rPr>
          <w:sz w:val="20"/>
          <w:szCs w:val="20"/>
          <w:color w:val="auto"/>
        </w:rPr>
      </w:pPr>
    </w:p>
    <w:p>
      <w:pPr>
        <w:jc w:val="both"/>
        <w:ind w:left="20" w:right="220"/>
        <w:spacing w:after="0" w:line="268" w:lineRule="auto"/>
        <w:rPr>
          <w:sz w:val="20"/>
          <w:szCs w:val="20"/>
          <w:color w:val="auto"/>
        </w:rPr>
      </w:pPr>
      <w:r>
        <w:rPr>
          <w:rFonts w:ascii="Times New Roman" w:cs="Times New Roman" w:eastAsia="Times New Roman" w:hAnsi="Times New Roman"/>
          <w:sz w:val="18"/>
          <w:szCs w:val="18"/>
          <w:color w:val="auto"/>
        </w:rPr>
        <w:t>11.15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11.16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Board member.</w:t>
      </w: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both"/>
        <w:ind w:left="20" w:right="420"/>
        <w:spacing w:after="0" w:line="268" w:lineRule="auto"/>
        <w:rPr>
          <w:sz w:val="20"/>
          <w:szCs w:val="20"/>
          <w:color w:val="auto"/>
        </w:rPr>
      </w:pPr>
      <w:r>
        <w:rPr>
          <w:rFonts w:ascii="Times New Roman" w:cs="Times New Roman" w:eastAsia="Times New Roman" w:hAnsi="Times New Roman"/>
          <w:sz w:val="18"/>
          <w:szCs w:val="18"/>
          <w:color w:val="auto"/>
        </w:rPr>
        <w:t>11.17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30" w:lineRule="exact"/>
        <w:rPr>
          <w:sz w:val="20"/>
          <w:szCs w:val="20"/>
          <w:color w:val="auto"/>
        </w:rPr>
      </w:pPr>
    </w:p>
    <w:p>
      <w:pPr>
        <w:ind w:left="20" w:right="440"/>
        <w:spacing w:after="0" w:line="286" w:lineRule="auto"/>
        <w:rPr>
          <w:sz w:val="20"/>
          <w:szCs w:val="20"/>
          <w:color w:val="auto"/>
        </w:rPr>
      </w:pPr>
      <w:r>
        <w:rPr>
          <w:rFonts w:ascii="Times New Roman" w:cs="Times New Roman" w:eastAsia="Times New Roman" w:hAnsi="Times New Roman"/>
          <w:sz w:val="18"/>
          <w:szCs w:val="18"/>
          <w:color w:val="auto"/>
        </w:rPr>
        <w:t>11.18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means a right granted to a Participant under the Plan to receive the equivalent value (in cash or Shares) of dividends paid on Shares.</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11.19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employee of the Company or its Subsidiaries.</w:t>
      </w:r>
    </w:p>
    <w:p>
      <w:pPr>
        <w:spacing w:after="0" w:line="185" w:lineRule="exact"/>
        <w:rPr>
          <w:sz w:val="20"/>
          <w:szCs w:val="20"/>
          <w:color w:val="auto"/>
        </w:rPr>
      </w:pPr>
    </w:p>
    <w:p>
      <w:pPr>
        <w:ind w:left="20" w:right="20"/>
        <w:spacing w:after="0" w:line="259" w:lineRule="auto"/>
        <w:rPr>
          <w:sz w:val="20"/>
          <w:szCs w:val="20"/>
          <w:color w:val="auto"/>
        </w:rPr>
      </w:pPr>
      <w:r>
        <w:rPr>
          <w:rFonts w:ascii="Times New Roman" w:cs="Times New Roman" w:eastAsia="Times New Roman" w:hAnsi="Times New Roman"/>
          <w:sz w:val="18"/>
          <w:szCs w:val="18"/>
          <w:color w:val="auto"/>
        </w:rPr>
        <w:t>11.20 “</w:t>
      </w:r>
      <w:r>
        <w:rPr>
          <w:rFonts w:ascii="Times New Roman" w:cs="Times New Roman" w:eastAsia="Times New Roman" w:hAnsi="Times New Roman"/>
          <w:sz w:val="18"/>
          <w:szCs w:val="18"/>
          <w:b w:val="1"/>
          <w:bCs w:val="1"/>
          <w:i w:val="1"/>
          <w:iCs w:val="1"/>
          <w:color w:val="auto"/>
        </w:rPr>
        <w:t>Equity Restructuring</w:t>
      </w:r>
      <w:r>
        <w:rPr>
          <w:rFonts w:ascii="Times New Roman" w:cs="Times New Roman" w:eastAsia="Times New Roman" w:hAnsi="Times New Roman"/>
          <w:sz w:val="18"/>
          <w:szCs w:val="18"/>
          <w:color w:val="auto"/>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(or other securities of the Company) or the share price of Common Stock (or other securities of the Company) and causes a change in the per share value of the Common Stock underlying outstanding Awards.</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11.21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85" w:lineRule="exact"/>
        <w:rPr>
          <w:sz w:val="20"/>
          <w:szCs w:val="20"/>
          <w:color w:val="auto"/>
        </w:rPr>
      </w:pPr>
    </w:p>
    <w:p>
      <w:pPr>
        <w:ind w:left="20" w:right="20"/>
        <w:spacing w:after="0" w:line="255" w:lineRule="auto"/>
        <w:rPr>
          <w:sz w:val="20"/>
          <w:szCs w:val="20"/>
          <w:color w:val="auto"/>
        </w:rPr>
      </w:pPr>
      <w:r>
        <w:rPr>
          <w:rFonts w:ascii="Times New Roman" w:cs="Times New Roman" w:eastAsia="Times New Roman" w:hAnsi="Times New Roman"/>
          <w:sz w:val="18"/>
          <w:szCs w:val="18"/>
          <w:color w:val="auto"/>
        </w:rPr>
        <w:t>11.22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xml:space="preserve">” 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18"/>
          <w:szCs w:val="18"/>
          <w:i w:val="1"/>
          <w:iCs w:val="1"/>
          <w:color w:val="auto"/>
        </w:rPr>
        <w:t>The Wall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Street Journal </w:t>
      </w:r>
      <w:r>
        <w:rPr>
          <w:rFonts w:ascii="Times New Roman" w:cs="Times New Roman" w:eastAsia="Times New Roman" w:hAnsi="Times New Roman"/>
          <w:sz w:val="18"/>
          <w:szCs w:val="18"/>
          <w:color w:val="auto"/>
        </w:rPr>
        <w:t>or another source the Administrator deems reliable; or (c) without an established market for the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will determine the Fair Market Value in its discretion.</w:t>
      </w:r>
    </w:p>
    <w:p>
      <w:pPr>
        <w:spacing w:after="0" w:line="148" w:lineRule="exact"/>
        <w:rPr>
          <w:sz w:val="20"/>
          <w:szCs w:val="20"/>
          <w:color w:val="auto"/>
        </w:rPr>
      </w:pPr>
    </w:p>
    <w:p>
      <w:pPr>
        <w:ind w:left="20" w:right="20"/>
        <w:spacing w:after="0" w:line="266" w:lineRule="auto"/>
        <w:rPr>
          <w:sz w:val="20"/>
          <w:szCs w:val="20"/>
          <w:color w:val="auto"/>
        </w:rPr>
      </w:pPr>
      <w:r>
        <w:rPr>
          <w:rFonts w:ascii="Times New Roman" w:cs="Times New Roman" w:eastAsia="Times New Roman" w:hAnsi="Times New Roman"/>
          <w:sz w:val="18"/>
          <w:szCs w:val="18"/>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45" w:lineRule="exact"/>
        <w:rPr>
          <w:sz w:val="20"/>
          <w:szCs w:val="20"/>
          <w:color w:val="auto"/>
        </w:rPr>
      </w:pPr>
    </w:p>
    <w:p>
      <w:pPr>
        <w:ind w:left="20" w:right="20"/>
        <w:spacing w:after="0" w:line="262" w:lineRule="auto"/>
        <w:rPr>
          <w:sz w:val="20"/>
          <w:szCs w:val="20"/>
          <w:color w:val="auto"/>
        </w:rPr>
      </w:pPr>
      <w:r>
        <w:rPr>
          <w:rFonts w:ascii="Times New Roman" w:cs="Times New Roman" w:eastAsia="Times New Roman" w:hAnsi="Times New Roman"/>
          <w:sz w:val="18"/>
          <w:szCs w:val="18"/>
          <w:color w:val="auto"/>
        </w:rPr>
        <w:t>11.23 “</w:t>
      </w:r>
      <w:r>
        <w:rPr>
          <w:rFonts w:ascii="Times New Roman" w:cs="Times New Roman" w:eastAsia="Times New Roman" w:hAnsi="Times New Roman"/>
          <w:sz w:val="18"/>
          <w:szCs w:val="18"/>
          <w:b w:val="1"/>
          <w:bCs w:val="1"/>
          <w:i w:val="1"/>
          <w:iCs w:val="1"/>
          <w:color w:val="auto"/>
        </w:rPr>
        <w:t>Forfeited Section 16 Officer Award</w:t>
      </w:r>
      <w:r>
        <w:rPr>
          <w:rFonts w:ascii="Times New Roman" w:cs="Times New Roman" w:eastAsia="Times New Roman" w:hAnsi="Times New Roman"/>
          <w:sz w:val="18"/>
          <w:szCs w:val="18"/>
          <w:color w:val="auto"/>
        </w:rPr>
        <w:t>” means any Prior Plan Award or Existing Award, in each case, that is held by any individual who was an “officer” within the meaning of Section 16 of the Exchange Act prior to, as of and immediately following the Closing which is forfeited by such individual following the Closing pursuant to an Award Agreement granted to such individual following the Closing.</w:t>
      </w:r>
    </w:p>
    <w:p>
      <w:pPr>
        <w:spacing w:after="0" w:line="136" w:lineRule="exact"/>
        <w:rPr>
          <w:sz w:val="20"/>
          <w:szCs w:val="20"/>
          <w:color w:val="auto"/>
        </w:rPr>
      </w:pPr>
    </w:p>
    <w:p>
      <w:pPr>
        <w:ind w:left="20" w:right="40"/>
        <w:spacing w:after="0" w:line="268" w:lineRule="auto"/>
        <w:rPr>
          <w:sz w:val="20"/>
          <w:szCs w:val="20"/>
          <w:color w:val="auto"/>
        </w:rPr>
      </w:pPr>
      <w:r>
        <w:rPr>
          <w:rFonts w:ascii="Times New Roman" w:cs="Times New Roman" w:eastAsia="Times New Roman" w:hAnsi="Times New Roman"/>
          <w:sz w:val="18"/>
          <w:szCs w:val="18"/>
          <w:color w:val="auto"/>
        </w:rPr>
        <w:t>11.24 “</w:t>
      </w:r>
      <w:r>
        <w:rPr>
          <w:rFonts w:ascii="Times New Roman" w:cs="Times New Roman" w:eastAsia="Times New Roman" w:hAnsi="Times New Roman"/>
          <w:sz w:val="18"/>
          <w:szCs w:val="18"/>
          <w:b w:val="1"/>
          <w:bCs w:val="1"/>
          <w:i w:val="1"/>
          <w:iCs w:val="1"/>
          <w:color w:val="auto"/>
        </w:rPr>
        <w:t>Greater Than 10% Stockholder</w:t>
      </w:r>
      <w:r>
        <w:rPr>
          <w:rFonts w:ascii="Times New Roman" w:cs="Times New Roman" w:eastAsia="Times New Roman" w:hAnsi="Times New Roman"/>
          <w:sz w:val="18"/>
          <w:szCs w:val="18"/>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30"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8"/>
          <w:szCs w:val="18"/>
          <w:color w:val="auto"/>
        </w:rPr>
        <w:t>11.25 “</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intended to qualify as an “incentive stock option” as defined in Section 422 of the Code.</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11.26 “</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each Director that is not an Employee.</w:t>
      </w:r>
    </w:p>
    <w:p>
      <w:pPr>
        <w:spacing w:after="0" w:line="185" w:lineRule="exact"/>
        <w:rPr>
          <w:sz w:val="20"/>
          <w:szCs w:val="20"/>
          <w:color w:val="auto"/>
        </w:rPr>
      </w:pPr>
    </w:p>
    <w:p>
      <w:pPr>
        <w:ind w:left="20" w:right="360"/>
        <w:spacing w:after="0" w:line="286" w:lineRule="auto"/>
        <w:rPr>
          <w:sz w:val="20"/>
          <w:szCs w:val="20"/>
          <w:color w:val="auto"/>
        </w:rPr>
      </w:pPr>
      <w:r>
        <w:rPr>
          <w:rFonts w:ascii="Times New Roman" w:cs="Times New Roman" w:eastAsia="Times New Roman" w:hAnsi="Times New Roman"/>
          <w:sz w:val="18"/>
          <w:szCs w:val="18"/>
          <w:color w:val="auto"/>
        </w:rPr>
        <w:t>11.27 “</w:t>
      </w:r>
      <w:r>
        <w:rPr>
          <w:rFonts w:ascii="Times New Roman" w:cs="Times New Roman" w:eastAsia="Times New Roman" w:hAnsi="Times New Roman"/>
          <w:sz w:val="18"/>
          <w:szCs w:val="18"/>
          <w:b w:val="1"/>
          <w:bCs w:val="1"/>
          <w:i w:val="1"/>
          <w:iCs w:val="1"/>
          <w:color w:val="auto"/>
        </w:rPr>
        <w:t>Non-Qualified Stock Option</w:t>
      </w:r>
      <w:r>
        <w:rPr>
          <w:rFonts w:ascii="Times New Roman" w:cs="Times New Roman" w:eastAsia="Times New Roman" w:hAnsi="Times New Roman"/>
          <w:sz w:val="18"/>
          <w:szCs w:val="18"/>
          <w:color w:val="auto"/>
        </w:rPr>
        <w:t>” means an Option, or portion thereof, not intended or not qualifying as an Incentive Stock Option.</w:t>
      </w:r>
    </w:p>
    <w:p>
      <w:pPr>
        <w:spacing w:after="0" w:line="128" w:lineRule="exact"/>
        <w:rPr>
          <w:sz w:val="20"/>
          <w:szCs w:val="20"/>
          <w:color w:val="auto"/>
        </w:rPr>
      </w:pPr>
    </w:p>
    <w:p>
      <w:pPr>
        <w:ind w:left="20" w:right="440"/>
        <w:spacing w:after="0" w:line="286" w:lineRule="auto"/>
        <w:rPr>
          <w:sz w:val="20"/>
          <w:szCs w:val="20"/>
          <w:color w:val="auto"/>
        </w:rPr>
      </w:pPr>
      <w:r>
        <w:rPr>
          <w:rFonts w:ascii="Times New Roman" w:cs="Times New Roman" w:eastAsia="Times New Roman" w:hAnsi="Times New Roman"/>
          <w:sz w:val="18"/>
          <w:szCs w:val="18"/>
          <w:color w:val="auto"/>
        </w:rPr>
        <w:t>11.28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option to purchase Shares, which will either be an Incentive Stock Option or a Non-Qualified Stock Option.</w:t>
      </w:r>
    </w:p>
    <w:p>
      <w:pPr>
        <w:spacing w:after="0" w:line="114" w:lineRule="exact"/>
        <w:rPr>
          <w:sz w:val="20"/>
          <w:szCs w:val="20"/>
          <w:color w:val="auto"/>
        </w:rPr>
      </w:pPr>
    </w:p>
    <w:p>
      <w:pPr>
        <w:ind w:left="20" w:right="100"/>
        <w:spacing w:after="0" w:line="286" w:lineRule="auto"/>
        <w:rPr>
          <w:sz w:val="20"/>
          <w:szCs w:val="20"/>
          <w:color w:val="auto"/>
        </w:rPr>
      </w:pPr>
      <w:r>
        <w:rPr>
          <w:rFonts w:ascii="Times New Roman" w:cs="Times New Roman" w:eastAsia="Times New Roman" w:hAnsi="Times New Roman"/>
          <w:sz w:val="18"/>
          <w:szCs w:val="18"/>
          <w:color w:val="auto"/>
        </w:rPr>
        <w:t>11.29 “</w:t>
      </w:r>
      <w:r>
        <w:rPr>
          <w:rFonts w:ascii="Times New Roman" w:cs="Times New Roman" w:eastAsia="Times New Roman" w:hAnsi="Times New Roman"/>
          <w:sz w:val="18"/>
          <w:szCs w:val="18"/>
          <w:b w:val="1"/>
          <w:bCs w:val="1"/>
          <w:i w:val="1"/>
          <w:iCs w:val="1"/>
          <w:color w:val="auto"/>
        </w:rPr>
        <w:t>Other Stock or Cash Based Awards</w:t>
      </w:r>
      <w:r>
        <w:rPr>
          <w:rFonts w:ascii="Times New Roman" w:cs="Times New Roman" w:eastAsia="Times New Roman" w:hAnsi="Times New Roman"/>
          <w:sz w:val="18"/>
          <w:szCs w:val="18"/>
          <w:color w:val="auto"/>
        </w:rPr>
        <w:t>” means cash awards, awards of Shares, and other awards valued wholly or partially by referring to, or are otherwise based on, Shares or other property awarded to a Participant under Article VII.</w:t>
      </w:r>
    </w:p>
    <w:p>
      <w:pPr>
        <w:spacing w:after="0" w:line="114" w:lineRule="exact"/>
        <w:rPr>
          <w:sz w:val="20"/>
          <w:szCs w:val="20"/>
          <w:color w:val="auto"/>
        </w:rPr>
      </w:pPr>
    </w:p>
    <w:p>
      <w:pPr>
        <w:ind w:left="20" w:right="340"/>
        <w:spacing w:after="0" w:line="286" w:lineRule="auto"/>
        <w:rPr>
          <w:sz w:val="20"/>
          <w:szCs w:val="20"/>
          <w:color w:val="auto"/>
        </w:rPr>
      </w:pPr>
      <w:r>
        <w:rPr>
          <w:rFonts w:ascii="Times New Roman" w:cs="Times New Roman" w:eastAsia="Times New Roman" w:hAnsi="Times New Roman"/>
          <w:sz w:val="18"/>
          <w:szCs w:val="18"/>
          <w:color w:val="auto"/>
        </w:rPr>
        <w:t>11.30 “</w:t>
      </w:r>
      <w:r>
        <w:rPr>
          <w:rFonts w:ascii="Times New Roman" w:cs="Times New Roman" w:eastAsia="Times New Roman" w:hAnsi="Times New Roman"/>
          <w:sz w:val="18"/>
          <w:szCs w:val="18"/>
          <w:b w:val="1"/>
          <w:bCs w:val="1"/>
          <w:i w:val="1"/>
          <w:iCs w:val="1"/>
          <w:color w:val="auto"/>
        </w:rPr>
        <w:t>Overall Share Limit</w:t>
      </w:r>
      <w:r>
        <w:rPr>
          <w:rFonts w:ascii="Times New Roman" w:cs="Times New Roman" w:eastAsia="Times New Roman" w:hAnsi="Times New Roman"/>
          <w:sz w:val="18"/>
          <w:szCs w:val="18"/>
          <w:color w:val="auto"/>
        </w:rPr>
        <w:t>” means 18.3% of the Shares as of immediately following the Closing determined on a fully diluted basis.</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11.31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Service Provider who has been granted an Award.</w:t>
      </w: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0" w:right="60"/>
        <w:spacing w:after="0" w:line="267" w:lineRule="auto"/>
        <w:rPr>
          <w:sz w:val="20"/>
          <w:szCs w:val="20"/>
          <w:color w:val="auto"/>
        </w:rPr>
      </w:pPr>
      <w:r>
        <w:rPr>
          <w:rFonts w:ascii="Times New Roman" w:cs="Times New Roman" w:eastAsia="Times New Roman" w:hAnsi="Times New Roman"/>
          <w:sz w:val="17"/>
          <w:szCs w:val="17"/>
          <w:color w:val="auto"/>
        </w:rPr>
        <w:t>11.32 “</w:t>
      </w:r>
      <w:r>
        <w:rPr>
          <w:rFonts w:ascii="Times New Roman" w:cs="Times New Roman" w:eastAsia="Times New Roman" w:hAnsi="Times New Roman"/>
          <w:sz w:val="17"/>
          <w:szCs w:val="17"/>
          <w:b w:val="1"/>
          <w:bCs w:val="1"/>
          <w:i w:val="1"/>
          <w:iCs w:val="1"/>
          <w:color w:val="auto"/>
        </w:rPr>
        <w:t>Performance Criteria”</w:t>
      </w:r>
      <w:r>
        <w:rPr>
          <w:rFonts w:ascii="Times New Roman" w:cs="Times New Roman" w:eastAsia="Times New Roman" w:hAnsi="Times New Roman"/>
          <w:sz w:val="17"/>
          <w:szCs w:val="17"/>
          <w:color w:val="auto"/>
        </w:rPr>
        <w:t xml:space="preserve"> mean the criteria (and adjustments) that the Administrator may select for an Award to establish performance goals for a performance period, which may include (but is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11.33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Second Amended and Restated 2021 Incentive Award Plan.</w:t>
      </w:r>
    </w:p>
    <w:p>
      <w:pPr>
        <w:spacing w:after="0" w:line="198" w:lineRule="exact"/>
        <w:rPr>
          <w:sz w:val="20"/>
          <w:szCs w:val="20"/>
          <w:color w:val="auto"/>
        </w:rPr>
      </w:pPr>
    </w:p>
    <w:p>
      <w:pPr>
        <w:ind w:left="20" w:right="60"/>
        <w:spacing w:after="0" w:line="286" w:lineRule="auto"/>
        <w:rPr>
          <w:sz w:val="20"/>
          <w:szCs w:val="20"/>
          <w:color w:val="auto"/>
        </w:rPr>
      </w:pPr>
      <w:r>
        <w:rPr>
          <w:rFonts w:ascii="Times New Roman" w:cs="Times New Roman" w:eastAsia="Times New Roman" w:hAnsi="Times New Roman"/>
          <w:sz w:val="18"/>
          <w:szCs w:val="18"/>
          <w:color w:val="auto"/>
        </w:rPr>
        <w:t>11.34 “</w:t>
      </w:r>
      <w:r>
        <w:rPr>
          <w:rFonts w:ascii="Times New Roman" w:cs="Times New Roman" w:eastAsia="Times New Roman" w:hAnsi="Times New Roman"/>
          <w:sz w:val="18"/>
          <w:szCs w:val="18"/>
          <w:b w:val="1"/>
          <w:bCs w:val="1"/>
          <w:i w:val="1"/>
          <w:iCs w:val="1"/>
          <w:color w:val="auto"/>
        </w:rPr>
        <w:t>Prior Plans</w:t>
      </w:r>
      <w:r>
        <w:rPr>
          <w:rFonts w:ascii="Times New Roman" w:cs="Times New Roman" w:eastAsia="Times New Roman" w:hAnsi="Times New Roman"/>
          <w:sz w:val="18"/>
          <w:szCs w:val="18"/>
          <w:color w:val="auto"/>
        </w:rPr>
        <w:t>” means the Rent the Runway, Inc. 2009 Stock Incentive Plan, as amended, and the Rent the Runway, Inc. 2019 Stock Incentive Plan, as amended.</w:t>
      </w:r>
    </w:p>
    <w:p>
      <w:pPr>
        <w:spacing w:after="0" w:line="114" w:lineRule="exact"/>
        <w:rPr>
          <w:sz w:val="20"/>
          <w:szCs w:val="20"/>
          <w:color w:val="auto"/>
        </w:rPr>
      </w:pPr>
    </w:p>
    <w:p>
      <w:pPr>
        <w:ind w:left="20" w:right="320"/>
        <w:spacing w:after="0" w:line="286" w:lineRule="auto"/>
        <w:rPr>
          <w:sz w:val="20"/>
          <w:szCs w:val="20"/>
          <w:color w:val="auto"/>
        </w:rPr>
      </w:pPr>
      <w:r>
        <w:rPr>
          <w:rFonts w:ascii="Times New Roman" w:cs="Times New Roman" w:eastAsia="Times New Roman" w:hAnsi="Times New Roman"/>
          <w:sz w:val="18"/>
          <w:szCs w:val="18"/>
          <w:color w:val="auto"/>
        </w:rPr>
        <w:t>11.35 “</w:t>
      </w:r>
      <w:r>
        <w:rPr>
          <w:rFonts w:ascii="Times New Roman" w:cs="Times New Roman" w:eastAsia="Times New Roman" w:hAnsi="Times New Roman"/>
          <w:sz w:val="18"/>
          <w:szCs w:val="18"/>
          <w:b w:val="1"/>
          <w:bCs w:val="1"/>
          <w:i w:val="1"/>
          <w:iCs w:val="1"/>
          <w:color w:val="auto"/>
        </w:rPr>
        <w:t>Prior Plan Award</w:t>
      </w:r>
      <w:r>
        <w:rPr>
          <w:rFonts w:ascii="Times New Roman" w:cs="Times New Roman" w:eastAsia="Times New Roman" w:hAnsi="Times New Roman"/>
          <w:sz w:val="18"/>
          <w:szCs w:val="18"/>
          <w:color w:val="auto"/>
        </w:rPr>
        <w:t>” means an award with respect to Common Stock outstanding under any Prior Plan as of the Effective Date.</w:t>
      </w:r>
    </w:p>
    <w:p>
      <w:pPr>
        <w:spacing w:after="0" w:line="114" w:lineRule="exact"/>
        <w:rPr>
          <w:sz w:val="20"/>
          <w:szCs w:val="20"/>
          <w:color w:val="auto"/>
        </w:rPr>
      </w:pPr>
    </w:p>
    <w:p>
      <w:pPr>
        <w:ind w:left="20" w:right="120"/>
        <w:spacing w:after="0" w:line="268" w:lineRule="auto"/>
        <w:rPr>
          <w:sz w:val="20"/>
          <w:szCs w:val="20"/>
          <w:color w:val="auto"/>
        </w:rPr>
      </w:pPr>
      <w:r>
        <w:rPr>
          <w:rFonts w:ascii="Times New Roman" w:cs="Times New Roman" w:eastAsia="Times New Roman" w:hAnsi="Times New Roman"/>
          <w:sz w:val="18"/>
          <w:szCs w:val="18"/>
          <w:color w:val="auto"/>
        </w:rPr>
        <w:t>11.36 “</w:t>
      </w:r>
      <w:r>
        <w:rPr>
          <w:rFonts w:ascii="Times New Roman" w:cs="Times New Roman" w:eastAsia="Times New Roman" w:hAnsi="Times New Roman"/>
          <w:sz w:val="18"/>
          <w:szCs w:val="18"/>
          <w:b w:val="1"/>
          <w:bCs w:val="1"/>
          <w:i w:val="1"/>
          <w:iCs w:val="1"/>
          <w:color w:val="auto"/>
        </w:rPr>
        <w:t>Public Trading Date</w:t>
      </w:r>
      <w:r>
        <w:rPr>
          <w:rFonts w:ascii="Times New Roman" w:cs="Times New Roman" w:eastAsia="Times New Roman" w:hAnsi="Times New Roman"/>
          <w:sz w:val="18"/>
          <w:szCs w:val="18"/>
          <w:color w:val="auto"/>
        </w:rPr>
        <w:t>” means the first date upon which the Common Stock is listed (or approved for listing) upon notice of issuance on any securities exchange or designated (or approved for designation) upon notice of issuance as a national market security on an interdealer quotation system.</w:t>
      </w:r>
    </w:p>
    <w:p>
      <w:pPr>
        <w:spacing w:after="0" w:line="144" w:lineRule="exact"/>
        <w:rPr>
          <w:sz w:val="20"/>
          <w:szCs w:val="20"/>
          <w:color w:val="auto"/>
        </w:rPr>
      </w:pPr>
    </w:p>
    <w:p>
      <w:pPr>
        <w:ind w:left="20" w:right="220"/>
        <w:spacing w:after="0" w:line="268" w:lineRule="auto"/>
        <w:rPr>
          <w:sz w:val="20"/>
          <w:szCs w:val="20"/>
          <w:color w:val="auto"/>
        </w:rPr>
      </w:pPr>
      <w:r>
        <w:rPr>
          <w:rFonts w:ascii="Times New Roman" w:cs="Times New Roman" w:eastAsia="Times New Roman" w:hAnsi="Times New Roman"/>
          <w:sz w:val="18"/>
          <w:szCs w:val="18"/>
          <w:color w:val="auto"/>
        </w:rPr>
        <w:t>11.37 “</w:t>
      </w:r>
      <w:r>
        <w:rPr>
          <w:rFonts w:ascii="Times New Roman" w:cs="Times New Roman" w:eastAsia="Times New Roman" w:hAnsi="Times New Roman"/>
          <w:sz w:val="18"/>
          <w:szCs w:val="18"/>
          <w:b w:val="1"/>
          <w:bCs w:val="1"/>
          <w:i w:val="1"/>
          <w:iCs w:val="1"/>
          <w:color w:val="auto"/>
        </w:rPr>
        <w:t>Recapitalization Transactions</w:t>
      </w:r>
      <w:r>
        <w:rPr>
          <w:rFonts w:ascii="Times New Roman" w:cs="Times New Roman" w:eastAsia="Times New Roman" w:hAnsi="Times New Roman"/>
          <w:sz w:val="18"/>
          <w:szCs w:val="18"/>
          <w:color w:val="auto"/>
        </w:rPr>
        <w:t>” means the transactions contemplated by that certain Exchange Agreement, dated as of August 20, 2025, by and between the Company and CHS US Investments LLC, a Delaware limited liability company, as may be amended from time to time.</w:t>
      </w:r>
    </w:p>
    <w:p>
      <w:pPr>
        <w:spacing w:after="0" w:line="130" w:lineRule="exact"/>
        <w:rPr>
          <w:sz w:val="20"/>
          <w:szCs w:val="20"/>
          <w:color w:val="auto"/>
        </w:rPr>
      </w:pPr>
    </w:p>
    <w:p>
      <w:pPr>
        <w:ind w:left="20" w:right="280"/>
        <w:spacing w:after="0" w:line="286" w:lineRule="auto"/>
        <w:rPr>
          <w:sz w:val="20"/>
          <w:szCs w:val="20"/>
          <w:color w:val="auto"/>
        </w:rPr>
      </w:pPr>
      <w:r>
        <w:rPr>
          <w:rFonts w:ascii="Times New Roman" w:cs="Times New Roman" w:eastAsia="Times New Roman" w:hAnsi="Times New Roman"/>
          <w:sz w:val="18"/>
          <w:szCs w:val="18"/>
          <w:color w:val="auto"/>
        </w:rPr>
        <w:t>11.38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means Shares awarded to a Participant under Article VI subject to certain vesting conditions and other restrictions.</w:t>
      </w:r>
    </w:p>
    <w:p>
      <w:pPr>
        <w:spacing w:after="0" w:line="114" w:lineRule="exact"/>
        <w:rPr>
          <w:sz w:val="20"/>
          <w:szCs w:val="20"/>
          <w:color w:val="auto"/>
        </w:rPr>
      </w:pPr>
    </w:p>
    <w:p>
      <w:pPr>
        <w:ind w:left="20" w:right="40"/>
        <w:spacing w:after="0" w:line="268" w:lineRule="auto"/>
        <w:rPr>
          <w:sz w:val="20"/>
          <w:szCs w:val="20"/>
          <w:color w:val="auto"/>
        </w:rPr>
      </w:pPr>
      <w:r>
        <w:rPr>
          <w:rFonts w:ascii="Times New Roman" w:cs="Times New Roman" w:eastAsia="Times New Roman" w:hAnsi="Times New Roman"/>
          <w:sz w:val="18"/>
          <w:szCs w:val="18"/>
          <w:color w:val="auto"/>
        </w:rPr>
        <w:t>11.39 “</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11.40 “</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w:t>
      </w:r>
    </w:p>
    <w:p>
      <w:pPr>
        <w:spacing w:after="0" w:line="185"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8"/>
          <w:szCs w:val="18"/>
          <w:color w:val="auto"/>
        </w:rPr>
        <w:t>11.41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all regulations, guidance, compliance programs and other interpretative authority thereunder.</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11.42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11.43 “</w:t>
      </w:r>
      <w:r>
        <w:rPr>
          <w:rFonts w:ascii="Times New Roman" w:cs="Times New Roman" w:eastAsia="Times New Roman" w:hAnsi="Times New Roman"/>
          <w:sz w:val="18"/>
          <w:szCs w:val="18"/>
          <w:b w:val="1"/>
          <w:bCs w:val="1"/>
          <w:i w:val="1"/>
          <w:iCs w:val="1"/>
          <w:color w:val="auto"/>
        </w:rPr>
        <w:t>Service Provider</w:t>
      </w:r>
      <w:r>
        <w:rPr>
          <w:rFonts w:ascii="Times New Roman" w:cs="Times New Roman" w:eastAsia="Times New Roman" w:hAnsi="Times New Roman"/>
          <w:sz w:val="18"/>
          <w:szCs w:val="18"/>
          <w:color w:val="auto"/>
        </w:rPr>
        <w:t>” means an Employee, Consultant or Director.</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11.44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shares of Common Stock.</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11.45 “</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means a stock appreciation right granted under Article V.</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0" w:right="60"/>
        <w:spacing w:after="0" w:line="262" w:lineRule="auto"/>
        <w:rPr>
          <w:sz w:val="20"/>
          <w:szCs w:val="20"/>
          <w:color w:val="auto"/>
        </w:rPr>
      </w:pPr>
      <w:r>
        <w:rPr>
          <w:rFonts w:ascii="Times New Roman" w:cs="Times New Roman" w:eastAsia="Times New Roman" w:hAnsi="Times New Roman"/>
          <w:sz w:val="18"/>
          <w:szCs w:val="18"/>
          <w:color w:val="auto"/>
        </w:rPr>
        <w:t>11.46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36" w:lineRule="exact"/>
        <w:rPr>
          <w:sz w:val="20"/>
          <w:szCs w:val="20"/>
          <w:color w:val="auto"/>
        </w:rPr>
      </w:pPr>
    </w:p>
    <w:p>
      <w:pPr>
        <w:ind w:left="20"/>
        <w:spacing w:after="0" w:line="268" w:lineRule="auto"/>
        <w:rPr>
          <w:sz w:val="20"/>
          <w:szCs w:val="20"/>
          <w:color w:val="auto"/>
        </w:rPr>
      </w:pPr>
      <w:r>
        <w:rPr>
          <w:rFonts w:ascii="Times New Roman" w:cs="Times New Roman" w:eastAsia="Times New Roman" w:hAnsi="Times New Roman"/>
          <w:sz w:val="18"/>
          <w:szCs w:val="18"/>
          <w:color w:val="auto"/>
        </w:rPr>
        <w:t>11.47 “</w:t>
      </w:r>
      <w:r>
        <w:rPr>
          <w:rFonts w:ascii="Times New Roman" w:cs="Times New Roman" w:eastAsia="Times New Roman" w:hAnsi="Times New Roman"/>
          <w:sz w:val="18"/>
          <w:szCs w:val="18"/>
          <w:b w:val="1"/>
          <w:bCs w:val="1"/>
          <w:i w:val="1"/>
          <w:iCs w:val="1"/>
          <w:color w:val="auto"/>
        </w:rPr>
        <w:t>Substitute Awards</w:t>
      </w:r>
      <w:r>
        <w:rPr>
          <w:rFonts w:ascii="Times New Roman" w:cs="Times New Roman" w:eastAsia="Times New Roman" w:hAnsi="Times New Roman"/>
          <w:sz w:val="18"/>
          <w:szCs w:val="18"/>
          <w:color w:val="auto"/>
        </w:rPr>
        <w:t>”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11.48 “</w:t>
      </w:r>
      <w:r>
        <w:rPr>
          <w:rFonts w:ascii="Times New Roman" w:cs="Times New Roman" w:eastAsia="Times New Roman" w:hAnsi="Times New Roman"/>
          <w:sz w:val="18"/>
          <w:szCs w:val="18"/>
          <w:b w:val="1"/>
          <w:bCs w:val="1"/>
          <w:i w:val="1"/>
          <w:iCs w:val="1"/>
          <w:color w:val="auto"/>
        </w:rPr>
        <w:t>Termination of Service</w:t>
      </w:r>
      <w:r>
        <w:rPr>
          <w:rFonts w:ascii="Times New Roman" w:cs="Times New Roman" w:eastAsia="Times New Roman" w:hAnsi="Times New Roman"/>
          <w:sz w:val="18"/>
          <w:szCs w:val="18"/>
          <w:color w:val="auto"/>
        </w:rPr>
        <w:t>” means the date the Participant ceases to be a Service Provider.</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114" w:right="1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65"/>
          <w:szCs w:val="65"/>
          <w:b w:val="1"/>
          <w:bCs w:val="1"/>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90170</wp:posOffset>
            </wp:positionV>
            <wp:extent cx="6038850" cy="5784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8850" cy="578485"/>
                    </a:xfrm>
                    <a:prstGeom prst="rect">
                      <a:avLst/>
                    </a:prstGeom>
                    <a:noFill/>
                  </pic:spPr>
                </pic:pic>
              </a:graphicData>
            </a:graphic>
          </wp:anchor>
        </w:drawing>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FIRST AMENDMENT TO THE SECOND AMENDED AND RESTATED 2021 INCENTIVE AWARD PLAN</w:t>
      </w:r>
    </w:p>
    <w:p>
      <w:pPr>
        <w:spacing w:after="0" w:line="297" w:lineRule="exact"/>
        <w:rPr>
          <w:sz w:val="20"/>
          <w:szCs w:val="20"/>
          <w:color w:val="auto"/>
        </w:rPr>
      </w:pPr>
    </w:p>
    <w:p>
      <w:pPr>
        <w:ind w:left="20" w:right="60"/>
        <w:spacing w:after="0" w:line="257" w:lineRule="auto"/>
        <w:rPr>
          <w:sz w:val="20"/>
          <w:szCs w:val="20"/>
          <w:color w:val="auto"/>
        </w:rPr>
      </w:pPr>
      <w:r>
        <w:rPr>
          <w:rFonts w:ascii="Times New Roman" w:cs="Times New Roman" w:eastAsia="Times New Roman" w:hAnsi="Times New Roman"/>
          <w:sz w:val="18"/>
          <w:szCs w:val="18"/>
          <w:color w:val="auto"/>
        </w:rPr>
        <w:t>This First Amendment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to the Second Amended and Restated 2021 Incentive Award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Rent the Runway, Inc. a Delaware corporation, or any successor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effective as of December 15, 2025 (the “</w:t>
      </w:r>
      <w:r>
        <w:rPr>
          <w:rFonts w:ascii="Times New Roman" w:cs="Times New Roman" w:eastAsia="Times New Roman" w:hAnsi="Times New Roman"/>
          <w:sz w:val="18"/>
          <w:szCs w:val="18"/>
          <w:b w:val="1"/>
          <w:bCs w:val="1"/>
          <w:i w:val="1"/>
          <w:i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subject to approval by the Company’s stockholders at the first annual meeting of the Company’s stockholders that is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Effective Date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This Amendment will not be effective unless this Amendment is approved by the Company’s stockholders at the Annual Meeting. All capitalized terms used but not defined in this Amendment shall have the meaning given to such terms in the Plan.</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80" w:lineRule="exact"/>
        <w:rPr>
          <w:sz w:val="20"/>
          <w:szCs w:val="20"/>
          <w:color w:val="auto"/>
        </w:rPr>
      </w:pPr>
    </w:p>
    <w:p>
      <w:pPr>
        <w:ind w:left="20" w:right="92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September 15, 2025, the Board approved and adopted the Plan, subject to approval by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and, on October 21, 2025, the Company’s stockholders approved the Plan;</w:t>
      </w:r>
    </w:p>
    <w:p>
      <w:pPr>
        <w:spacing w:after="0" w:line="114" w:lineRule="exact"/>
        <w:rPr>
          <w:sz w:val="20"/>
          <w:szCs w:val="20"/>
          <w:color w:val="auto"/>
        </w:rPr>
      </w:pPr>
    </w:p>
    <w:p>
      <w:pPr>
        <w:ind w:left="2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10.4 of the Plan, the Board may amend, suspend or terminate the Plan at any time; provided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amendment, other than an increase to the Overall Share Limit, may materially and adversely affect any Award outstanding at the time of such amendment without the affected Participant’s consent; and</w:t>
      </w:r>
    </w:p>
    <w:p>
      <w:pPr>
        <w:spacing w:after="0" w:line="144" w:lineRule="exact"/>
        <w:rPr>
          <w:sz w:val="20"/>
          <w:szCs w:val="20"/>
          <w:color w:val="auto"/>
        </w:rPr>
      </w:pPr>
    </w:p>
    <w:p>
      <w:pPr>
        <w:ind w:left="20" w:right="8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desires to amend Sections 4.1 and 11.30 of the Plan, subject to approval by the Company’s stockholders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Annual Meeting.</w:t>
      </w:r>
    </w:p>
    <w:p>
      <w:pPr>
        <w:spacing w:after="0" w:line="114" w:lineRule="exact"/>
        <w:rPr>
          <w:sz w:val="20"/>
          <w:szCs w:val="20"/>
          <w:color w:val="auto"/>
        </w:rPr>
      </w:pPr>
    </w:p>
    <w:p>
      <w:pPr>
        <w:ind w:left="20" w:right="2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BE IT RESOLVED</w:t>
      </w:r>
      <w:r>
        <w:rPr>
          <w:rFonts w:ascii="Times New Roman" w:cs="Times New Roman" w:eastAsia="Times New Roman" w:hAnsi="Times New Roman"/>
          <w:sz w:val="18"/>
          <w:szCs w:val="18"/>
          <w:color w:val="auto"/>
        </w:rPr>
        <w:t>, effective as of the Effective Date, subject to approval by the Company’s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Annual Meeting, the Plan is hereby amended as follows:</w:t>
      </w:r>
    </w:p>
    <w:p>
      <w:pPr>
        <w:spacing w:after="0" w:line="118" w:lineRule="exact"/>
        <w:rPr>
          <w:sz w:val="20"/>
          <w:szCs w:val="20"/>
          <w:color w:val="auto"/>
        </w:rPr>
      </w:pPr>
    </w:p>
    <w:p>
      <w:pPr>
        <w:ind w:left="740" w:hanging="359"/>
        <w:spacing w:after="0" w:line="282" w:lineRule="auto"/>
        <w:tabs>
          <w:tab w:leader="none" w:pos="7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the first sentence of Section 4.1 of the Plan is hereby deleted in its entirety and replaced with the following:</w:t>
      </w:r>
    </w:p>
    <w:p>
      <w:pPr>
        <w:spacing w:after="0" w:line="134" w:lineRule="exact"/>
        <w:rPr>
          <w:rFonts w:ascii="Times New Roman" w:cs="Times New Roman" w:eastAsia="Times New Roman" w:hAnsi="Times New Roman"/>
          <w:sz w:val="18"/>
          <w:szCs w:val="18"/>
          <w:color w:val="auto"/>
        </w:rPr>
      </w:pPr>
    </w:p>
    <w:p>
      <w:pPr>
        <w:ind w:left="740"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under Article VIII and the terms of this Article IV, the maximum number of Shares that may be issued pursuant to Awards under the Plan following the Closing (including Awards outstanding as of the Closing and those granted thereafter) shall be equal to the Overall Share Limit.”</w:t>
      </w:r>
    </w:p>
    <w:p>
      <w:pPr>
        <w:spacing w:after="0" w:line="135" w:lineRule="exact"/>
        <w:rPr>
          <w:rFonts w:ascii="Times New Roman" w:cs="Times New Roman" w:eastAsia="Times New Roman" w:hAnsi="Times New Roman"/>
          <w:sz w:val="18"/>
          <w:szCs w:val="18"/>
          <w:color w:val="auto"/>
        </w:rPr>
      </w:pPr>
    </w:p>
    <w:p>
      <w:pPr>
        <w:ind w:left="740" w:right="480" w:hanging="359"/>
        <w:spacing w:after="0" w:line="477" w:lineRule="auto"/>
        <w:tabs>
          <w:tab w:leader="none" w:pos="73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Section 11.30 of the Plan is hereby deleted in its entirety and replaced with the following: “</w:t>
      </w:r>
      <w:r>
        <w:rPr>
          <w:rFonts w:ascii="Times New Roman" w:cs="Times New Roman" w:eastAsia="Times New Roman" w:hAnsi="Times New Roman"/>
          <w:sz w:val="18"/>
          <w:szCs w:val="18"/>
          <w:b w:val="1"/>
          <w:bCs w:val="1"/>
          <w:i w:val="1"/>
          <w:iCs w:val="1"/>
          <w:color w:val="auto"/>
        </w:rPr>
        <w:t>Overall Share Limit</w:t>
      </w:r>
      <w:r>
        <w:rPr>
          <w:rFonts w:ascii="Times New Roman" w:cs="Times New Roman" w:eastAsia="Times New Roman" w:hAnsi="Times New Roman"/>
          <w:sz w:val="18"/>
          <w:szCs w:val="18"/>
          <w:color w:val="auto"/>
        </w:rPr>
        <w:t>’ means 10,171,225 Shares.”</w:t>
      </w:r>
    </w:p>
    <w:p>
      <w:pPr>
        <w:ind w:left="740" w:right="120" w:hanging="359"/>
        <w:spacing w:after="0" w:line="266" w:lineRule="auto"/>
        <w:tabs>
          <w:tab w:leader="none" w:pos="7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for in this Amendment, the Plan and its terms and conditions shall remain in full force and effect and unchanged by this Amendment. This Amendment is to be governed by and construed in accordance with the laws of the State of Delaware without regard to the choice of law principles thereof.</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171450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lvl w:ilvl="1">
      <w:lvlJc w:val="left"/>
      <w:lvlText w:val="☐"/>
      <w:numFmt w:val="bullet"/>
      <w:start w:val="1"/>
    </w:lvl>
  </w:abstractNum>
  <w:abstractNum w:abstractNumId="1">
    <w:nsid w:val="2A487CB0"/>
    <w:multiLevelType w:val="hybridMultilevel"/>
    <w:lvl w:ilvl="0">
      <w:lvlJc w:val="left"/>
      <w:lvlText w:val="☒"/>
      <w:numFmt w:val="bullet"/>
      <w:start w:val="1"/>
    </w:lvl>
    <w:lvl w:ilvl="1">
      <w:lvlJc w:val="left"/>
      <w:lvlText w:val="☐"/>
      <w:numFmt w:val="bullet"/>
      <w:start w:val="1"/>
    </w:lvl>
  </w:abstractNum>
  <w:abstractNum w:abstractNumId="2">
    <w:nsid w:val="1D4ED43B"/>
    <w:multiLevelType w:val="hybridMultilevel"/>
    <w:lvl w:ilvl="0">
      <w:lvlJc w:val="left"/>
      <w:lvlText w:val="%1)"/>
      <w:numFmt w:val="decimal"/>
      <w:start w:val="1"/>
    </w:lvl>
  </w:abstractNum>
  <w:abstractNum w:abstractNumId="3">
    <w:nsid w:val="725A06FB"/>
    <w:multiLevelType w:val="hybridMultilevel"/>
    <w:lvl w:ilvl="0">
      <w:lvlJc w:val="left"/>
      <w:lvlText w:val="%1)"/>
      <w:numFmt w:val="decimal"/>
      <w:start w:val="12"/>
    </w:lvl>
  </w:abstractNum>
  <w:abstractNum w:abstractNumId="4">
    <w:nsid w:val="2CD89A32"/>
    <w:multiLevelType w:val="hybridMultilevel"/>
    <w:lvl w:ilvl="0">
      <w:lvlJc w:val="left"/>
      <w:lvlText w:val="%1"/>
      <w:numFmt w:val="decimal"/>
      <w:start w:val="1"/>
    </w:lvl>
    <w:lvl w:ilvl="1">
      <w:lvlJc w:val="left"/>
      <w:lvlText w:val="•"/>
      <w:numFmt w:val="bullet"/>
      <w:start w:val="1"/>
    </w:lvl>
  </w:abstractNum>
  <w:abstractNum w:abstractNumId="5">
    <w:nsid w:val="57E4CCAF"/>
    <w:multiLevelType w:val="hybridMultilevel"/>
    <w:lvl w:ilvl="0">
      <w:lvlJc w:val="left"/>
      <w:lvlText w:val="2"/>
      <w:numFmt w:val="bullet"/>
      <w:start w:val="1"/>
    </w:lvl>
  </w:abstractNum>
  <w:abstractNum w:abstractNumId="6">
    <w:nsid w:val="7A6D8D3C"/>
    <w:multiLevelType w:val="hybridMultilevel"/>
    <w:lvl w:ilvl="0">
      <w:lvlJc w:val="left"/>
      <w:lvlText w:val="3"/>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1)"/>
      <w:numFmt w:val="decimal"/>
      <w:start w:val="1"/>
    </w:lvl>
  </w:abstractNum>
  <w:abstractNum w:abstractNumId="14">
    <w:nsid w:val="579478FE"/>
    <w:multiLevelType w:val="hybridMultilevel"/>
    <w:lvl w:ilvl="0">
      <w:lvlJc w:val="left"/>
      <w:lvlText w:val="(%1)"/>
      <w:numFmt w:val="lowerRoman"/>
      <w:start w:val="1"/>
    </w:lvl>
  </w:abstractNum>
  <w:abstractNum w:abstractNumId="15">
    <w:nsid w:val="749ABB43"/>
    <w:multiLevelType w:val="hybridMultilevel"/>
    <w:lvl w:ilvl="0">
      <w:lvlJc w:val="left"/>
      <w:lvlText w:val="%1"/>
      <w:numFmt w:val="upperLetter"/>
      <w:start w:val="35"/>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1)"/>
      <w:numFmt w:val="lowerLetter"/>
      <w:start w:val="1"/>
    </w:lvl>
  </w:abstractNum>
  <w:abstractNum w:abstractNumId="21">
    <w:nsid w:val="70C6A529"/>
    <w:multiLevelType w:val="hybridMultilevel"/>
    <w:lvl w:ilvl="0">
      <w:lvlJc w:val="left"/>
      <w:lvlText w:val="(%1)"/>
      <w:numFmt w:val="decimal"/>
      <w:start w:val="1"/>
    </w:lvl>
  </w:abstractNum>
  <w:abstractNum w:abstractNumId="22">
    <w:nsid w:val="520EEDD1"/>
    <w:multiLevelType w:val="hybridMultilevel"/>
    <w:lvl w:ilvl="0">
      <w:lvlJc w:val="left"/>
      <w:lvlText w:val="(%1)"/>
      <w:numFmt w:val="decimal"/>
      <w:start w:val="1"/>
    </w:lvl>
  </w:abstractNum>
  <w:abstractNum w:abstractNumId="23">
    <w:nsid w:val="374A3FE6"/>
    <w:multiLevelType w:val="hybridMultilevel"/>
    <w:lvl w:ilvl="0">
      <w:lvlJc w:val="left"/>
      <w:lvlText w:val="5"/>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1)"/>
      <w:numFmt w:val="lowerRoman"/>
      <w:start w:val="2"/>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1)"/>
      <w:numFmt w:val="decimal"/>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1)"/>
      <w:numFmt w:val="decimal"/>
      <w:start w:val="1"/>
    </w:lvl>
  </w:abstractNum>
  <w:abstractNum w:abstractNumId="34">
    <w:nsid w:val="15B5AF5C"/>
    <w:multiLevelType w:val="hybridMultilevel"/>
    <w:lvl w:ilvl="0">
      <w:lvlJc w:val="left"/>
      <w:lvlText w:val=" "/>
      <w:numFmt w:val="bullet"/>
      <w:start w:val="1"/>
    </w:lvl>
  </w:abstractNum>
  <w:abstractNum w:abstractNumId="35">
    <w:nsid w:val="741226BB"/>
    <w:multiLevelType w:val="hybridMultilevel"/>
    <w:lvl w:ilvl="0">
      <w:lvlJc w:val="left"/>
      <w:lvlText w:val="(%1)"/>
      <w:numFmt w:val="decimal"/>
      <w:start w:val="4"/>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1)"/>
      <w:numFmt w:val="decimal"/>
      <w:start w:val="1"/>
    </w:lvl>
    <w:lvl w:ilvl="1">
      <w:lvlJc w:val="left"/>
      <w:lvlText w:val="%2"/>
      <w:numFmt w:val="upperLetter"/>
      <w:start w:val="45"/>
    </w:lvl>
  </w:abstractNum>
  <w:abstractNum w:abstractNumId="40">
    <w:nsid w:val="7E0C57B1"/>
    <w:multiLevelType w:val="hybridMultilevel"/>
    <w:lvl w:ilvl="0">
      <w:lvlJc w:val="left"/>
      <w:lvlText w:val="%1"/>
      <w:numFmt w:val="decimal"/>
      <w:start w:val="1"/>
    </w:lvl>
    <w:lvl w:ilvl="1">
      <w:lvlJc w:val="left"/>
      <w:lvlText w:val="%2."/>
      <w:numFmt w:val="upperLetter"/>
      <w:start w:val="61"/>
    </w:lvl>
  </w:abstractNum>
  <w:abstractNum w:abstractNumId="41">
    <w:nsid w:val="77AE35EB"/>
    <w:multiLevelType w:val="hybridMultilevel"/>
    <w:lvl w:ilvl="0">
      <w:lvlJc w:val="left"/>
      <w:lvlText w:val="(%1)"/>
      <w:numFmt w:val="decimal"/>
      <w:start w:val="13"/>
    </w:lvl>
  </w:abstractNum>
  <w:abstractNum w:abstractNumId="42">
    <w:nsid w:val="579BE4F1"/>
    <w:multiLevelType w:val="hybridMultilevel"/>
    <w:lvl w:ilvl="0">
      <w:lvlJc w:val="left"/>
      <w:lvlText w:val="(%1)"/>
      <w:numFmt w:val="decimal"/>
      <w:start w:val="1"/>
    </w:lvl>
  </w:abstractNum>
  <w:abstractNum w:abstractNumId="43">
    <w:nsid w:val="310C50B3"/>
    <w:multiLevelType w:val="hybridMultilevel"/>
    <w:lvl w:ilvl="0">
      <w:lvlJc w:val="left"/>
      <w:lvlText w:val="(%1)"/>
      <w:numFmt w:val="lowerLetter"/>
      <w:start w:val="2"/>
    </w:lvl>
  </w:abstractNum>
  <w:abstractNum w:abstractNumId="44">
    <w:nsid w:val="5FF87E05"/>
    <w:multiLevelType w:val="hybridMultilevel"/>
    <w:lvl w:ilvl="0">
      <w:lvlJc w:val="left"/>
      <w:lvlText w:val="(%1)"/>
      <w:numFmt w:val="lowerLetter"/>
      <w:start w:val="3"/>
    </w:lvl>
  </w:abstractNum>
  <w:abstractNum w:abstractNumId="45">
    <w:nsid w:val="2F305DEF"/>
    <w:multiLevelType w:val="hybridMultilevel"/>
    <w:lvl w:ilvl="0">
      <w:lvlJc w:val="left"/>
      <w:lvlText w:val="(%1)"/>
      <w:numFmt w:val="lowerLetter"/>
      <w:start w:val="3"/>
    </w:lvl>
  </w:abstractNum>
  <w:abstractNum w:abstractNumId="46">
    <w:nsid w:val="25A70BF7"/>
    <w:multiLevelType w:val="hybridMultilevel"/>
    <w:lvl w:ilvl="0">
      <w:lvlJc w:val="left"/>
      <w:lvlText w:val="(%1)"/>
      <w:numFmt w:val="lowerLetter"/>
      <w:start w:val="1"/>
    </w:lvl>
  </w:abstractNum>
  <w:abstractNum w:abstractNumId="47">
    <w:nsid w:val="1DBABF00"/>
    <w:multiLevelType w:val="hybridMultilevel"/>
    <w:lvl w:ilvl="0">
      <w:lvlJc w:val="left"/>
      <w:lvlText w:val="(%1)"/>
      <w:numFmt w:val="lowerLetter"/>
      <w:start w:val="1"/>
    </w:lvl>
  </w:abstractNum>
  <w:abstractNum w:abstractNumId="48">
    <w:nsid w:val="4AD084E9"/>
    <w:multiLevelType w:val="hybridMultilevel"/>
    <w:lvl w:ilvl="0">
      <w:lvlJc w:val="left"/>
      <w:lvlText w:val="(%1)"/>
      <w:numFmt w:val="lowerLetter"/>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lowerLetter"/>
      <w:start w:val="2"/>
    </w:lvl>
  </w:abstractNum>
  <w:abstractNum w:abstractNumId="51">
    <w:nsid w:val="5DB70AE5"/>
    <w:multiLevelType w:val="hybridMultilevel"/>
    <w:lvl w:ilvl="0">
      <w:lvlJc w:val="left"/>
      <w:lvlText w:val="(%1)"/>
      <w:numFmt w:val="lowerLetter"/>
      <w:start w:val="1"/>
    </w:lvl>
    <w:lvl w:ilvl="1">
      <w:lvlJc w:val="left"/>
      <w:lvlText w:val="(%2)"/>
      <w:numFmt w:val="lowerRoman"/>
      <w:start w:val="1"/>
    </w:lvl>
  </w:abstractNum>
  <w:abstractNum w:abstractNumId="52">
    <w:nsid w:val="100F8FCA"/>
    <w:multiLevelType w:val="hybridMultilevel"/>
    <w:lvl w:ilvl="0">
      <w:lvlJc w:val="left"/>
      <w:lvlText w:val="(%1)"/>
      <w:numFmt w:val="lowerLetter"/>
      <w:start w:val="5"/>
    </w:lvl>
  </w:abstractNum>
  <w:abstractNum w:abstractNumId="53">
    <w:nsid w:val="6590700B"/>
    <w:multiLevelType w:val="hybridMultilevel"/>
    <w:lvl w:ilvl="0">
      <w:lvlJc w:val="left"/>
      <w:lvlText w:val="(%1)"/>
      <w:numFmt w:val="lowerLetter"/>
      <w:start w:val="1"/>
    </w:lvl>
  </w:abstractNum>
  <w:abstractNum w:abstractNumId="54">
    <w:nsid w:val="15014ACB"/>
    <w:multiLevelType w:val="hybridMultilevel"/>
    <w:lvl w:ilvl="0">
      <w:lvlJc w:val="left"/>
      <w:lvlText w:val="(%1)"/>
      <w:numFmt w:val="lowerLetter"/>
      <w:start w:val="1"/>
    </w:lvl>
  </w:abstractNum>
  <w:abstractNum w:abstractNumId="55">
    <w:nsid w:val="5F5E7FD0"/>
    <w:multiLevelType w:val="hybridMultilevel"/>
    <w:lvl w:ilvl="0">
      <w:lvlJc w:val="left"/>
      <w:lvlText w:val="%1"/>
      <w:numFmt w:val="upperLetter"/>
      <w:start w:val="1"/>
    </w:lvl>
    <w:lvl w:ilvl="1">
      <w:lvlJc w:val="left"/>
      <w:lvlText w:val="(%2)"/>
      <w:numFmt w:val="lowerLetter"/>
      <w:start w:val="2"/>
    </w:lvl>
  </w:abstractNum>
  <w:abstractNum w:abstractNumId="56">
    <w:nsid w:val="98A3148"/>
    <w:multiLevelType w:val="hybridMultilevel"/>
    <w:lvl w:ilvl="0">
      <w:lvlJc w:val="left"/>
      <w:lvlText w:val="(%1)"/>
      <w:numFmt w:val="upperLetter"/>
      <w:start w:val="1"/>
    </w:lvl>
    <w:lvl w:ilvl="1">
      <w:lvlJc w:val="left"/>
      <w:lvlText w:val="(%2)"/>
      <w:numFmt w:val="lowerLetter"/>
      <w:start w:val="3"/>
    </w:lvl>
  </w:abstractNum>
  <w:abstractNum w:abstractNumId="57">
    <w:nsid w:val="799D0247"/>
    <w:multiLevelType w:val="hybridMultilevel"/>
    <w:lvl w:ilvl="0">
      <w:lvlJc w:val="left"/>
      <w:lvlText w:val="(%1)"/>
      <w:numFmt w:val="lowerLetter"/>
      <w:start w:val="1"/>
    </w:lvl>
  </w:abstractNum>
  <w:abstractNum w:abstractNumId="58">
    <w:nsid w:val="6B94764"/>
    <w:multiLevelType w:val="hybridMultilevel"/>
    <w:lvl w:ilvl="0">
      <w:lvlJc w:val="left"/>
      <w:lvlText w:val="(%1)"/>
      <w:numFmt w:val="lowerLetter"/>
      <w:start w:val="1"/>
    </w:lvl>
  </w:abstractNum>
  <w:abstractNum w:abstractNumId="59">
    <w:nsid w:val="42C296BD"/>
    <w:multiLevelType w:val="hybridMultilevel"/>
    <w:lvl w:ilvl="0">
      <w:lvlJc w:val="left"/>
      <w:lvlText w:val="(%1)"/>
      <w:numFmt w:val="lowerLetter"/>
      <w:start w:val="1"/>
    </w:lvl>
  </w:abstractNum>
  <w:abstractNum w:abstractNumId="60">
    <w:nsid w:val="168E121F"/>
    <w:multiLevelType w:val="hybridMultilevel"/>
    <w:lvl w:ilvl="0">
      <w:lvlJc w:val="left"/>
      <w:lvlText w:val="%1"/>
      <w:numFmt w:val="lowerLetter"/>
      <w:start w:val="1"/>
    </w:lvl>
    <w:lvl w:ilvl="1">
      <w:lvlJc w:val="left"/>
      <w:lvlText w:val="(%2)"/>
      <w:numFmt w:val="lowerLetter"/>
      <w:start w:val="1"/>
    </w:lvl>
  </w:abstractNum>
  <w:abstractNum w:abstractNumId="61">
    <w:nsid w:val="1EBA5D23"/>
    <w:multiLevelType w:val="hybridMultilevel"/>
    <w:lvl w:ilvl="0">
      <w:lvlJc w:val="left"/>
      <w:lvlText w:val="(%1)"/>
      <w:numFmt w:val="lowerLetter"/>
      <w:start w:val="3"/>
    </w:lvl>
    <w:lvl w:ilvl="1">
      <w:lvlJc w:val="left"/>
      <w:lvlText w:val="%2"/>
      <w:numFmt w:val="lowerLetter"/>
      <w:start w:val="1"/>
    </w:lvl>
  </w:abstractNum>
  <w:abstractNum w:abstractNumId="62">
    <w:nsid w:val="661E3F1E"/>
    <w:multiLevelType w:val="hybridMultilevel"/>
    <w:lvl w:ilvl="0">
      <w:lvlJc w:val="left"/>
      <w:lvlText w:val="(%1)"/>
      <w:numFmt w:val="lowerLetter"/>
      <w:start w:val="1"/>
    </w:lvl>
  </w:abstractNum>
  <w:abstractNum w:abstractNumId="63">
    <w:nsid w:val="5DC79EA8"/>
    <w:multiLevelType w:val="hybridMultilevel"/>
    <w:lvl w:ilvl="0">
      <w:lvlJc w:val="left"/>
      <w:lvlText w:val="(%1)"/>
      <w:numFmt w:val="lowerLetter"/>
      <w:start w:val="4"/>
    </w:lvl>
  </w:abstractNum>
  <w:abstractNum w:abstractNumId="64">
    <w:nsid w:val="540A471C"/>
    <w:multiLevelType w:val="hybridMultilevel"/>
    <w:lvl w:ilvl="0">
      <w:lvlJc w:val="left"/>
      <w:lvlText w:val="(%1)"/>
      <w:numFmt w:val="lowerLetter"/>
      <w:start w:val="8"/>
    </w:lvl>
    <w:lvl w:ilvl="1">
      <w:lvlJc w:val="left"/>
      <w:lvlText w:val="(%2)"/>
      <w:numFmt w:val="lowerRoman"/>
      <w:start w:val="1"/>
    </w:lvl>
  </w:abstractNum>
  <w:abstractNum w:abstractNumId="65">
    <w:nsid w:val="7BD3EE7B"/>
    <w:multiLevelType w:val="hybridMultilevel"/>
    <w:lvl w:ilvl="0">
      <w:lvlJc w:val="left"/>
      <w:lvlText w:val="(%1)"/>
      <w:numFmt w:val="lowerLetter"/>
      <w:start w:val="1"/>
    </w:lvl>
  </w:abstractNum>
  <w:abstractNum w:abstractNumId="66">
    <w:nsid w:val="51D9C564"/>
    <w:multiLevelType w:val="hybridMultilevel"/>
    <w:lvl w:ilvl="0">
      <w:lvlJc w:val="left"/>
      <w:lvlText w:val="(%1)"/>
      <w:numFmt w:val="lowerLetter"/>
      <w:start w:val="2"/>
    </w:lvl>
  </w:abstractNum>
  <w:abstractNum w:abstractNumId="67">
    <w:nsid w:val="613EFDC5"/>
    <w:multiLevelType w:val="hybridMultilevel"/>
    <w:lvl w:ilvl="0">
      <w:lvlJc w:val="left"/>
      <w:lvlText w:val="(%1)"/>
      <w:numFmt w:val="lowerLetter"/>
      <w:start w:val="3"/>
    </w:lvl>
  </w:abstractNum>
  <w:abstractNum w:abstractNumId="68">
    <w:nsid w:val="BF72B14"/>
    <w:multiLevelType w:val="hybridMultilevel"/>
    <w:lvl w:ilvl="0">
      <w:lvlJc w:val="left"/>
      <w:lvlText w:val="(%1)"/>
      <w:numFmt w:val="lowerLetter"/>
      <w:start w:val="5"/>
    </w:lvl>
  </w:abstractNum>
  <w:abstractNum w:abstractNumId="69">
    <w:nsid w:val="11447B73"/>
    <w:multiLevelType w:val="hybridMultilevel"/>
    <w:lvl w:ilvl="0">
      <w:lvlJc w:val="left"/>
      <w:lvlText w:val="(%1)"/>
      <w:numFmt w:val="lowerLetter"/>
      <w:start w:val="6"/>
    </w:lvl>
  </w:abstractNum>
  <w:abstractNum w:abstractNumId="70">
    <w:nsid w:val="42963E5A"/>
    <w:multiLevelType w:val="hybridMultilevel"/>
    <w:lvl w:ilvl="0">
      <w:lvlJc w:val="left"/>
      <w:lvlText w:val="(%1)"/>
      <w:numFmt w:val="lowerLetter"/>
      <w:start w:val="10"/>
    </w:lvl>
  </w:abstractNum>
  <w:abstractNum w:abstractNumId="71">
    <w:nsid w:val="A0382C5"/>
    <w:multiLevelType w:val="hybridMultilevel"/>
    <w:lvl w:ilvl="0">
      <w:lvlJc w:val="left"/>
      <w:lvlText w:val="(%1)"/>
      <w:numFmt w:val="lowerLetter"/>
      <w:start w:val="8"/>
    </w:lvl>
  </w:abstractNum>
  <w:abstractNum w:abstractNumId="72">
    <w:nsid w:val="8F2B15E"/>
    <w:multiLevelType w:val="hybridMultilevel"/>
    <w:lvl w:ilvl="0">
      <w:lvlJc w:val="left"/>
      <w:lvlText w:val="(%1)"/>
      <w:numFmt w:val="lowerLetter"/>
      <w:start w:val="1"/>
    </w:lvl>
  </w:abstractNum>
  <w:abstractNum w:abstractNumId="73">
    <w:nsid w:val="1A32234B"/>
    <w:multiLevelType w:val="hybridMultilevel"/>
    <w:lvl w:ilvl="0">
      <w:lvlJc w:val="left"/>
      <w:lvlText w:val="(%1)"/>
      <w:numFmt w:val="lowerLetter"/>
      <w:start w:val="3"/>
    </w:lvl>
  </w:abstractNum>
  <w:abstractNum w:abstractNumId="74">
    <w:nsid w:val="3B0FD379"/>
    <w:multiLevelType w:val="hybridMultilevel"/>
    <w:lvl w:ilvl="0">
      <w:lvlJc w:val="left"/>
      <w:lvlText w:val="(%1)"/>
      <w:numFmt w:val="lowerLetter"/>
      <w:start w:val="1"/>
    </w:lvl>
  </w:abstractNum>
  <w:abstractNum w:abstractNumId="75">
    <w:nsid w:val="68EB2F63"/>
    <w:multiLevelType w:val="hybridMultilevel"/>
    <w:lvl w:ilvl="0">
      <w:lvlJc w:val="left"/>
      <w:lvlText w:val="(%1)"/>
      <w:numFmt w:val="lowerLetter"/>
      <w:start w:val="1"/>
    </w:lvl>
  </w:abstractNum>
  <w:abstractNum w:abstractNumId="76">
    <w:nsid w:val="4962813B"/>
    <w:multiLevelType w:val="hybridMultilevel"/>
    <w:lvl w:ilvl="0">
      <w:lvlJc w:val="left"/>
      <w:lvlText w:val="(%1)"/>
      <w:numFmt w:val="lowerLetter"/>
      <w:start w:val="1"/>
    </w:lvl>
  </w:abstractNum>
  <w:abstractNum w:abstractNumId="77">
    <w:nsid w:val="60B6DF70"/>
    <w:multiLevelType w:val="hybridMultilevel"/>
    <w:lvl w:ilvl="0">
      <w:lvlJc w:val="left"/>
      <w:lvlText w:val="(%1)"/>
      <w:numFmt w:val="lowerLetter"/>
      <w:start w:val="2"/>
    </w:lvl>
  </w:abstractNum>
  <w:abstractNum w:abstractNumId="78">
    <w:nsid w:val="6A5EE64"/>
    <w:multiLevelType w:val="hybridMultilevel"/>
    <w:lvl w:ilvl="0">
      <w:lvlJc w:val="left"/>
      <w:lvlText w:val="(%1)"/>
      <w:numFmt w:val="lowerLetter"/>
      <w:start w:val="3"/>
    </w:lvl>
  </w:abstractNum>
  <w:abstractNum w:abstractNumId="79">
    <w:nsid w:val="14330624"/>
    <w:multiLevelType w:val="hybridMultilevel"/>
    <w:lvl w:ilvl="0">
      <w:lvlJc w:val="left"/>
      <w:lvlText w:val="(%1)"/>
      <w:numFmt w:val="lowerLetter"/>
      <w:start w:val="1"/>
    </w:lvl>
  </w:abstractNum>
  <w:abstractNum w:abstractNumId="80">
    <w:nsid w:val="7FFFCA11"/>
    <w:multiLevelType w:val="hybridMultilevel"/>
    <w:lvl w:ilvl="0">
      <w:lvlJc w:val="left"/>
      <w:lvlText w:val="(%1)"/>
      <w:numFmt w:val="lowerLetter"/>
      <w:start w:val="1"/>
    </w:lvl>
  </w:abstractNum>
  <w:abstractNum w:abstractNumId="81">
    <w:nsid w:val="1A27709E"/>
    <w:multiLevelType w:val="hybridMultilevel"/>
    <w:lvl w:ilvl="0">
      <w:lvlJc w:val="left"/>
      <w:lvlText w:val="(%1)"/>
      <w:numFmt w:val="lowerLetter"/>
      <w:start w:val="3"/>
    </w:lvl>
    <w:lvl w:ilvl="1">
      <w:lvlJc w:val="left"/>
      <w:lvlText w:val="%2"/>
      <w:numFmt w:val="lowerRoman"/>
      <w:start w:val="1"/>
    </w:lvl>
  </w:abstractNum>
  <w:abstractNum w:abstractNumId="82">
    <w:nsid w:val="71EA1109"/>
    <w:multiLevelType w:val="hybridMultilevel"/>
    <w:lvl w:ilvl="0">
      <w:lvlJc w:val="left"/>
      <w:lvlText w:val="(%1)"/>
      <w:numFmt w:val="lowerLetter"/>
      <w:start w:val="26"/>
    </w:lvl>
    <w:lvl w:ilvl="1">
      <w:lvlJc w:val="left"/>
      <w:lvlText w:val="(%2)"/>
      <w:numFmt w:val="lowerRoman"/>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2026-05-21T17:02:38Z</dcterms:created>
  <dcterms:modified xsi:type="dcterms:W3CDTF">2026-05-21T17:02:38Z</dcterms:modified>
</cp:coreProperties>
</file>