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Wendy Ruberti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Aranda Principal Strategies, 550 Madison Avenue, 34th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(929) 783-1801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Ellis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Eleven Times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969-3000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 NW,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US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2" w:name="page3"/>
    <w:bookmarkEnd w:id="2"/>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6979"/>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19,983,656.00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19,983,656.00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Platform Holdings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4" w:name="page5"/>
    <w:bookmarkEnd w:id="4"/>
    <w:p>
      <w:pPr>
        <w:ind w:left="1120" w:right="4499" w:hanging="1112"/>
        <w:spacing w:after="0" w:line="371" w:lineRule="auto"/>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59.9 %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0" w:gutter="0" w:footer="0" w:header="0"/>
          <w:type w:val="continuous"/>
        </w:sectPr>
      </w:pPr>
    </w:p>
    <w:p>
      <w:pPr>
        <w:spacing w:after="0" w:line="3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ectPr>
          <w:pgSz w:w="11900" w:h="16838" w:orient="portrait"/>
          <w:cols w:equalWidth="0" w:num="1">
            <w:col w:w="10099"/>
          </w:cols>
          <w:pgMar w:left="360" w:top="112" w:right="1440" w:bottom="0" w:gutter="0" w:footer="0" w:header="0"/>
          <w:type w:val="continuous"/>
        </w:sectPr>
      </w:pPr>
    </w:p>
    <w:bookmarkStart w:id="5" w:name="page6"/>
    <w:bookmarkEnd w:id="5"/>
    <w:p>
      <w:pPr>
        <w:spacing w:after="0" w:line="40" w:lineRule="exact"/>
        <w:rPr>
          <w:sz w:val="20"/>
          <w:szCs w:val="20"/>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Stock, $0.001 par value per share</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This Schedule 13D is being filed by the following (each a "Reporting Person," and collectively the "Reporting Persons"): (i) CHS US Investments LLC ("CHS US Investments"); (ii) CHS GP LP ("CHS GP"); (iii) CHS UGP LLC ("CHS UGP"); (iv) CHS Platform Holdings Pte. Ltd. ("CHS Platform"); and (v) CHS (US) Management LLC ("CHS</w:t>
      </w:r>
    </w:p>
    <w:p>
      <w:pPr>
        <w:spacing w:after="0" w:line="1" w:lineRule="exact"/>
        <w:rPr>
          <w:sz w:val="20"/>
          <w:szCs w:val="20"/>
          <w:color w:val="auto"/>
        </w:rPr>
      </w:pPr>
    </w:p>
    <w:p>
      <w:pPr>
        <w:ind w:left="940" w:right="180" w:hanging="932"/>
        <w:spacing w:after="0" w:line="234"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Management"). The Reporting Persons have entered into a joint filing agreement, a copy of which is attached hereto as Exhibit 99.1. The name, business address, present principal occupation and the citizenship of each director and executive officer of each of CHS UGP, CHS Platform and CHS US Management are set forth in Schedule A hereto, which is incorporated into this Item 2 by reference.</w:t>
      </w:r>
    </w:p>
    <w:p>
      <w:pPr>
        <w:spacing w:after="0" w:line="15" w:lineRule="exact"/>
        <w:rPr>
          <w:rFonts w:ascii="Times New Roman" w:cs="Times New Roman" w:eastAsia="Times New Roman" w:hAnsi="Times New Roman"/>
          <w:sz w:val="22"/>
          <w:szCs w:val="22"/>
          <w:color w:val="auto"/>
        </w:rPr>
      </w:pPr>
    </w:p>
    <w:p>
      <w:pPr>
        <w:ind w:left="940" w:right="10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and principal office address of each of the Reporting Persons is 550 Madison Avenue, 34th Floor, New York, NY 10022.</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each of the Reporting Persons is investment holding.</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and, to the knowledge of each such Reporting Person, none</w:t>
      </w:r>
    </w:p>
    <w:p>
      <w:pPr>
        <w:spacing w:after="0" w:line="25" w:lineRule="exact"/>
        <w:rPr>
          <w:rFonts w:ascii="Times New Roman" w:cs="Times New Roman" w:eastAsia="Times New Roman" w:hAnsi="Times New Roman"/>
          <w:sz w:val="22"/>
          <w:szCs w:val="22"/>
          <w:color w:val="auto"/>
        </w:rPr>
      </w:pPr>
    </w:p>
    <w:p>
      <w:pPr>
        <w:ind w:left="940" w:right="600" w:hanging="932"/>
        <w:spacing w:after="0" w:line="237"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persons listed in Schedule A,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and, to the knowledge of each such Reporting Person, none of the persons listed in Schedule A, has been party to a civil proceeding of a judicial or administrative body of</w:t>
      </w:r>
    </w:p>
    <w:p>
      <w:pPr>
        <w:jc w:val="both"/>
        <w:ind w:left="940" w:right="520" w:hanging="932"/>
        <w:spacing w:after="0" w:line="235"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were or is subject to a judgement,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CHS Platform is a company organized under the laws of the Republic of Singapore. CHS US Investments is a</w:t>
      </w:r>
    </w:p>
    <w:p>
      <w:pPr>
        <w:spacing w:after="0" w:line="14" w:lineRule="exact"/>
        <w:rPr>
          <w:rFonts w:ascii="Times New Roman" w:cs="Times New Roman" w:eastAsia="Times New Roman" w:hAnsi="Times New Roman"/>
          <w:sz w:val="22"/>
          <w:szCs w:val="22"/>
          <w:color w:val="auto"/>
        </w:rPr>
      </w:pPr>
    </w:p>
    <w:p>
      <w:pPr>
        <w:ind w:left="940" w:right="140" w:hanging="932"/>
        <w:spacing w:after="0" w:line="237"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Islands limited liability company. CHS GP is an Ontario limited partnership. Each of CHS US Management and CHS UGP is a Delaware limited liability company.</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3. The funds used to acquire the shares of Class A Common Stock issued pursuant to the Rights Offering Backstop Agreement (as defined in item 4 hereof) were obtained from the working capital of CHS US Investments. The Exchange Shares were acquired pursuant to the Exchange Agreement as set forth in Item 4 of this Schedule 13D.</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Exchange Agreement On July 23, 2018, Rent the Runway, Inc. (the "Issuer") entered into a credit agreement with CHS US Management (as successor-in-interest to Double Helix Pte Ltd.), as administrative agent and the lenders from time to time party thereto (the "Existing Credit Agreement"). On August 20, 2025, CHS US Investments entered into an exchange agreement (the "Exchange Agreement") with the Issuer in connection with the Issuer's proposed recapitalization transactions. Pursuant to the Exchange Agreement, CHS US Investments, as lender under the Existing Credit Agreement, agreed to (i) exchange $100 million of existing outstanding indebtedness owed to it under the Existing Credit Agreement on a dollar-for-dollar cashless basis for new term loans (the "Exchange Consideration Term Loans") under an amended and restated credit agreement (the "New Credit Agreement") by and among the Issuer, CHS US Management, CHS US Investments, Gateway Runway, LLC ("Nexus"), and S3 RR Aggregatory, LLC ("Story3," and together with CHS US Investments and Nexus, the "Investor Group") and (ii) contribute all outstanding indebtedness owing to it under the Existing Credit Agreement in excess thereof to the Issuer in exchange for newly issued shares of the Issuer's Class A Common Stock, par value $0.001 per share (the "Class A Common Stock," and such consideration, the "Exchange Stock"), equal to 86% of the number of outstanding shares of Class A Common Stock following the closing of the transactions contemplated by the Exchange Agreement and related agreements (the "Closing"), after giving effect to the conversion by holders of the Issuer's Class B Common Stock, par value $0.001 per share into shares of Class A Common Stock, but before giving effect to the Rights Offering (as defined below) and an increase in the maximum number of shares of Class A Common Stock authorized for issuance under the Issuer's Amended and Restated 2021 Incentive Award Plan. Further, pursuant to the Exchange Agreement and the Investor Rights Agreement (described below), the Issuer agreed to take all commercial reasonable actions as may be necessary to cause, upon the Closing, its board of directors (the "Board") to consist of seven members, including Jennifer Hyman, a director selected by Ms. Hyman and approved by the Investor Group, a director designated by Nexus, a director designated by Story3, and three directors designated by the Board and subject to the approval of the Investor Majority (as defined in the Investor Rights Agreement). The transactions contemplated by the Exchange Agreement closed on October 28, 2025. CHS US Investments received an aggregate of 18,322,635 shares of Class A Common Stock as Exchange Stock, after giving effect to the transfer pursuant to the Debt and Equity Purchase Agreement described below. The foregoing description of the Exchange Agreement is qualified in its entirety by reference to the full text thereof, a copy of which is attached hereto as Exhibit 99.3 and incorporated herein by reference. New Credit Agreement On October 28, 2025, the Investor Group, CHS US Management, and the</w:t>
      </w:r>
    </w:p>
    <w:p>
      <w:pPr>
        <w:sectPr>
          <w:pgSz w:w="11900" w:h="16879" w:orient="portrait"/>
          <w:cols w:equalWidth="0" w:num="1">
            <w:col w:w="11160"/>
          </w:cols>
          <w:pgMar w:left="360" w:top="111" w:right="37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Issuer entered into the New Credit Agreement, which amended and restated the Existing Credit Agreement and provides for $120 million in aggregate principal amount of term loans comprised of (x) $100 million of Exchange Consideration Term Loans and (y) $20 million of new money term loans provided by the Investor Group (the "New Money Term Loans"). All such term loans mature on the fourth anniversary of the Closing and bear interest, at the Issuer's option, at either (i) a bank reference rate, plus 4.00% or (ii) term SOFR plus 5.00%, in each case per annum. The New Credit Agreement also modifies the Existing Credit Agreement in certain other respects, including by temporarily reducing the minimum liquidity maintenance covenant from $30 million to $15 million during the period from the date of the Closing until February 20, 2027, which reverts thereafter to $30 million. The foregoing description of the New Credit Agreement is qualified in its entirety by reference to the full text thereof, a copy of which is attached hereto as Exhibit 99.4 and incorporated herein by reference. Debt and Equity Purchase Agreement In connection with the Exchange Agreement, the Investor Group entered into a Debt and Equity Purchase Agreement (the "Debt and Equity Purchase Agreement") with the Issuer, pursuant to which each of Nexus and Story3 agreed to enter into the New Credit Agreement, to provide its share of the New Money Term Loans, and to purchase (i) $15 million of the Exchange Consideration Term Loans from CHS US Investments and (ii) 15% of the Exchange Stock from CHS US Investments for an aggregate purchase price of $15 million. The transactions contemplated by the Debt and Equity Purchase Agreement closed on October 28, 2025. Investor Rights Agreement In connection with the Exchange Agreement, on August 20, 2025, the Investor Group entered into an investor rights agreement (the "Investor Rights Agreement") with the Issuer and certain entities affiliated with Jennifer Hyman, which such Investor Rights Agreement took effect at the Closing. Pursuant to the Investor Rights Agreement, the Issuer is required to file with the Securities and Exchange Commission within 20 days of the Closing a shelf registration statement registering the resale of Class A Common Stock held by the Investor Group and Ms. Hyman, and grants certain demand, piggyback and shelf registration rights to the Investor Group and Ms. Hyman. The Investor Rights Agreement also provides for certain board designation rights of the Investor Group and Ms. Hyman following the Closing.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of the Issuer, she will be designated as a member of the Board, and, for so long as she continues to own a specified minimum number of Class A Common Stock, Ms. Hyman will be entitled to appoint one additional director to the Board, subject to the reasonable approval of the Investor Majority. Subject to certain minimum ownership thresholds, each of Ms. Hyman, Nexus and Story3 are also entitled to appoint a non-voting Board observer, and CHS US Investments is entitled to appoint two non-voting Board observers; provided, that (i) each of Story3 and Nexus have the right to designate one Board observer in total pursuant to the Investor Rights Agreement and the New Credit Agreement and (ii) CHS US Investments has the right to designate two Board observers in total pursuant to the Investor Rights Agreement and the New Credit Agreement. The foregoing description of the Investor Rights Agreement is qualified in its entirety by reference to the full text thereof, a copy of which is attached hereto as Exhibit 99.5 and incorporated herein by reference. Rights Offering Backstop Agreement Pursuant to the Exchange Agreement, the Issuer conducted a $12,500,000 rights offering (the "Rights Offering") which closed on October 21, 2025. In connection with the Rights Offering, the Investor Group entered into the Rights Offering Backstop Agreement, dated August 20, 2025 (the "Rights Offering Backstop Agreement"), pursuant to which the Investor Group agreed to purchase from the Issuer, at a price of $4.08 per share, all unsubscribed shares of Class A Common Stock to be issued in connection with the Rights Offering, on the terms and subject to the conditions set forth in the Rights Offering Backstop Agreement. On October 23, 2025, the Issuer delivered to CHS US Investments a subscription notice with respect to its portion of the unsubscribed shares from the Rights Offering. As a result of the subscription notice, and pursuant to the Rights Offering Backstop Agreement, CHS US Investments purchased 1,624,539 shares of Class A Common Stock at a purchase price of $4.08 per share. The foregoing description of the Investor Rights Agreement is qualified in its entirety by reference to the full text thereof, a copy of which is attached hereto as Exhibit 99.6 and incorporated herein by reference. Amended Credit Agreement On August 20, 2025, CHS US Investments, CHS US Management and the Issuer entered into the Fourteenth Amendment to the Existing Credit Agreement, pursuant to which, until the Relief Termination Date (as defined therein), (i) interest that would otherwise be payable in cash will be capitalized and (ii) the liquidity financial covenant level will be reduced to $15 million. In addition, the Fourteenth Amendment increases the number of Board observers permitted to be designated by CHS US Management from one to two and defers the operation of certain other financial covenants until the end of the Issuer's fiscal year ending January 31, 2026. Relief under the Fourteenth Amendment generally continues until the earliest of the Outside Date (as defined in the Exchange Agreement), termination of the Exchange Agreement (with an additional 30-day relief period in certain circumstances) and the occurrence of the Closing. The foregoing description of the Fourteenth Amendment to the Existing Credit Agreement is qualified in its entirety by reference to the full text thereof, a copy of which is attached hereto as Exhibit 99.7 and incorporated herein by reference. General The Reporting Persons acquired the securities described in this Schedule 13D for investment purposes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securities of the Issuer, or retain or sell all or a portion of the securities then held, in the open market or in privately negotiated transactions. In addition, the Reporting Persons may engage in discussions with management, the Board, and other securityholders of the Issuer and other relevant parties or encourage, cause or seek to cause the Issuer or such persons to consider or explore extraordinary corporate transactions, such as: a merger, reorganization or take-private transaction that could</w:t>
      </w:r>
    </w:p>
    <w:p>
      <w:pPr>
        <w:sectPr>
          <w:pgSz w:w="11900" w:h="16838" w:orient="portrait"/>
          <w:cols w:equalWidth="0" w:num="1">
            <w:col w:w="10220"/>
          </w:cols>
          <w:pgMar w:left="1300" w:top="111" w:right="379" w:bottom="91" w:gutter="0" w:footer="0" w:header="0"/>
        </w:sectPr>
      </w:pPr>
    </w:p>
    <w:bookmarkStart w:id="7" w:name="page8"/>
    <w:bookmarkEnd w:id="7"/>
    <w:p>
      <w:pPr>
        <w:ind w:left="940"/>
        <w:spacing w:after="0" w:line="233" w:lineRule="auto"/>
        <w:rPr>
          <w:sz w:val="20"/>
          <w:szCs w:val="20"/>
          <w:color w:val="auto"/>
        </w:rPr>
      </w:pPr>
      <w:r>
        <w:rPr>
          <w:rFonts w:ascii="Times New Roman" w:cs="Times New Roman" w:eastAsia="Times New Roman" w:hAnsi="Times New Roman"/>
          <w:sz w:val="22"/>
          <w:szCs w:val="22"/>
          <w:color w:val="auto"/>
        </w:rPr>
        <w:t>result in the de-listing or de-registration of the Class A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60"/>
        <w:spacing w:after="0" w:line="253" w:lineRule="auto"/>
        <w:rPr>
          <w:sz w:val="20"/>
          <w:szCs w:val="20"/>
          <w:color w:val="auto"/>
        </w:rPr>
      </w:pPr>
      <w:r>
        <w:rPr>
          <w:rFonts w:ascii="Times New Roman" w:cs="Times New Roman" w:eastAsia="Times New Roman" w:hAnsi="Times New Roman"/>
          <w:sz w:val="21"/>
          <w:szCs w:val="21"/>
          <w:color w:val="auto"/>
        </w:rPr>
        <w:t>The beneficial ownership percentages reported herein are based on 33,358,709 shares of Class A Common Stock outstanding, after giving effect to the transactions disclosed herein. CHS US Investments directly holds 19,983,656</w:t>
      </w:r>
    </w:p>
    <w:p>
      <w:pPr>
        <w:spacing w:after="0" w:line="1" w:lineRule="exact"/>
        <w:rPr>
          <w:sz w:val="20"/>
          <w:szCs w:val="20"/>
          <w:color w:val="auto"/>
        </w:rPr>
      </w:pPr>
    </w:p>
    <w:p>
      <w:pPr>
        <w:ind w:left="940" w:right="80" w:hanging="932"/>
        <w:spacing w:after="0" w:line="235"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Class A Common Stock. CHS US Management is the investment manager of CHS US Investments. CHS GP is the general partner of CHS US Investments. CHS UGP is the general partner of CHS GP. CHS UGP is a direct, wholly owned subsidiary of CHS Platform.</w:t>
      </w:r>
    </w:p>
    <w:p>
      <w:pPr>
        <w:spacing w:after="0" w:line="15" w:lineRule="exact"/>
        <w:rPr>
          <w:rFonts w:ascii="Times New Roman" w:cs="Times New Roman" w:eastAsia="Times New Roman" w:hAnsi="Times New Roman"/>
          <w:sz w:val="22"/>
          <w:szCs w:val="22"/>
          <w:color w:val="auto"/>
        </w:rPr>
      </w:pPr>
    </w:p>
    <w:p>
      <w:pPr>
        <w:ind w:left="940"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set forth in the cover pages of this Schedule 13D is incorporated by reference into this Item 5(b). Based on the terms of the Exchange Agreement, the Debt and Equity Purchase Agreement and the Rights Offering Backstop Agreement, the Reporting Persons believe Nexus and Story3 each have beneficial ownership of 4,274,394 shares of Class A Common Stock, or 12.8% of the Issuer's outstanding shares of Class A Common Stock, after giving effect to the transactions reported herein. Accordingly, the Reporting Persons believe that collectively, the Reporting Persons, Nexus, and Story3 have beneficial ownership of 28,532,444 shares of Class A Common Stock, or</w:t>
      </w:r>
    </w:p>
    <w:p>
      <w:pPr>
        <w:spacing w:after="0" w:line="2" w:lineRule="exact"/>
        <w:rPr>
          <w:rFonts w:ascii="Times New Roman" w:cs="Times New Roman" w:eastAsia="Times New Roman" w:hAnsi="Times New Roman"/>
          <w:sz w:val="22"/>
          <w:szCs w:val="22"/>
          <w:color w:val="auto"/>
        </w:rPr>
      </w:pPr>
    </w:p>
    <w:p>
      <w:pPr>
        <w:ind w:left="940" w:right="140" w:hanging="932"/>
        <w:spacing w:after="0" w:line="244"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85.5% of the Issuer's outstanding shares of Class A Common Stock. The Reporting Persons expressly disclaim the existence of, or membership in a "group" within the meaning of Section 13(d)(3) of the Act and Rule 13d-5(b) thereunder with Nexus or Story3, as well as beneficial ownership with respect to any shares of Class A Common Stock beneficially owned by Nexus and Story3,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pacing w:after="0" w:line="12"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information set forth in Item 4 of this Schedule 13D is incorporated by reference into this Item 5(c). Except as</w:t>
      </w:r>
    </w:p>
    <w:p>
      <w:pPr>
        <w:spacing w:after="0" w:line="14" w:lineRule="exact"/>
        <w:rPr>
          <w:rFonts w:ascii="Times New Roman" w:cs="Times New Roman" w:eastAsia="Times New Roman" w:hAnsi="Times New Roman"/>
          <w:sz w:val="21"/>
          <w:szCs w:val="21"/>
          <w:color w:val="auto"/>
        </w:rPr>
      </w:pPr>
    </w:p>
    <w:p>
      <w:pPr>
        <w:ind w:left="940" w:right="38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disclosed herein, none of the Reporting Persons has effected any transaction with respect to the Class A Common Stock in the past 60 days.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right="56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6. Except as otherwise described in this Schedule 13D, there are no contracts, arrangements, understandings or relationships between the Reporting Persons and any other person with respect to any securities of the Issuer.</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5" w:lineRule="auto"/>
        <w:rPr>
          <w:sz w:val="20"/>
          <w:szCs w:val="20"/>
          <w:color w:val="auto"/>
        </w:rPr>
      </w:pPr>
      <w:r>
        <w:rPr>
          <w:rFonts w:ascii="Times New Roman" w:cs="Times New Roman" w:eastAsia="Times New Roman" w:hAnsi="Times New Roman"/>
          <w:sz w:val="22"/>
          <w:szCs w:val="22"/>
          <w:color w:val="auto"/>
        </w:rPr>
        <w:t>Exhibit 99.1 - Joint Filing Agreement Exhibit 99.2 - Schedule A Exhibit 99.3 - Exchange Agreement (incorporated by reference to Exhibit 10.1 of the Issuer's Current Report on Form 8-K filed on August 21 2025) Exhibit 99.4 - New Credit Agreement (incorporated by reference to Exhibit 10.1 of the Issuer's Current Report on Form 8-K filed on October 29, 2025) Exhibit 99.5 - Investor Rights Agreement (incorporated by reference to Exhibit 10.2 of the Issuer's Current Report on Form 8-K filed on August 21 2025) Exhibit 99.6 - Rights Offering Backstop Agreement (incorporated by reference to Exhibit 10.3 of the Issuer's Current Report on Form 8-K filed on August 21 2025) Exhibit 99.7 - Fourteenth Amendment to the Existing Credit Agreement (incorporated by reference to Exhibit 10.4 of the Issuer's Current Report on Form 8-K filed on August 21 2025)</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CHS US Investments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CHS GP LP, its managing member; By: CHS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UGP LLC, its general partner, By: Alexandra</w:t>
      </w:r>
    </w:p>
    <w:p>
      <w:pPr>
        <w:ind w:left="6740"/>
        <w:spacing w:after="0"/>
        <w:rPr>
          <w:sz w:val="20"/>
          <w:szCs w:val="20"/>
          <w:color w:val="auto"/>
        </w:rPr>
      </w:pPr>
      <w:r>
        <w:rPr>
          <w:rFonts w:ascii="Times New Roman" w:cs="Times New Roman" w:eastAsia="Times New Roman" w:hAnsi="Times New Roman"/>
          <w:sz w:val="22"/>
          <w:szCs w:val="22"/>
          <w:color w:val="auto"/>
        </w:rPr>
        <w:t>Grigos,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CHS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ectPr>
          <w:pgSz w:w="11900" w:h="16838" w:orient="portrait"/>
          <w:cols w:equalWidth="0" w:num="1">
            <w:col w:w="11160"/>
          </w:cols>
          <w:pgMar w:left="360" w:top="111" w:right="379" w:bottom="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Name/Title: By: CHS UGP LLC, its general partner, By:</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Alexandra Grigos,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CHS UGP LLC</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Alexandra Grigos, Director</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CHS Platform Holdings Pte. Ltd.</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Nicolas Debetencourt</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Nicolas Debetencourt, Director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CHS (US) Management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Alexandra Grigos, Chief Operating Officer</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ectPr>
          <w:pgSz w:w="11900" w:h="16838" w:orient="portrait"/>
          <w:cols w:equalWidth="0" w:num="1">
            <w:col w:w="9480"/>
          </w:cols>
          <w:pgMar w:left="1440" w:top="111" w:right="9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06"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29,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CHS US INVESTMENTS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CHS GP LP, its managing member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CHS UGP LLC, its general partner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Alexandra Grigos</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CHS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CHS UGP LLC, its general partner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Alexandra Grigos</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CHS UGP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Alexandra Grigos</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CHS PLATFORM HOLDINGS PTE.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Nicolas Debetencourt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Nicolas Debetencourt</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CHS (US)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Alexandra Grigos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-10795</wp:posOffset>
            </wp:positionV>
            <wp:extent cx="1507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Alexandra Grigos</w:t>
      </w:r>
    </w:p>
    <w:p>
      <w:pPr>
        <w:spacing w:after="0" w:line="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Operating Officer</w:t>
      </w:r>
    </w:p>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500380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S</w:t>
      </w:r>
      <w:r>
        <w:rPr>
          <w:rFonts w:ascii="Times New Roman" w:cs="Times New Roman" w:eastAsia="Times New Roman" w:hAnsi="Times New Roman"/>
          <w:sz w:val="18"/>
          <w:szCs w:val="18"/>
          <w:b w:val="1"/>
          <w:bCs w:val="1"/>
          <w:u w:val="single" w:color="auto"/>
          <w:color w:val="auto"/>
        </w:rPr>
        <w:t>chedule A</w:t>
      </w:r>
    </w:p>
    <w:p>
      <w:pPr>
        <w:spacing w:after="0" w:line="16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address, principal occupation, citizenship and beneficial ownership of the shares of Class A Common Stock (to the extent not pursuant to Item 5(a)) of each director of CHS UGP LLC, CHS Platform Pte. Ltd., and CHS (US) Management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CHS UGP LLC</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80" w:type="dxa"/>
            <w:vAlign w:val="bottom"/>
            <w:tcBorders>
              <w:top w:val="single" w:sz="8" w:color="auto"/>
            </w:tcBorders>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and Citizenship</w:t>
            </w:r>
          </w:p>
        </w:tc>
        <w:tc>
          <w:tcPr>
            <w:tcW w:w="740" w:type="dxa"/>
            <w:vAlign w:val="bottom"/>
            <w:tcBorders>
              <w:top w:val="single" w:sz="8" w:color="auto"/>
            </w:tcBorders>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960" w:type="dxa"/>
            <w:vAlign w:val="bottom"/>
            <w:tcBorders>
              <w:top w:val="single" w:sz="8" w:color="auto"/>
            </w:tcBorders>
            <w:gridSpan w:val="2"/>
            <w:vMerge w:val="restart"/>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Beneficial Ownership of</w:t>
            </w:r>
          </w:p>
        </w:tc>
        <w:tc>
          <w:tcPr>
            <w:tcW w:w="0" w:type="dxa"/>
            <w:vAlign w:val="bottom"/>
          </w:tcPr>
          <w:p>
            <w:pPr>
              <w:spacing w:after="0"/>
              <w:rPr>
                <w:sz w:val="1"/>
                <w:szCs w:val="1"/>
                <w:color w:val="auto"/>
              </w:rPr>
            </w:pPr>
          </w:p>
        </w:tc>
      </w:tr>
      <w:tr>
        <w:trPr>
          <w:trHeight w:val="173"/>
        </w:trPr>
        <w:tc>
          <w:tcPr>
            <w:tcW w:w="2180" w:type="dxa"/>
            <w:vAlign w:val="bottom"/>
            <w:gridSpan w:val="5"/>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Alexandra Grigos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13"/>
              <w:spacing w:after="0" w:line="191" w:lineRule="exact"/>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500" w:type="dxa"/>
            <w:vAlign w:val="bottom"/>
            <w:tcBorders>
              <w:top w:val="single" w:sz="8" w:color="auto"/>
            </w:tcBorders>
            <w:gridSpan w:val="6"/>
          </w:tcPr>
          <w:p>
            <w:pPr>
              <w:jc w:val="center"/>
              <w:ind w:right="219"/>
              <w:spacing w:after="0" w:line="191" w:lineRule="exact"/>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center"/>
              <w:ind w:right="57"/>
              <w:spacing w:after="0" w:line="191" w:lineRule="exact"/>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David Zhang</w:t>
            </w: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8"/>
              </w:rPr>
              <w:t>Brady Schuck</w:t>
            </w: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CHS Platform Holdings Pte. Ltd.</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20" w:type="dxa"/>
            <w:vAlign w:val="bottom"/>
            <w:gridSpan w:val="6"/>
            <w:vMerge w:val="restart"/>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Name and Citizenship</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Beneficial Ownership of</w:t>
            </w:r>
          </w:p>
        </w:tc>
        <w:tc>
          <w:tcPr>
            <w:tcW w:w="0" w:type="dxa"/>
            <w:vAlign w:val="bottom"/>
          </w:tcPr>
          <w:p>
            <w:pPr>
              <w:spacing w:after="0"/>
              <w:rPr>
                <w:sz w:val="1"/>
                <w:szCs w:val="1"/>
                <w:color w:val="auto"/>
              </w:rPr>
            </w:pPr>
          </w:p>
        </w:tc>
      </w:tr>
      <w:tr>
        <w:trPr>
          <w:trHeight w:val="173"/>
        </w:trPr>
        <w:tc>
          <w:tcPr>
            <w:tcW w:w="29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91"/>
        </w:trPr>
        <w:tc>
          <w:tcPr>
            <w:tcW w:w="2920" w:type="dxa"/>
            <w:vAlign w:val="bottom"/>
            <w:tcBorders>
              <w:top w:val="single" w:sz="8" w:color="auto"/>
            </w:tcBorders>
            <w:gridSpan w:val="6"/>
          </w:tcPr>
          <w:p>
            <w:pPr>
              <w:jc w:val="center"/>
              <w:ind w:left="272"/>
              <w:spacing w:after="0" w:line="191" w:lineRule="exact"/>
              <w:rPr>
                <w:sz w:val="20"/>
                <w:szCs w:val="20"/>
                <w:color w:val="auto"/>
              </w:rPr>
            </w:pPr>
            <w:r>
              <w:rPr>
                <w:rFonts w:ascii="Times New Roman" w:cs="Times New Roman" w:eastAsia="Times New Roman" w:hAnsi="Times New Roman"/>
                <w:sz w:val="18"/>
                <w:szCs w:val="18"/>
                <w:color w:val="auto"/>
                <w:w w:val="99"/>
              </w:rPr>
              <w:t>Daniel Harlan Smith</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gridSpan w:val="4"/>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920" w:type="dxa"/>
            <w:vAlign w:val="bottom"/>
            <w:gridSpan w:val="6"/>
          </w:tcPr>
          <w:p>
            <w:pPr>
              <w:jc w:val="center"/>
              <w:ind w:left="252"/>
              <w:spacing w:after="0"/>
              <w:rPr>
                <w:sz w:val="20"/>
                <w:szCs w:val="20"/>
                <w:color w:val="auto"/>
              </w:rPr>
            </w:pPr>
            <w:r>
              <w:rPr>
                <w:rFonts w:ascii="Times New Roman" w:cs="Times New Roman" w:eastAsia="Times New Roman" w:hAnsi="Times New Roman"/>
                <w:sz w:val="18"/>
                <w:szCs w:val="18"/>
                <w:color w:val="auto"/>
                <w:w w:val="99"/>
              </w:rPr>
              <w:t>Catherine Madigan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5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20" w:type="dxa"/>
            <w:vAlign w:val="bottom"/>
            <w:gridSpan w:val="6"/>
          </w:tcPr>
          <w:p>
            <w:pPr>
              <w:jc w:val="center"/>
              <w:ind w:left="252"/>
              <w:spacing w:after="0"/>
              <w:rPr>
                <w:sz w:val="20"/>
                <w:szCs w:val="20"/>
                <w:color w:val="auto"/>
              </w:rPr>
            </w:pPr>
            <w:r>
              <w:rPr>
                <w:rFonts w:ascii="Times New Roman" w:cs="Times New Roman" w:eastAsia="Times New Roman" w:hAnsi="Times New Roman"/>
                <w:sz w:val="18"/>
                <w:szCs w:val="18"/>
                <w:color w:val="auto"/>
                <w:w w:val="99"/>
              </w:rPr>
              <w:t>Benoit Valentin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5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23 King Street, London SW1Y 6QY, United Kingdom</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8"/>
              </w:rPr>
              <w:t>(France)</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20" w:type="dxa"/>
            <w:vAlign w:val="bottom"/>
            <w:gridSpan w:val="6"/>
          </w:tcPr>
          <w:p>
            <w:pPr>
              <w:jc w:val="center"/>
              <w:ind w:left="272"/>
              <w:spacing w:after="0"/>
              <w:rPr>
                <w:sz w:val="20"/>
                <w:szCs w:val="20"/>
                <w:color w:val="auto"/>
              </w:rPr>
            </w:pPr>
            <w:r>
              <w:rPr>
                <w:rFonts w:ascii="Times New Roman" w:cs="Times New Roman" w:eastAsia="Times New Roman" w:hAnsi="Times New Roman"/>
                <w:sz w:val="18"/>
                <w:szCs w:val="18"/>
                <w:color w:val="auto"/>
                <w:w w:val="99"/>
              </w:rPr>
              <w:t>Nicolas Debetencourt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5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20" w:type="dxa"/>
            <w:vAlign w:val="bottom"/>
            <w:gridSpan w:val="6"/>
          </w:tcPr>
          <w:p>
            <w:pPr>
              <w:jc w:val="center"/>
              <w:ind w:left="252"/>
              <w:spacing w:after="0"/>
              <w:rPr>
                <w:sz w:val="20"/>
                <w:szCs w:val="20"/>
                <w:color w:val="auto"/>
              </w:rPr>
            </w:pPr>
            <w:r>
              <w:rPr>
                <w:rFonts w:ascii="Times New Roman" w:cs="Times New Roman" w:eastAsia="Times New Roman" w:hAnsi="Times New Roman"/>
                <w:sz w:val="18"/>
                <w:szCs w:val="18"/>
                <w:color w:val="auto"/>
              </w:rPr>
              <w:t>Hong Boon Sim</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5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550 Madison Avenue, 34th Floor, New York, NY 10022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20" w:type="dxa"/>
            <w:vAlign w:val="bottom"/>
            <w:gridSpan w:val="6"/>
          </w:tcPr>
          <w:p>
            <w:pPr>
              <w:jc w:val="center"/>
              <w:ind w:left="252"/>
              <w:spacing w:after="0"/>
              <w:rPr>
                <w:sz w:val="20"/>
                <w:szCs w:val="20"/>
                <w:color w:val="auto"/>
              </w:rPr>
            </w:pPr>
            <w:r>
              <w:rPr>
                <w:rFonts w:ascii="Times New Roman" w:cs="Times New Roman" w:eastAsia="Times New Roman" w:hAnsi="Times New Roman"/>
                <w:sz w:val="18"/>
                <w:szCs w:val="18"/>
                <w:color w:val="auto"/>
                <w:w w:val="99"/>
              </w:rPr>
              <w:t>Chia Song Hwee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Director   60B Orchard Road, #06-18, The Atrium @ Orchard, Singapore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left="1012"/>
              <w:spacing w:after="0"/>
              <w:rPr>
                <w:sz w:val="20"/>
                <w:szCs w:val="20"/>
                <w:color w:val="auto"/>
              </w:rPr>
            </w:pPr>
            <w:r>
              <w:rPr>
                <w:rFonts w:ascii="Times New Roman" w:cs="Times New Roman" w:eastAsia="Times New Roman" w:hAnsi="Times New Roman"/>
                <w:sz w:val="18"/>
                <w:szCs w:val="18"/>
                <w:color w:val="auto"/>
                <w:w w:val="98"/>
              </w:rPr>
              <w:t>(Singapore)</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238891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CHS (US) Management LLC</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8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Name and Citizenship</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5"/>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Beneficial Ownership of</w:t>
            </w:r>
          </w:p>
        </w:tc>
        <w:tc>
          <w:tcPr>
            <w:tcW w:w="0" w:type="dxa"/>
            <w:vAlign w:val="bottom"/>
          </w:tcPr>
          <w:p>
            <w:pPr>
              <w:spacing w:after="0"/>
              <w:rPr>
                <w:sz w:val="1"/>
                <w:szCs w:val="1"/>
                <w:color w:val="auto"/>
              </w:rPr>
            </w:pPr>
          </w:p>
        </w:tc>
      </w:tr>
      <w:tr>
        <w:trPr>
          <w:trHeight w:val="173"/>
        </w:trPr>
        <w:tc>
          <w:tcPr>
            <w:tcW w:w="218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91"/>
        </w:trPr>
        <w:tc>
          <w:tcPr>
            <w:tcW w:w="19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Nicolas Debetencourt</w:t>
            </w:r>
          </w:p>
        </w:tc>
        <w:tc>
          <w:tcPr>
            <w:tcW w:w="120" w:type="dxa"/>
            <w:vAlign w:val="bottom"/>
            <w:gridSpan w:val="2"/>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7"/>
          </w:tcPr>
          <w:p>
            <w:pPr>
              <w:jc w:val="center"/>
              <w:ind w:left="253"/>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60" w:type="dxa"/>
            <w:vAlign w:val="bottom"/>
            <w:tcBorders>
              <w:top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3"/>
          </w:tcPr>
          <w:p>
            <w:pPr>
              <w:jc w:val="center"/>
              <w:ind w:left="593"/>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Alexandra Grigos</w:t>
            </w:r>
          </w:p>
        </w:tc>
        <w:tc>
          <w:tcPr>
            <w:tcW w:w="2300" w:type="dxa"/>
            <w:vAlign w:val="bottom"/>
            <w:gridSpan w:val="7"/>
          </w:tcPr>
          <w:p>
            <w:pPr>
              <w:jc w:val="center"/>
              <w:ind w:left="253"/>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Director</w:t>
            </w:r>
          </w:p>
        </w:tc>
        <w:tc>
          <w:tcPr>
            <w:tcW w:w="4380" w:type="dxa"/>
            <w:vAlign w:val="bottom"/>
            <w:gridSpan w:val="3"/>
          </w:tcPr>
          <w:p>
            <w:pPr>
              <w:jc w:val="center"/>
              <w:ind w:left="593"/>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Venu Rathi</w:t>
            </w:r>
          </w:p>
        </w:tc>
        <w:tc>
          <w:tcPr>
            <w:tcW w:w="2300" w:type="dxa"/>
            <w:vAlign w:val="bottom"/>
            <w:gridSpan w:val="7"/>
          </w:tcPr>
          <w:p>
            <w:pPr>
              <w:jc w:val="center"/>
              <w:ind w:left="253"/>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(United States)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3"/>
          </w:tcPr>
          <w:p>
            <w:pPr>
              <w:jc w:val="center"/>
              <w:ind w:left="593"/>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4"/>
        </w:trPr>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Michael Sabbah</w:t>
            </w:r>
          </w:p>
        </w:tc>
        <w:tc>
          <w:tcPr>
            <w:tcW w:w="3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Chief Corporate Officer</w:t>
            </w:r>
          </w:p>
        </w:tc>
        <w:tc>
          <w:tcPr>
            <w:tcW w:w="44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2"/>
              </w:rPr>
              <w:t>None</w:t>
            </w:r>
          </w:p>
        </w:tc>
      </w:tr>
      <w:tr>
        <w:trPr>
          <w:trHeight w:val="234"/>
        </w:trPr>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(Canada)</w:t>
            </w:r>
          </w:p>
        </w:tc>
        <w:tc>
          <w:tcPr>
            <w:tcW w:w="3100" w:type="dxa"/>
            <w:vAlign w:val="bottom"/>
          </w:tcPr>
          <w:p>
            <w:pPr>
              <w:spacing w:after="0"/>
              <w:rPr>
                <w:sz w:val="20"/>
                <w:szCs w:val="20"/>
                <w:color w:val="auto"/>
              </w:rPr>
            </w:pPr>
          </w:p>
        </w:tc>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10022</w:t>
            </w:r>
          </w:p>
        </w:tc>
        <w:tc>
          <w:tcPr>
            <w:tcW w:w="980" w:type="dxa"/>
            <w:vAlign w:val="bottom"/>
          </w:tcPr>
          <w:p>
            <w:pPr>
              <w:spacing w:after="0"/>
              <w:rPr>
                <w:sz w:val="20"/>
                <w:szCs w:val="20"/>
                <w:color w:val="auto"/>
              </w:rPr>
            </w:pPr>
          </w:p>
        </w:tc>
      </w:tr>
      <w:tr>
        <w:trPr>
          <w:trHeight w:val="441"/>
        </w:trPr>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Wendy Ruberti</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General Counsel, Chief Compliance</w:t>
            </w:r>
          </w:p>
        </w:tc>
        <w:tc>
          <w:tcPr>
            <w:tcW w:w="44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2"/>
              </w:rPr>
              <w:t>None</w:t>
            </w:r>
          </w:p>
        </w:tc>
      </w:tr>
      <w:tr>
        <w:trPr>
          <w:trHeight w:val="234"/>
        </w:trPr>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(United States)</w:t>
            </w:r>
          </w:p>
        </w:tc>
        <w:tc>
          <w:tcPr>
            <w:tcW w:w="3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Officer</w:t>
            </w:r>
          </w:p>
        </w:tc>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10022</w:t>
            </w:r>
          </w:p>
        </w:tc>
        <w:tc>
          <w:tcPr>
            <w:tcW w:w="980" w:type="dxa"/>
            <w:vAlign w:val="bottom"/>
          </w:tcPr>
          <w:p>
            <w:pPr>
              <w:spacing w:after="0"/>
              <w:rPr>
                <w:sz w:val="20"/>
                <w:szCs w:val="20"/>
                <w:color w:val="auto"/>
              </w:rPr>
            </w:pPr>
          </w:p>
        </w:tc>
      </w:tr>
      <w:tr>
        <w:trPr>
          <w:trHeight w:val="441"/>
        </w:trPr>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David Zhang</w:t>
            </w:r>
          </w:p>
        </w:tc>
        <w:tc>
          <w:tcPr>
            <w:tcW w:w="3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Director</w:t>
            </w:r>
          </w:p>
        </w:tc>
        <w:tc>
          <w:tcPr>
            <w:tcW w:w="44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2"/>
              </w:rPr>
              <w:t>None</w:t>
            </w:r>
          </w:p>
        </w:tc>
      </w:tr>
      <w:tr>
        <w:trPr>
          <w:trHeight w:val="234"/>
        </w:trPr>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(United States)</w:t>
            </w:r>
          </w:p>
        </w:tc>
        <w:tc>
          <w:tcPr>
            <w:tcW w:w="3100" w:type="dxa"/>
            <w:vAlign w:val="bottom"/>
          </w:tcPr>
          <w:p>
            <w:pPr>
              <w:spacing w:after="0"/>
              <w:rPr>
                <w:sz w:val="20"/>
                <w:szCs w:val="20"/>
                <w:color w:val="auto"/>
              </w:rPr>
            </w:pPr>
          </w:p>
        </w:tc>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10022</w:t>
            </w:r>
          </w:p>
        </w:tc>
        <w:tc>
          <w:tcPr>
            <w:tcW w:w="980" w:type="dxa"/>
            <w:vAlign w:val="bottom"/>
          </w:tcPr>
          <w:p>
            <w:pPr>
              <w:spacing w:after="0"/>
              <w:rPr>
                <w:sz w:val="20"/>
                <w:szCs w:val="20"/>
                <w:color w:val="auto"/>
              </w:rPr>
            </w:pPr>
          </w:p>
        </w:tc>
      </w:tr>
      <w:tr>
        <w:trPr>
          <w:trHeight w:val="441"/>
        </w:trPr>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Brady Schuck</w:t>
            </w:r>
          </w:p>
        </w:tc>
        <w:tc>
          <w:tcPr>
            <w:tcW w:w="3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44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550 Madison Avenue, 34th Floor, New York, NY</w:t>
            </w: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2"/>
              </w:rPr>
              <w:t>None</w:t>
            </w:r>
          </w:p>
        </w:tc>
      </w:tr>
      <w:tr>
        <w:trPr>
          <w:trHeight w:val="234"/>
        </w:trPr>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(United States)</w:t>
            </w:r>
          </w:p>
        </w:tc>
        <w:tc>
          <w:tcPr>
            <w:tcW w:w="3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Director</w:t>
            </w:r>
          </w:p>
        </w:tc>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10022</w:t>
            </w:r>
          </w:p>
        </w:tc>
        <w:tc>
          <w:tcPr>
            <w:tcW w:w="980" w:type="dxa"/>
            <w:vAlign w:val="bottom"/>
          </w:tcPr>
          <w:p>
            <w:pPr>
              <w:spacing w:after="0"/>
              <w:rPr>
                <w:sz w:val="20"/>
                <w:szCs w:val="20"/>
                <w:color w:val="auto"/>
              </w:rPr>
            </w:pPr>
          </w:p>
        </w:tc>
      </w:tr>
    </w:tbl>
    <w:p>
      <w:pPr>
        <w:spacing w:after="0" w:line="3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940"/>
      </w:cols>
      <w:pgMar w:left="740" w:top="14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decimal"/>
      <w:start w:val="13"/>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2025-10-29T19:14:30Z</dcterms:created>
  <dcterms:modified xsi:type="dcterms:W3CDTF">2025-10-29T19:14:30Z</dcterms:modified>
</cp:coreProperties>
</file>