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Rau Andrew</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9"/>
              </w:rPr>
              <w:t>10 JAY 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BROOKLYN</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44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4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420" w:type="dxa"/>
            <w:vAlign w:val="bottom"/>
          </w:tcPr>
          <w:p>
            <w:pPr>
              <w:ind w:left="14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08/02/2023</w:t>
            </w:r>
          </w:p>
        </w:tc>
        <w:tc>
          <w:tcPr>
            <w:tcW w:w="1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SVP, Supply Chain &amp; Inventory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4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340"/>
              <w:spacing w:after="0" w:line="136"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28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8"/>
                <w:szCs w:val="18"/>
                <w:color w:val="0000FF"/>
              </w:rPr>
              <w:t>08/02/2023</w:t>
            </w: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294</w:t>
            </w:r>
            <w:r>
              <w:rPr>
                <w:rFonts w:ascii="Arial" w:cs="Arial" w:eastAsia="Arial" w:hAnsi="Arial"/>
                <w:sz w:val="22"/>
                <w:szCs w:val="22"/>
                <w:color w:val="008000"/>
                <w:vertAlign w:val="superscript"/>
              </w:rPr>
              <w:t>(2)</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1.6639</w:t>
            </w:r>
            <w:r>
              <w:rPr>
                <w:rFonts w:ascii="Arial" w:cs="Arial" w:eastAsia="Arial" w:hAnsi="Arial"/>
                <w:sz w:val="22"/>
                <w:szCs w:val="22"/>
                <w:color w:val="008000"/>
                <w:w w:val="89"/>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284,158</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5"/>
                <w:szCs w:val="15"/>
                <w:color w:val="auto"/>
              </w:rPr>
            </w:pP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were sold solely to cover taxes upon the vesting of restricted stock units pursuant to a standing Rule 10b5-1 instruction dated June 9, 2022.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Reporting Person's pro rata portion of the total shares sold on the transaction date to cover taxes upon vesting of restricted stock units for certain employees of the Issuer.</w:t>
      </w:r>
    </w:p>
    <w:p>
      <w:pPr>
        <w:spacing w:after="0" w:line="64" w:lineRule="exact"/>
        <w:rPr>
          <w:rFonts w:ascii="Arial" w:cs="Arial" w:eastAsia="Arial" w:hAnsi="Arial"/>
          <w:sz w:val="12"/>
          <w:szCs w:val="12"/>
          <w:color w:val="008000"/>
        </w:rPr>
      </w:pPr>
    </w:p>
    <w:p>
      <w:pPr>
        <w:ind w:left="40" w:right="220" w:firstLine="9"/>
        <w:spacing w:after="0" w:line="230"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$1.61 to $1.77, inclusive. The amount reflected has been rounded to four decimal points.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080"/>
          </w:cols>
          <w:pgMar w:left="460" w:top="226" w:right="359" w:bottom="1440" w:gutter="0" w:footer="0" w:header="0"/>
          <w:type w:val="continuous"/>
        </w:sectPr>
      </w:pP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7620</wp:posOffset>
            </wp:positionV>
            <wp:extent cx="1339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spacing w:after="0" w:line="30"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in-fact for Andrew Rau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038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8225" cy="8890"/>
                    </a:xfrm>
                    <a:prstGeom prst="rect">
                      <a:avLst/>
                    </a:prstGeom>
                    <a:noFill/>
                  </pic:spPr>
                </pic:pic>
              </a:graphicData>
            </a:graphic>
          </wp:anchor>
        </w:drawing>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8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0000FF"/>
        </w:rPr>
        <w:t>08/04/2023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46" w:lineRule="exact"/>
        <w:rPr>
          <w:sz w:val="24"/>
          <w:szCs w:val="24"/>
          <w:color w:val="auto"/>
        </w:rPr>
      </w:pPr>
    </w:p>
    <w:p>
      <w:pPr>
        <w:sectPr>
          <w:pgSz w:w="11900" w:h="16838" w:orient="portrait"/>
          <w:cols w:equalWidth="0" w:num="2">
            <w:col w:w="8700" w:space="80"/>
            <w:col w:w="2300"/>
          </w:cols>
          <w:pgMar w:left="460" w:top="226"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61707"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2023-08-04T16:09:27Z</dcterms:created>
  <dcterms:modified xsi:type="dcterms:W3CDTF">2023-08-04T16:09:27Z</dcterms:modified>
</cp:coreProperties>
</file>