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Legal &amp; Admin.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03/15/2024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ind w:right="11"/>
              <w:spacing w:after="0"/>
              <w:rPr>
                <w:sz w:val="20"/>
                <w:szCs w:val="20"/>
                <w:color w:val="auto"/>
              </w:rPr>
            </w:pPr>
            <w:r>
              <w:rPr>
                <w:rFonts w:ascii="Times New Roman" w:cs="Times New Roman" w:eastAsia="Times New Roman" w:hAnsi="Times New Roman"/>
                <w:sz w:val="17"/>
                <w:szCs w:val="17"/>
                <w:color w:val="0000FF"/>
              </w:rPr>
              <w:t>300,000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698,053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03/18/2024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47,419</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0.3476</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650,634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award of restricted stock units ("RSUs"), each of which represents a contingent right to receive one share of the Issuer's Class A Common Stock. This award will vest in 8 equal quarterly installments, beginning on June 15, 2024, provided the reporting person remains continuously employed on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$0.3330 to $0.38,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03/19/2024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4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2024-03-19T16:29:55Z</dcterms:created>
  <dcterms:modified xsi:type="dcterms:W3CDTF">2024-03-19T16:29:55Z</dcterms:modified>
</cp:coreProperties>
</file>