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Nexus Capital Management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302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Rent the Runway,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11111 SANTA MONICA BLVD., SUITE 350</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LOS</w:t>
      </w:r>
      <w:r>
        <w:rPr>
          <w:rFonts w:ascii="Times New Roman" w:cs="Times New Roman" w:eastAsia="Times New Roman" w:hAnsi="Times New Roman"/>
          <w:sz w:val="20"/>
          <w:szCs w:val="20"/>
          <w:color w:val="0000FF"/>
        </w:rPr>
        <w:t xml:space="preserve"> CA 90025 ANGELES</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140" w:type="dxa"/>
            <w:vAlign w:val="bottom"/>
            <w:tcBorders>
              <w:bottom w:val="single" w:sz="8" w:color="2C2C2C"/>
            </w:tcBorders>
            <w:gridSpan w:val="8"/>
          </w:tcPr>
          <w:p>
            <w:pPr>
              <w:ind w:left="80"/>
              <w:spacing w:after="0"/>
              <w:rPr>
                <w:sz w:val="20"/>
                <w:szCs w:val="20"/>
                <w:color w:val="auto"/>
              </w:rPr>
            </w:pPr>
            <w:r>
              <w:rPr>
                <w:rFonts w:ascii="Times New Roman" w:cs="Times New Roman" w:eastAsia="Times New Roman" w:hAnsi="Times New Roman"/>
                <w:sz w:val="20"/>
                <w:szCs w:val="20"/>
                <w:color w:val="0000FF"/>
                <w:w w:val="97"/>
              </w:rPr>
              <w:t>Class A Common Stock, $0.001 par value per share</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4,274,394</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340" w:type="dxa"/>
            <w:vAlign w:val="bottom"/>
            <w:tcBorders>
              <w:top w:val="single" w:sz="8" w:color="2C2C2C"/>
            </w:tcBorders>
            <w:gridSpan w:val="9"/>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72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60" w:type="dxa"/>
            <w:vAlign w:val="bottom"/>
            <w:gridSpan w:val="3"/>
          </w:tcPr>
          <w:p>
            <w:pPr>
              <w:ind w:left="4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60" w:type="dxa"/>
            <w:vAlign w:val="bottom"/>
            <w:gridSpan w:val="3"/>
          </w:tcPr>
          <w:p>
            <w:pPr>
              <w:ind w:left="4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4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2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Nexus Capital Management LP</w:t>
              </w:r>
            </w:hyperlink>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38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5"/>
                <w:szCs w:val="15"/>
                <w:color w:val="auto"/>
              </w:rPr>
              <w:t>(First)</w:t>
            </w:r>
          </w:p>
        </w:tc>
        <w:tc>
          <w:tcPr>
            <w:tcW w:w="138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11111 SANTA MONICA BLVD., SUITE 350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90025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gridSpan w:val="2"/>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720" w:type="dxa"/>
            <w:vAlign w:val="bottom"/>
            <w:gridSpan w:val="2"/>
          </w:tcPr>
          <w:p>
            <w:pPr>
              <w:ind w:left="460"/>
              <w:spacing w:after="0"/>
              <w:rPr>
                <w:sz w:val="20"/>
                <w:szCs w:val="20"/>
                <w:color w:val="auto"/>
              </w:rPr>
            </w:pPr>
            <w:r>
              <w:rPr>
                <w:rFonts w:ascii="Arial" w:cs="Arial" w:eastAsia="Arial" w:hAnsi="Arial"/>
                <w:sz w:val="15"/>
                <w:szCs w:val="15"/>
                <w:color w:val="auto"/>
              </w:rPr>
              <w:t>(State)</w:t>
            </w:r>
          </w:p>
        </w:tc>
        <w:tc>
          <w:tcPr>
            <w:tcW w:w="138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Gateway Runway, LLC</w:t>
              </w:r>
            </w:hyperlink>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5"/>
                <w:szCs w:val="15"/>
                <w:color w:val="auto"/>
              </w:rPr>
              <w:t>(First)</w:t>
            </w:r>
          </w:p>
        </w:tc>
        <w:tc>
          <w:tcPr>
            <w:tcW w:w="138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11111 SANTA MONICA BLVD, STE 350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90025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gridSpan w:val="2"/>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720" w:type="dxa"/>
            <w:vAlign w:val="bottom"/>
            <w:gridSpan w:val="2"/>
          </w:tcPr>
          <w:p>
            <w:pPr>
              <w:ind w:left="460"/>
              <w:spacing w:after="0"/>
              <w:rPr>
                <w:sz w:val="20"/>
                <w:szCs w:val="20"/>
                <w:color w:val="auto"/>
              </w:rPr>
            </w:pPr>
            <w:r>
              <w:rPr>
                <w:rFonts w:ascii="Arial" w:cs="Arial" w:eastAsia="Arial" w:hAnsi="Arial"/>
                <w:sz w:val="15"/>
                <w:szCs w:val="15"/>
                <w:color w:val="auto"/>
              </w:rPr>
              <w:t>(State)</w:t>
            </w:r>
          </w:p>
        </w:tc>
        <w:tc>
          <w:tcPr>
            <w:tcW w:w="138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p>
      <w:pPr>
        <w:ind w:left="140"/>
        <w:spacing w:after="0"/>
        <w:rPr>
          <w:rFonts w:ascii="Times New Roman" w:cs="Times New Roman" w:eastAsia="Times New Roman" w:hAnsi="Times New Roman"/>
          <w:sz w:val="23"/>
          <w:szCs w:val="23"/>
          <w:u w:val="single" w:color="auto"/>
          <w:color w:val="0000EE"/>
        </w:rPr>
      </w:pPr>
      <w:hyperlink r:id="rId14">
        <w:r>
          <w:rPr>
            <w:rFonts w:ascii="Times New Roman" w:cs="Times New Roman" w:eastAsia="Times New Roman" w:hAnsi="Times New Roman"/>
            <w:sz w:val="23"/>
            <w:szCs w:val="23"/>
            <w:u w:val="single" w:color="auto"/>
            <w:color w:val="0000EE"/>
          </w:rPr>
          <w:t>Gateway Runway Intermediate Holdings,</w:t>
        </w:r>
      </w:hyperlink>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50"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-155575</wp:posOffset>
            </wp:positionV>
            <wp:extent cx="2798445"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350"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46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11111 SANTA MONICA BLVD, STE 350</w:t>
            </w:r>
          </w:p>
        </w:tc>
      </w:tr>
      <w:tr>
        <w:trPr>
          <w:trHeight w:val="237"/>
        </w:trPr>
        <w:tc>
          <w:tcPr>
            <w:tcW w:w="20" w:type="dxa"/>
            <w:vAlign w:val="bottom"/>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90025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NEXUS SPECIAL SITUATIONS III, 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46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11111 SANTA MONICA BLVD, STE 350</w:t>
            </w:r>
          </w:p>
        </w:tc>
      </w:tr>
      <w:tr>
        <w:trPr>
          <w:trHeight w:val="237"/>
        </w:trPr>
        <w:tc>
          <w:tcPr>
            <w:tcW w:w="20" w:type="dxa"/>
            <w:vAlign w:val="bottom"/>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90025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NEXUS SPECIAL SITUATIONS III</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(CAYMAN), 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46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11111 SANTA MONICA BLVD, STE 350</w:t>
            </w:r>
          </w:p>
        </w:tc>
      </w:tr>
      <w:tr>
        <w:trPr>
          <w:trHeight w:val="237"/>
        </w:trPr>
        <w:tc>
          <w:tcPr>
            <w:tcW w:w="20" w:type="dxa"/>
            <w:vAlign w:val="bottom"/>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90025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Nexus Special Situations GP III, LP</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620" w:type="dxa"/>
            <w:vAlign w:val="bottom"/>
            <w:gridSpan w:val="3"/>
          </w:tcPr>
          <w:p>
            <w:pPr>
              <w:ind w:left="46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11111 SANTA MONICA BLVD, STE 350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56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620" w:type="dxa"/>
            <w:vAlign w:val="bottom"/>
            <w:gridSpan w:val="3"/>
          </w:tcPr>
          <w:p>
            <w:pPr>
              <w:ind w:left="460"/>
              <w:spacing w:after="0"/>
              <w:rPr>
                <w:sz w:val="20"/>
                <w:szCs w:val="20"/>
                <w:color w:val="auto"/>
              </w:rPr>
            </w:pPr>
            <w:r>
              <w:rPr>
                <w:rFonts w:ascii="Arial" w:cs="Arial" w:eastAsia="Arial" w:hAnsi="Arial"/>
                <w:sz w:val="15"/>
                <w:szCs w:val="15"/>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40" w:type="dxa"/>
            <w:vAlign w:val="bottom"/>
            <w:gridSpan w:val="4"/>
          </w:tcPr>
          <w:p>
            <w:pPr>
              <w:spacing w:after="0" w:line="255" w:lineRule="exact"/>
              <w:rPr>
                <w:rFonts w:ascii="Times New Roman" w:cs="Times New Roman" w:eastAsia="Times New Roman" w:hAnsi="Times New Roman"/>
                <w:sz w:val="24"/>
                <w:szCs w:val="24"/>
                <w:color w:val="0000EE"/>
              </w:rPr>
            </w:pPr>
            <w:hyperlink r:id="rId19">
              <w:r>
                <w:rPr>
                  <w:rFonts w:ascii="Times New Roman" w:cs="Times New Roman" w:eastAsia="Times New Roman" w:hAnsi="Times New Roman"/>
                  <w:sz w:val="24"/>
                  <w:szCs w:val="24"/>
                  <w:color w:val="0000EE"/>
                </w:rPr>
                <w:t>Nexus Partners III, LLC</w:t>
              </w:r>
            </w:hyperlink>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740" w:type="dxa"/>
            <w:vAlign w:val="bottom"/>
            <w:tcBorders>
              <w:top w:val="single" w:sz="8" w:color="0000EE"/>
              <w:bottom w:val="single" w:sz="8" w:color="9A9A9A"/>
            </w:tcBorders>
          </w:tcPr>
          <w:p>
            <w:pPr>
              <w:spacing w:after="0"/>
              <w:rPr>
                <w:sz w:val="17"/>
                <w:szCs w:val="17"/>
                <w:color w:val="auto"/>
              </w:rPr>
            </w:pPr>
          </w:p>
        </w:tc>
        <w:tc>
          <w:tcPr>
            <w:tcW w:w="66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620" w:type="dxa"/>
            <w:vAlign w:val="bottom"/>
            <w:gridSpan w:val="3"/>
          </w:tcPr>
          <w:p>
            <w:pPr>
              <w:ind w:left="46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11111 SANTA MONICA BLVD, STE 350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56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620" w:type="dxa"/>
            <w:vAlign w:val="bottom"/>
            <w:gridSpan w:val="3"/>
          </w:tcPr>
          <w:p>
            <w:pPr>
              <w:ind w:left="460"/>
              <w:spacing w:after="0"/>
              <w:rPr>
                <w:sz w:val="20"/>
                <w:szCs w:val="20"/>
                <w:color w:val="auto"/>
              </w:rPr>
            </w:pPr>
            <w:r>
              <w:rPr>
                <w:rFonts w:ascii="Arial" w:cs="Arial" w:eastAsia="Arial" w:hAnsi="Arial"/>
                <w:sz w:val="15"/>
                <w:szCs w:val="15"/>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16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40" w:type="dxa"/>
            <w:vAlign w:val="bottom"/>
            <w:gridSpan w:val="4"/>
          </w:tcPr>
          <w:p>
            <w:pPr>
              <w:spacing w:after="0" w:line="255" w:lineRule="exact"/>
              <w:rPr>
                <w:rFonts w:ascii="Times New Roman" w:cs="Times New Roman" w:eastAsia="Times New Roman" w:hAnsi="Times New Roman"/>
                <w:sz w:val="24"/>
                <w:szCs w:val="24"/>
                <w:color w:val="0000EE"/>
              </w:rPr>
            </w:pPr>
            <w:hyperlink r:id="rId20">
              <w:r>
                <w:rPr>
                  <w:rFonts w:ascii="Times New Roman" w:cs="Times New Roman" w:eastAsia="Times New Roman" w:hAnsi="Times New Roman"/>
                  <w:sz w:val="24"/>
                  <w:szCs w:val="24"/>
                  <w:color w:val="0000EE"/>
                </w:rPr>
                <w:t>Cohen Michael S</w:t>
              </w:r>
            </w:hyperlink>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740" w:type="dxa"/>
            <w:vAlign w:val="bottom"/>
            <w:tcBorders>
              <w:top w:val="single" w:sz="8" w:color="0000EE"/>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620" w:type="dxa"/>
            <w:vAlign w:val="bottom"/>
            <w:gridSpan w:val="3"/>
          </w:tcPr>
          <w:p>
            <w:pPr>
              <w:ind w:left="46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11111 SANTA MONICA BLVD, STE 350</w:t>
      </w:r>
    </w:p>
    <w:p>
      <w:pPr>
        <w:sectPr>
          <w:pgSz w:w="11900" w:h="16889" w:orient="portrait"/>
          <w:cols w:equalWidth="0" w:num="1">
            <w:col w:w="9959"/>
          </w:cols>
          <w:pgMar w:left="500" w:top="110" w:right="1440" w:bottom="0" w:gutter="0" w:footer="0" w:header="0"/>
        </w:sectPr>
      </w:pPr>
    </w:p>
    <w:p>
      <w:pPr>
        <w:spacing w:after="0" w:line="386"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89" w:orient="portrait"/>
          <w:cols w:equalWidth="0" w:num="1">
            <w:col w:w="9959"/>
          </w:cols>
          <w:pgMar w:left="500" w:top="110" w:right="1440" w:bottom="0" w:gutter="0" w:footer="0" w:header="0"/>
          <w:type w:val="continuous"/>
        </w:sectPr>
      </w:pPr>
    </w:p>
    <w:bookmarkStart w:id="2" w:name="page3"/>
    <w:bookmarkEnd w:id="2"/>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2471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2798445" cy="24714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4"/>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2"/>
                <w:szCs w:val="22"/>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2"/>
          </w:tcPr>
          <w:p>
            <w:pPr>
              <w:ind w:left="46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26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22">
              <w:r>
                <w:rPr>
                  <w:rFonts w:ascii="Times New Roman" w:cs="Times New Roman" w:eastAsia="Times New Roman" w:hAnsi="Times New Roman"/>
                  <w:sz w:val="24"/>
                  <w:szCs w:val="24"/>
                  <w:color w:val="0000EE"/>
                </w:rPr>
                <w:t>Flesh Daniel E.</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56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46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11111 SANTA MONICA BLVD, STE 350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2"/>
          </w:tcPr>
          <w:p>
            <w:pPr>
              <w:ind w:left="46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20" w:firstLine="5"/>
        <w:spacing w:after="0" w:line="236"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Gateway Runway, LLC ("Gateway Runway") directly holds 4,274,394 shares of Class A Common Stock. Gateway Runway is jointly owned by Gateway Runway Intermediate Holdings, Inc. ("Gateway Runway Intermediate") and Nexus Special Situations III, L.P. ("Nexus SS III"). Nexus Special Situations III (Cayman) L.P. ("Nexus SS III Cayman") is the limited partner Nexus SS III. Nexus Capital Management LP ("Nexus Capital Management") is the investment manager of Nexus SS III and Nexus SS III Cayman. Nexus Special Situations GP III, L.P. ("Nexus SS GP III") is the general partner of Nexus SS III and Nexus SS III Cayman. Nexus Partners III, LLC ("Nexus Partners") is the general partner of Nexus SS GP III. Damian Giangiacomo, Michael Cohen and Daniel Flesh are the owners of Nexus Capital Management and Nexus Partners. Mr. Giangiacomo serves on the board of directors of the Issuer.</w:t>
      </w:r>
    </w:p>
    <w:p>
      <w:pPr>
        <w:spacing w:after="0" w:line="32" w:lineRule="exact"/>
        <w:rPr>
          <w:rFonts w:ascii="Times New Roman" w:cs="Times New Roman" w:eastAsia="Times New Roman" w:hAnsi="Times New Roman"/>
          <w:sz w:val="15"/>
          <w:szCs w:val="15"/>
          <w:color w:val="008000"/>
        </w:rPr>
      </w:pPr>
    </w:p>
    <w:p>
      <w:pPr>
        <w:ind w:left="20" w:right="4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Gateway Runway Intermediate, Nexus SS III, Nexus SS III Cayman, Nexus SS GP IIII, Nexus Partners, Nexus Capital Management, Mr. Giangiacomo, Mr. Cohen and Mr. Flesh disclaims, for purposes of Section 16 of the Securities Exchange Act of 1934, beneficial ownership of such securities, except to the extent of its/his indirect pecuniary interest therein, and this report shall not be deemed an admission that any such entity or person is the beneficial owner of such securities for purposes of Section 16 or for any other purposes.</w:t>
      </w:r>
    </w:p>
    <w:p>
      <w:pPr>
        <w:sectPr>
          <w:pgSz w:w="11900" w:h="16899" w:orient="portrait"/>
          <w:cols w:equalWidth="0" w:num="1">
            <w:col w:w="10840"/>
          </w:cols>
          <w:pgMar w:left="500" w:top="169" w:right="559" w:bottom="0" w:gutter="0" w:footer="0" w:header="0"/>
        </w:sectPr>
      </w:pPr>
    </w:p>
    <w:p>
      <w:pPr>
        <w:spacing w:after="0" w:line="6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Damian Giangiacomo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1064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Nexus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0485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70485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4965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04965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2141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6997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Damian Giangiacomo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1064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Gateway Runway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7983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By: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096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6101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46101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Damian Giangiacomo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1064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Gateway Runway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8392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88392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Intermediate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4173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14173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Inc., By: Damian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5344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85344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Giangiacomo,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8999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8999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Damian Giangiacomo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1064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Nexus Special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3888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III, L.P., By: Damian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4267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04267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Giangiacomo,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8651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8651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8196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Damian Giangiacomo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1064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Nexus Special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3888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jc w:val="both"/>
        <w:ind w:left="6560" w:right="300" w:hanging="7"/>
        <w:spacing w:after="0" w:line="296" w:lineRule="auto"/>
        <w:tabs>
          <w:tab w:leader="none" w:pos="6804" w:val="left"/>
        </w:tabs>
        <w:numPr>
          <w:ilvl w:val="0"/>
          <w:numId w:val="4"/>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(Cayman), L.P., By: Damian Giangiacomo,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-360680</wp:posOffset>
            </wp:positionV>
            <wp:extent cx="114554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145540" cy="952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-208280</wp:posOffset>
            </wp:positionV>
            <wp:extent cx="112141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121410" cy="952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-55880</wp:posOffset>
            </wp:positionV>
            <wp:extent cx="106997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/s/ Damian Giangiacomo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1064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Nexus Special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3888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GP III, L.P., By: Damian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3190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Giangiacomo,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8651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8651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8196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Damian Giangiacomo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1064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Nexus Partners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3507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By: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096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6997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Michael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90805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908050" cy="9525"/>
                    </a:xfrm>
                    <a:prstGeom prst="rect">
                      <a:avLst/>
                    </a:prstGeom>
                    <a:noFill/>
                  </pic:spPr>
                </pic:pic>
              </a:graphicData>
            </a:graphic>
          </wp:anchor>
        </w:drawing>
      </w:r>
    </w:p>
    <w:p>
      <w:pPr>
        <w:spacing w:after="0" w:line="5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Daniel Flesh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77724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7724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86" w:lineRule="exact"/>
        <w:rPr>
          <w:sz w:val="20"/>
          <w:szCs w:val="20"/>
          <w:color w:val="auto"/>
        </w:rPr>
      </w:pPr>
    </w:p>
    <w:p>
      <w:pPr>
        <w:sectPr>
          <w:pgSz w:w="11900" w:h="16899" w:orient="portrait"/>
          <w:cols w:equalWidth="0" w:num="2">
            <w:col w:w="8660" w:space="80"/>
            <w:col w:w="2100"/>
          </w:cols>
          <w:pgMar w:left="500" w:top="169" w:right="559" w:bottom="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60" w:firstLine="5"/>
        <w:spacing w:after="0" w:line="335"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99" w:orient="portrait"/>
          <w:cols w:equalWidth="0" w:num="1">
            <w:col w:w="10840"/>
          </w:cols>
          <w:pgMar w:left="500" w:top="169" w:right="55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upperLetter"/>
      <w:start w:val="6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21"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10" Type="http://schemas.openxmlformats.org/officeDocument/2006/relationships/hyperlink" Target="http://www.sec.gov/cgi-bin/browse-edgar?action=getcompany&amp;CIK=0001963997" TargetMode="External"/><Relationship Id="rId11" Type="http://schemas.openxmlformats.org/officeDocument/2006/relationships/hyperlink" Target="http://www.sec.gov/cgi-bin/browse-edgar?action=getcompany&amp;CIK=0001468327" TargetMode="External"/><Relationship Id="rId13" Type="http://schemas.openxmlformats.org/officeDocument/2006/relationships/hyperlink" Target="http://www.sec.gov/cgi-bin/browse-edgar?action=getcompany&amp;CIK=0002093261" TargetMode="External"/><Relationship Id="rId14" Type="http://schemas.openxmlformats.org/officeDocument/2006/relationships/hyperlink" Target="http://www.sec.gov/cgi-bin/browse-edgar?action=getcompany&amp;CIK=0002092595" TargetMode="External"/><Relationship Id="rId16" Type="http://schemas.openxmlformats.org/officeDocument/2006/relationships/hyperlink" Target="http://www.sec.gov/cgi-bin/browse-edgar?action=getcompany&amp;CIK=0001815325" TargetMode="External"/><Relationship Id="rId17" Type="http://schemas.openxmlformats.org/officeDocument/2006/relationships/hyperlink" Target="http://www.sec.gov/cgi-bin/browse-edgar?action=getcompany&amp;CIK=0001815361" TargetMode="External"/><Relationship Id="rId18" Type="http://schemas.openxmlformats.org/officeDocument/2006/relationships/hyperlink" Target="http://www.sec.gov/cgi-bin/browse-edgar?action=getcompany&amp;CIK=0002092583" TargetMode="External"/><Relationship Id="rId19" Type="http://schemas.openxmlformats.org/officeDocument/2006/relationships/hyperlink" Target="http://www.sec.gov/cgi-bin/browse-edgar?action=getcompany&amp;CIK=0002093669" TargetMode="External"/><Relationship Id="rId20" Type="http://schemas.openxmlformats.org/officeDocument/2006/relationships/hyperlink" Target="http://www.sec.gov/cgi-bin/browse-edgar?action=getcompany&amp;CIK=0001372171" TargetMode="External"/><Relationship Id="rId22" Type="http://schemas.openxmlformats.org/officeDocument/2006/relationships/hyperlink" Target="http://www.sec.gov/cgi-bin/browse-edgar?action=getcompany&amp;CIK=00016002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2025-11-07T16:32:29Z</dcterms:created>
  <dcterms:modified xsi:type="dcterms:W3CDTF">2025-11-07T16:32:29Z</dcterms:modified>
</cp:coreProperties>
</file>