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83820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7"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62230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93"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gridSpan w:val="2"/>
          </w:tcPr>
          <w:p>
            <w:pPr>
              <w:ind w:left="2360"/>
              <w:spacing w:after="0"/>
              <w:rPr>
                <w:sz w:val="20"/>
                <w:szCs w:val="20"/>
                <w:color w:val="auto"/>
              </w:rPr>
            </w:pPr>
            <w:r>
              <w:rPr>
                <w:rFonts w:ascii="Arial" w:cs="Arial" w:eastAsia="Arial" w:hAnsi="Arial"/>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Arial" w:cs="Arial" w:eastAsia="Arial" w:hAnsi="Arial"/>
                <w:sz w:val="18"/>
                <w:szCs w:val="18"/>
                <w:b w:val="1"/>
                <w:bCs w:val="1"/>
                <w:color w:val="auto"/>
                <w:w w:val="89"/>
              </w:rPr>
              <w:t>80-0376379</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Arial" w:cs="Arial" w:eastAsia="Arial" w:hAnsi="Arial"/>
                <w:sz w:val="14"/>
                <w:szCs w:val="14"/>
                <w:b w:val="1"/>
                <w:bCs w:val="1"/>
                <w:color w:val="auto"/>
              </w:rPr>
              <w:t>(Commission</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Arial" w:cs="Arial" w:eastAsia="Arial" w:hAnsi="Arial"/>
                <w:sz w:val="14"/>
                <w:szCs w:val="14"/>
                <w:b w:val="1"/>
                <w:bCs w:val="1"/>
                <w:color w:val="auto"/>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426"/>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10 Jay Street</w:t>
            </w:r>
          </w:p>
        </w:tc>
        <w:tc>
          <w:tcPr>
            <w:tcW w:w="1660" w:type="dxa"/>
            <w:vAlign w:val="bottom"/>
          </w:tcPr>
          <w:p>
            <w:pPr>
              <w:spacing w:after="0"/>
              <w:rPr>
                <w:sz w:val="18"/>
                <w:szCs w:val="18"/>
                <w:color w:val="auto"/>
              </w:rPr>
            </w:pPr>
          </w:p>
        </w:tc>
      </w:tr>
      <w:tr>
        <w:trPr>
          <w:trHeight w:val="198"/>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198" w:lineRule="exact"/>
              <w:rPr>
                <w:sz w:val="20"/>
                <w:szCs w:val="20"/>
                <w:color w:val="auto"/>
              </w:rPr>
            </w:pPr>
            <w:r>
              <w:rPr>
                <w:rFonts w:ascii="Arial" w:cs="Arial" w:eastAsia="Arial" w:hAnsi="Arial"/>
                <w:sz w:val="18"/>
                <w:szCs w:val="18"/>
                <w:b w:val="1"/>
                <w:bCs w:val="1"/>
                <w:color w:val="auto"/>
                <w:w w:val="91"/>
              </w:rPr>
              <w:t>Brooklyn, New York 11201</w:t>
            </w:r>
          </w:p>
        </w:tc>
        <w:tc>
          <w:tcPr>
            <w:tcW w:w="1660" w:type="dxa"/>
            <w:vAlign w:val="bottom"/>
          </w:tcPr>
          <w:p>
            <w:pPr>
              <w:spacing w:after="0"/>
              <w:rPr>
                <w:sz w:val="17"/>
                <w:szCs w:val="17"/>
                <w:color w:val="auto"/>
              </w:rPr>
            </w:pPr>
          </w:p>
        </w:tc>
      </w:tr>
      <w:tr>
        <w:trPr>
          <w:trHeight w:val="186"/>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r>
        <w:trPr>
          <w:trHeight w:val="323"/>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tcPr>
          <w:p>
            <w:pPr>
              <w:spacing w:after="0"/>
              <w:rPr>
                <w:sz w:val="15"/>
                <w:szCs w:val="15"/>
                <w:color w:val="auto"/>
              </w:rPr>
            </w:pPr>
          </w:p>
        </w:tc>
      </w:tr>
      <w:tr>
        <w:trPr>
          <w:trHeight w:val="200"/>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8"/>
        </w:trPr>
        <w:tc>
          <w:tcPr>
            <w:tcW w:w="37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RENT</w:t>
            </w:r>
          </w:p>
        </w:tc>
        <w:tc>
          <w:tcPr>
            <w:tcW w:w="140" w:type="dxa"/>
            <w:vAlign w:val="bottom"/>
          </w:tcPr>
          <w:p>
            <w:pPr>
              <w:spacing w:after="0"/>
              <w:rPr>
                <w:sz w:val="15"/>
                <w:szCs w:val="15"/>
                <w:color w:val="auto"/>
              </w:rPr>
            </w:pPr>
          </w:p>
        </w:tc>
        <w:tc>
          <w:tcPr>
            <w:tcW w:w="35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The Nasdaq Global Select Market</w:t>
            </w:r>
          </w:p>
        </w:tc>
      </w:tr>
      <w:tr>
        <w:trPr>
          <w:trHeight w:val="234"/>
        </w:trPr>
        <w:tc>
          <w:tcPr>
            <w:tcW w:w="3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On December 7, 2022, Rent the Runway, Inc. (the “Company”) issued a press release announcing its financial results for the quarter ended October 31, 2022. A copy of the press release is furnished as Exhibit 99.1 to this Form 8-K and is incorporated by reference.</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1"/>
                <w:szCs w:val="21"/>
                <w:color w:val="auto"/>
              </w:rPr>
            </w:pPr>
          </w:p>
        </w:tc>
        <w:tc>
          <w:tcPr>
            <w:tcW w:w="496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8"/>
              </w:rPr>
              <w:t>Press Release issued by Rent the Runway, Inc. on December 7, 2022</w:t>
            </w:r>
          </w:p>
        </w:tc>
        <w:tc>
          <w:tcPr>
            <w:tcW w:w="4860" w:type="dxa"/>
            <w:vAlign w:val="bottom"/>
            <w:gridSpan w:val="2"/>
          </w:tcPr>
          <w:p>
            <w:pPr>
              <w:spacing w:after="0"/>
              <w:rPr>
                <w:sz w:val="21"/>
                <w:szCs w:val="21"/>
                <w:color w:val="auto"/>
              </w:rPr>
            </w:pPr>
          </w:p>
        </w:tc>
      </w:tr>
      <w:tr>
        <w:trPr>
          <w:trHeight w:val="331"/>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Arial" w:cs="Arial" w:eastAsia="Arial" w:hAnsi="Arial"/>
          <w:sz w:val="18"/>
          <w:szCs w:val="18"/>
          <w:color w:val="auto"/>
        </w:rPr>
        <w:t>Date: December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Scarlett O’Sullivan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320" w:top="769"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Third Quarter 2022 Results &amp; Raises Guidance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Achieved record quarterly Revenue: Q3 2022 Revenue up 31% YoY</w:t>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Significant progression in Gross Margin to 41%, up 7 percentage points YoY</w:t>
      </w:r>
    </w:p>
    <w:p>
      <w:pPr>
        <w:spacing w:after="0" w:line="108"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Q3 2022 Net Loss of $(36.1)M vs. $(87.8)M in Q3 2021; Q3 2022 includes $5.8M</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restructuring-related charges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Strong Adjusted EBITDA of $6.6M, up from $(5.6)M in Q3 2021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raises annual Revenue and Adjusted EBITDA margin outlook</w:t>
      </w:r>
    </w:p>
    <w:p>
      <w:pPr>
        <w:spacing w:after="0" w:line="27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color w:val="auto"/>
        </w:rPr>
        <w:t xml:space="preserve">New York (December 7, 2022) </w:t>
      </w:r>
      <w:r>
        <w:rPr>
          <w:rFonts w:ascii="Arial" w:cs="Arial" w:eastAsia="Arial" w:hAnsi="Arial"/>
          <w:sz w:val="20"/>
          <w:szCs w:val="20"/>
          <w:color w:val="auto"/>
        </w:rPr>
        <w:t>- Rent the Runway, Inc. (“Rent the Runway” or "RTR") (NASDAQ: RENT), the world’s first and</w:t>
      </w:r>
      <w:r>
        <w:rPr>
          <w:rFonts w:ascii="Arial" w:cs="Arial" w:eastAsia="Arial" w:hAnsi="Arial"/>
          <w:sz w:val="20"/>
          <w:szCs w:val="20"/>
          <w:b w:val="1"/>
          <w:bCs w:val="1"/>
          <w:color w:val="auto"/>
        </w:rPr>
        <w:t xml:space="preserve"> </w:t>
      </w:r>
      <w:r>
        <w:rPr>
          <w:rFonts w:ascii="Arial" w:cs="Arial" w:eastAsia="Arial" w:hAnsi="Arial"/>
          <w:sz w:val="20"/>
          <w:szCs w:val="20"/>
          <w:color w:val="auto"/>
        </w:rPr>
        <w:t>largest shared designer closet platform, today reported financial results for the fiscal quarter ended October 31, 2022.</w:t>
      </w: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"I'm pleased to share that we exceeded our Q3 '22 Revenue and Adjusted EBITDA guidance. Revenue for the quarter was $77.4 million, up 31% compared to Q3 '21. We’re proud of our strong Adjusted EBITDA margin this quarter, which was up significantly versus the same period last year. We are also raising guidance for the year despite a tough environment," said Jennifer Hyman, CEO and Co-Founder of Rent the Runway. "Our restructuring plan, now substantially complete, allows us to invest in our customer proposition while significantly improving cash burn. We made considerable progress in 2022 in key foundational technology and customer initiatives. Over the coming year, we look forward to providing even more value to our customers and brand partners."</w:t>
      </w:r>
    </w:p>
    <w:p>
      <w:pPr>
        <w:spacing w:after="0" w:line="23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CFO Scarlett O’Sullivan stated, "We believe that our strong gross margins over 40% in the past two quarters and our continued expectation of $25-$27 million in annualized fixed cost savings from our restructuring sets us up for strong Adjusted EBITDA in fiscal 2023, in spite of the challenging macro environment. We continue to believe that our gross margin and fixed cost leverage improvements help to ensure RTR can navigate potentially rougher macro conditions, while improving our profitability and accelerating our path to free cash flow breakeven. As a result, we are raising our annual Adjusted EBITDA margin outlook. Over the medium-term, we continue to believe we can generate 15% profitability on Adjusted EBITDA after product depreciation."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2022 Key Metrics and Financial Highlights</w:t>
      </w:r>
    </w:p>
    <w:p>
      <w:pPr>
        <w:spacing w:after="0" w:line="64" w:lineRule="exact"/>
        <w:rPr>
          <w:sz w:val="20"/>
          <w:szCs w:val="20"/>
          <w:color w:val="auto"/>
        </w:rPr>
      </w:pPr>
    </w:p>
    <w:p>
      <w:pPr>
        <w:ind w:left="480" w:hanging="310"/>
        <w:spacing w:after="0"/>
        <w:tabs>
          <w:tab w:leader="none" w:pos="4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Revenue was $77.4 million, a 31% increase year-over-year from $59.0 million in the third quarter of fiscal year 2021.</w:t>
      </w:r>
    </w:p>
    <w:p>
      <w:pPr>
        <w:spacing w:after="0" w:line="26" w:lineRule="exact"/>
        <w:rPr>
          <w:rFonts w:ascii="Arial" w:cs="Arial" w:eastAsia="Arial" w:hAnsi="Arial"/>
          <w:sz w:val="20"/>
          <w:szCs w:val="20"/>
          <w:b w:val="1"/>
          <w:bCs w:val="1"/>
          <w:color w:val="auto"/>
        </w:rPr>
      </w:pPr>
    </w:p>
    <w:p>
      <w:pPr>
        <w:ind w:left="500" w:right="260" w:hanging="330"/>
        <w:spacing w:after="0" w:line="26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134,240 ending Active Subscribers, representing an increase of 15% year-over-year from 116,833 at the end of the third quarter of fiscal year 2021.</w:t>
      </w:r>
    </w:p>
    <w:p>
      <w:pPr>
        <w:spacing w:after="0" w:line="20" w:lineRule="exact"/>
        <w:rPr>
          <w:rFonts w:ascii="Arial" w:cs="Arial" w:eastAsia="Arial" w:hAnsi="Arial"/>
          <w:sz w:val="20"/>
          <w:szCs w:val="20"/>
          <w:b w:val="1"/>
          <w:bCs w:val="1"/>
          <w:color w:val="auto"/>
        </w:rPr>
      </w:pPr>
    </w:p>
    <w:p>
      <w:pPr>
        <w:ind w:left="500" w:right="380" w:hanging="330"/>
        <w:spacing w:after="0" w:line="289"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176,167 ending Total Subscribers, representing an increase of 17% year-over-year from 150,075 at the end of the third quarter of fiscal year 2021.</w:t>
      </w:r>
    </w:p>
    <w:p>
      <w:pPr>
        <w:sectPr>
          <w:pgSz w:w="11900" w:h="16838" w:orient="portrait"/>
          <w:cols w:equalWidth="0" w:num="1">
            <w:col w:w="11240"/>
          </w:cols>
          <w:pgMar w:left="320" w:top="1097" w:right="339" w:bottom="1440" w:gutter="0" w:footer="0" w:header="0"/>
        </w:sectPr>
      </w:pPr>
    </w:p>
    <w:bookmarkStart w:id="4" w:name="page5"/>
    <w:bookmarkEnd w:id="4"/>
    <w:p>
      <w:pPr>
        <w:ind w:left="500" w:right="500" w:hanging="330"/>
        <w:spacing w:after="0" w:line="271"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Gross Profit was $31.8 million, representing an increase of 60% from $19.9 million in the third quarter of 2021. Gross Margin was 41.1%, as compared to 33.7% in the third quarter of fiscal year 2021.</w:t>
      </w:r>
    </w:p>
    <w:p>
      <w:pPr>
        <w:spacing w:after="0" w:line="7" w:lineRule="exact"/>
        <w:rPr>
          <w:rFonts w:ascii="Arial" w:cs="Arial" w:eastAsia="Arial" w:hAnsi="Arial"/>
          <w:sz w:val="20"/>
          <w:szCs w:val="20"/>
          <w:b w:val="1"/>
          <w:bCs w:val="1"/>
          <w:color w:val="auto"/>
        </w:rPr>
      </w:pPr>
    </w:p>
    <w:p>
      <w:pPr>
        <w:ind w:left="480" w:hanging="310"/>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20"/>
          <w:szCs w:val="20"/>
          <w:color w:val="auto"/>
        </w:rPr>
        <w:t>Net Loss was $(36.1) million, as compared to $(87.8) million in the third quarter of fiscal year 2021. Net Loss as a</w:t>
      </w:r>
    </w:p>
    <w:p>
      <w:pPr>
        <w:spacing w:after="0" w:line="40" w:lineRule="exact"/>
        <w:rPr>
          <w:rFonts w:ascii="Arial" w:cs="Arial" w:eastAsia="Arial" w:hAnsi="Arial"/>
          <w:sz w:val="18"/>
          <w:szCs w:val="18"/>
          <w:b w:val="1"/>
          <w:bCs w:val="1"/>
          <w:color w:val="auto"/>
        </w:rPr>
      </w:pPr>
    </w:p>
    <w:p>
      <w:pPr>
        <w:ind w:left="500" w:right="80"/>
        <w:spacing w:after="0" w:line="262" w:lineRule="auto"/>
        <w:rPr>
          <w:rFonts w:ascii="Arial" w:cs="Arial" w:eastAsia="Arial" w:hAnsi="Arial"/>
          <w:sz w:val="18"/>
          <w:szCs w:val="18"/>
          <w:b w:val="1"/>
          <w:bCs w:val="1"/>
          <w:color w:val="auto"/>
        </w:rPr>
      </w:pPr>
      <w:r>
        <w:rPr>
          <w:rFonts w:ascii="Arial" w:cs="Arial" w:eastAsia="Arial" w:hAnsi="Arial"/>
          <w:sz w:val="20"/>
          <w:szCs w:val="20"/>
          <w:color w:val="auto"/>
        </w:rPr>
        <w:t>percentage of revenue was (46.6)%, as compared to (148.8)% in the third quarter of fiscal year 2021. In the three months ended October 31, 2022, Net Loss included $5.8 million of restructuring and related charges.</w:t>
      </w:r>
    </w:p>
    <w:p>
      <w:pPr>
        <w:spacing w:after="0" w:line="24" w:lineRule="exact"/>
        <w:rPr>
          <w:rFonts w:ascii="Arial" w:cs="Arial" w:eastAsia="Arial" w:hAnsi="Arial"/>
          <w:sz w:val="18"/>
          <w:szCs w:val="18"/>
          <w:b w:val="1"/>
          <w:bCs w:val="1"/>
          <w:color w:val="auto"/>
        </w:rPr>
      </w:pPr>
    </w:p>
    <w:p>
      <w:pPr>
        <w:ind w:left="500" w:right="60" w:hanging="330"/>
        <w:spacing w:after="0" w:line="275"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$6.6 million, as compared to $(5.6) million in the third quarter of fiscal year 2021. Adjusted EBITDA margin was 8.5%, as compared to (9.5)% in the third quarter of fiscal year 2021.</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and Recent Business Highlights</w:t>
      </w:r>
    </w:p>
    <w:p>
      <w:pPr>
        <w:spacing w:after="0" w:line="280" w:lineRule="exact"/>
        <w:rPr>
          <w:sz w:val="20"/>
          <w:szCs w:val="20"/>
          <w:color w:val="auto"/>
        </w:rPr>
      </w:pPr>
    </w:p>
    <w:p>
      <w:pPr>
        <w:ind w:left="500" w:right="42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Continued strong subscriber engagement, with 28% of subscribers adding one or more paid additional items into their subscription program.</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Completed key foundational work to connect our proprietary inventory data system into our on-site search and discovery</w:t>
      </w:r>
    </w:p>
    <w:p>
      <w:pPr>
        <w:spacing w:after="0" w:line="40" w:lineRule="exact"/>
        <w:rPr>
          <w:rFonts w:ascii="Arial" w:cs="Arial" w:eastAsia="Arial" w:hAnsi="Arial"/>
          <w:sz w:val="20"/>
          <w:szCs w:val="20"/>
          <w:color w:val="auto"/>
        </w:rPr>
      </w:pPr>
    </w:p>
    <w:p>
      <w:pPr>
        <w:ind w:left="500" w:right="60"/>
        <w:spacing w:after="0" w:line="274" w:lineRule="auto"/>
        <w:rPr>
          <w:rFonts w:ascii="Arial" w:cs="Arial" w:eastAsia="Arial" w:hAnsi="Arial"/>
          <w:sz w:val="20"/>
          <w:szCs w:val="20"/>
          <w:color w:val="auto"/>
        </w:rPr>
      </w:pPr>
      <w:r>
        <w:rPr>
          <w:rFonts w:ascii="Arial" w:cs="Arial" w:eastAsia="Arial" w:hAnsi="Arial"/>
          <w:sz w:val="20"/>
          <w:szCs w:val="20"/>
          <w:color w:val="auto"/>
        </w:rPr>
        <w:t>experiences. This initiative is expected to greatly enhance our customers' ability to find and rent products they love on our site next year.</w:t>
      </w:r>
    </w:p>
    <w:p>
      <w:pPr>
        <w:spacing w:after="0" w:line="1" w:lineRule="exact"/>
        <w:rPr>
          <w:rFonts w:ascii="Arial" w:cs="Arial" w:eastAsia="Arial" w:hAnsi="Arial"/>
          <w:sz w:val="20"/>
          <w:szCs w:val="20"/>
          <w:color w:val="auto"/>
        </w:rPr>
      </w:pPr>
    </w:p>
    <w:p>
      <w:pPr>
        <w:ind w:left="500" w:hanging="330"/>
        <w:spacing w:after="0" w:line="272"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November, launched our first celebrity collection with Ashley Park, co-star of Netflix’s "Emily in Paris." Celebrity collections provide important marketing and awareness benefits to RTR, and provide noteworthy collaborators with access to our platform.</w:t>
      </w:r>
    </w:p>
    <w:p>
      <w:pPr>
        <w:spacing w:after="0" w:line="1" w:lineRule="exact"/>
        <w:rPr>
          <w:rFonts w:ascii="Arial" w:cs="Arial" w:eastAsia="Arial" w:hAnsi="Arial"/>
          <w:sz w:val="20"/>
          <w:szCs w:val="20"/>
          <w:color w:val="auto"/>
        </w:rPr>
      </w:pPr>
    </w:p>
    <w:p>
      <w:pPr>
        <w:ind w:left="500" w:right="18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 new Exclusive Design brands, including Atlein, Ronny Kobo, Marina Moscone and Toccin launched in Fall 2022; on track to offer 18 Exclusive Design partners during fiscal year 2022, around half of which are new this year.</w:t>
      </w:r>
    </w:p>
    <w:p>
      <w:pPr>
        <w:spacing w:after="0" w:line="1" w:lineRule="exact"/>
        <w:rPr>
          <w:rFonts w:ascii="Arial" w:cs="Arial" w:eastAsia="Arial" w:hAnsi="Arial"/>
          <w:sz w:val="20"/>
          <w:szCs w:val="20"/>
          <w:color w:val="auto"/>
        </w:rPr>
      </w:pPr>
    </w:p>
    <w:p>
      <w:pPr>
        <w:ind w:left="500" w:right="58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Launched a pilot selling our brand new Exclusive Design products wholesale to a third-party retailer, highlighting the potential of the RTR platform and data, and customer appeal of our designs.</w:t>
      </w:r>
    </w:p>
    <w:p>
      <w:pPr>
        <w:spacing w:after="0" w:line="1" w:lineRule="exact"/>
        <w:rPr>
          <w:rFonts w:ascii="Arial" w:cs="Arial" w:eastAsia="Arial" w:hAnsi="Arial"/>
          <w:sz w:val="20"/>
          <w:szCs w:val="20"/>
          <w:color w:val="auto"/>
        </w:rPr>
      </w:pPr>
    </w:p>
    <w:p>
      <w:pPr>
        <w:ind w:left="500" w:right="72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Launched a new liquidation partnership to broaden our liquidation network and drive additional monetization of our products while giving our rental garments a second life.</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Expanded at-home pickup to over 30 markets covering 55% of our subscriber base, ahead of our goal of bringing the</w:t>
      </w:r>
    </w:p>
    <w:p>
      <w:pPr>
        <w:spacing w:after="0" w:line="40" w:lineRule="exact"/>
        <w:rPr>
          <w:rFonts w:ascii="Arial" w:cs="Arial" w:eastAsia="Arial" w:hAnsi="Arial"/>
          <w:sz w:val="20"/>
          <w:szCs w:val="20"/>
          <w:color w:val="auto"/>
        </w:rPr>
      </w:pPr>
    </w:p>
    <w:p>
      <w:pPr>
        <w:ind w:left="500" w:right="260"/>
        <w:spacing w:after="0" w:line="275" w:lineRule="auto"/>
        <w:rPr>
          <w:rFonts w:ascii="Arial" w:cs="Arial" w:eastAsia="Arial" w:hAnsi="Arial"/>
          <w:sz w:val="20"/>
          <w:szCs w:val="20"/>
          <w:color w:val="auto"/>
        </w:rPr>
      </w:pPr>
      <w:r>
        <w:rPr>
          <w:rFonts w:ascii="Arial" w:cs="Arial" w:eastAsia="Arial" w:hAnsi="Arial"/>
          <w:sz w:val="20"/>
          <w:szCs w:val="20"/>
          <w:color w:val="auto"/>
        </w:rPr>
        <w:t>offering to over half of our subscriber base by year-end. Subscriber adoption of at-home pickup within eligible zip codes grew from 29% to 39% during Q3.</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For the fourth quarter of fiscal year 2022, Rent the Runway expects:</w:t>
      </w:r>
    </w:p>
    <w:p>
      <w:pPr>
        <w:spacing w:after="0" w:line="40"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in the range of $72 million to $74 million</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4% to 5%</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year 2022, Rent the Runway expects:</w:t>
      </w:r>
    </w:p>
    <w:p>
      <w:pPr>
        <w:spacing w:after="0" w:line="2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in the range of $293 million to $295 million</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 of 1%</w:t>
      </w:r>
    </w:p>
    <w:p>
      <w:pPr>
        <w:spacing w:after="0" w:line="270"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color w:val="auto"/>
        </w:rPr>
        <w:t>Please see our third quarter 2022 earnings presentation at https://investors.renttherunway.com/ under the “Presentations” section for supplemental guidance.</w:t>
      </w:r>
    </w:p>
    <w:p>
      <w:pPr>
        <w:sectPr>
          <w:pgSz w:w="11900" w:h="16838" w:orient="portrait"/>
          <w:cols w:equalWidth="0" w:num="1">
            <w:col w:w="11180"/>
          </w:cols>
          <w:pgMar w:left="320" w:top="1121"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third quarter 2022 Earnings Presentation is now accessible through the Investor Relations section of Rent the Runway’s website at https://investors.renttherunway.com/ under the “Presentations” section.</w:t>
      </w: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Rent the Runway will host a conference call and webcast to discuss its third quarter 2022 financial results and provide a business update today at 4:30 pm EST.</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The financial results and live webcast will be accessible through the Investor Relations section of Rent the Runway’s website at </w:t>
      </w:r>
      <w:r>
        <w:rPr>
          <w:rFonts w:ascii="Arial" w:cs="Arial" w:eastAsia="Arial" w:hAnsi="Arial"/>
          <w:sz w:val="20"/>
          <w:szCs w:val="20"/>
          <w:u w:val="single" w:color="auto"/>
          <w:color w:val="212D3D"/>
        </w:rPr>
        <w:t>https://investors.renttherunway.com/</w:t>
      </w:r>
      <w:r>
        <w:rPr>
          <w:rFonts w:ascii="Arial" w:cs="Arial" w:eastAsia="Arial" w:hAnsi="Arial"/>
          <w:sz w:val="20"/>
          <w:szCs w:val="20"/>
          <w:color w:val="212D3D"/>
        </w:rPr>
        <w:t xml:space="preserve"> </w:t>
      </w:r>
      <w:r>
        <w:rPr>
          <w:rFonts w:ascii="Arial" w:cs="Arial" w:eastAsia="Arial" w:hAnsi="Arial"/>
          <w:sz w:val="20"/>
          <w:szCs w:val="20"/>
          <w:color w:val="000000"/>
        </w:rPr>
        <w:t>under the “Events” section. To access the call through a conference line, dial 1-877-407-3982 (in the U.S.) or 1-201-493-6780 (international callers).</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 replay of the conference call will be posted shortly after the call and will be available for at least fourteen days. To access the replay, dial 1-844-512-2921 (in the U.S.) or 1-412-317-6671 (international callers). The access code for the replay is 13734327.</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30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over 800 designer brands. The Closet in the Cloud offers a wide assortment of millions of items for every occasion, from evening wear and accessories to ready-to-wear, workwear, denim, casual, maternity, outerwear, blouses, knitwear, loungewear, jewelry, handbags, activewear, ski wear, home goods and kidswear.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09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30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future product launches, strategic initiatives, business objectives, anticipated macroeconomic environment, anticipated impacts of and the anticipated charges and cost savings associated with our restructuring plan, and subscriber trends. Forward-looking statements are inherently subject to risks and uncertainties, some of which cannot be predicted or quantified.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pacing w:after="0" w:line="25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macroeconomic environment; the COVID-19 pandemic; the highly competitive and rapidly changing nature of the global fashion industry; our ability to cost-effectively grow our customer base; any failure to retain customers; our ability to accurately forecast customer demand, manage our offerings effectively and plan for future expenses; changes in consumer discretionary spending; risks arising from the restructuring of our operations; risks related to shipping, logistics and our supply chain;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to adequately maintain and protect our intellectual property and proprietary rights; compliance with data privacy, data security, data protection and consumer protection laws and industry standards; risks associated with our brand partners; reliance on third parties for elements of the payment processing infrastructure underlying our business;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associated with our need for additional capital and indebtedness, including that financing or refinancing may not be available on acceptable terms at all; and risks related to our Class A capital stock and ownership structure. Additional information regarding these and other risks and uncertainties that could cause actual results to differ materially from the Company’s expectations is included in our Annual Report on Form 10-K for the year ended January 31, 2022, as will be updated in our Quarterly Report on Form 10-Q for the quarter ended October 31, 2022. Except as required by law, we do not</w:t>
      </w:r>
    </w:p>
    <w:p>
      <w:pPr>
        <w:sectPr>
          <w:pgSz w:w="11900" w:h="16838" w:orient="portrait"/>
          <w:cols w:equalWidth="0" w:num="1">
            <w:col w:w="11240"/>
          </w:cols>
          <w:pgMar w:left="320" w:top="1097" w:right="339" w:bottom="1440" w:gutter="0" w:footer="0" w:header="0"/>
        </w:sectPr>
      </w:pPr>
    </w:p>
    <w:bookmarkStart w:id="7" w:name="page8"/>
    <w:bookmarkEnd w:id="7"/>
    <w:p>
      <w:pPr>
        <w:jc w:val="both"/>
        <w:spacing w:after="0" w:line="289" w:lineRule="auto"/>
        <w:rPr>
          <w:sz w:val="20"/>
          <w:szCs w:val="20"/>
          <w:color w:val="auto"/>
        </w:rPr>
      </w:pPr>
      <w:r>
        <w:rPr>
          <w:rFonts w:ascii="Arial" w:cs="Arial" w:eastAsia="Arial" w:hAnsi="Arial"/>
          <w:sz w:val="20"/>
          <w:szCs w:val="20"/>
          <w:color w:val="auto"/>
        </w:rPr>
        <w:t>undertake any obligation to publicly update or revise any forward-looking statement, whether as a result of new information, future developments,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307"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24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and Adjusted EBITDA margin and Adjusted EBITDA after product depreciation margin. In addition to our results determined in accordance with GAAP, we believe that Adjusted EBITDA and Adjusted EBITDA margin and Adjusted EBITDA after product depreciation margin are useful in evaluating our performance. Adjusted EBITDA is a key performance measure used by management to assess our operating performance and the operating leverage of our business prior to capital expenditures. Adjusted EBITDA after product depreciation margin is used by management to assess our operating performance and the operating leverage of our business after all product costs.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certain non-recurring, one-time costs (see below footnotes to reconciliation table), restructuring charges, loss on asset impairment related to restructuring, income taxes, other income and expense, gain / loss on warrant liability revaluation, net, gain / loss on debt extinguishment, net, and other gains / losses. Adjusted EBITDA margin is defined as Adjusted EBITDA calculated as a percentage of revenue. Adjusted EBITDA after product depreciation margin is defined as Adjusted EBITDA less product depreciation, calculated as a percentage of revenue.</w:t>
      </w:r>
    </w:p>
    <w:p>
      <w:pPr>
        <w:sectPr>
          <w:pgSz w:w="11900" w:h="16838" w:orient="portrait"/>
          <w:cols w:equalWidth="0" w:num="1">
            <w:col w:w="11240"/>
          </w:cols>
          <w:pgMar w:left="320" w:top="1121"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20"/>
          <w:szCs w:val="20"/>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and Adjusted EBITDA margin guidance and our Adjusted EBITDA after product depreciation margin target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Jackie Blatt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Alison Rappaport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40"/>
          </w:cols>
          <w:pgMar w:left="320" w:top="1337" w:right="339" w:bottom="1440" w:gutter="0" w:footer="0" w:header="0"/>
        </w:sectPr>
      </w:pPr>
    </w:p>
    <w:bookmarkStart w:id="9" w:name="page10"/>
    <w:bookmarkEnd w:id="9"/>
    <w:p>
      <w:pPr>
        <w:ind w:left="4440"/>
        <w:spacing w:after="0"/>
        <w:rPr>
          <w:sz w:val="20"/>
          <w:szCs w:val="20"/>
          <w:color w:val="auto"/>
        </w:rPr>
      </w:pPr>
      <w:r>
        <w:rPr>
          <w:rFonts w:ascii="Arial" w:cs="Arial" w:eastAsia="Arial" w:hAnsi="Arial"/>
          <w:sz w:val="20"/>
          <w:szCs w:val="20"/>
          <w:b w:val="1"/>
          <w:bCs w:val="1"/>
          <w:color w:val="auto"/>
        </w:rPr>
        <w:t>Rent the Runway, Inc.</w:t>
      </w:r>
    </w:p>
    <w:p>
      <w:pPr>
        <w:ind w:left="352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900"/>
        <w:spacing w:after="0"/>
        <w:rPr>
          <w:sz w:val="20"/>
          <w:szCs w:val="20"/>
          <w:color w:val="auto"/>
        </w:rPr>
      </w:pPr>
      <w:r>
        <w:rPr>
          <w:rFonts w:ascii="Arial" w:cs="Arial" w:eastAsia="Arial" w:hAnsi="Arial"/>
          <w:sz w:val="20"/>
          <w:szCs w:val="20"/>
          <w:b w:val="1"/>
          <w:bCs w:val="1"/>
          <w:color w:val="auto"/>
        </w:rPr>
        <w:t>(in millions)</w:t>
      </w:r>
    </w:p>
    <w:p>
      <w:pPr>
        <w:ind w:left="496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792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2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176.0</w:t>
            </w:r>
          </w:p>
        </w:tc>
        <w:tc>
          <w:tcPr>
            <w:tcW w:w="8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247.6</w:t>
            </w:r>
          </w:p>
        </w:tc>
        <w:tc>
          <w:tcPr>
            <w:tcW w:w="0" w:type="dxa"/>
            <w:vAlign w:val="bottom"/>
          </w:tcPr>
          <w:p>
            <w:pPr>
              <w:spacing w:after="0"/>
              <w:rPr>
                <w:sz w:val="1"/>
                <w:szCs w:val="1"/>
                <w:color w:val="auto"/>
              </w:rPr>
            </w:pPr>
          </w:p>
        </w:tc>
      </w:tr>
      <w:tr>
        <w:trPr>
          <w:trHeight w:val="257"/>
        </w:trPr>
        <w:tc>
          <w:tcPr>
            <w:tcW w:w="79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7"/>
        </w:trPr>
        <w:tc>
          <w:tcPr>
            <w:tcW w:w="79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31"/>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9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264.7</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Rental product,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Fixed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84"/>
        </w:trPr>
        <w:tc>
          <w:tcPr>
            <w:tcW w:w="79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44"/>
        </w:trPr>
        <w:tc>
          <w:tcPr>
            <w:tcW w:w="7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79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367.2</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5"/>
        </w:trPr>
        <w:tc>
          <w:tcPr>
            <w:tcW w:w="79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920" w:type="dxa"/>
            <w:vAlign w:val="bottom"/>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57"/>
        </w:trPr>
        <w:tc>
          <w:tcPr>
            <w:tcW w:w="79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56"/>
        </w:trPr>
        <w:tc>
          <w:tcPr>
            <w:tcW w:w="79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57"/>
        </w:trPr>
        <w:tc>
          <w:tcPr>
            <w:tcW w:w="79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56"/>
        </w:trPr>
        <w:tc>
          <w:tcPr>
            <w:tcW w:w="79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31"/>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920" w:type="dxa"/>
            <w:vAlign w:val="bottom"/>
          </w:tcPr>
          <w:p>
            <w:pPr>
              <w:ind w:left="64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0"/>
                <w:szCs w:val="20"/>
                <w:color w:val="auto"/>
              </w:rPr>
            </w:pPr>
            <w:r>
              <w:rPr>
                <w:rFonts w:ascii="Arial" w:cs="Arial" w:eastAsia="Arial" w:hAnsi="Arial"/>
                <w:sz w:val="17"/>
                <w:szCs w:val="17"/>
                <w:color w:val="auto"/>
              </w:rPr>
              <w:t>Long-term debt,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274.6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260.8</w:t>
            </w:r>
          </w:p>
        </w:tc>
        <w:tc>
          <w:tcPr>
            <w:tcW w:w="0" w:type="dxa"/>
            <w:vAlign w:val="bottom"/>
          </w:tcPr>
          <w:p>
            <w:pPr>
              <w:spacing w:after="0"/>
              <w:rPr>
                <w:sz w:val="1"/>
                <w:szCs w:val="1"/>
                <w:color w:val="auto"/>
              </w:rPr>
            </w:pPr>
          </w:p>
        </w:tc>
      </w:tr>
      <w:tr>
        <w:trPr>
          <w:trHeight w:val="256"/>
        </w:trPr>
        <w:tc>
          <w:tcPr>
            <w:tcW w:w="79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31"/>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920" w:type="dxa"/>
            <w:vAlign w:val="bottom"/>
          </w:tcPr>
          <w:p>
            <w:pPr>
              <w:ind w:left="64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31"/>
        </w:trPr>
        <w:tc>
          <w:tcPr>
            <w:tcW w:w="79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2"/>
        </w:trPr>
        <w:tc>
          <w:tcPr>
            <w:tcW w:w="7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83"/>
        </w:trPr>
        <w:tc>
          <w:tcPr>
            <w:tcW w:w="79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9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9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891.2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872.2</w:t>
            </w:r>
          </w:p>
        </w:tc>
        <w:tc>
          <w:tcPr>
            <w:tcW w:w="0" w:type="dxa"/>
            <w:vAlign w:val="bottom"/>
          </w:tcPr>
          <w:p>
            <w:pPr>
              <w:spacing w:after="0"/>
              <w:rPr>
                <w:sz w:val="1"/>
                <w:szCs w:val="1"/>
                <w:color w:val="auto"/>
              </w:rPr>
            </w:pPr>
          </w:p>
        </w:tc>
      </w:tr>
      <w:tr>
        <w:trPr>
          <w:trHeight w:val="283"/>
        </w:trPr>
        <w:tc>
          <w:tcPr>
            <w:tcW w:w="79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(801.2)</w:t>
            </w:r>
          </w:p>
        </w:tc>
        <w:tc>
          <w:tcPr>
            <w:tcW w:w="0" w:type="dxa"/>
            <w:vAlign w:val="bottom"/>
          </w:tcPr>
          <w:p>
            <w:pPr>
              <w:spacing w:after="0"/>
              <w:rPr>
                <w:sz w:val="1"/>
                <w:szCs w:val="1"/>
                <w:color w:val="auto"/>
              </w:rPr>
            </w:pPr>
          </w:p>
        </w:tc>
      </w:tr>
      <w:tr>
        <w:trPr>
          <w:trHeight w:val="45"/>
        </w:trPr>
        <w:tc>
          <w:tcPr>
            <w:tcW w:w="7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92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31"/>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367.2</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3"/>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80" w:top="1067" w:right="4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Rent the Runway, Inc.</w:t>
      </w:r>
    </w:p>
    <w:p>
      <w:pPr>
        <w:jc w:val="center"/>
        <w:ind w:right="40"/>
        <w:spacing w:after="0" w:line="235"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4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4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October 31,</w:t>
            </w:r>
          </w:p>
        </w:tc>
        <w:tc>
          <w:tcPr>
            <w:tcW w:w="20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320"/>
              <w:spacing w:after="0"/>
              <w:rPr>
                <w:sz w:val="20"/>
                <w:szCs w:val="20"/>
                <w:color w:val="auto"/>
              </w:rPr>
            </w:pPr>
            <w:r>
              <w:rPr>
                <w:rFonts w:ascii="Arial" w:cs="Arial" w:eastAsia="Arial" w:hAnsi="Arial"/>
                <w:sz w:val="18"/>
                <w:szCs w:val="18"/>
                <w:color w:val="auto"/>
              </w:rPr>
              <w:t>Subscription and Reserve rental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40" w:type="dxa"/>
            <w:vAlign w:val="bottom"/>
          </w:tcPr>
          <w:p>
            <w:pPr>
              <w:ind w:left="640"/>
              <w:spacing w:after="0"/>
              <w:rPr>
                <w:sz w:val="20"/>
                <w:szCs w:val="20"/>
                <w:color w:val="auto"/>
              </w:rPr>
            </w:pPr>
            <w:r>
              <w:rPr>
                <w:rFonts w:ascii="Arial" w:cs="Arial" w:eastAsia="Arial" w:hAnsi="Arial"/>
                <w:sz w:val="18"/>
                <w:szCs w:val="18"/>
                <w:color w:val="auto"/>
              </w:rPr>
              <w:t>Total revenue, net</w:t>
            </w:r>
          </w:p>
        </w:tc>
        <w:tc>
          <w:tcPr>
            <w:tcW w:w="18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18"/>
                <w:szCs w:val="18"/>
                <w:color w:val="auto"/>
              </w:rPr>
              <w:t>Fulfillment</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18"/>
                <w:szCs w:val="18"/>
                <w:color w:val="auto"/>
              </w:rPr>
              <w:t>Marketing</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18"/>
                <w:szCs w:val="18"/>
                <w:color w:val="auto"/>
              </w:rPr>
              <w:t>Rental product depreciation and revenue share</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0"/>
        </w:trPr>
        <w:tc>
          <w:tcPr>
            <w:tcW w:w="5540" w:type="dxa"/>
            <w:vAlign w:val="bottom"/>
          </w:tcPr>
          <w:p>
            <w:pPr>
              <w:ind w:left="320"/>
              <w:spacing w:after="0"/>
              <w:rPr>
                <w:sz w:val="20"/>
                <w:szCs w:val="20"/>
                <w:color w:val="auto"/>
              </w:rPr>
            </w:pPr>
            <w:r>
              <w:rPr>
                <w:rFonts w:ascii="Arial" w:cs="Arial" w:eastAsia="Arial" w:hAnsi="Arial"/>
                <w:sz w:val="18"/>
                <w:szCs w:val="18"/>
                <w:color w:val="auto"/>
              </w:rPr>
              <w:t>Other depreciation and amortization</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97"/>
        </w:trPr>
        <w:tc>
          <w:tcPr>
            <w:tcW w:w="5540" w:type="dxa"/>
            <w:vAlign w:val="bottom"/>
          </w:tcPr>
          <w:p>
            <w:pPr>
              <w:ind w:left="32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40" w:type="dxa"/>
            <w:vAlign w:val="bottom"/>
          </w:tcPr>
          <w:p>
            <w:pPr>
              <w:ind w:left="320"/>
              <w:spacing w:after="0"/>
              <w:rPr>
                <w:sz w:val="20"/>
                <w:szCs w:val="20"/>
                <w:color w:val="auto"/>
              </w:rPr>
            </w:pPr>
            <w:r>
              <w:rPr>
                <w:rFonts w:ascii="Arial" w:cs="Arial" w:eastAsia="Arial" w:hAnsi="Arial"/>
                <w:sz w:val="18"/>
                <w:szCs w:val="18"/>
                <w:color w:val="auto"/>
              </w:rPr>
              <w:t>Loss on asset impairment related to restructuring</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96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97"/>
        </w:trPr>
        <w:tc>
          <w:tcPr>
            <w:tcW w:w="5540" w:type="dxa"/>
            <w:vAlign w:val="bottom"/>
          </w:tcPr>
          <w:p>
            <w:pPr>
              <w:spacing w:after="0"/>
              <w:rPr>
                <w:sz w:val="20"/>
                <w:szCs w:val="20"/>
                <w:color w:val="auto"/>
              </w:rPr>
            </w:pPr>
            <w:r>
              <w:rPr>
                <w:rFonts w:ascii="Arial" w:cs="Arial" w:eastAsia="Arial" w:hAnsi="Arial"/>
                <w:sz w:val="18"/>
                <w:szCs w:val="18"/>
                <w:color w:val="auto"/>
              </w:rPr>
              <w:t>Gain / (loss) on warrant liability revaluation, net</w:t>
            </w:r>
          </w:p>
        </w:tc>
        <w:tc>
          <w:tcPr>
            <w:tcW w:w="18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97"/>
        </w:trPr>
        <w:tc>
          <w:tcPr>
            <w:tcW w:w="5540" w:type="dxa"/>
            <w:vAlign w:val="bottom"/>
          </w:tcPr>
          <w:p>
            <w:pPr>
              <w:spacing w:after="0"/>
              <w:rPr>
                <w:sz w:val="20"/>
                <w:szCs w:val="20"/>
                <w:color w:val="auto"/>
              </w:rPr>
            </w:pPr>
            <w:r>
              <w:rPr>
                <w:rFonts w:ascii="Arial" w:cs="Arial" w:eastAsia="Arial" w:hAnsi="Arial"/>
                <w:sz w:val="18"/>
                <w:szCs w:val="18"/>
                <w:color w:val="auto"/>
              </w:rPr>
              <w:t>Gain / (loss) on debt extinguishment, net</w:t>
            </w:r>
          </w:p>
        </w:tc>
        <w:tc>
          <w:tcPr>
            <w:tcW w:w="18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97"/>
        </w:trPr>
        <w:tc>
          <w:tcPr>
            <w:tcW w:w="554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900"/>
              <w:spacing w:after="0"/>
              <w:rPr>
                <w:sz w:val="20"/>
                <w:szCs w:val="20"/>
                <w:color w:val="auto"/>
              </w:rPr>
            </w:pPr>
            <w:r>
              <w:rPr>
                <w:rFonts w:ascii="Arial" w:cs="Arial" w:eastAsia="Arial" w:hAnsi="Arial"/>
                <w:sz w:val="18"/>
                <w:szCs w:val="18"/>
                <w:color w:val="auto"/>
              </w:rPr>
              <w:t>Net loss before income tax benefit / (expense)</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540" w:type="dxa"/>
            <w:vAlign w:val="bottom"/>
          </w:tcPr>
          <w:p>
            <w:pPr>
              <w:ind w:left="96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2"/>
        </w:trPr>
        <w:tc>
          <w:tcPr>
            <w:tcW w:w="55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64,521,433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13,063,034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64,015,444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12,018,879</w:t>
            </w:r>
          </w:p>
        </w:tc>
        <w:tc>
          <w:tcPr>
            <w:tcW w:w="0" w:type="dxa"/>
            <w:vAlign w:val="bottom"/>
          </w:tcPr>
          <w:p>
            <w:pPr>
              <w:spacing w:after="0"/>
              <w:rPr>
                <w:sz w:val="1"/>
                <w:szCs w:val="1"/>
                <w:color w:val="auto"/>
              </w:rPr>
            </w:pPr>
          </w:p>
        </w:tc>
      </w:tr>
      <w:tr>
        <w:trPr>
          <w:trHeight w:val="217"/>
        </w:trPr>
        <w:tc>
          <w:tcPr>
            <w:tcW w:w="554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00" w:top="1097" w:right="37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Rent the Runway, Inc.</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19"/>
          <w:szCs w:val="19"/>
          <w:b w:val="1"/>
          <w:bCs w:val="1"/>
          <w:color w:val="auto"/>
        </w:rPr>
        <w:t>Condensed Consolidated Statements of Cash Flow</w:t>
      </w:r>
    </w:p>
    <w:p>
      <w:pPr>
        <w:ind w:left="4880"/>
        <w:spacing w:after="0"/>
        <w:rPr>
          <w:sz w:val="20"/>
          <w:szCs w:val="20"/>
          <w:color w:val="auto"/>
        </w:rPr>
      </w:pPr>
      <w:r>
        <w:rPr>
          <w:rFonts w:ascii="Arial" w:cs="Arial" w:eastAsia="Arial" w:hAnsi="Arial"/>
          <w:sz w:val="20"/>
          <w:szCs w:val="20"/>
          <w:b w:val="1"/>
          <w:bCs w:val="1"/>
          <w:color w:val="auto"/>
        </w:rPr>
        <w:t>(in millions)</w:t>
      </w:r>
    </w:p>
    <w:p>
      <w:pPr>
        <w:ind w:left="494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860"/>
          </w:cols>
          <w:pgMar w:left="500"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write-off of fixed assets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asset impairment related to restructuring</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Settlement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debt extinguishment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Remeasurement of warrant liability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investing activities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94" w:lineRule="exact"/>
        <w:rPr>
          <w:sz w:val="20"/>
          <w:szCs w:val="20"/>
          <w:color w:val="auto"/>
        </w:rPr>
      </w:pPr>
    </w:p>
    <w:p>
      <w:pPr>
        <w:ind w:left="60" w:right="1960"/>
        <w:spacing w:after="0" w:line="352" w:lineRule="auto"/>
        <w:rPr>
          <w:sz w:val="20"/>
          <w:szCs w:val="20"/>
          <w:color w:val="auto"/>
        </w:rPr>
      </w:pPr>
      <w:r>
        <w:rPr>
          <w:rFonts w:ascii="Arial" w:cs="Arial" w:eastAsia="Arial" w:hAnsi="Arial"/>
          <w:sz w:val="16"/>
          <w:szCs w:val="16"/>
          <w:color w:val="auto"/>
        </w:rPr>
        <w:t>Proceeds from issuance of common stock upon IPO, net of offering costs Proceeds from issuance of redeemable preferred stock</w:t>
      </w:r>
    </w:p>
    <w:p>
      <w:pPr>
        <w:ind w:left="60"/>
        <w:spacing w:after="0"/>
        <w:rPr>
          <w:sz w:val="20"/>
          <w:szCs w:val="20"/>
          <w:color w:val="auto"/>
        </w:rPr>
      </w:pPr>
      <w:r>
        <w:rPr>
          <w:rFonts w:ascii="Arial" w:cs="Arial" w:eastAsia="Arial" w:hAnsi="Arial"/>
          <w:sz w:val="16"/>
          <w:szCs w:val="16"/>
          <w:color w:val="auto"/>
        </w:rPr>
        <w:t>Proceeds from exercise of stock options under stock incentive plan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Principal repayments on long-term debt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financing costs paid</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Debt extinguishment costs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1825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62"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1825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(112.5)</w:t>
            </w:r>
          </w:p>
        </w:tc>
        <w:tc>
          <w:tcPr>
            <w:tcW w:w="80" w:type="dxa"/>
            <w:vAlign w:val="bottom"/>
          </w:tcPr>
          <w:p>
            <w:pPr>
              <w:spacing w:after="0"/>
              <w:rPr>
                <w:sz w:val="16"/>
                <w:szCs w:val="16"/>
                <w:color w:val="auto"/>
              </w:rPr>
            </w:pPr>
          </w:p>
        </w:tc>
        <w:tc>
          <w:tcPr>
            <w:tcW w:w="500" w:type="dxa"/>
            <w:vAlign w:val="bottom"/>
          </w:tcPr>
          <w:p>
            <w:pPr>
              <w:jc w:val="right"/>
              <w:ind w:right="3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(172.5)</w:t>
            </w:r>
          </w:p>
        </w:tc>
      </w:tr>
      <w:tr>
        <w:trPr>
          <w:trHeight w:val="486"/>
        </w:trPr>
        <w:tc>
          <w:tcPr>
            <w:tcW w:w="4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35.9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33.9</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3.7</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14.6</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43"/>
        </w:trPr>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43"/>
        </w:trPr>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35.4</w:t>
            </w:r>
          </w:p>
        </w:tc>
      </w:tr>
      <w:tr>
        <w:trPr>
          <w:trHeight w:val="243"/>
        </w:trPr>
        <w:tc>
          <w:tcPr>
            <w:tcW w:w="4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4.9</w:t>
            </w:r>
          </w:p>
        </w:tc>
      </w:tr>
      <w:tr>
        <w:trPr>
          <w:trHeight w:val="243"/>
        </w:trPr>
        <w:tc>
          <w:tcPr>
            <w:tcW w:w="4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12.2</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21.4</w:t>
            </w:r>
          </w:p>
        </w:tc>
      </w:tr>
      <w:tr>
        <w:trPr>
          <w:trHeight w:val="243"/>
        </w:trPr>
        <w:tc>
          <w:tcPr>
            <w:tcW w:w="4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24.9</w:t>
            </w:r>
          </w:p>
        </w:tc>
      </w:tr>
      <w:tr>
        <w:trPr>
          <w:trHeight w:val="486"/>
        </w:trPr>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2.5</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13.9</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5.1</w:t>
            </w:r>
          </w:p>
        </w:tc>
      </w:tr>
      <w:tr>
        <w:trPr>
          <w:trHeight w:val="243"/>
        </w:trPr>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0.8</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5"/>
        </w:trPr>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(23.5)</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431"/>
        </w:trPr>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(17.0)</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4.8</w:t>
            </w:r>
          </w:p>
        </w:tc>
      </w:tr>
      <w:tr>
        <w:trPr>
          <w:trHeight w:val="243"/>
        </w:trPr>
        <w:tc>
          <w:tcPr>
            <w:tcW w:w="48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9.0</w:t>
            </w:r>
          </w:p>
        </w:tc>
      </w:tr>
      <w:tr>
        <w:trPr>
          <w:trHeight w:val="243"/>
        </w:trPr>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5"/>
        </w:trPr>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472"/>
        </w:trPr>
        <w:tc>
          <w:tcPr>
            <w:tcW w:w="4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331.5</w:t>
            </w:r>
          </w:p>
        </w:tc>
      </w:tr>
      <w:tr>
        <w:trPr>
          <w:trHeight w:val="270"/>
        </w:trPr>
        <w:tc>
          <w:tcPr>
            <w:tcW w:w="4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21.2</w:t>
            </w:r>
          </w:p>
        </w:tc>
      </w:tr>
      <w:tr>
        <w:trPr>
          <w:trHeight w:val="270"/>
        </w:trPr>
        <w:tc>
          <w:tcPr>
            <w:tcW w:w="4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3.1</w:t>
            </w:r>
          </w:p>
        </w:tc>
      </w:tr>
      <w:tr>
        <w:trPr>
          <w:trHeight w:val="270"/>
        </w:trPr>
        <w:tc>
          <w:tcPr>
            <w:tcW w:w="4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(135.0)</w:t>
            </w:r>
          </w:p>
        </w:tc>
      </w:tr>
      <w:tr>
        <w:trPr>
          <w:trHeight w:val="270"/>
        </w:trPr>
        <w:tc>
          <w:tcPr>
            <w:tcW w:w="4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70"/>
        </w:trPr>
        <w:tc>
          <w:tcPr>
            <w:tcW w:w="4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70"/>
        </w:trPr>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5"/>
        </w:trPr>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215.7</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5"/>
        </w:trPr>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182.8</w:t>
            </w:r>
          </w:p>
        </w:tc>
      </w:tr>
      <w:tr>
        <w:trPr>
          <w:trHeight w:val="270"/>
        </w:trPr>
        <w:tc>
          <w:tcPr>
            <w:tcW w:w="4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259.6</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109.2</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5"/>
        </w:trPr>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185.9</w:t>
            </w:r>
          </w:p>
        </w:tc>
        <w:tc>
          <w:tcPr>
            <w:tcW w:w="80" w:type="dxa"/>
            <w:vAlign w:val="bottom"/>
          </w:tcPr>
          <w:p>
            <w:pPr>
              <w:spacing w:after="0"/>
              <w:rPr>
                <w:sz w:val="18"/>
                <w:szCs w:val="18"/>
                <w:color w:val="auto"/>
              </w:rPr>
            </w:pPr>
          </w:p>
        </w:tc>
        <w:tc>
          <w:tcPr>
            <w:tcW w:w="500" w:type="dxa"/>
            <w:vAlign w:val="bottom"/>
          </w:tcPr>
          <w:p>
            <w:pPr>
              <w:jc w:val="right"/>
              <w:ind w:right="32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292.0</w:t>
            </w:r>
          </w:p>
        </w:tc>
      </w:tr>
      <w:tr>
        <w:trPr>
          <w:trHeight w:val="35"/>
        </w:trPr>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260" w:space="720"/>
            <w:col w:w="2880"/>
          </w:cols>
          <w:pgMar w:left="500" w:top="1440" w:right="539" w:bottom="1440" w:gutter="0" w:footer="0" w:header="0"/>
          <w:type w:val="continuous"/>
        </w:sectPr>
      </w:pPr>
    </w:p>
    <w:bookmarkStart w:id="12" w:name="page13"/>
    <w:bookmarkEnd w:id="12"/>
    <w:p>
      <w:pPr>
        <w:ind w:left="4540"/>
        <w:spacing w:after="0"/>
        <w:rPr>
          <w:sz w:val="20"/>
          <w:szCs w:val="20"/>
          <w:color w:val="auto"/>
        </w:rPr>
      </w:pPr>
      <w:r>
        <w:rPr>
          <w:rFonts w:ascii="Arial" w:cs="Arial" w:eastAsia="Arial" w:hAnsi="Arial"/>
          <w:sz w:val="20"/>
          <w:szCs w:val="20"/>
          <w:b w:val="1"/>
          <w:bCs w:val="1"/>
          <w:color w:val="auto"/>
        </w:rPr>
        <w:t>Rent the Runway, Inc.</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160"/>
          </w:cols>
          <w:pgMar w:left="38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right="180" w:hanging="161"/>
        <w:spacing w:after="0" w:line="305"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Fixed operating leases payments (reimbursements), net</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Financing leases right-of-use asset amortization</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ROU assets obtained in exchange for lease liabilities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Purchases of rental product not yet settled</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Reconciliation of loss on asset impairment:</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Accrued expense related to the loss on asset impairment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2040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26"/>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89"/>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176.0</w:t>
            </w:r>
          </w:p>
        </w:tc>
        <w:tc>
          <w:tcPr>
            <w:tcW w:w="8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278.7</w:t>
            </w:r>
          </w:p>
        </w:tc>
      </w:tr>
      <w:tr>
        <w:trPr>
          <w:trHeight w:val="230"/>
        </w:trPr>
        <w:tc>
          <w:tcPr>
            <w:tcW w:w="36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5.6</w:t>
            </w:r>
          </w:p>
        </w:tc>
      </w:tr>
      <w:tr>
        <w:trPr>
          <w:trHeight w:val="243"/>
        </w:trPr>
        <w:tc>
          <w:tcPr>
            <w:tcW w:w="36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7.7</w:t>
            </w:r>
          </w:p>
        </w:tc>
      </w:tr>
      <w:tr>
        <w:trPr>
          <w:trHeight w:val="26"/>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1"/>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185.9</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292.0</w:t>
            </w:r>
          </w:p>
        </w:tc>
      </w:tr>
      <w:tr>
        <w:trPr>
          <w:trHeight w:val="26"/>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7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43"/>
        </w:trPr>
        <w:tc>
          <w:tcPr>
            <w:tcW w:w="6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43"/>
        </w:trPr>
        <w:tc>
          <w:tcPr>
            <w:tcW w:w="6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73"/>
        </w:trPr>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7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6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3"/>
        </w:trPr>
        <w:tc>
          <w:tcPr>
            <w:tcW w:w="6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3"/>
        </w:trPr>
        <w:tc>
          <w:tcPr>
            <w:tcW w:w="6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486"/>
        </w:trPr>
        <w:tc>
          <w:tcPr>
            <w:tcW w:w="6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2">
            <w:col w:w="7220" w:space="720"/>
            <w:col w:w="3220"/>
          </w:cols>
          <w:pgMar w:left="380" w:top="1097" w:right="359" w:bottom="1440" w:gutter="0" w:footer="0" w:header="0"/>
          <w:type w:val="continuous"/>
        </w:sectPr>
      </w:pPr>
    </w:p>
    <w:bookmarkStart w:id="13" w:name="page14"/>
    <w:bookmarkEnd w:id="13"/>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5"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86" w:lineRule="exact"/>
        <w:rPr>
          <w:sz w:val="20"/>
          <w:szCs w:val="20"/>
          <w:color w:val="auto"/>
        </w:rPr>
      </w:pPr>
    </w:p>
    <w:p>
      <w:pPr>
        <w:ind w:left="73" w:right="120"/>
        <w:spacing w:after="0" w:line="229"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ectPr>
          <w:pgSz w:w="11900" w:h="16838" w:orient="portrait"/>
          <w:cols w:equalWidth="0" w:num="1">
            <w:col w:w="11313"/>
          </w:cols>
          <w:pgMar w:left="247"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loss</w:t>
      </w:r>
    </w:p>
    <w:p>
      <w:pPr>
        <w:spacing w:after="0" w:line="80"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3"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80"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4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(6)</w:t>
      </w:r>
    </w:p>
    <w:p>
      <w:pPr>
        <w:spacing w:after="0" w:line="22" w:lineRule="exact"/>
        <w:rPr>
          <w:sz w:val="20"/>
          <w:szCs w:val="20"/>
          <w:color w:val="auto"/>
        </w:rPr>
      </w:pPr>
    </w:p>
    <w:p>
      <w:pPr>
        <w:ind w:left="93" w:right="40"/>
        <w:spacing w:after="0" w:line="287" w:lineRule="auto"/>
        <w:rPr>
          <w:sz w:val="20"/>
          <w:szCs w:val="20"/>
          <w:color w:val="auto"/>
        </w:rPr>
      </w:pPr>
      <w:r>
        <w:rPr>
          <w:rFonts w:ascii="Arial" w:cs="Arial" w:eastAsia="Arial" w:hAnsi="Arial"/>
          <w:sz w:val="18"/>
          <w:szCs w:val="18"/>
          <w:color w:val="auto"/>
        </w:rPr>
        <w:t xml:space="preserve">Loss on asset impairment related to restructuring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Income tax (benefit) / expense</w:t>
      </w:r>
    </w:p>
    <w:p>
      <w:pPr>
        <w:spacing w:after="0" w:line="30"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(Gain) / loss on warrant liability revaluation, net </w:t>
      </w:r>
      <w:r>
        <w:rPr>
          <w:rFonts w:ascii="Arial" w:cs="Arial" w:eastAsia="Arial" w:hAnsi="Arial"/>
          <w:sz w:val="23"/>
          <w:szCs w:val="23"/>
          <w:color w:val="auto"/>
          <w:vertAlign w:val="superscript"/>
        </w:rPr>
        <w:t>(8)</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(Gain) / loss on debt extinguishment, net </w:t>
      </w:r>
      <w:r>
        <w:rPr>
          <w:rFonts w:ascii="Arial" w:cs="Arial" w:eastAsia="Arial" w:hAnsi="Arial"/>
          <w:sz w:val="23"/>
          <w:szCs w:val="23"/>
          <w:color w:val="auto"/>
          <w:vertAlign w:val="superscript"/>
        </w:rPr>
        <w:t>(9)</w:t>
      </w:r>
    </w:p>
    <w:p>
      <w:pPr>
        <w:spacing w:after="0" w:line="4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(10)</w:t>
      </w:r>
    </w:p>
    <w:p>
      <w:pPr>
        <w:spacing w:after="0" w:line="22"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(11)</w:t>
      </w:r>
    </w:p>
    <w:p>
      <w:pPr>
        <w:spacing w:after="0" w:line="83" w:lineRule="exact"/>
        <w:rPr>
          <w:sz w:val="20"/>
          <w:szCs w:val="20"/>
          <w:color w:val="auto"/>
        </w:rPr>
      </w:pPr>
    </w:p>
    <w:p>
      <w:pPr>
        <w:ind w:left="93"/>
        <w:spacing w:after="0"/>
        <w:rPr>
          <w:sz w:val="20"/>
          <w:szCs w:val="20"/>
          <w:color w:val="auto"/>
        </w:rPr>
      </w:pPr>
      <w:r>
        <w:rPr>
          <w:rFonts w:ascii="Arial" w:cs="Arial" w:eastAsia="Arial" w:hAnsi="Arial"/>
          <w:sz w:val="18"/>
          <w:szCs w:val="18"/>
          <w:color w:val="auto"/>
        </w:rPr>
        <w:t>Adjusted EBITDA</w:t>
      </w:r>
    </w:p>
    <w:p>
      <w:pPr>
        <w:spacing w:after="0" w:line="117"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8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October 31,</w:t>
            </w:r>
          </w:p>
        </w:tc>
      </w:tr>
      <w:tr>
        <w:trPr>
          <w:trHeight w:val="26"/>
        </w:trPr>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280" w:type="dxa"/>
            <w:vAlign w:val="bottom"/>
          </w:tcPr>
          <w:p>
            <w:pPr>
              <w:spacing w:after="0"/>
              <w:rPr>
                <w:sz w:val="18"/>
                <w:szCs w:val="18"/>
                <w:color w:val="auto"/>
              </w:rPr>
            </w:pPr>
          </w:p>
        </w:tc>
        <w:tc>
          <w:tcPr>
            <w:tcW w:w="12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6"/>
        </w:trPr>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280" w:type="dxa"/>
            <w:vAlign w:val="bottom"/>
          </w:tcPr>
          <w:p>
            <w:pPr>
              <w:spacing w:after="0"/>
              <w:rPr>
                <w:sz w:val="18"/>
                <w:szCs w:val="18"/>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r>
      <w:tr>
        <w:trPr>
          <w:trHeight w:val="282"/>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(172.5)</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43.7</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37.6</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14.6</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21.4</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4.0</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4.6</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(0.4)</w:t>
            </w:r>
          </w:p>
        </w:tc>
      </w:tr>
      <w:tr>
        <w:trPr>
          <w:trHeight w:val="297"/>
        </w:trPr>
        <w:tc>
          <w:tcPr>
            <w:tcW w:w="28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24.9</w:t>
            </w:r>
          </w:p>
        </w:tc>
      </w:tr>
      <w:tr>
        <w:trPr>
          <w:trHeight w:val="297"/>
        </w:trPr>
        <w:tc>
          <w:tcPr>
            <w:tcW w:w="28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12.2</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(3.9)</w:t>
            </w:r>
          </w:p>
        </w:tc>
      </w:tr>
      <w:tr>
        <w:trPr>
          <w:trHeight w:val="297"/>
        </w:trPr>
        <w:tc>
          <w:tcPr>
            <w:tcW w:w="28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40"/>
        </w:trPr>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(13.7)</w:t>
            </w:r>
          </w:p>
        </w:tc>
      </w:tr>
      <w:tr>
        <w:trPr>
          <w:trHeight w:val="40"/>
        </w:trPr>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247" w:lineRule="exact"/>
        <w:rPr>
          <w:sz w:val="20"/>
          <w:szCs w:val="20"/>
          <w:color w:val="auto"/>
        </w:rPr>
      </w:pPr>
    </w:p>
    <w:p>
      <w:pPr>
        <w:sectPr>
          <w:pgSz w:w="11900" w:h="16838" w:orient="portrait"/>
          <w:cols w:equalWidth="0" w:num="2">
            <w:col w:w="4213" w:space="720"/>
            <w:col w:w="6380"/>
          </w:cols>
          <w:pgMar w:left="247" w:top="1097" w:right="339" w:bottom="1440" w:gutter="0" w:footer="0" w:header="0"/>
          <w:type w:val="continuous"/>
        </w:sectPr>
      </w:pPr>
    </w:p>
    <w:p>
      <w:pPr>
        <w:spacing w:after="0" w:line="365" w:lineRule="exact"/>
        <w:rPr>
          <w:sz w:val="20"/>
          <w:szCs w:val="20"/>
          <w:color w:val="auto"/>
        </w:rPr>
      </w:pPr>
    </w:p>
    <w:p>
      <w:pPr>
        <w:ind w:left="333" w:right="80" w:hanging="333"/>
        <w:spacing w:after="0" w:line="278" w:lineRule="auto"/>
        <w:tabs>
          <w:tab w:leader="none" w:pos="326"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Includes debt discount amortization of $1.2 million in the three months ended October 31, 2022, $1.0 million in the three months ended October 31, 2021, $3.2 million in the nine months ended October 31, 2022 and $4.9 million in the nine months ended October 31, 2021.</w:t>
      </w:r>
    </w:p>
    <w:p>
      <w:pPr>
        <w:spacing w:after="0" w:line="53" w:lineRule="exact"/>
        <w:rPr>
          <w:rFonts w:ascii="Arial" w:cs="Arial" w:eastAsia="Arial" w:hAnsi="Arial"/>
          <w:sz w:val="9"/>
          <w:szCs w:val="9"/>
          <w:color w:val="auto"/>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124" w:lineRule="exact"/>
        <w:rPr>
          <w:rFonts w:ascii="Arial" w:cs="Arial" w:eastAsia="Arial" w:hAnsi="Arial"/>
          <w:sz w:val="19"/>
          <w:szCs w:val="19"/>
          <w:color w:val="auto"/>
          <w:vertAlign w:val="superscript"/>
        </w:rPr>
      </w:pPr>
    </w:p>
    <w:p>
      <w:pPr>
        <w:ind w:left="333" w:right="320" w:hanging="333"/>
        <w:spacing w:after="0" w:line="228"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 The three and nine months ended October 31, 2021 includes $14.4 million of costs incurred for one-time IPO-related RSU vesting events.</w:t>
      </w:r>
    </w:p>
    <w:p>
      <w:pPr>
        <w:spacing w:after="0" w:line="125"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9"/>
          <w:szCs w:val="9"/>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49" w:lineRule="exact"/>
        <w:rPr>
          <w:rFonts w:ascii="Arial" w:cs="Arial" w:eastAsia="Arial" w:hAnsi="Arial"/>
          <w:sz w:val="9"/>
          <w:szCs w:val="9"/>
          <w:color w:val="auto"/>
        </w:rPr>
      </w:pPr>
    </w:p>
    <w:p>
      <w:pPr>
        <w:ind w:left="333" w:hanging="333"/>
        <w:spacing w:after="0" w:line="256"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October 31, 2022 includes $0.3 million of costs related to public company SOX readiness and the three months ended October 31, 2021 includes $1.8 million of costs primarily associated with public readiness preparation. Non-recurring adjustments for the nine months ended October 31, 2022 includes $1.3 million of public company SOX readiness and for the nine months ended October 31, 2021 includes $4.5 million of costs primarily associated with public readiness preparation.</w:t>
      </w:r>
    </w:p>
    <w:p>
      <w:pPr>
        <w:spacing w:after="0" w:line="115"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1"/>
          <w:szCs w:val="11"/>
          <w:color w:val="auto"/>
        </w:rPr>
      </w:pPr>
      <w:r>
        <w:rPr>
          <w:rFonts w:ascii="Arial" w:cs="Arial" w:eastAsia="Arial" w:hAnsi="Arial"/>
          <w:sz w:val="14"/>
          <w:szCs w:val="14"/>
          <w:color w:val="auto"/>
        </w:rPr>
        <w:t>Reflects restructuring charges primarily related to severance and related costs in connection with the September 2022 restructuring plan.</w:t>
      </w:r>
    </w:p>
    <w:p>
      <w:pPr>
        <w:spacing w:after="0" w:line="149" w:lineRule="exact"/>
        <w:rPr>
          <w:rFonts w:ascii="Arial" w:cs="Arial" w:eastAsia="Arial" w:hAnsi="Arial"/>
          <w:sz w:val="11"/>
          <w:szCs w:val="11"/>
          <w:color w:val="auto"/>
        </w:rPr>
      </w:pPr>
    </w:p>
    <w:p>
      <w:pPr>
        <w:ind w:left="313" w:hanging="313"/>
        <w:spacing w:after="0"/>
        <w:tabs>
          <w:tab w:leader="none" w:pos="313" w:val="left"/>
        </w:tabs>
        <w:numPr>
          <w:ilvl w:val="0"/>
          <w:numId w:val="7"/>
        </w:numPr>
        <w:rPr>
          <w:rFonts w:ascii="Arial" w:cs="Arial" w:eastAsia="Arial" w:hAnsi="Arial"/>
          <w:sz w:val="11"/>
          <w:szCs w:val="11"/>
          <w:color w:val="auto"/>
        </w:rPr>
      </w:pPr>
      <w:r>
        <w:rPr>
          <w:rFonts w:ascii="Arial" w:cs="Arial" w:eastAsia="Arial" w:hAnsi="Arial"/>
          <w:sz w:val="14"/>
          <w:szCs w:val="14"/>
          <w:color w:val="auto"/>
        </w:rPr>
        <w:t>Reflects the asset impairment charge related to discontinuing a warehouse operations project in connection with the September 2022 restructuring plan.</w:t>
      </w:r>
    </w:p>
    <w:p>
      <w:pPr>
        <w:spacing w:after="0" w:line="149" w:lineRule="exact"/>
        <w:rPr>
          <w:rFonts w:ascii="Arial" w:cs="Arial" w:eastAsia="Arial" w:hAnsi="Arial"/>
          <w:sz w:val="11"/>
          <w:szCs w:val="11"/>
          <w:color w:val="auto"/>
        </w:rPr>
      </w:pPr>
    </w:p>
    <w:p>
      <w:pPr>
        <w:ind w:left="333" w:right="320" w:hanging="333"/>
        <w:spacing w:after="0" w:line="228" w:lineRule="auto"/>
        <w:tabs>
          <w:tab w:leader="none" w:pos="32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expense associated with revaluing prior liability classified lender warrants to the respective fair value at period end, or prior to conversion. As of October 31, 2022, all outstanding warrants are equity classified and therefore do not require remeasurement going forward.</w:t>
      </w:r>
    </w:p>
    <w:p>
      <w:pPr>
        <w:spacing w:after="0" w:line="79"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debt extinguishment costs related to debt paydown in the periods presented.</w:t>
      </w:r>
    </w:p>
    <w:p>
      <w:pPr>
        <w:spacing w:after="0" w:line="124" w:lineRule="exact"/>
        <w:rPr>
          <w:rFonts w:ascii="Arial" w:cs="Arial" w:eastAsia="Arial" w:hAnsi="Arial"/>
          <w:sz w:val="19"/>
          <w:szCs w:val="19"/>
          <w:color w:val="auto"/>
          <w:vertAlign w:val="superscript"/>
        </w:rPr>
      </w:pPr>
    </w:p>
    <w:p>
      <w:pPr>
        <w:ind w:left="333" w:right="100" w:hanging="333"/>
        <w:spacing w:after="0" w:line="228" w:lineRule="auto"/>
        <w:tabs>
          <w:tab w:leader="none" w:pos="324"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Primarily includes $1.4 million of monetized tax credits for the nine months ended October 31, 2022 and $4.0 million of insurance claim proceeds for the nine months ended October 31, 2021. Includes gains / losses recognized in relation to foreign exchange, operating lease</w:t>
      </w:r>
    </w:p>
    <w:p>
      <w:pPr>
        <w:sectPr>
          <w:pgSz w:w="11900" w:h="16838" w:orient="portrait"/>
          <w:cols w:equalWidth="0" w:num="1">
            <w:col w:w="11313"/>
          </w:cols>
          <w:pgMar w:left="247" w:top="1097" w:right="339" w:bottom="1440" w:gutter="0" w:footer="0" w:header="0"/>
          <w:type w:val="continuous"/>
        </w:sectPr>
      </w:pPr>
    </w:p>
    <w:bookmarkStart w:id="14" w:name="page15"/>
    <w:bookmarkEnd w:id="14"/>
    <w:p>
      <w:pPr>
        <w:ind w:left="333"/>
        <w:spacing w:after="0"/>
        <w:rPr>
          <w:sz w:val="20"/>
          <w:szCs w:val="20"/>
          <w:color w:val="auto"/>
        </w:rPr>
      </w:pPr>
      <w:r>
        <w:rPr>
          <w:rFonts w:ascii="Arial" w:cs="Arial" w:eastAsia="Arial" w:hAnsi="Arial"/>
          <w:sz w:val="14"/>
          <w:szCs w:val="14"/>
          <w:color w:val="auto"/>
        </w:rPr>
        <w:t>terminations and the related surrender of fixed assets (see “Note 5 - Leases – Lessee Accounting” in the Notes to the Condensed Consolidated Financial Statements).</w:t>
      </w:r>
    </w:p>
    <w:p>
      <w:pPr>
        <w:spacing w:after="0" w:line="90" w:lineRule="exact"/>
        <w:rPr>
          <w:sz w:val="20"/>
          <w:szCs w:val="20"/>
          <w:color w:val="auto"/>
        </w:rPr>
      </w:pPr>
    </w:p>
    <w:p>
      <w:pPr>
        <w:ind w:left="313" w:hanging="313"/>
        <w:spacing w:after="0"/>
        <w:tabs>
          <w:tab w:leader="none" w:pos="31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costs associated with the write-off of non-rental product asset disposals, operating lease termination and foreign exchange.</w:t>
      </w:r>
    </w:p>
    <w:p>
      <w:pPr>
        <w:spacing w:after="0" w:line="124"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8"/>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sectPr>
      <w:pgSz w:w="11900" w:h="16838" w:orient="portrait"/>
      <w:cols w:equalWidth="0" w:num="1">
        <w:col w:w="10913"/>
      </w:cols>
      <w:pgMar w:left="247" w:top="123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2022-12-07T15:24:58Z</dcterms:created>
  <dcterms:modified xsi:type="dcterms:W3CDTF">2022-12-07T15:24:58Z</dcterms:modified>
</cp:coreProperties>
</file>