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68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6839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NOVA DANIEL J</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Rent the Runway,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50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7"/>
                <w:szCs w:val="7"/>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00" w:type="dxa"/>
            <w:vAlign w:val="bottom"/>
            <w:gridSpan w:val="7"/>
            <w:vMerge w:val="continue"/>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46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HIGHLAND CAPITAL PARTNERS</w:t>
            </w: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07/13/2022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ONE BROADWAY, 16TH FLOOR</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380" w:type="dxa"/>
            <w:vAlign w:val="bottom"/>
            <w:gridSpan w:val="8"/>
            <w:vMerge w:val="continue"/>
          </w:tcPr>
          <w:p>
            <w:pPr>
              <w:spacing w:after="0"/>
              <w:rPr>
                <w:sz w:val="7"/>
                <w:szCs w:val="7"/>
                <w:color w:val="auto"/>
              </w:rPr>
            </w:pPr>
          </w:p>
        </w:tc>
        <w:tc>
          <w:tcPr>
            <w:tcW w:w="36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vMerge w:val="restart"/>
          </w:tcPr>
          <w:p>
            <w:pPr>
              <w:spacing w:after="0"/>
              <w:rPr>
                <w:sz w:val="6"/>
                <w:szCs w:val="6"/>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2"/>
          </w:tcPr>
          <w:p>
            <w:pPr>
              <w:ind w:left="400"/>
              <w:spacing w:after="0" w:line="146" w:lineRule="exact"/>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3"/>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8"/>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3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380"/>
              <w:spacing w:after="0" w:line="133" w:lineRule="exact"/>
              <w:rPr>
                <w:sz w:val="20"/>
                <w:szCs w:val="20"/>
                <w:color w:val="auto"/>
              </w:rPr>
            </w:pPr>
            <w:r>
              <w:rPr>
                <w:rFonts w:ascii="Arial" w:cs="Arial" w:eastAsia="Arial" w:hAnsi="Arial"/>
                <w:sz w:val="12"/>
                <w:szCs w:val="12"/>
                <w:b w:val="1"/>
                <w:bCs w:val="1"/>
                <w:color w:val="auto"/>
                <w:w w:val="93"/>
              </w:rPr>
              <w:t>(D) or</w:t>
            </w:r>
          </w:p>
        </w:tc>
        <w:tc>
          <w:tcPr>
            <w:tcW w:w="460" w:type="dxa"/>
            <w:vAlign w:val="bottom"/>
          </w:tcPr>
          <w:p>
            <w:pPr>
              <w:spacing w:after="0"/>
              <w:rPr>
                <w:sz w:val="11"/>
                <w:szCs w:val="11"/>
                <w:color w:val="auto"/>
              </w:rPr>
            </w:pP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8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1160" w:type="dxa"/>
            <w:vAlign w:val="bottom"/>
            <w:gridSpan w:val="2"/>
            <w:vMerge w:val="restart"/>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1260" w:type="dxa"/>
            <w:vAlign w:val="bottom"/>
            <w:gridSpan w:val="4"/>
            <w:vMerge w:val="restart"/>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07/13/2022</w:t>
            </w: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14,758</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left="233"/>
              <w:spacing w:after="0"/>
              <w:rPr>
                <w:sz w:val="20"/>
                <w:szCs w:val="20"/>
                <w:color w:val="auto"/>
              </w:rPr>
            </w:pPr>
            <w:r>
              <w:rPr>
                <w:rFonts w:ascii="Times New Roman" w:cs="Times New Roman" w:eastAsia="Times New Roman" w:hAnsi="Times New Roman"/>
                <w:sz w:val="17"/>
                <w:szCs w:val="17"/>
                <w:color w:val="0000FF"/>
                <w:w w:val="98"/>
              </w:rPr>
              <w:t>14,758</w:t>
            </w:r>
          </w:p>
        </w:tc>
        <w:tc>
          <w:tcPr>
            <w:tcW w:w="7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7"/>
                <w:szCs w:val="17"/>
                <w:color w:val="0000FF"/>
              </w:rPr>
              <w:t>1,119,970</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gridSpan w:val="2"/>
            <w:vMerge w:val="restart"/>
          </w:tcPr>
          <w:p>
            <w:pPr>
              <w:jc w:val="center"/>
              <w:ind w:left="233"/>
              <w:spacing w:after="0"/>
              <w:rPr>
                <w:sz w:val="20"/>
                <w:szCs w:val="20"/>
                <w:color w:val="auto"/>
              </w:rPr>
            </w:pPr>
            <w:r>
              <w:rPr>
                <w:rFonts w:ascii="Times New Roman" w:cs="Times New Roman" w:eastAsia="Times New Roman" w:hAnsi="Times New Roman"/>
                <w:sz w:val="17"/>
                <w:szCs w:val="17"/>
                <w:color w:val="0000FF"/>
                <w:w w:val="98"/>
              </w:rPr>
              <w:t>47,885</w:t>
            </w:r>
          </w:p>
        </w:tc>
        <w:tc>
          <w:tcPr>
            <w:tcW w:w="7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520" w:type="dxa"/>
            <w:vAlign w:val="bottom"/>
            <w:tcBorders>
              <w:top w:val="single" w:sz="8" w:color="2C2C2C"/>
            </w:tcBorders>
            <w:gridSpan w:val="3"/>
            <w:vMerge w:val="restart"/>
          </w:tcPr>
          <w:p>
            <w:pPr>
              <w:jc w:val="center"/>
              <w:ind w:right="320"/>
              <w:spacing w:after="0"/>
              <w:rPr>
                <w:sz w:val="20"/>
                <w:szCs w:val="20"/>
                <w:color w:val="auto"/>
              </w:rPr>
            </w:pPr>
            <w:r>
              <w:rPr>
                <w:rFonts w:ascii="Times New Roman" w:cs="Times New Roman" w:eastAsia="Times New Roman" w:hAnsi="Times New Roman"/>
                <w:sz w:val="17"/>
                <w:szCs w:val="17"/>
                <w:color w:val="0000FF"/>
              </w:rPr>
              <w:t>3,088,560</w:t>
            </w:r>
          </w:p>
        </w:tc>
        <w:tc>
          <w:tcPr>
            <w:tcW w:w="46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Times New Roman" w:cs="Times New Roman" w:eastAsia="Times New Roman" w:hAnsi="Times New Roman"/>
                <w:sz w:val="17"/>
                <w:szCs w:val="17"/>
                <w:color w:val="0000FF"/>
              </w:rPr>
              <w:t>847,978</w:t>
            </w:r>
          </w:p>
        </w:tc>
        <w:tc>
          <w:tcPr>
            <w:tcW w:w="46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94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4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5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an award of restricted stock units ("RSUs"), each of which represents a contingent right to receive one share of the Issuer's Class A Common Stock. This award is granted as part of the Reporting Person's annual equity award under the Company's Non-employee Director Compensation Program. 100% of this award will vest on the earlier of 1) the one year anniversary of the grant date or 2) the date of the next Annual Meeting of Stockholders, subject to the Reporting Person's continuous service as a member of the Board of Directors on such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Highland Capital Partners VIII-C Limited Partnership ("Highland Capital VIII-C").</w:t>
      </w:r>
    </w:p>
    <w:p>
      <w:pPr>
        <w:spacing w:after="0" w:line="50" w:lineRule="exact"/>
        <w:rPr>
          <w:rFonts w:ascii="Times New Roman" w:cs="Times New Roman" w:eastAsia="Times New Roman" w:hAnsi="Times New Roman"/>
          <w:sz w:val="13"/>
          <w:szCs w:val="13"/>
          <w:color w:val="008000"/>
        </w:rPr>
      </w:pPr>
    </w:p>
    <w:p>
      <w:pPr>
        <w:ind w:left="40" w:right="1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Highland Management Partners VIII Limited ("HMP VIII Ltd") is the general partner of Highland Management Partners VIII Limited Partnership ("HMP VIII LP"), which is the general partner of each of Highland Capital VIII-B, Highland Capital VIII-C and Highland Capital VIII (collectively, the "Highland VIII Funds"). The Reporting Person is a Director of HMP VIII Ltd and may be deemed to have voting and dispositive power over the shares held by each of the Highland VIII Funds. The Reporting Person disclaims beneficial ownership of the securities held by each of the Highland VIII Funds, except to the extent of the Reporting Person's pecuniary interest therein, and the filing of this statement shall not be deemed to be an admission that, for purposes of Section 16 of the Securities Exchange Act of 1934 or otherwise, the Reporting Person is the beneficial owner of any securities reported herein.</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Highland Capital Partners VIII-B Limited Partnership ("Highland Capital VIII-B").</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Highland Capital Partners VIII Limited Partnership ("Highland Capital VIII").</w:t>
      </w:r>
    </w:p>
    <w:p>
      <w:pPr>
        <w:spacing w:after="0" w:line="50"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Highland Leaders Fund I, L.P. ("HLF I"). The general partner of HLF I is Highland Leaders Fund I GP, L.P. ("HLF I GP LP"), whose general partner is Highland Leaders Fund I GP, LLC ("HLF I GP LLC"). The Reporting Person is a Managing Member of HLF I GP LLC and may be deemed to have voting and dispositive power over the shares held by HLF I. The Reporting Person disclaims beneficial ownership of the securities held by HLF I, except to the extent of the Reporting Person's pecuniary interest therein, and the filing of this statement shall not be deemed to be an admission that, for purposes of Section 16 of the Securities Exchange Act of 1934 or otherwise, the Reporting Person is the beneficial owner of any securities reported herein.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Daniel J.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7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71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27730"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2022-07-15T16:50:14Z</dcterms:created>
  <dcterms:modified xsi:type="dcterms:W3CDTF">2022-07-15T16:50:14Z</dcterms:modified>
</cp:coreProperties>
</file>