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03/03/2023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03/03/2023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2,441</w:t>
            </w:r>
            <w:r>
              <w:rPr>
                <w:rFonts w:ascii="Times New Roman" w:cs="Times New Roman" w:eastAsia="Times New Roman" w:hAnsi="Times New Roman"/>
                <w:sz w:val="22"/>
                <w:szCs w:val="22"/>
                <w:color w:val="008000"/>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3.4048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253,431</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60" w:type="dxa"/>
            <w:vAlign w:val="bottom"/>
            <w:tcBorders>
              <w:bottom w:val="single" w:sz="8" w:color="2C2C2C"/>
            </w:tcBorders>
          </w:tcPr>
          <w:p>
            <w:pPr>
              <w:jc w:val="center"/>
              <w:ind w:right="69"/>
              <w:spacing w:after="0"/>
              <w:rPr>
                <w:sz w:val="20"/>
                <w:szCs w:val="20"/>
                <w:color w:val="auto"/>
              </w:rPr>
            </w:pPr>
            <w:r>
              <w:rPr>
                <w:rFonts w:ascii="Times New Roman" w:cs="Times New Roman" w:eastAsia="Times New Roman" w:hAnsi="Times New Roman"/>
                <w:sz w:val="17"/>
                <w:szCs w:val="17"/>
                <w:color w:val="0000FF"/>
              </w:rPr>
              <w:t>888</w:t>
            </w:r>
            <w:r>
              <w:rPr>
                <w:rFonts w:ascii="Times New Roman" w:cs="Times New Roman" w:eastAsia="Times New Roman" w:hAnsi="Times New Roman"/>
                <w:sz w:val="22"/>
                <w:szCs w:val="22"/>
                <w:color w:val="008000"/>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0.4867</w:t>
            </w:r>
            <w:r>
              <w:rPr>
                <w:rFonts w:ascii="Times New Roman" w:cs="Times New Roman" w:eastAsia="Times New Roman" w:hAnsi="Times New Roman"/>
                <w:sz w:val="22"/>
                <w:szCs w:val="22"/>
                <w:color w:val="008000"/>
                <w:vertAlign w:val="superscript"/>
              </w:rPr>
              <w:t>(6)</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252,543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contained in the award agreement dated June 6,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$3.23 to $3.49,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Form 4s subsequent to February 1, 2023 understated the number of shares of Class A common stock held by the Reporting Person by 15 shares, which has been corrected herein.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$0.475 to $0.4938,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00"/>
          </w:cols>
          <w:pgMar w:left="460" w:top="219" w:right="43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220"/>
          </w:cols>
          <w:pgMar w:left="460" w:top="219" w:right="4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61707"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2024-02-07T20:18:19Z</dcterms:created>
  <dcterms:modified xsi:type="dcterms:W3CDTF">2024-02-07T20:18:19Z</dcterms:modified>
</cp:coreProperties>
</file>