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Bjorn Sperber</w:t>
              <w:br/>
              <w:t>11111 Santa Monica Blvd, Ste 350</w:t>
              <w:br/>
              <w:t>Los Angeles, CA, 90025</w:t>
              <w:br/>
              <w:t>(424) 330-8820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Gateway Runway,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Gateway Runway Intermediate Holdings,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Special Situations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Special Situations III (Cayman)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Special Situations GP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Partners 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6"/>
        <w:gridCol w:w="7909"/>
      </w:tblGrid>
      <w:tr>
        <w:trPr/>
        <w:tc>
          <w:tcPr>
            <w:tcW w:w="2296" w:type="dxa"/>
            <w:tcBorders/>
            <w:vAlign w:val="center"/>
          </w:tcPr>
          <w:p>
            <w:pPr>
              <w:pStyle w:val="TableContents"/>
              <w:bidi w:val="0"/>
              <w:spacing w:before="0" w:after="283"/>
              <w:jc w:val="left"/>
              <w:rPr/>
            </w:pPr>
            <w:r>
              <w:rPr/>
              <w:t>1</w:t>
            </w:r>
          </w:p>
        </w:tc>
        <w:tc>
          <w:tcPr>
            <w:tcW w:w="790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Damian Giangiacomo</w:t>
            </w:r>
          </w:p>
        </w:tc>
      </w:tr>
      <w:tr>
        <w:trPr/>
        <w:tc>
          <w:tcPr>
            <w:tcW w:w="2296" w:type="dxa"/>
            <w:tcBorders/>
            <w:vAlign w:val="center"/>
          </w:tcPr>
          <w:p>
            <w:pPr>
              <w:pStyle w:val="TableContents"/>
              <w:bidi w:val="0"/>
              <w:spacing w:before="0" w:after="283"/>
              <w:jc w:val="left"/>
              <w:rPr/>
            </w:pPr>
            <w:r>
              <w:rPr/>
              <w:t>2</w:t>
            </w:r>
          </w:p>
        </w:tc>
        <w:tc>
          <w:tcPr>
            <w:tcW w:w="790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6" w:type="dxa"/>
            <w:tcBorders/>
            <w:vAlign w:val="center"/>
          </w:tcPr>
          <w:p>
            <w:pPr>
              <w:pStyle w:val="TableContents"/>
              <w:bidi w:val="0"/>
              <w:spacing w:before="0" w:after="283"/>
              <w:jc w:val="left"/>
              <w:rPr/>
            </w:pPr>
            <w:r>
              <w:rPr/>
              <w:t>3</w:t>
            </w:r>
          </w:p>
        </w:tc>
        <w:tc>
          <w:tcPr>
            <w:tcW w:w="7909" w:type="dxa"/>
            <w:tcBorders/>
            <w:vAlign w:val="center"/>
          </w:tcPr>
          <w:p>
            <w:pPr>
              <w:pStyle w:val="TableContents"/>
              <w:bidi w:val="0"/>
              <w:spacing w:before="0" w:after="283"/>
              <w:jc w:val="left"/>
              <w:rPr/>
            </w:pPr>
            <w:r>
              <w:rPr/>
              <w:t>SEC use only</w:t>
            </w:r>
          </w:p>
        </w:tc>
      </w:tr>
      <w:tr>
        <w:trPr/>
        <w:tc>
          <w:tcPr>
            <w:tcW w:w="2296" w:type="dxa"/>
            <w:tcBorders/>
            <w:vAlign w:val="center"/>
          </w:tcPr>
          <w:p>
            <w:pPr>
              <w:pStyle w:val="TableContents"/>
              <w:bidi w:val="0"/>
              <w:spacing w:before="0" w:after="283"/>
              <w:jc w:val="left"/>
              <w:rPr/>
            </w:pPr>
            <w:r>
              <w:rPr/>
              <w:t>4</w:t>
            </w:r>
          </w:p>
        </w:tc>
        <w:tc>
          <w:tcPr>
            <w:tcW w:w="790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6" w:type="dxa"/>
            <w:tcBorders/>
            <w:vAlign w:val="center"/>
          </w:tcPr>
          <w:p>
            <w:pPr>
              <w:pStyle w:val="TableContents"/>
              <w:bidi w:val="0"/>
              <w:spacing w:before="0" w:after="283"/>
              <w:jc w:val="left"/>
              <w:rPr/>
            </w:pPr>
            <w:r>
              <w:rPr/>
              <w:t>5</w:t>
            </w:r>
          </w:p>
        </w:tc>
        <w:tc>
          <w:tcPr>
            <w:tcW w:w="790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6" w:type="dxa"/>
            <w:tcBorders/>
            <w:vAlign w:val="center"/>
          </w:tcPr>
          <w:p>
            <w:pPr>
              <w:pStyle w:val="TableContents"/>
              <w:bidi w:val="0"/>
              <w:spacing w:before="0" w:after="283"/>
              <w:jc w:val="left"/>
              <w:rPr/>
            </w:pPr>
            <w:r>
              <w:rPr/>
              <w:t>6</w:t>
            </w:r>
          </w:p>
        </w:tc>
        <w:tc>
          <w:tcPr>
            <w:tcW w:w="790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09"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11</w:t>
            </w:r>
          </w:p>
        </w:tc>
        <w:tc>
          <w:tcPr>
            <w:tcW w:w="790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6" w:type="dxa"/>
            <w:tcBorders/>
            <w:vAlign w:val="center"/>
          </w:tcPr>
          <w:p>
            <w:pPr>
              <w:pStyle w:val="TableContents"/>
              <w:bidi w:val="0"/>
              <w:spacing w:before="0" w:after="283"/>
              <w:jc w:val="left"/>
              <w:rPr/>
            </w:pPr>
            <w:r>
              <w:rPr/>
              <w:t>12</w:t>
            </w:r>
          </w:p>
        </w:tc>
        <w:tc>
          <w:tcPr>
            <w:tcW w:w="790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6" w:type="dxa"/>
            <w:tcBorders/>
            <w:vAlign w:val="center"/>
          </w:tcPr>
          <w:p>
            <w:pPr>
              <w:pStyle w:val="TableContents"/>
              <w:bidi w:val="0"/>
              <w:spacing w:before="0" w:after="283"/>
              <w:jc w:val="left"/>
              <w:rPr/>
            </w:pPr>
            <w:r>
              <w:rPr/>
              <w:t>13</w:t>
            </w:r>
          </w:p>
        </w:tc>
        <w:tc>
          <w:tcPr>
            <w:tcW w:w="790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6" w:type="dxa"/>
            <w:tcBorders/>
            <w:vAlign w:val="center"/>
          </w:tcPr>
          <w:p>
            <w:pPr>
              <w:pStyle w:val="TableContents"/>
              <w:bidi w:val="0"/>
              <w:spacing w:before="0" w:after="283"/>
              <w:jc w:val="left"/>
              <w:rPr/>
            </w:pPr>
            <w:r>
              <w:rPr/>
              <w:t>14</w:t>
            </w:r>
          </w:p>
        </w:tc>
        <w:tc>
          <w:tcPr>
            <w:tcW w:w="790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Michael Cohen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Daniel Flesh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Item 1.</w:t>
            </w:r>
          </w:p>
        </w:tc>
        <w:tc>
          <w:tcPr>
            <w:tcW w:w="9026" w:type="dxa"/>
            <w:tcBorders/>
            <w:vAlign w:val="center"/>
          </w:tcPr>
          <w:p>
            <w:pPr>
              <w:pStyle w:val="TableContents"/>
              <w:bidi w:val="0"/>
              <w:spacing w:before="0" w:after="283"/>
              <w:jc w:val="left"/>
              <w:rPr/>
            </w:pPr>
            <w:r>
              <w:rPr/>
              <w:t>Security and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 11201.</w:t>
            </w:r>
          </w:p>
        </w:tc>
      </w:tr>
      <w:tr>
        <w:trPr/>
        <w:tc>
          <w:tcPr>
            <w:tcW w:w="1179" w:type="dxa"/>
            <w:tcBorders/>
            <w:vAlign w:val="center"/>
          </w:tcPr>
          <w:p>
            <w:pPr>
              <w:pStyle w:val="TableContents"/>
              <w:bidi w:val="0"/>
              <w:spacing w:before="0" w:after="283"/>
              <w:jc w:val="left"/>
              <w:rPr/>
            </w:pPr>
            <w:r>
              <w:rPr/>
              <w:t>Item 4.</w:t>
            </w:r>
          </w:p>
        </w:tc>
        <w:tc>
          <w:tcPr>
            <w:tcW w:w="9026" w:type="dxa"/>
            <w:tcBorders/>
            <w:vAlign w:val="center"/>
          </w:tcPr>
          <w:p>
            <w:pPr>
              <w:pStyle w:val="TableContents"/>
              <w:bidi w:val="0"/>
              <w:spacing w:before="0" w:after="283"/>
              <w:jc w:val="left"/>
              <w:rPr/>
            </w:pPr>
            <w:r>
              <w:rPr/>
              <w:t>Purpose of Transaction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4 of the Schedule 13D is hereby amended and supplemented as follows: The information set forth in Item 6 of this Schedule 13D is incorporated by reference into this Item 4.</w:t>
            </w:r>
          </w:p>
        </w:tc>
      </w:tr>
      <w:tr>
        <w:trPr/>
        <w:tc>
          <w:tcPr>
            <w:tcW w:w="1179" w:type="dxa"/>
            <w:tcBorders/>
            <w:vAlign w:val="center"/>
          </w:tcPr>
          <w:p>
            <w:pPr>
              <w:pStyle w:val="TableContents"/>
              <w:bidi w:val="0"/>
              <w:spacing w:before="0" w:after="283"/>
              <w:jc w:val="left"/>
              <w:rPr/>
            </w:pPr>
            <w:r>
              <w:rPr/>
              <w:t>Item 5.</w:t>
            </w:r>
          </w:p>
        </w:tc>
        <w:tc>
          <w:tcPr>
            <w:tcW w:w="9026" w:type="dxa"/>
            <w:tcBorders/>
            <w:vAlign w:val="center"/>
          </w:tcPr>
          <w:p>
            <w:pPr>
              <w:pStyle w:val="TableContents"/>
              <w:bidi w:val="0"/>
              <w:spacing w:before="0" w:after="283"/>
              <w:jc w:val="left"/>
              <w:rPr/>
            </w:pPr>
            <w:r>
              <w:rPr/>
              <w:t>Interest in Securities of the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Items 5(a)-(c) of the Schedule 13D are hereby amended and supplemented as follows: The beneficial ownership percentages reported herein are based on 33,774,121 shares of Class A Common Stock outstanding as of September 4, 2026, as reported by the Issuer in its Quarterly Report on Form 10-Q filed with the Securities and Exchange Commission on September 11, 2026. Gateway Runway directly holds 4,274,394 shares of Class A Common Stock. Gateway Runway is jointly owned by Gateway Runway Intermediate and Nexus SS III. Nexus SS III Cayman is the limited partner of Nexus SS III. Nexus Capital Management is the investment manager of Nexus SS III and Nexus SS III Cayman. Nexus SS GP III is the general partner of Nexus SS III and Nexus SS III Cayman. Nexus Partners is the general partner of Nexus SS GP III. Mr. Giangiacomo, Mr. Cohen and Mr. Flesh are the owners of Nexus Capital Management and Nexus Partners.</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The information set forth in the cover pages of this Schedule 13D is incorporated by reference into this Item 5(b). Based on filings made by Story3 and CHS US Investments, the Reporting Persons believe Story3 has beneficial ownership of 4,274,394 shares of Class A Common Stock, or 12.7% of the Issuer's outstanding shares of Class A Common Stock, and CHS US Investments has beneficial ownership of 19,983,656 shares of Class A Common Stock, or 59.2% of the Issuer's outstanding shares of Class A Common Stock. Accordingly, the Reporting Persons believe that collectively, the Reporting Persons, Story3, and CHS US Investments have beneficial ownership of 28,532,444 shares of Class A Common Stock, or approximately 84.5% of the Issuer's outstanding shares of Class A Common Stock. The Reporting Persons expressly disclaim the existence of, or membership in a "group" within the meaning of Section 13(d)(3) of the Act and Rule 13d-5(b) thereunder with Story3 or CHS US Investments, as well as beneficial ownership with respect to any shares of Class A Common Stock beneficially owned by Story3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None of the Reporting Persons has effected any transaction with respect to the Class A Common Stock in the past 60 days.</w:t>
            </w:r>
          </w:p>
        </w:tc>
      </w:tr>
      <w:tr>
        <w:trPr/>
        <w:tc>
          <w:tcPr>
            <w:tcW w:w="1179" w:type="dxa"/>
            <w:tcBorders/>
            <w:vAlign w:val="center"/>
          </w:tcPr>
          <w:p>
            <w:pPr>
              <w:pStyle w:val="TableContents"/>
              <w:bidi w:val="0"/>
              <w:spacing w:before="0" w:after="283"/>
              <w:jc w:val="left"/>
              <w:rPr/>
            </w:pPr>
            <w:r>
              <w:rPr/>
              <w:t>Item 6.</w:t>
            </w:r>
          </w:p>
        </w:tc>
        <w:tc>
          <w:tcPr>
            <w:tcW w:w="902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6 of the Schedule 13D is hereby amended and supplemented as follows: New Credit Agreement Amendment On September 1, 2026, the Investor Group, CHS US Management, the Issuer and the other parties thereto entered into the Third Amendment to the Amended and Restated Credit Agreement (the "Third Amendment"), which amends the New Credit Agreement. The Third Amendment establishes an incremental term loan facility in the aggregate principal amount of $10 million provided to the Issuer by APS RTR Blocker Inc., an affiliate of CHS US Investments, Gateway Runway, and Story3. The foregoing description of the Third Amendment is qualified in its entirety by reference to the full text thereof, a copy of which is attached hereto as Exhibit 99.8 and incorporated herein by reference. Rights Offering Backstop Agreement On September 11, 2026, the Issuer announced a $15 million rights offering (the "Rights Offering"). In connection with the Rights Offering, the Investor Group entered into the Rights Offering Backstop Agreement, dated September 11, 2026 (the "Rights Offering Backstop Agreement"), pursuant to which the Investor Group agreed to purchase from the Issuer all unsubscribed shares of Class A Common Stock to be issued in connection with the Rights Offering on the terms and subject to the conditions set forth in the Rights Offering Backstop Agreement. The purchase price of the shares purchased pursuant to the Rights Offering Backstop Agreement will be the greater of (i) $3.55, which represents the volume weighted average price of the Class A Common Stock for the 15-day trading period ending on the second trading day preceding the date of the Rights Offering Backstop Agreement and (ii) the volume weighted average price of the Class A Common Stock for the 15-day trading period through and including the record date of the Rights Offering. The foregoing description of the Rights Offering Backstop Agreement is qualified in its entirety by reference to the full text thereof, a copy of which is attached hereto as Exhibit 99.9 and incorporated herein by reference.</w:t>
            </w:r>
          </w:p>
        </w:tc>
      </w:tr>
      <w:tr>
        <w:trPr/>
        <w:tc>
          <w:tcPr>
            <w:tcW w:w="1179" w:type="dxa"/>
            <w:tcBorders/>
            <w:vAlign w:val="center"/>
          </w:tcPr>
          <w:p>
            <w:pPr>
              <w:pStyle w:val="TableContents"/>
              <w:bidi w:val="0"/>
              <w:spacing w:before="0" w:after="283"/>
              <w:jc w:val="left"/>
              <w:rPr/>
            </w:pPr>
            <w:r>
              <w:rPr/>
              <w:t>Item 7.</w:t>
            </w:r>
          </w:p>
        </w:tc>
        <w:tc>
          <w:tcPr>
            <w:tcW w:w="9026" w:type="dxa"/>
            <w:tcBorders/>
            <w:vAlign w:val="center"/>
          </w:tcPr>
          <w:p>
            <w:pPr>
              <w:pStyle w:val="TableContents"/>
              <w:bidi w:val="0"/>
              <w:spacing w:before="0" w:after="283"/>
              <w:jc w:val="left"/>
              <w:rPr/>
            </w:pPr>
            <w:r>
              <w:rPr/>
              <w:t>Material to be Filed as Exhibits.</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7 of the Schedule 13D is hereby amended and supplemented as follows: Exhibit 99.8 - Third Amendment to Amended and Restated Credit Agreement (incorporated by reference to Exhibit 10.1 of the Issuer's Current Report on Form 8-K filed on September 1, 2026) Exhibit 99.9 - Rights Offering Backstop Agreement (incorporated by reference to Exhibit 10.1 of the Issuer's Current Report on Form 8-K filed on September 11,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Gateway Runway,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1"/>
        <w:gridCol w:w="4184"/>
      </w:tblGrid>
      <w:tr>
        <w:trPr/>
        <w:tc>
          <w:tcPr>
            <w:tcW w:w="60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Damian Giangiacomo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Damian Giangiacomo,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84" w:type="dxa"/>
            <w:tcBorders/>
            <w:vAlign w:val="center"/>
          </w:tcPr>
          <w:p>
            <w:pPr>
              <w:pStyle w:val="TableContents"/>
              <w:bidi w:val="0"/>
              <w:spacing w:before="0" w:after="283"/>
              <w:jc w:val="left"/>
              <w:rPr>
                <w:sz w:val="4"/>
                <w:szCs w:val="4"/>
              </w:rPr>
            </w:pPr>
            <w:r>
              <w:rPr>
                <w:sz w:val="4"/>
                <w:szCs w:val="4"/>
              </w:rPr>
            </w:r>
          </w:p>
        </w:tc>
      </w:tr>
    </w:tbl>
    <w:tbl>
      <w:tblPr>
        <w:tblW w:w="9384" w:type="dxa"/>
        <w:jc w:val="left"/>
        <w:tblInd w:w="0" w:type="dxa"/>
        <w:tblLayout w:type="fixed"/>
        <w:tblCellMar>
          <w:top w:w="28" w:type="dxa"/>
          <w:left w:w="28" w:type="dxa"/>
          <w:bottom w:w="28" w:type="dxa"/>
          <w:right w:w="28" w:type="dxa"/>
        </w:tblCellMar>
      </w:tblPr>
      <w:tblGrid>
        <w:gridCol w:w="4692"/>
        <w:gridCol w:w="4692"/>
      </w:tblGrid>
      <w:tr>
        <w:trPr/>
        <w:tc>
          <w:tcPr>
            <w:tcW w:w="4692" w:type="dxa"/>
            <w:tcBorders/>
            <w:vAlign w:val="center"/>
          </w:tcPr>
          <w:p>
            <w:pPr>
              <w:pStyle w:val="TableContents"/>
              <w:bidi w:val="0"/>
              <w:spacing w:before="0" w:after="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0"/>
                    <w:jc w:val="left"/>
                    <w:rPr/>
                  </w:pPr>
                  <w:r>
                    <w:rPr/>
                    <w:t>Gateway Runway Intermediate Holdings, Inc.</w:t>
                  </w:r>
                </w:p>
              </w:tc>
            </w:tr>
          </w:tbl>
          <w:p>
            <w:pPr>
              <w:pStyle w:val="TableContents"/>
              <w:bidi w:val="0"/>
              <w:spacing w:before="0" w:after="283"/>
              <w:jc w:val="left"/>
              <w:rPr/>
            </w:pPr>
            <w:r>
              <w:rPr/>
            </w:r>
          </w:p>
        </w:tc>
        <w:tc>
          <w:tcPr>
            <w:tcW w:w="46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1"/>
        <w:gridCol w:w="4184"/>
      </w:tblGrid>
      <w:tr>
        <w:trPr/>
        <w:tc>
          <w:tcPr>
            <w:tcW w:w="60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Damian Giangiacomo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Damian Giangiacomo,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8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Nexus Special Situations III, L.P.</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Nexus Special Situations III (Cayman)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Nexus Capital Management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Nexus Special Situations GP III, L.P.</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Nexus Partners III,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9"/>
        <w:gridCol w:w="4186"/>
      </w:tblGrid>
      <w:tr>
        <w:trPr/>
        <w:tc>
          <w:tcPr>
            <w:tcW w:w="60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Damian Giangiacomo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Damian Giangiacomo,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86"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Damian Giangiacomo</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0"/>
        <w:gridCol w:w="4215"/>
      </w:tblGrid>
      <w:tr>
        <w:trPr/>
        <w:tc>
          <w:tcPr>
            <w:tcW w:w="59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Damian Giangiacomo</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Damian Giangiacomo</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15"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Michael Cohen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Cohen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Cohen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Daniel Flesh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1"/>
        <w:gridCol w:w="4464"/>
      </w:tblGrid>
      <w:tr>
        <w:trPr/>
        <w:tc>
          <w:tcPr>
            <w:tcW w:w="57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Daniel Flesh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Daniel Flesh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2643</Words>
  <Characters>13766</Characters>
  <CharactersWithSpaces>16174</CharactersWithSpaces>
  <Paragraphs>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