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860"/>
        <w:spacing w:after="0" w:line="266" w:lineRule="auto"/>
        <w:rPr>
          <w:sz w:val="20"/>
          <w:szCs w:val="20"/>
          <w:color w:val="auto"/>
        </w:rPr>
      </w:pPr>
      <w:r>
        <w:rPr>
          <w:rFonts w:ascii="Times New Roman" w:cs="Times New Roman" w:eastAsia="Times New Roman" w:hAnsi="Times New Roman"/>
          <w:sz w:val="18"/>
          <w:szCs w:val="18"/>
          <w:color w:val="auto"/>
        </w:rPr>
        <w:t>On April 15, 2025, Rent the Runway, Inc. (the “Company”) issued a press release announcing its financial results for the quarter and year ended January 31, 2025.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April 15, 2025</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April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Fourth Quarter and Full Year 2024 Results</w:t>
      </w:r>
    </w:p>
    <w:p>
      <w:pPr>
        <w:spacing w:after="0" w:line="287" w:lineRule="exact"/>
        <w:rPr>
          <w:sz w:val="20"/>
          <w:szCs w:val="20"/>
          <w:color w:val="auto"/>
        </w:rPr>
      </w:pPr>
    </w:p>
    <w:p>
      <w:pPr>
        <w:jc w:val="center"/>
        <w:spacing w:after="0" w:line="300" w:lineRule="auto"/>
        <w:rPr>
          <w:sz w:val="20"/>
          <w:szCs w:val="20"/>
          <w:color w:val="auto"/>
        </w:rPr>
      </w:pPr>
      <w:r>
        <w:rPr>
          <w:rFonts w:ascii="Arial" w:cs="Arial" w:eastAsia="Arial" w:hAnsi="Arial"/>
          <w:sz w:val="20"/>
          <w:szCs w:val="20"/>
          <w:color w:val="auto"/>
        </w:rPr>
        <w:t>Cash and Cash Equivalents Declined $6.6 million in Fiscal Year 2024 Versus a Decline of $70.5 million in Fiscal Year 2023, Resulting in Record Low Cash Consumption in Fiscal Year 2024.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Announces Largest Inventory Acquisition in Company History; Rollout Planned in FY 2025</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Expects a Return to Subscriber Growth in FY 2025</w:t>
      </w:r>
    </w:p>
    <w:p>
      <w:pPr>
        <w:spacing w:after="0" w:line="281"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New York (April 15, 2025) </w:t>
      </w:r>
      <w:r>
        <w:rPr>
          <w:rFonts w:ascii="Arial" w:cs="Arial" w:eastAsia="Arial" w:hAnsi="Arial"/>
          <w:sz w:val="20"/>
          <w:szCs w:val="20"/>
          <w:color w:val="auto"/>
        </w:rPr>
        <w:t>- Rent the Runway, Inc. (“Rent the Runway” or "RTR") (NASDAQ: RENT), the company transforming</w:t>
      </w:r>
      <w:r>
        <w:rPr>
          <w:rFonts w:ascii="Arial" w:cs="Arial" w:eastAsia="Arial" w:hAnsi="Arial"/>
          <w:sz w:val="20"/>
          <w:szCs w:val="20"/>
          <w:b w:val="1"/>
          <w:bCs w:val="1"/>
          <w:color w:val="auto"/>
        </w:rPr>
        <w:t xml:space="preserve"> </w:t>
      </w:r>
      <w:r>
        <w:rPr>
          <w:rFonts w:ascii="Arial" w:cs="Arial" w:eastAsia="Arial" w:hAnsi="Arial"/>
          <w:sz w:val="20"/>
          <w:szCs w:val="20"/>
          <w:color w:val="auto"/>
        </w:rPr>
        <w:t>the way women get dressed by pioneering the world’s first Closet in the Cloud, today reported financial results for the fiscal quarter and fiscal year 2024 ended January 31, 2025.</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RTR has proven its ability to operate a nearly break-even business. Notably, we’ve significantly improved our cash position from a decline of $70.5 million in fiscal year 2023 to a decline of only $6.6 million at the end of fiscal year 2024, resulting in record low cash consumption. This improvement is the direct result of a multi-year corporate strategy transformation, which includes a rejuvenated and customer-obsessed team, a commitment to improving customer loyalty and retention, and instilling greater cost discipline.</w:t>
      </w:r>
    </w:p>
    <w:p>
      <w:pPr>
        <w:spacing w:after="0" w:line="215"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At fiscal year 2024 end, we believe that RTR is operating from a stronger foundation as we shift our focus to the future with a disciplined growth strategy.</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i w:val="1"/>
          <w:iCs w:val="1"/>
          <w:color w:val="auto"/>
        </w:rPr>
        <w:t>"After several years of increased financial discipline, we believe that RTR is now operating on steadier financial footing. We’ve significantly reduced our cash burn, which is a key proof point that we can operate a more sustainable business,” said Jennifer Hyman, Co-Founder, President, and CEO of Rent the Runway. “As we look ahead, our priority is to grow new customers and strengthen customer loyalty by reinvesting in our inventory. We are entering 2025 with strong conviction that we will see business momentum as we continue to execute on our multi-year transformation plan."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70" w:lineRule="exact"/>
        <w:rPr>
          <w:sz w:val="20"/>
          <w:szCs w:val="20"/>
          <w:color w:val="auto"/>
        </w:rPr>
      </w:pPr>
    </w:p>
    <w:p>
      <w:pPr>
        <w:ind w:left="500" w:right="380" w:hanging="492"/>
        <w:spacing w:after="0" w:line="274" w:lineRule="auto"/>
        <w:tabs>
          <w:tab w:leader="none" w:pos="48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Returned to our customer-obsessed roots. </w:t>
      </w:r>
      <w:r>
        <w:rPr>
          <w:rFonts w:ascii="Arial" w:cs="Arial" w:eastAsia="Arial" w:hAnsi="Arial"/>
          <w:sz w:val="20"/>
          <w:szCs w:val="20"/>
          <w:color w:val="auto"/>
        </w:rPr>
        <w:t>Refocused our team on the customer. We launched our “We Heard You”</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 campaign to showcase that we have listened to our customer and are laser-focused on what matters to her most, including by investing more in the inventory she desires.</w:t>
      </w:r>
    </w:p>
    <w:p>
      <w:pPr>
        <w:spacing w:after="0" w:line="1" w:lineRule="exact"/>
        <w:rPr>
          <w:rFonts w:ascii="Arial" w:cs="Arial" w:eastAsia="Arial" w:hAnsi="Arial"/>
          <w:sz w:val="20"/>
          <w:szCs w:val="20"/>
          <w:b w:val="1"/>
          <w:bCs w:val="1"/>
          <w:i w:val="1"/>
          <w:iCs w:val="1"/>
          <w:color w:val="auto"/>
        </w:rPr>
      </w:pPr>
    </w:p>
    <w:p>
      <w:pPr>
        <w:ind w:left="500" w:right="340" w:hanging="492"/>
        <w:spacing w:after="0" w:line="288"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Announced the largest inventory acquisition in company history. </w:t>
      </w:r>
      <w:r>
        <w:rPr>
          <w:rFonts w:ascii="Arial" w:cs="Arial" w:eastAsia="Arial" w:hAnsi="Arial"/>
          <w:sz w:val="20"/>
          <w:szCs w:val="20"/>
          <w:color w:val="auto"/>
        </w:rPr>
        <w:t>Expecting to approximately double the new</w:t>
      </w:r>
      <w:r>
        <w:rPr>
          <w:rFonts w:ascii="Arial" w:cs="Arial" w:eastAsia="Arial" w:hAnsi="Arial"/>
          <w:sz w:val="20"/>
          <w:szCs w:val="20"/>
          <w:b w:val="1"/>
          <w:bCs w:val="1"/>
          <w:color w:val="auto"/>
        </w:rPr>
        <w:t xml:space="preserve"> </w:t>
      </w:r>
      <w:r>
        <w:rPr>
          <w:rFonts w:ascii="Arial" w:cs="Arial" w:eastAsia="Arial" w:hAnsi="Arial"/>
          <w:sz w:val="20"/>
          <w:szCs w:val="20"/>
          <w:color w:val="auto"/>
        </w:rPr>
        <w:t>inventory coming onto the platform in fiscal year 2025. This is anticipated to include a 3-4x increase in units on average from key brands most desired by customers.</w:t>
      </w:r>
    </w:p>
    <w:p>
      <w:pPr>
        <w:sectPr>
          <w:pgSz w:w="11900" w:h="16838" w:orient="portrait"/>
          <w:cols w:equalWidth="0" w:num="1">
            <w:col w:w="11240"/>
          </w:cols>
          <w:pgMar w:left="320" w:top="1101" w:right="339" w:bottom="1440" w:gutter="0" w:footer="0" w:header="0"/>
        </w:sectPr>
      </w:pPr>
    </w:p>
    <w:bookmarkStart w:id="4" w:name="page5"/>
    <w:bookmarkEnd w:id="4"/>
    <w:p>
      <w:pPr>
        <w:ind w:left="500" w:right="40" w:hanging="492"/>
        <w:spacing w:after="0" w:line="276"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Expanded our cost-efficient models to acquire inventory</w:t>
      </w:r>
      <w:r>
        <w:rPr>
          <w:rFonts w:ascii="Arial" w:cs="Arial" w:eastAsia="Arial" w:hAnsi="Arial"/>
          <w:sz w:val="20"/>
          <w:szCs w:val="20"/>
          <w:color w:val="auto"/>
        </w:rPr>
        <w:t>, including the Share by RTR revenue share program and</w:t>
      </w:r>
      <w:r>
        <w:rPr>
          <w:rFonts w:ascii="Arial" w:cs="Arial" w:eastAsia="Arial" w:hAnsi="Arial"/>
          <w:sz w:val="20"/>
          <w:szCs w:val="20"/>
          <w:b w:val="1"/>
          <w:bCs w:val="1"/>
          <w:color w:val="auto"/>
        </w:rPr>
        <w:t xml:space="preserve"> </w:t>
      </w:r>
      <w:r>
        <w:rPr>
          <w:rFonts w:ascii="Arial" w:cs="Arial" w:eastAsia="Arial" w:hAnsi="Arial"/>
          <w:sz w:val="20"/>
          <w:szCs w:val="20"/>
          <w:color w:val="auto"/>
        </w:rPr>
        <w:t>Exclusive Designs collections. Total units from the Share by RTR program are expected to increase to approximately 62% of total units in fiscal year 2025, a 2.5x increase versus fiscal year 2024. We believe that this expansion highlights RTR’s ability to serve as a marketing channel for brands.</w:t>
      </w:r>
    </w:p>
    <w:p>
      <w:pPr>
        <w:spacing w:after="0" w:line="1" w:lineRule="exact"/>
        <w:rPr>
          <w:rFonts w:ascii="Arial" w:cs="Arial" w:eastAsia="Arial" w:hAnsi="Arial"/>
          <w:sz w:val="20"/>
          <w:szCs w:val="20"/>
          <w:color w:val="auto"/>
        </w:rPr>
      </w:pPr>
    </w:p>
    <w:p>
      <w:pPr>
        <w:ind w:left="500" w:right="420" w:hanging="492"/>
        <w:spacing w:after="0" w:line="274"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Rapidly improving the customer experience through a steady drumbeat of product innovations. </w:t>
      </w:r>
      <w:r>
        <w:rPr>
          <w:rFonts w:ascii="Arial" w:cs="Arial" w:eastAsia="Arial" w:hAnsi="Arial"/>
          <w:sz w:val="20"/>
          <w:szCs w:val="20"/>
          <w:color w:val="auto"/>
        </w:rPr>
        <w:t>In response to</w:t>
      </w:r>
      <w:r>
        <w:rPr>
          <w:rFonts w:ascii="Arial" w:cs="Arial" w:eastAsia="Arial" w:hAnsi="Arial"/>
          <w:sz w:val="20"/>
          <w:szCs w:val="20"/>
          <w:b w:val="1"/>
          <w:bCs w:val="1"/>
          <w:color w:val="auto"/>
        </w:rPr>
        <w:t xml:space="preserve"> </w:t>
      </w:r>
      <w:r>
        <w:rPr>
          <w:rFonts w:ascii="Arial" w:cs="Arial" w:eastAsia="Arial" w:hAnsi="Arial"/>
          <w:sz w:val="20"/>
          <w:szCs w:val="20"/>
          <w:color w:val="auto"/>
        </w:rPr>
        <w:t>direct customer feedback and designed to improve retention, we have launched and are expecting to launch:</w:t>
      </w:r>
    </w:p>
    <w:p>
      <w:pPr>
        <w:spacing w:after="0" w:line="1" w:lineRule="exact"/>
        <w:rPr>
          <w:rFonts w:ascii="Arial" w:cs="Arial" w:eastAsia="Arial" w:hAnsi="Arial"/>
          <w:sz w:val="20"/>
          <w:szCs w:val="20"/>
          <w:color w:val="auto"/>
        </w:rPr>
      </w:pPr>
    </w:p>
    <w:p>
      <w:pPr>
        <w:ind w:left="1140" w:right="80" w:hanging="484"/>
        <w:spacing w:after="0" w:line="274" w:lineRule="auto"/>
        <w:tabs>
          <w:tab w:leader="none" w:pos="1129" w:val="left"/>
        </w:tabs>
        <w:numPr>
          <w:ilvl w:val="1"/>
          <w:numId w:val="3"/>
        </w:numPr>
        <w:rPr>
          <w:rFonts w:ascii="Arial" w:cs="Arial" w:eastAsia="Arial" w:hAnsi="Arial"/>
          <w:sz w:val="20"/>
          <w:szCs w:val="20"/>
          <w:color w:val="auto"/>
        </w:rPr>
      </w:pPr>
      <w:r>
        <w:rPr>
          <w:rFonts w:ascii="Arial" w:cs="Arial" w:eastAsia="Arial" w:hAnsi="Arial"/>
          <w:sz w:val="20"/>
          <w:szCs w:val="20"/>
          <w:color w:val="auto"/>
        </w:rPr>
        <w:t>60-day customer promise, giving new members risk-free renting for their first two months, meaning we will replace any item that does not fit or feel right for free.</w:t>
      </w:r>
    </w:p>
    <w:p>
      <w:pPr>
        <w:spacing w:after="0" w:line="1" w:lineRule="exact"/>
        <w:rPr>
          <w:rFonts w:ascii="Arial" w:cs="Arial" w:eastAsia="Arial" w:hAnsi="Arial"/>
          <w:sz w:val="20"/>
          <w:szCs w:val="20"/>
          <w:color w:val="auto"/>
        </w:rPr>
      </w:pPr>
    </w:p>
    <w:p>
      <w:pPr>
        <w:jc w:val="both"/>
        <w:ind w:left="1140" w:right="120" w:hanging="484"/>
        <w:spacing w:after="0" w:line="275" w:lineRule="auto"/>
        <w:tabs>
          <w:tab w:leader="none" w:pos="1129" w:val="left"/>
        </w:tabs>
        <w:numPr>
          <w:ilvl w:val="1"/>
          <w:numId w:val="3"/>
        </w:numPr>
        <w:rPr>
          <w:rFonts w:ascii="Arial" w:cs="Arial" w:eastAsia="Arial" w:hAnsi="Arial"/>
          <w:sz w:val="20"/>
          <w:szCs w:val="20"/>
          <w:color w:val="auto"/>
        </w:rPr>
      </w:pPr>
      <w:r>
        <w:rPr>
          <w:rFonts w:ascii="Arial" w:cs="Arial" w:eastAsia="Arial" w:hAnsi="Arial"/>
          <w:sz w:val="20"/>
          <w:szCs w:val="20"/>
          <w:color w:val="auto"/>
        </w:rPr>
        <w:t>Back-in-stock notifications for customer-hearted items, which sends customers a notification when a favorite item becomes available. We plan to further expand in-stock notifications for specific styles and sizes in the near future, which is our #1 most requested new feature.</w:t>
      </w:r>
    </w:p>
    <w:p>
      <w:pPr>
        <w:spacing w:after="0" w:line="1" w:lineRule="exact"/>
        <w:rPr>
          <w:rFonts w:ascii="Arial" w:cs="Arial" w:eastAsia="Arial" w:hAnsi="Arial"/>
          <w:sz w:val="20"/>
          <w:szCs w:val="20"/>
          <w:color w:val="auto"/>
        </w:rPr>
      </w:pPr>
    </w:p>
    <w:p>
      <w:pPr>
        <w:ind w:left="1140" w:hanging="484"/>
        <w:spacing w:after="0" w:line="274" w:lineRule="auto"/>
        <w:tabs>
          <w:tab w:leader="none" w:pos="1129" w:val="left"/>
        </w:tabs>
        <w:numPr>
          <w:ilvl w:val="1"/>
          <w:numId w:val="3"/>
        </w:numPr>
        <w:rPr>
          <w:rFonts w:ascii="Arial" w:cs="Arial" w:eastAsia="Arial" w:hAnsi="Arial"/>
          <w:sz w:val="20"/>
          <w:szCs w:val="20"/>
          <w:color w:val="auto"/>
        </w:rPr>
      </w:pPr>
      <w:r>
        <w:rPr>
          <w:rFonts w:ascii="Arial" w:cs="Arial" w:eastAsia="Arial" w:hAnsi="Arial"/>
          <w:sz w:val="20"/>
          <w:szCs w:val="20"/>
          <w:color w:val="auto"/>
        </w:rPr>
        <w:t>Enhancements to our personalized new customer onboarding experience, where members of our customer service team call new members personally to review the details of how RTR works, and answer any questions.</w:t>
      </w:r>
    </w:p>
    <w:p>
      <w:pPr>
        <w:spacing w:after="0" w:line="1" w:lineRule="exact"/>
        <w:rPr>
          <w:rFonts w:ascii="Arial" w:cs="Arial" w:eastAsia="Arial" w:hAnsi="Arial"/>
          <w:sz w:val="20"/>
          <w:szCs w:val="20"/>
          <w:color w:val="auto"/>
        </w:rPr>
      </w:pPr>
    </w:p>
    <w:p>
      <w:pPr>
        <w:ind w:left="1140" w:hanging="484"/>
        <w:spacing w:after="0"/>
        <w:tabs>
          <w:tab w:leader="none" w:pos="1140" w:val="left"/>
        </w:tabs>
        <w:numPr>
          <w:ilvl w:val="1"/>
          <w:numId w:val="3"/>
        </w:numPr>
        <w:rPr>
          <w:rFonts w:ascii="Arial" w:cs="Arial" w:eastAsia="Arial" w:hAnsi="Arial"/>
          <w:sz w:val="20"/>
          <w:szCs w:val="20"/>
          <w:color w:val="auto"/>
        </w:rPr>
      </w:pPr>
      <w:r>
        <w:rPr>
          <w:rFonts w:ascii="Arial" w:cs="Arial" w:eastAsia="Arial" w:hAnsi="Arial"/>
          <w:sz w:val="20"/>
          <w:szCs w:val="20"/>
          <w:color w:val="auto"/>
        </w:rPr>
        <w:t>Stylist in product, which connects customers to a stylist over text or Zoom to help guide her selection of styles.</w:t>
      </w:r>
    </w:p>
    <w:p>
      <w:pPr>
        <w:spacing w:after="0" w:line="270" w:lineRule="exact"/>
        <w:rPr>
          <w:sz w:val="20"/>
          <w:szCs w:val="20"/>
          <w:color w:val="auto"/>
        </w:rPr>
      </w:pPr>
    </w:p>
    <w:p>
      <w:pPr>
        <w:ind w:right="360"/>
        <w:spacing w:after="0" w:line="287" w:lineRule="auto"/>
        <w:rPr>
          <w:sz w:val="20"/>
          <w:szCs w:val="20"/>
          <w:color w:val="auto"/>
        </w:rPr>
      </w:pPr>
      <w:r>
        <w:rPr>
          <w:rFonts w:ascii="Arial" w:cs="Arial" w:eastAsia="Arial" w:hAnsi="Arial"/>
          <w:sz w:val="20"/>
          <w:szCs w:val="20"/>
          <w:i w:val="1"/>
          <w:iCs w:val="1"/>
          <w:color w:val="auto"/>
        </w:rPr>
        <w:t>"We drove significantly reduced cash burn and increased revenue as the company focused on cost discipline in Fiscal Year 2024,” said Sid Thacker, Chief Financial Officer, Rent the Runway. “We continue to have conviction that through capital-light avenues to acquire new inventory, we can drive customer loyalty in a cost-efficient manner. We believe the bold steps and investments we are making in fiscal year 2025 will ignite subscriber growth this year and beyond."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2024 Key Metrics and Financial Highlights</w:t>
      </w:r>
    </w:p>
    <w:p>
      <w:pPr>
        <w:spacing w:after="0" w:line="285"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Revenue was $76.4 million, a 0.8% increase year-over-year from $75.8 million in the fourth quarter of fiscal year 2023.</w:t>
      </w:r>
    </w:p>
    <w:p>
      <w:pPr>
        <w:spacing w:after="0" w:line="41" w:lineRule="exact"/>
        <w:rPr>
          <w:rFonts w:ascii="Arial" w:cs="Arial" w:eastAsia="Arial" w:hAnsi="Arial"/>
          <w:sz w:val="20"/>
          <w:szCs w:val="20"/>
          <w:b w:val="1"/>
          <w:bCs w:val="1"/>
          <w:color w:val="auto"/>
        </w:rPr>
      </w:pPr>
    </w:p>
    <w:p>
      <w:pPr>
        <w:ind w:left="480" w:hanging="310"/>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119,778 ending Active Subscribers, representing a change of (5)% from 125,954 at the end of the fiscal year 2023.</w:t>
      </w:r>
    </w:p>
    <w:p>
      <w:pPr>
        <w:spacing w:after="0" w:line="26" w:lineRule="exact"/>
        <w:rPr>
          <w:rFonts w:ascii="Arial" w:cs="Arial" w:eastAsia="Arial" w:hAnsi="Arial"/>
          <w:sz w:val="20"/>
          <w:szCs w:val="20"/>
          <w:b w:val="1"/>
          <w:bCs w:val="1"/>
          <w:color w:val="auto"/>
        </w:rPr>
      </w:pPr>
    </w:p>
    <w:p>
      <w:pPr>
        <w:ind w:left="500" w:right="60" w:hanging="330"/>
        <w:spacing w:after="0" w:line="273"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126,148 Average Active Subscribers, representing a change of (2)% from 128,840 at the end of the fourth quarter of fiscal year 2023.</w:t>
      </w:r>
    </w:p>
    <w:p>
      <w:pPr>
        <w:spacing w:after="0" w:line="2"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164,004 ending Total Subscribers, representing a change of (5)% from 173,247 at the end of the fiscal year 2023.</w:t>
      </w:r>
    </w:p>
    <w:p>
      <w:pPr>
        <w:spacing w:after="0" w:line="41" w:lineRule="exact"/>
        <w:rPr>
          <w:rFonts w:ascii="Arial" w:cs="Arial" w:eastAsia="Arial" w:hAnsi="Arial"/>
          <w:sz w:val="20"/>
          <w:szCs w:val="20"/>
          <w:b w:val="1"/>
          <w:bCs w:val="1"/>
          <w:color w:val="auto"/>
        </w:rPr>
      </w:pPr>
    </w:p>
    <w:p>
      <w:pPr>
        <w:ind w:left="500" w:right="20" w:hanging="330"/>
        <w:spacing w:after="0" w:line="269"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Gross Profit was $28.8 million, representing a change of (3.7)% from $29.9 million in the fourth quarter of fiscal year 2023. Gross Margin was 37.7%, as compared to 39.4% in the fourth quarter of fiscal year 2023.</w:t>
      </w:r>
    </w:p>
    <w:p>
      <w:pPr>
        <w:ind w:left="500" w:right="680" w:hanging="330"/>
        <w:spacing w:after="0" w:line="274"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Net Loss was $(13.4) million, as compared to $(24.8) million in the fourth quarter of fiscal year 2023. Net Loss as a percentage of revenue was (17.5)%, as compared to (32.7)% in the fourth quarter of fiscal year 2023.</w:t>
      </w:r>
    </w:p>
    <w:p>
      <w:pPr>
        <w:spacing w:after="0" w:line="1" w:lineRule="exact"/>
        <w:rPr>
          <w:rFonts w:ascii="Arial" w:cs="Arial" w:eastAsia="Arial" w:hAnsi="Arial"/>
          <w:sz w:val="20"/>
          <w:szCs w:val="20"/>
          <w:b w:val="1"/>
          <w:bCs w:val="1"/>
          <w:color w:val="auto"/>
        </w:rPr>
      </w:pPr>
    </w:p>
    <w:p>
      <w:pPr>
        <w:ind w:left="500" w:right="560" w:hanging="330"/>
        <w:spacing w:after="0" w:line="257"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$17.4 million, as compared to $11.2 million in the fourth quarter of fiscal year 2023. Adjusted 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22.8%, as compared to 14.8% in the fourth quarter of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2" w:lineRule="exact"/>
        <w:rPr>
          <w:sz w:val="20"/>
          <w:szCs w:val="20"/>
          <w:color w:val="auto"/>
        </w:rPr>
      </w:pPr>
    </w:p>
    <w:p>
      <w:pPr>
        <w:ind w:right="40" w:firstLine="8"/>
        <w:spacing w:after="0" w:line="325" w:lineRule="auto"/>
        <w:tabs>
          <w:tab w:leader="none" w:pos="92"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a non-GAAP financial measure. A full reconciliation of the Adjusted EBITDA and Adjusted EBITDA Margin is shown in the Non-GAAP Financial Measures section of this release</w:t>
      </w:r>
    </w:p>
    <w:p>
      <w:pPr>
        <w:sectPr>
          <w:pgSz w:w="11900" w:h="16838" w:orient="portrait"/>
          <w:cols w:equalWidth="0" w:num="1">
            <w:col w:w="11180"/>
          </w:cols>
          <w:pgMar w:left="320" w:top="1101" w:right="399" w:bottom="1440" w:gutter="0" w:footer="0" w:header="0"/>
        </w:sectPr>
      </w:pPr>
    </w:p>
    <w:bookmarkStart w:id="5" w:name="page6"/>
    <w:bookmarkEnd w:id="5"/>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2024 Key Metrics and Financial Highlights</w:t>
      </w:r>
    </w:p>
    <w:p>
      <w:pPr>
        <w:spacing w:after="0" w:line="285" w:lineRule="exact"/>
        <w:rPr>
          <w:sz w:val="20"/>
          <w:szCs w:val="20"/>
          <w:color w:val="auto"/>
        </w:rPr>
      </w:pPr>
    </w:p>
    <w:p>
      <w:pPr>
        <w:ind w:left="500" w:right="680" w:hanging="330"/>
        <w:spacing w:after="0" w:line="274" w:lineRule="auto"/>
        <w:tabs>
          <w:tab w:leader="none" w:pos="48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Improved customer retention by 8% in fiscal year 2024 versus fiscal year 2023, which we believe was driven by our increased inventory depths.</w:t>
      </w:r>
    </w:p>
    <w:p>
      <w:pPr>
        <w:spacing w:after="0" w:line="1" w:lineRule="exact"/>
        <w:rPr>
          <w:rFonts w:ascii="Arial" w:cs="Arial" w:eastAsia="Arial" w:hAnsi="Arial"/>
          <w:sz w:val="20"/>
          <w:szCs w:val="20"/>
          <w:b w:val="1"/>
          <w:bCs w:val="1"/>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was $306.2 million, a 2.7% increase year-over-year from $298.2 million in fiscal year 2023.</w:t>
      </w:r>
    </w:p>
    <w:p>
      <w:pPr>
        <w:spacing w:after="0" w:line="31" w:lineRule="exact"/>
        <w:rPr>
          <w:rFonts w:ascii="Arial" w:cs="Arial" w:eastAsia="Arial" w:hAnsi="Arial"/>
          <w:sz w:val="20"/>
          <w:szCs w:val="20"/>
          <w:color w:val="auto"/>
        </w:rPr>
      </w:pPr>
    </w:p>
    <w:p>
      <w:pPr>
        <w:ind w:left="500" w:right="180" w:hanging="330"/>
        <w:spacing w:after="0" w:line="274" w:lineRule="auto"/>
        <w:tabs>
          <w:tab w:leader="none" w:pos="48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132,574 Average Active Subscribers representing a change of (2)% year-over-year from 135,211 at the end of fiscal year 2023.</w:t>
      </w:r>
    </w:p>
    <w:p>
      <w:pPr>
        <w:spacing w:after="0" w:line="1" w:lineRule="exact"/>
        <w:rPr>
          <w:rFonts w:ascii="Arial" w:cs="Arial" w:eastAsia="Arial" w:hAnsi="Arial"/>
          <w:sz w:val="20"/>
          <w:szCs w:val="20"/>
          <w:b w:val="1"/>
          <w:bCs w:val="1"/>
          <w:color w:val="auto"/>
        </w:rPr>
      </w:pPr>
    </w:p>
    <w:p>
      <w:pPr>
        <w:ind w:left="500" w:right="50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Gross Profit was $115.9 million, representing a change of (3)% year-over-year from $119.7 million in fiscal year 2023. Gross Margin was 37.9%, as compared to 40.1% in fiscal year 2023.</w:t>
      </w:r>
    </w:p>
    <w:p>
      <w:pPr>
        <w:spacing w:after="0" w:line="1" w:lineRule="exact"/>
        <w:rPr>
          <w:rFonts w:ascii="Arial" w:cs="Arial" w:eastAsia="Arial" w:hAnsi="Arial"/>
          <w:sz w:val="20"/>
          <w:szCs w:val="20"/>
          <w:color w:val="auto"/>
        </w:rPr>
      </w:pPr>
    </w:p>
    <w:p>
      <w:pPr>
        <w:ind w:left="500" w:right="380" w:hanging="330"/>
        <w:spacing w:after="0" w:line="274" w:lineRule="auto"/>
        <w:tabs>
          <w:tab w:leader="none" w:pos="48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Loss was $(69.9) million, as compared to $(113.2) million in fiscal year 2023. Net Loss as a percentage of revenue was (22.8)%, as compared to (38.0)% in fiscal year 2023.</w:t>
      </w:r>
    </w:p>
    <w:p>
      <w:pPr>
        <w:spacing w:after="0" w:line="1" w:lineRule="exact"/>
        <w:rPr>
          <w:rFonts w:ascii="Arial" w:cs="Arial" w:eastAsia="Arial" w:hAnsi="Arial"/>
          <w:sz w:val="20"/>
          <w:szCs w:val="20"/>
          <w:b w:val="1"/>
          <w:bCs w:val="1"/>
          <w:color w:val="auto"/>
        </w:rPr>
      </w:pPr>
    </w:p>
    <w:p>
      <w:pPr>
        <w:ind w:left="500" w:right="480" w:hanging="330"/>
        <w:spacing w:after="0" w:line="244" w:lineRule="auto"/>
        <w:tabs>
          <w:tab w:leader="none" w:pos="488"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$46.9 million, as compared to $26.9 million in fiscal year 2023. Adjusted 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15.3%, as compared to 9.0% in fiscal year 2023.</w:t>
      </w:r>
    </w:p>
    <w:p>
      <w:pPr>
        <w:ind w:left="50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provided by (used in) operating activities was $12.9 million for fiscal year 2024, as compared to $(15.7) million for fiscal year 2023.</w:t>
      </w:r>
    </w:p>
    <w:p>
      <w:pPr>
        <w:spacing w:after="0" w:line="1" w:lineRule="exact"/>
        <w:rPr>
          <w:rFonts w:ascii="Arial" w:cs="Arial" w:eastAsia="Arial" w:hAnsi="Arial"/>
          <w:sz w:val="20"/>
          <w:szCs w:val="20"/>
          <w:color w:val="auto"/>
        </w:rPr>
      </w:pPr>
    </w:p>
    <w:p>
      <w:pPr>
        <w:ind w:left="50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provided by (used in) operating activities as a percentage of revenue was 4.2% for fiscal year 2024, as compared to (5.3)% for fiscal year 2023.</w:t>
      </w:r>
    </w:p>
    <w:p>
      <w:pPr>
        <w:spacing w:after="0" w:line="1" w:lineRule="exact"/>
        <w:rPr>
          <w:rFonts w:ascii="Arial" w:cs="Arial" w:eastAsia="Arial" w:hAnsi="Arial"/>
          <w:sz w:val="20"/>
          <w:szCs w:val="20"/>
          <w:color w:val="auto"/>
        </w:rPr>
      </w:pPr>
    </w:p>
    <w:p>
      <w:pPr>
        <w:ind w:left="500" w:right="18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used in investing activities was $(20.1) million for fiscal year 2024, as compared to $(54.6) million for fiscal year 2023.</w:t>
      </w:r>
    </w:p>
    <w:p>
      <w:pPr>
        <w:spacing w:after="0" w:line="1" w:lineRule="exact"/>
        <w:rPr>
          <w:rFonts w:ascii="Arial" w:cs="Arial" w:eastAsia="Arial" w:hAnsi="Arial"/>
          <w:sz w:val="20"/>
          <w:szCs w:val="20"/>
          <w:color w:val="auto"/>
        </w:rPr>
      </w:pPr>
    </w:p>
    <w:p>
      <w:pPr>
        <w:ind w:left="500" w:right="16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used in investing activities as a percentage of revenue was (6.6)% for fiscal year 2024, as compared to (18.3)% for fiscal year 2023.</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As of January 31, 2025, cash and cash equivalents was $77.4 million.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2025, Rent the Runway expects:</w:t>
      </w:r>
    </w:p>
    <w:p>
      <w:pPr>
        <w:spacing w:after="0" w:line="40" w:lineRule="exact"/>
        <w:rPr>
          <w:sz w:val="20"/>
          <w:szCs w:val="20"/>
          <w:color w:val="auto"/>
        </w:rPr>
      </w:pPr>
    </w:p>
    <w:p>
      <w:pPr>
        <w:ind w:left="480" w:hanging="310"/>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Double-digit growth in ending Active Subscribers versus fiscal year 2024</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Free Cash Flow of between $(30) million and $(40) million</w:t>
      </w:r>
      <w:r>
        <w:rPr>
          <w:rFonts w:ascii="Arial" w:cs="Arial" w:eastAsia="Arial" w:hAnsi="Arial"/>
          <w:sz w:val="25"/>
          <w:szCs w:val="25"/>
          <w:color w:val="auto"/>
          <w:vertAlign w:val="superscript"/>
        </w:rPr>
        <w:t>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first quarter of 2025, Rent the Runway expects:</w:t>
      </w:r>
    </w:p>
    <w:p>
      <w:pPr>
        <w:spacing w:after="0" w:line="31" w:lineRule="exact"/>
        <w:rPr>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Revenue of between $68 million and $70 million</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between (5)% and (7)% of Revenue</w:t>
      </w:r>
    </w:p>
    <w:p>
      <w:pPr>
        <w:spacing w:after="0" w:line="221" w:lineRule="exact"/>
        <w:rPr>
          <w:sz w:val="20"/>
          <w:szCs w:val="20"/>
          <w:color w:val="auto"/>
        </w:rPr>
      </w:pPr>
    </w:p>
    <w:p>
      <w:pPr>
        <w:ind w:right="340"/>
        <w:spacing w:after="0" w:line="314" w:lineRule="auto"/>
        <w:rPr>
          <w:sz w:val="20"/>
          <w:szCs w:val="20"/>
          <w:color w:val="auto"/>
        </w:rPr>
      </w:pPr>
      <w:r>
        <w:rPr>
          <w:rFonts w:ascii="Arial" w:cs="Arial" w:eastAsia="Arial" w:hAnsi="Arial"/>
          <w:sz w:val="20"/>
          <w:szCs w:val="20"/>
          <w:color w:val="auto"/>
        </w:rPr>
        <w:t>There are unknowns around the economy and tariffs as well as timing of potential customer retention improvements that can further affect actual results for fiscal year 2025 versus expectations.</w:t>
      </w:r>
    </w:p>
    <w:p>
      <w:pPr>
        <w:spacing w:after="0" w:line="168" w:lineRule="exact"/>
        <w:rPr>
          <w:sz w:val="20"/>
          <w:szCs w:val="20"/>
          <w:color w:val="auto"/>
        </w:rPr>
      </w:pPr>
    </w:p>
    <w:p>
      <w:pPr>
        <w:ind w:right="480"/>
        <w:spacing w:after="0" w:line="314" w:lineRule="auto"/>
        <w:rPr>
          <w:sz w:val="20"/>
          <w:szCs w:val="20"/>
          <w:color w:val="auto"/>
        </w:rPr>
      </w:pPr>
      <w:r>
        <w:rPr>
          <w:rFonts w:ascii="Arial" w:cs="Arial" w:eastAsia="Arial" w:hAnsi="Arial"/>
          <w:sz w:val="20"/>
          <w:szCs w:val="20"/>
          <w:color w:val="auto"/>
        </w:rPr>
        <w:t>Please see our fourth quarter 2024 earnings presentation at https://investors.renttherunway.com/ under the “Presentations” section for supplemental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1" w:lineRule="exact"/>
        <w:rPr>
          <w:sz w:val="20"/>
          <w:szCs w:val="20"/>
          <w:color w:val="auto"/>
        </w:rPr>
      </w:pPr>
    </w:p>
    <w:p>
      <w:pPr>
        <w:ind w:right="100" w:firstLine="8"/>
        <w:spacing w:after="0" w:line="290" w:lineRule="auto"/>
        <w:tabs>
          <w:tab w:leader="none" w:pos="92" w:val="left"/>
        </w:tabs>
        <w:numPr>
          <w:ilvl w:val="0"/>
          <w:numId w:val="9"/>
        </w:numPr>
        <w:rPr>
          <w:rFonts w:ascii="Arial" w:cs="Arial" w:eastAsia="Arial" w:hAnsi="Arial"/>
          <w:sz w:val="9"/>
          <w:szCs w:val="9"/>
          <w:color w:val="auto"/>
        </w:rPr>
      </w:pPr>
      <w:r>
        <w:rPr>
          <w:rFonts w:ascii="Arial" w:cs="Arial" w:eastAsia="Arial" w:hAnsi="Arial"/>
          <w:sz w:val="14"/>
          <w:szCs w:val="14"/>
          <w:color w:val="auto"/>
        </w:rPr>
        <w:t>Represents a non-GAAP financial measure. As more fully described in the Non-GAAP Financial Measures section of this release, a reconciliation of Free Cash Flow for fiscal year 2025 is not available without unreasonable efforts.</w:t>
      </w:r>
    </w:p>
    <w:p>
      <w:pPr>
        <w:ind w:right="260"/>
        <w:spacing w:after="0" w:line="260"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Represents a non-GAAP financial measure. As more fully described in the Non-GAAP Financial Measures section of this release, a reconciliation of Adjusted EBITDA as a percentage of Revenue for fiscal year 2025 is not available without unreasonable efforts.</w:t>
      </w:r>
    </w:p>
    <w:p>
      <w:pPr>
        <w:sectPr>
          <w:pgSz w:w="11900" w:h="16838" w:orient="portrait"/>
          <w:cols w:equalWidth="0" w:num="1">
            <w:col w:w="11220"/>
          </w:cols>
          <w:pgMar w:left="320" w:top="1440"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fourth quarter and fiscal year 2024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180"/>
        <w:spacing w:after="0" w:line="300" w:lineRule="auto"/>
        <w:rPr>
          <w:sz w:val="20"/>
          <w:szCs w:val="20"/>
          <w:color w:val="auto"/>
        </w:rPr>
      </w:pPr>
      <w:r>
        <w:rPr>
          <w:rFonts w:ascii="Arial" w:cs="Arial" w:eastAsia="Arial" w:hAnsi="Arial"/>
          <w:sz w:val="20"/>
          <w:szCs w:val="20"/>
          <w:color w:val="auto"/>
        </w:rPr>
        <w:t>Rent the Runway will host a conference call and webcast to discuss its fourth quarter and fiscal year 2024 financial results and provide a business update today, April 15, 2025, at 8:30 am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79" w:lineRule="exact"/>
        <w:rPr>
          <w:sz w:val="20"/>
          <w:szCs w:val="20"/>
          <w:color w:val="auto"/>
        </w:rPr>
      </w:pPr>
    </w:p>
    <w:p>
      <w:pPr>
        <w:jc w:val="both"/>
        <w:ind w:right="120"/>
        <w:spacing w:after="0" w:line="298"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13752693.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7" w:name="page8"/>
    <w:bookmarkEnd w:id="7"/>
    <w:p>
      <w:pPr>
        <w:jc w:val="both"/>
        <w:spacing w:after="0" w:line="275" w:lineRule="auto"/>
        <w:rPr>
          <w:sz w:val="20"/>
          <w:szCs w:val="20"/>
          <w:color w:val="auto"/>
        </w:rPr>
      </w:pPr>
      <w:r>
        <w:rPr>
          <w:rFonts w:ascii="Arial" w:cs="Arial" w:eastAsia="Arial" w:hAnsi="Arial"/>
          <w:sz w:val="20"/>
          <w:szCs w:val="20"/>
          <w:b w:val="1"/>
          <w:bCs w:val="1"/>
          <w:color w:val="auto"/>
        </w:rPr>
        <w:t xml:space="preserve">Forward-Looking Statements: </w:t>
      </w:r>
      <w:r>
        <w:rPr>
          <w:rFonts w:ascii="Arial" w:cs="Arial" w:eastAsia="Arial" w:hAnsi="Arial"/>
          <w:sz w:val="20"/>
          <w:szCs w:val="20"/>
          <w:color w:val="auto"/>
        </w:rPr>
        <w:t>This press release contains forward-looking statements within the meaning of the Private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Litigation Reform Act of 1995. All statements contained in this press release that do not relate to matters of historical fact should be considered forward-looking statements. These statements include, but are not limited to, guidance and underlying assumptions for the first fiscal quarter of 2025 and the fiscal year 2025, and statements regarding the impact of our multi-year transformational plan, our ability to ignite subscriber growth and drive customer loyalty in a cost-efficient manner, and our planned increases in inventory.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the Company's debt, including the Company's ability to comply with covenants in the Company's credit facility; risks related to our Class A capital stock and ownership structure; and risks related to future pandemics or public health crises.</w:t>
      </w:r>
    </w:p>
    <w:p>
      <w:pPr>
        <w:sectPr>
          <w:pgSz w:w="11900" w:h="16838" w:orient="portrait"/>
          <w:cols w:equalWidth="0" w:num="1">
            <w:col w:w="11240"/>
          </w:cols>
          <w:pgMar w:left="320" w:top="1101" w:right="33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Company’s expectations is included in our Quarterly Report on Form 10-Q for the quarter ended October 31, 2024, as will be updated in our Annual Report on Form 10-K for the year ended January 31, 2025. Except as required by law, we do not undertake any obligation to publicly update or revise any forward-looking statement,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168"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206"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12" w:lineRule="exact"/>
        <w:rPr>
          <w:sz w:val="20"/>
          <w:szCs w:val="20"/>
          <w:color w:val="auto"/>
        </w:rPr>
      </w:pPr>
    </w:p>
    <w:p>
      <w:pPr>
        <w:jc w:val="both"/>
        <w:ind w:right="280"/>
        <w:spacing w:after="0" w:line="291" w:lineRule="auto"/>
        <w:rPr>
          <w:sz w:val="20"/>
          <w:szCs w:val="20"/>
          <w:color w:val="auto"/>
        </w:rPr>
      </w:pPr>
      <w:r>
        <w:rPr>
          <w:rFonts w:ascii="Arial" w:cs="Arial" w:eastAsia="Arial" w:hAnsi="Arial"/>
          <w:sz w:val="19"/>
          <w:szCs w:val="19"/>
          <w:color w:val="auto"/>
        </w:rPr>
        <w:t>We define Adjusted EBITDA as net loss, adjusted to exclude interest expense, rental product depreciation, other depreciation and amortization, share-based compensation expense, write-off of liquidated assets, non-recurring adjustments, non-ordinary course legal fees, restructuring charges, income tax (benefit) expense, other income and expense, and other gains / losses.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defined as Adjusted EBITDA calculated as a percentage of total revenue, net for a period.</w:t>
      </w:r>
    </w:p>
    <w:p>
      <w:pPr>
        <w:sectPr>
          <w:pgSz w:w="11900" w:h="16838" w:orient="portrait"/>
          <w:cols w:equalWidth="0" w:num="1">
            <w:col w:w="11240"/>
          </w:cols>
          <w:pgMar w:left="320" w:top="1103"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We define free cash flow as net cash used in operating activities and net cash used in investing activities on a combined basis.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free cash flow and Adjusted EBITDA expectations for fiscal year 2025 and Q1 2025, respectively,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20"/>
          </w:cols>
          <w:pgMar w:left="320" w:top="1346" w:right="359" w:bottom="1440" w:gutter="0" w:footer="0" w:header="0"/>
        </w:sectPr>
      </w:pPr>
    </w:p>
    <w:bookmarkStart w:id="10" w:name="page11"/>
    <w:bookmarkEnd w:id="10"/>
    <w:p>
      <w:pPr>
        <w:ind w:left="4200"/>
        <w:spacing w:after="0"/>
        <w:rPr>
          <w:sz w:val="20"/>
          <w:szCs w:val="20"/>
          <w:color w:val="auto"/>
        </w:rPr>
      </w:pPr>
      <w:r>
        <w:rPr>
          <w:rFonts w:ascii="Arial" w:cs="Arial" w:eastAsia="Arial" w:hAnsi="Arial"/>
          <w:sz w:val="20"/>
          <w:szCs w:val="20"/>
          <w:b w:val="1"/>
          <w:bCs w:val="1"/>
          <w:color w:val="auto"/>
        </w:rPr>
        <w:t>Rent the Runway, Inc.</w:t>
      </w:r>
    </w:p>
    <w:p>
      <w:pPr>
        <w:ind w:left="3840"/>
        <w:spacing w:after="0" w:line="197" w:lineRule="auto"/>
        <w:rPr>
          <w:sz w:val="20"/>
          <w:szCs w:val="20"/>
          <w:color w:val="auto"/>
        </w:rPr>
      </w:pPr>
      <w:r>
        <w:rPr>
          <w:rFonts w:ascii="Arial" w:cs="Arial" w:eastAsia="Arial" w:hAnsi="Arial"/>
          <w:sz w:val="20"/>
          <w:szCs w:val="20"/>
          <w:b w:val="1"/>
          <w:bCs w:val="1"/>
          <w:color w:val="auto"/>
        </w:rPr>
        <w:t>Consolidated Balance Sheets</w:t>
      </w:r>
    </w:p>
    <w:p>
      <w:pPr>
        <w:jc w:val="center"/>
        <w:ind w:right="40"/>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6"/>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54"/>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59"/>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317"/>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7"/>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306.7</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400.8</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930.8</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(1,053.1)</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1" w:name="page12"/>
    <w:bookmarkEnd w:id="11"/>
    <w:p>
      <w:pPr>
        <w:ind w:left="4580"/>
        <w:spacing w:after="0"/>
        <w:rPr>
          <w:sz w:val="20"/>
          <w:szCs w:val="20"/>
          <w:color w:val="auto"/>
        </w:rPr>
      </w:pPr>
      <w:r>
        <w:rPr>
          <w:rFonts w:ascii="Arial" w:cs="Arial" w:eastAsia="Arial" w:hAnsi="Arial"/>
          <w:sz w:val="20"/>
          <w:szCs w:val="20"/>
          <w:b w:val="1"/>
          <w:bCs w:val="1"/>
          <w:color w:val="auto"/>
        </w:rPr>
        <w:t>Rent the Runway, Inc.</w:t>
      </w:r>
    </w:p>
    <w:p>
      <w:pPr>
        <w:ind w:left="3740"/>
        <w:spacing w:after="0" w:line="231" w:lineRule="auto"/>
        <w:rPr>
          <w:sz w:val="20"/>
          <w:szCs w:val="20"/>
          <w:color w:val="auto"/>
        </w:rPr>
      </w:pPr>
      <w:r>
        <w:rPr>
          <w:rFonts w:ascii="Arial" w:cs="Arial" w:eastAsia="Arial" w:hAnsi="Arial"/>
          <w:sz w:val="20"/>
          <w:szCs w:val="20"/>
          <w:b w:val="1"/>
          <w:bCs w:val="1"/>
          <w:color w:val="auto"/>
        </w:rPr>
        <w:t>Consolidated Statements of Operations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20"/>
                <w:szCs w:val="2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20"/>
                <w:szCs w:val="20"/>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Loss on asset impairment related to restructuring</w:t>
            </w:r>
          </w:p>
        </w:tc>
        <w:tc>
          <w:tcPr>
            <w:tcW w:w="3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880"/>
              <w:spacing w:after="0"/>
              <w:rPr>
                <w:sz w:val="20"/>
                <w:szCs w:val="20"/>
                <w:color w:val="auto"/>
              </w:rPr>
            </w:pPr>
            <w:r>
              <w:rPr>
                <w:rFonts w:ascii="Arial" w:cs="Arial" w:eastAsia="Arial" w:hAnsi="Arial"/>
                <w:sz w:val="18"/>
                <w:szCs w:val="18"/>
                <w:color w:val="auto"/>
              </w:rPr>
              <w:t>Net loss before income tax benefit / (expense)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80" w:type="dxa"/>
            <w:vAlign w:val="bottom"/>
          </w:tcPr>
          <w:p>
            <w:pPr>
              <w:ind w:left="98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6"/>
                <w:szCs w:val="16"/>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(18.51)</w:t>
            </w:r>
          </w:p>
        </w:tc>
        <w:tc>
          <w:tcPr>
            <w:tcW w:w="80" w:type="dxa"/>
            <w:vAlign w:val="bottom"/>
          </w:tcPr>
          <w:p>
            <w:pPr>
              <w:spacing w:after="0"/>
              <w:rPr>
                <w:sz w:val="16"/>
                <w:szCs w:val="16"/>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40"/>
        </w:trPr>
        <w:tc>
          <w:tcPr>
            <w:tcW w:w="518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3,897,238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3,530,973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3,776,633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3,418,382</w:t>
            </w:r>
          </w:p>
        </w:tc>
        <w:tc>
          <w:tcPr>
            <w:tcW w:w="0" w:type="dxa"/>
            <w:vAlign w:val="bottom"/>
          </w:tcPr>
          <w:p>
            <w:pPr>
              <w:spacing w:after="0"/>
              <w:rPr>
                <w:sz w:val="1"/>
                <w:szCs w:val="1"/>
                <w:color w:val="auto"/>
              </w:rPr>
            </w:pPr>
          </w:p>
        </w:tc>
      </w:tr>
      <w:tr>
        <w:trPr>
          <w:trHeight w:val="235"/>
        </w:trPr>
        <w:tc>
          <w:tcPr>
            <w:tcW w:w="518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01" w:right="339" w:bottom="1440" w:gutter="0" w:footer="0" w:header="0"/>
        </w:sectPr>
      </w:pPr>
    </w:p>
    <w:bookmarkStart w:id="12" w:name="page13"/>
    <w:bookmarkEnd w:id="12"/>
    <w:p>
      <w:pPr>
        <w:ind w:left="4540"/>
        <w:spacing w:after="0"/>
        <w:rPr>
          <w:sz w:val="20"/>
          <w:szCs w:val="20"/>
          <w:color w:val="auto"/>
        </w:rPr>
      </w:pPr>
      <w:r>
        <w:rPr>
          <w:rFonts w:ascii="Arial" w:cs="Arial" w:eastAsia="Arial" w:hAnsi="Arial"/>
          <w:sz w:val="20"/>
          <w:szCs w:val="20"/>
          <w:b w:val="1"/>
          <w:bCs w:val="1"/>
          <w:color w:val="auto"/>
        </w:rPr>
        <w:t>Rent the Runway, Inc.</w:t>
      </w:r>
    </w:p>
    <w:p>
      <w:pPr>
        <w:ind w:left="3740"/>
        <w:spacing w:after="0" w:line="231" w:lineRule="auto"/>
        <w:rPr>
          <w:sz w:val="20"/>
          <w:szCs w:val="20"/>
          <w:color w:val="auto"/>
        </w:rPr>
      </w:pPr>
      <w:r>
        <w:rPr>
          <w:rFonts w:ascii="Arial" w:cs="Arial" w:eastAsia="Arial" w:hAnsi="Arial"/>
          <w:sz w:val="20"/>
          <w:szCs w:val="20"/>
          <w:b w:val="1"/>
          <w:bCs w:val="1"/>
          <w:color w:val="auto"/>
        </w:rPr>
        <w:t>Consolidated Statements of Cash Flow</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320" w:lineRule="exact"/>
        <w:rPr>
          <w:sz w:val="20"/>
          <w:szCs w:val="20"/>
          <w:color w:val="auto"/>
        </w:rPr>
      </w:pPr>
    </w:p>
    <w:p>
      <w:pPr>
        <w:jc w:val="right"/>
        <w:ind w:right="1200"/>
        <w:spacing w:after="0"/>
        <w:rPr>
          <w:sz w:val="20"/>
          <w:szCs w:val="20"/>
          <w:color w:val="auto"/>
        </w:rPr>
      </w:pPr>
      <w:r>
        <w:rPr>
          <w:rFonts w:ascii="Arial" w:cs="Arial" w:eastAsia="Arial" w:hAnsi="Arial"/>
          <w:sz w:val="14"/>
          <w:szCs w:val="14"/>
          <w:b w:val="1"/>
          <w:bCs w:val="1"/>
          <w:color w:val="auto"/>
        </w:rPr>
        <w:t>Years Ended</w:t>
      </w:r>
    </w:p>
    <w:p>
      <w:pPr>
        <w:spacing w:after="0" w:line="29" w:lineRule="exact"/>
        <w:rPr>
          <w:sz w:val="20"/>
          <w:szCs w:val="20"/>
          <w:color w:val="auto"/>
        </w:rPr>
      </w:pPr>
    </w:p>
    <w:p>
      <w:pPr>
        <w:jc w:val="right"/>
        <w:ind w:right="12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23495</wp:posOffset>
            </wp:positionV>
            <wp:extent cx="2049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60" w:type="dxa"/>
            <w:vAlign w:val="bottom"/>
          </w:tcPr>
          <w:p>
            <w:pPr>
              <w:spacing w:after="0"/>
              <w:rPr>
                <w:sz w:val="17"/>
                <w:szCs w:val="17"/>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4"/>
        </w:trPr>
        <w:tc>
          <w:tcPr>
            <w:tcW w:w="7860" w:type="dxa"/>
            <w:vAlign w:val="bottom"/>
          </w:tcPr>
          <w:p>
            <w:pPr>
              <w:ind w:left="60"/>
              <w:spacing w:after="0"/>
              <w:rPr>
                <w:sz w:val="20"/>
                <w:szCs w:val="20"/>
                <w:color w:val="auto"/>
              </w:rPr>
            </w:pPr>
            <w:r>
              <w:rPr>
                <w:rFonts w:ascii="Arial" w:cs="Arial" w:eastAsia="Arial" w:hAnsi="Arial"/>
                <w:sz w:val="15"/>
                <w:szCs w:val="15"/>
                <w:b w:val="1"/>
                <w:bCs w:val="1"/>
                <w:color w:val="auto"/>
              </w:rPr>
              <w:t>OPERATING ACTIVITIES</w:t>
            </w:r>
          </w:p>
        </w:tc>
        <w:tc>
          <w:tcPr>
            <w:tcW w:w="1020" w:type="dxa"/>
            <w:vAlign w:val="bottom"/>
            <w:vMerge w:val="restart"/>
          </w:tcPr>
          <w:p>
            <w:pPr>
              <w:jc w:val="right"/>
              <w:ind w:right="845"/>
              <w:spacing w:after="0"/>
              <w:rPr>
                <w:sz w:val="20"/>
                <w:szCs w:val="20"/>
                <w:color w:val="auto"/>
              </w:rPr>
            </w:pPr>
            <w:r>
              <w:rPr>
                <w:rFonts w:ascii="Arial" w:cs="Arial" w:eastAsia="Arial" w:hAnsi="Arial"/>
                <w:sz w:val="15"/>
                <w:szCs w:val="15"/>
                <w:color w:val="auto"/>
                <w:w w:val="95"/>
              </w:rPr>
              <w:t>$</w:t>
            </w: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(69.9)</w:t>
            </w:r>
          </w:p>
        </w:tc>
        <w:tc>
          <w:tcPr>
            <w:tcW w:w="100" w:type="dxa"/>
            <w:vAlign w:val="bottom"/>
          </w:tcPr>
          <w:p>
            <w:pPr>
              <w:spacing w:after="0"/>
              <w:rPr>
                <w:sz w:val="17"/>
                <w:szCs w:val="17"/>
                <w:color w:val="auto"/>
              </w:rPr>
            </w:pPr>
          </w:p>
        </w:tc>
        <w:tc>
          <w:tcPr>
            <w:tcW w:w="360" w:type="dxa"/>
            <w:vAlign w:val="bottom"/>
            <w:vMerge w:val="restart"/>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(113.2)</w:t>
            </w:r>
          </w:p>
        </w:tc>
        <w:tc>
          <w:tcPr>
            <w:tcW w:w="0" w:type="dxa"/>
            <w:vAlign w:val="bottom"/>
          </w:tcPr>
          <w:p>
            <w:pPr>
              <w:spacing w:after="0"/>
              <w:rPr>
                <w:sz w:val="1"/>
                <w:szCs w:val="1"/>
                <w:color w:val="auto"/>
              </w:rPr>
            </w:pPr>
          </w:p>
        </w:tc>
      </w:tr>
      <w:tr>
        <w:trPr>
          <w:trHeight w:val="253"/>
        </w:trPr>
        <w:tc>
          <w:tcPr>
            <w:tcW w:w="7860" w:type="dxa"/>
            <w:vAlign w:val="bottom"/>
          </w:tcPr>
          <w:p>
            <w:pPr>
              <w:ind w:left="60"/>
              <w:spacing w:after="0"/>
              <w:rPr>
                <w:sz w:val="20"/>
                <w:szCs w:val="20"/>
                <w:color w:val="auto"/>
              </w:rPr>
            </w:pPr>
            <w:r>
              <w:rPr>
                <w:rFonts w:ascii="Arial" w:cs="Arial" w:eastAsia="Arial" w:hAnsi="Arial"/>
                <w:sz w:val="16"/>
                <w:szCs w:val="16"/>
                <w:color w:val="auto"/>
              </w:rPr>
              <w:t>Net loss</w:t>
            </w:r>
          </w:p>
        </w:tc>
        <w:tc>
          <w:tcPr>
            <w:tcW w:w="102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Rental product depreciation and write-offs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Write-off of rental product sold</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Other depreciation and amortization</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Loss from write-off of fixed assets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Loss on asset impairment related to restructuring</w:t>
            </w:r>
          </w:p>
        </w:tc>
        <w:tc>
          <w:tcPr>
            <w:tcW w:w="10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Proceeds from rental product sold</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(Gain) / loss from liquidation of rental product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Accrual of paid-in-kind interest</w:t>
            </w:r>
          </w:p>
        </w:tc>
        <w:tc>
          <w:tcPr>
            <w:tcW w:w="10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Amortization of debt discount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Operating lease right-of-use assets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Deferred revenue and customer credit liabilities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Operating lease liabilities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52"/>
        </w:trPr>
        <w:tc>
          <w:tcPr>
            <w:tcW w:w="7860" w:type="dxa"/>
            <w:vAlign w:val="bottom"/>
          </w:tcPr>
          <w:p>
            <w:pPr>
              <w:ind w:left="700"/>
              <w:spacing w:after="0"/>
              <w:rPr>
                <w:sz w:val="20"/>
                <w:szCs w:val="20"/>
                <w:color w:val="auto"/>
              </w:rPr>
            </w:pPr>
            <w:r>
              <w:rPr>
                <w:rFonts w:ascii="Arial" w:cs="Arial" w:eastAsia="Arial" w:hAnsi="Arial"/>
                <w:sz w:val="16"/>
                <w:szCs w:val="16"/>
                <w:color w:val="auto"/>
              </w:rPr>
              <w:t>Other liabilities</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3"/>
        </w:trPr>
        <w:tc>
          <w:tcPr>
            <w:tcW w:w="7860" w:type="dxa"/>
            <w:vAlign w:val="bottom"/>
          </w:tcPr>
          <w:p>
            <w:pPr>
              <w:ind w:left="980"/>
              <w:spacing w:after="0"/>
              <w:rPr>
                <w:sz w:val="20"/>
                <w:szCs w:val="20"/>
                <w:color w:val="auto"/>
              </w:rPr>
            </w:pPr>
            <w:r>
              <w:rPr>
                <w:rFonts w:ascii="Arial" w:cs="Arial" w:eastAsia="Arial" w:hAnsi="Arial"/>
                <w:sz w:val="16"/>
                <w:szCs w:val="16"/>
                <w:color w:val="auto"/>
              </w:rPr>
              <w:t>Net cash (used in) provided by operating activities</w:t>
            </w: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5"/>
        </w:trPr>
        <w:tc>
          <w:tcPr>
            <w:tcW w:w="7860" w:type="dxa"/>
            <w:vAlign w:val="bottom"/>
          </w:tcPr>
          <w:p>
            <w:pPr>
              <w:ind w:left="60"/>
              <w:spacing w:after="0"/>
              <w:rPr>
                <w:sz w:val="20"/>
                <w:szCs w:val="20"/>
                <w:color w:val="auto"/>
              </w:rPr>
            </w:pPr>
            <w:r>
              <w:rPr>
                <w:rFonts w:ascii="Arial" w:cs="Arial" w:eastAsia="Arial" w:hAnsi="Arial"/>
                <w:sz w:val="15"/>
                <w:szCs w:val="15"/>
                <w:b w:val="1"/>
                <w:bCs w:val="1"/>
                <w:color w:val="auto"/>
              </w:rPr>
              <w:t>INVESTING ACTIVITIES</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860" w:type="dxa"/>
            <w:vAlign w:val="bottom"/>
          </w:tcPr>
          <w:p>
            <w:pPr>
              <w:ind w:left="60"/>
              <w:spacing w:after="0"/>
              <w:rPr>
                <w:sz w:val="20"/>
                <w:szCs w:val="20"/>
                <w:color w:val="auto"/>
              </w:rPr>
            </w:pPr>
            <w:r>
              <w:rPr>
                <w:rFonts w:ascii="Arial" w:cs="Arial" w:eastAsia="Arial" w:hAnsi="Arial"/>
                <w:sz w:val="16"/>
                <w:szCs w:val="16"/>
                <w:color w:val="auto"/>
              </w:rPr>
              <w:t>Purchases of rental product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43"/>
        </w:trPr>
        <w:tc>
          <w:tcPr>
            <w:tcW w:w="7860" w:type="dxa"/>
            <w:vAlign w:val="bottom"/>
          </w:tcPr>
          <w:p>
            <w:pPr>
              <w:ind w:left="60"/>
              <w:spacing w:after="0"/>
              <w:rPr>
                <w:sz w:val="20"/>
                <w:szCs w:val="20"/>
                <w:color w:val="auto"/>
              </w:rPr>
            </w:pPr>
            <w:r>
              <w:rPr>
                <w:rFonts w:ascii="Arial" w:cs="Arial" w:eastAsia="Arial" w:hAnsi="Arial"/>
                <w:sz w:val="16"/>
                <w:szCs w:val="16"/>
                <w:color w:val="auto"/>
              </w:rPr>
              <w:t>Proceeds from liquidation of rental product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7860" w:type="dxa"/>
            <w:vAlign w:val="bottom"/>
          </w:tcPr>
          <w:p>
            <w:pPr>
              <w:ind w:left="60"/>
              <w:spacing w:after="0"/>
              <w:rPr>
                <w:sz w:val="20"/>
                <w:szCs w:val="20"/>
                <w:color w:val="auto"/>
              </w:rPr>
            </w:pPr>
            <w:r>
              <w:rPr>
                <w:rFonts w:ascii="Arial" w:cs="Arial" w:eastAsia="Arial" w:hAnsi="Arial"/>
                <w:sz w:val="16"/>
                <w:szCs w:val="16"/>
                <w:color w:val="auto"/>
              </w:rPr>
              <w:t>Proceeds from sale of rental product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252"/>
        </w:trPr>
        <w:tc>
          <w:tcPr>
            <w:tcW w:w="7860" w:type="dxa"/>
            <w:vAlign w:val="bottom"/>
          </w:tcPr>
          <w:p>
            <w:pPr>
              <w:ind w:left="60"/>
              <w:spacing w:after="0"/>
              <w:rPr>
                <w:sz w:val="20"/>
                <w:szCs w:val="20"/>
                <w:color w:val="auto"/>
              </w:rPr>
            </w:pPr>
            <w:r>
              <w:rPr>
                <w:rFonts w:ascii="Arial" w:cs="Arial" w:eastAsia="Arial" w:hAnsi="Arial"/>
                <w:sz w:val="16"/>
                <w:szCs w:val="16"/>
                <w:color w:val="auto"/>
              </w:rPr>
              <w:t>Purchases of fixed and intangible assets</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50"/>
        </w:trPr>
        <w:tc>
          <w:tcPr>
            <w:tcW w:w="7860" w:type="dxa"/>
            <w:vAlign w:val="bottom"/>
          </w:tcPr>
          <w:p>
            <w:pPr>
              <w:ind w:left="1040"/>
              <w:spacing w:after="0"/>
              <w:rPr>
                <w:sz w:val="20"/>
                <w:szCs w:val="20"/>
                <w:color w:val="auto"/>
              </w:rPr>
            </w:pPr>
            <w:r>
              <w:rPr>
                <w:rFonts w:ascii="Arial" w:cs="Arial" w:eastAsia="Arial" w:hAnsi="Arial"/>
                <w:sz w:val="16"/>
                <w:szCs w:val="16"/>
                <w:color w:val="auto"/>
              </w:rPr>
              <w:t>Net cash (used in) provided by investing activities</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218"/>
        </w:trPr>
        <w:tc>
          <w:tcPr>
            <w:tcW w:w="7860" w:type="dxa"/>
            <w:vAlign w:val="bottom"/>
          </w:tcPr>
          <w:p>
            <w:pPr>
              <w:ind w:left="60"/>
              <w:spacing w:after="0"/>
              <w:rPr>
                <w:sz w:val="20"/>
                <w:szCs w:val="20"/>
                <w:color w:val="auto"/>
              </w:rPr>
            </w:pPr>
            <w:r>
              <w:rPr>
                <w:rFonts w:ascii="Arial" w:cs="Arial" w:eastAsia="Arial" w:hAnsi="Arial"/>
                <w:sz w:val="15"/>
                <w:szCs w:val="15"/>
                <w:b w:val="1"/>
                <w:bCs w:val="1"/>
                <w:color w:val="auto"/>
              </w:rPr>
              <w:t>FINANCING ACTIVITIES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60" w:type="dxa"/>
            <w:vAlign w:val="bottom"/>
          </w:tcPr>
          <w:p>
            <w:pPr>
              <w:ind w:left="60"/>
              <w:spacing w:after="0"/>
              <w:rPr>
                <w:sz w:val="20"/>
                <w:szCs w:val="20"/>
                <w:color w:val="auto"/>
              </w:rPr>
            </w:pPr>
            <w:r>
              <w:rPr>
                <w:rFonts w:ascii="Arial" w:cs="Arial" w:eastAsia="Arial" w:hAnsi="Arial"/>
                <w:sz w:val="15"/>
                <w:szCs w:val="15"/>
                <w:color w:val="auto"/>
              </w:rPr>
              <w:t>Proceeds from short-term financing agreements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70"/>
        </w:trPr>
        <w:tc>
          <w:tcPr>
            <w:tcW w:w="7860" w:type="dxa"/>
            <w:vAlign w:val="bottom"/>
          </w:tcPr>
          <w:p>
            <w:pPr>
              <w:ind w:left="60"/>
              <w:spacing w:after="0"/>
              <w:rPr>
                <w:sz w:val="20"/>
                <w:szCs w:val="20"/>
                <w:color w:val="auto"/>
              </w:rPr>
            </w:pPr>
            <w:r>
              <w:rPr>
                <w:rFonts w:ascii="Arial" w:cs="Arial" w:eastAsia="Arial" w:hAnsi="Arial"/>
                <w:sz w:val="16"/>
                <w:szCs w:val="16"/>
                <w:color w:val="auto"/>
              </w:rPr>
              <w:t>Other financing payments</w:t>
            </w: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33"/>
        </w:trPr>
        <w:tc>
          <w:tcPr>
            <w:tcW w:w="7860" w:type="dxa"/>
            <w:vAlign w:val="bottom"/>
            <w:vMerge w:val="restart"/>
          </w:tcPr>
          <w:p>
            <w:pPr>
              <w:ind w:left="1040"/>
              <w:spacing w:after="0"/>
              <w:rPr>
                <w:sz w:val="20"/>
                <w:szCs w:val="20"/>
                <w:color w:val="auto"/>
              </w:rPr>
            </w:pPr>
            <w:r>
              <w:rPr>
                <w:rFonts w:ascii="Arial" w:cs="Arial" w:eastAsia="Arial" w:hAnsi="Arial"/>
                <w:sz w:val="16"/>
                <w:szCs w:val="16"/>
                <w:color w:val="auto"/>
              </w:rPr>
              <w:t>Net cash (used in) provided by financing activities</w:t>
            </w: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33"/>
        </w:trPr>
        <w:tc>
          <w:tcPr>
            <w:tcW w:w="7860" w:type="dxa"/>
            <w:vAlign w:val="bottom"/>
            <w:vMerge w:val="restart"/>
          </w:tcPr>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(69.6)</w:t>
            </w:r>
          </w:p>
        </w:tc>
        <w:tc>
          <w:tcPr>
            <w:tcW w:w="0" w:type="dxa"/>
            <w:vAlign w:val="bottom"/>
          </w:tcPr>
          <w:p>
            <w:pPr>
              <w:spacing w:after="0"/>
              <w:rPr>
                <w:sz w:val="1"/>
                <w:szCs w:val="1"/>
                <w:color w:val="auto"/>
              </w:rPr>
            </w:pPr>
          </w:p>
        </w:tc>
      </w:tr>
      <w:tr>
        <w:trPr>
          <w:trHeight w:val="270"/>
        </w:trPr>
        <w:tc>
          <w:tcPr>
            <w:tcW w:w="7860" w:type="dxa"/>
            <w:vAlign w:val="bottom"/>
          </w:tcPr>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163.6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Pr>
          <w:p>
            <w:pPr>
              <w:ind w:left="60"/>
              <w:spacing w:after="0"/>
              <w:rPr>
                <w:sz w:val="20"/>
                <w:szCs w:val="20"/>
                <w:color w:val="auto"/>
              </w:rPr>
            </w:pPr>
            <w:r>
              <w:rPr>
                <w:rFonts w:ascii="Arial" w:cs="Arial" w:eastAsia="Arial" w:hAnsi="Arial"/>
                <w:sz w:val="16"/>
                <w:szCs w:val="16"/>
                <w:color w:val="auto"/>
              </w:rPr>
              <w:t>Cash and cash equivalents and restricted cash at end of period</w:t>
            </w:r>
          </w:p>
        </w:tc>
        <w:tc>
          <w:tcPr>
            <w:tcW w:w="102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80" w:top="1101" w:right="439" w:bottom="1440" w:gutter="0" w:footer="0" w:header="0"/>
        </w:sectPr>
      </w:pPr>
    </w:p>
    <w:bookmarkStart w:id="13" w:name="page14"/>
    <w:bookmarkEnd w:id="13"/>
    <w:p>
      <w:pPr>
        <w:ind w:left="4280"/>
        <w:spacing w:after="0"/>
        <w:rPr>
          <w:sz w:val="20"/>
          <w:szCs w:val="20"/>
          <w:color w:val="auto"/>
        </w:rPr>
      </w:pPr>
      <w:r>
        <w:rPr>
          <w:rFonts w:ascii="Arial" w:cs="Arial" w:eastAsia="Arial" w:hAnsi="Arial"/>
          <w:sz w:val="20"/>
          <w:szCs w:val="20"/>
          <w:b w:val="1"/>
          <w:bCs w:val="1"/>
          <w:color w:val="auto"/>
        </w:rPr>
        <w:t>Rent the Runway, Inc.</w:t>
      </w:r>
    </w:p>
    <w:p>
      <w:pPr>
        <w:ind w:left="3480"/>
        <w:spacing w:after="0" w:line="231" w:lineRule="auto"/>
        <w:rPr>
          <w:sz w:val="20"/>
          <w:szCs w:val="20"/>
          <w:color w:val="auto"/>
        </w:rPr>
      </w:pPr>
      <w:r>
        <w:rPr>
          <w:rFonts w:ascii="Arial" w:cs="Arial" w:eastAsia="Arial" w:hAnsi="Arial"/>
          <w:sz w:val="20"/>
          <w:szCs w:val="20"/>
          <w:b w:val="1"/>
          <w:bCs w:val="1"/>
          <w:color w:val="auto"/>
        </w:rPr>
        <w:t>Consolidated Statements of Cash Flow</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right="4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paid on loans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paid on financing leases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 payments,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 right-of-use asset amortization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ROU assets obtained in exchange for lease liabilities</w:t>
      </w:r>
    </w:p>
    <w:p>
      <w:pPr>
        <w:spacing w:after="0" w:line="82" w:lineRule="exact"/>
        <w:rPr>
          <w:sz w:val="20"/>
          <w:szCs w:val="20"/>
          <w:color w:val="auto"/>
        </w:rPr>
      </w:pPr>
    </w:p>
    <w:p>
      <w:pPr>
        <w:ind w:left="440"/>
        <w:spacing w:after="0" w:line="322" w:lineRule="auto"/>
        <w:rPr>
          <w:sz w:val="20"/>
          <w:szCs w:val="20"/>
          <w:color w:val="auto"/>
        </w:rPr>
      </w:pPr>
      <w:r>
        <w:rPr>
          <w:rFonts w:ascii="Arial" w:cs="Arial" w:eastAsia="Arial" w:hAnsi="Arial"/>
          <w:sz w:val="14"/>
          <w:szCs w:val="14"/>
          <w:color w:val="auto"/>
        </w:rPr>
        <w:t>Adjustments to ROU assets or lease liabilities due to modification or other reassessment events to operating and finance leases</w:t>
      </w: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Reconciliation of loss on asset impairment: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Accrued expense related to the loss on asset impairment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1100"/>
        <w:spacing w:after="0"/>
        <w:rPr>
          <w:sz w:val="20"/>
          <w:szCs w:val="20"/>
          <w:color w:val="auto"/>
        </w:rPr>
      </w:pPr>
      <w:r>
        <w:rPr>
          <w:rFonts w:ascii="Arial" w:cs="Arial" w:eastAsia="Arial" w:hAnsi="Arial"/>
          <w:sz w:val="14"/>
          <w:szCs w:val="14"/>
          <w:b w:val="1"/>
          <w:bCs w:val="1"/>
          <w:color w:val="auto"/>
        </w:rPr>
        <w:t>Years Ended</w:t>
      </w:r>
    </w:p>
    <w:p>
      <w:pPr>
        <w:spacing w:after="0" w:line="29" w:lineRule="exact"/>
        <w:rPr>
          <w:sz w:val="20"/>
          <w:szCs w:val="20"/>
          <w:color w:val="auto"/>
        </w:rPr>
      </w:pPr>
    </w:p>
    <w:p>
      <w:pPr>
        <w:jc w:val="right"/>
        <w:ind w:right="11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9119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599"/>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84.0</w:t>
            </w:r>
          </w:p>
        </w:tc>
      </w:tr>
      <w:tr>
        <w:trPr>
          <w:trHeight w:val="230"/>
        </w:trPr>
        <w:tc>
          <w:tcPr>
            <w:tcW w:w="3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43"/>
        </w:trPr>
        <w:tc>
          <w:tcPr>
            <w:tcW w:w="32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86.5</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94.0</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30"/>
        </w:trPr>
        <w:tc>
          <w:tcPr>
            <w:tcW w:w="580" w:type="dxa"/>
            <w:vAlign w:val="bottom"/>
          </w:tcPr>
          <w:p>
            <w:pPr>
              <w:spacing w:after="0"/>
              <w:rPr>
                <w:sz w:val="19"/>
                <w:szCs w:val="19"/>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6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73"/>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32"/>
        </w:trPr>
        <w:tc>
          <w:tcPr>
            <w:tcW w:w="5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486"/>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r>
    </w:tbl>
    <w:p>
      <w:pPr>
        <w:sectPr>
          <w:pgSz w:w="11900" w:h="16838" w:orient="portrait"/>
          <w:cols w:equalWidth="0" w:num="2">
            <w:col w:w="7320" w:space="300"/>
            <w:col w:w="3000"/>
          </w:cols>
          <w:pgMar w:left="640" w:top="1101" w:right="639" w:bottom="1440" w:gutter="0" w:footer="0" w:header="0"/>
        </w:sectPr>
      </w:pPr>
    </w:p>
    <w:bookmarkStart w:id="14" w:name="page15"/>
    <w:bookmarkEnd w:id="14"/>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ind w:right="-72"/>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241" w:lineRule="exact"/>
        <w:rPr>
          <w:sz w:val="20"/>
          <w:szCs w:val="20"/>
          <w:color w:val="auto"/>
        </w:rPr>
      </w:pPr>
    </w:p>
    <w:p>
      <w:pPr>
        <w:ind w:left="73" w:right="120"/>
        <w:spacing w:after="0" w:line="234"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ectPr>
          <w:pgSz w:w="11900" w:h="16838" w:orient="portrait"/>
          <w:cols w:equalWidth="0" w:num="1">
            <w:col w:w="11313"/>
          </w:cols>
          <w:pgMar w:left="247"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loss</w:t>
      </w:r>
    </w:p>
    <w:p>
      <w:pPr>
        <w:spacing w:after="0" w:line="8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77"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2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Non-ordinary course legal fees </w:t>
      </w:r>
      <w:r>
        <w:rPr>
          <w:rFonts w:ascii="Arial" w:cs="Arial" w:eastAsia="Arial" w:hAnsi="Arial"/>
          <w:sz w:val="23"/>
          <w:szCs w:val="23"/>
          <w:color w:val="auto"/>
          <w:vertAlign w:val="superscript"/>
        </w:rPr>
        <w:t>(6)</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(7)</w:t>
      </w:r>
    </w:p>
    <w:p>
      <w:pPr>
        <w:spacing w:after="0" w:line="30" w:lineRule="exact"/>
        <w:rPr>
          <w:sz w:val="20"/>
          <w:szCs w:val="20"/>
          <w:color w:val="auto"/>
        </w:rPr>
      </w:pPr>
    </w:p>
    <w:p>
      <w:pPr>
        <w:ind w:left="93"/>
        <w:spacing w:after="0" w:line="300" w:lineRule="auto"/>
        <w:rPr>
          <w:sz w:val="20"/>
          <w:szCs w:val="20"/>
          <w:color w:val="auto"/>
        </w:rPr>
      </w:pPr>
      <w:r>
        <w:rPr>
          <w:rFonts w:ascii="Arial" w:cs="Arial" w:eastAsia="Arial" w:hAnsi="Arial"/>
          <w:sz w:val="18"/>
          <w:szCs w:val="18"/>
          <w:color w:val="auto"/>
        </w:rPr>
        <w:t xml:space="preserve">Loss on asset impairment related to restructuring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Income tax (benefit) / expense</w:t>
      </w:r>
    </w:p>
    <w:p>
      <w:pPr>
        <w:spacing w:after="0" w:line="5" w:lineRule="exact"/>
        <w:rPr>
          <w:sz w:val="20"/>
          <w:szCs w:val="20"/>
          <w:color w:val="auto"/>
        </w:rPr>
      </w:pPr>
    </w:p>
    <w:p>
      <w:pPr>
        <w:ind w:left="93" w:right="1520"/>
        <w:spacing w:after="0" w:line="339" w:lineRule="auto"/>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Other (gains) / losses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Adjusted EBITDA</w:t>
      </w: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202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rPr>
              <w:t>Years Ended</w:t>
            </w:r>
          </w:p>
        </w:tc>
        <w:tc>
          <w:tcPr>
            <w:tcW w:w="1140" w:type="dxa"/>
            <w:vAlign w:val="bottom"/>
          </w:tcPr>
          <w:p>
            <w:pPr>
              <w:spacing w:after="0"/>
              <w:rPr>
                <w:sz w:val="16"/>
                <w:szCs w:val="16"/>
                <w:color w:val="auto"/>
              </w:rPr>
            </w:pPr>
          </w:p>
        </w:tc>
      </w:tr>
      <w:tr>
        <w:trPr>
          <w:trHeight w:val="205"/>
        </w:trPr>
        <w:tc>
          <w:tcPr>
            <w:tcW w:w="3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rPr>
              <w:t>January 31,</w:t>
            </w:r>
          </w:p>
        </w:tc>
        <w:tc>
          <w:tcPr>
            <w:tcW w:w="1140" w:type="dxa"/>
            <w:vAlign w:val="bottom"/>
            <w:tcBorders>
              <w:bottom w:val="single" w:sz="8" w:color="auto"/>
            </w:tcBorders>
          </w:tcPr>
          <w:p>
            <w:pPr>
              <w:spacing w:after="0"/>
              <w:rPr>
                <w:sz w:val="17"/>
                <w:szCs w:val="17"/>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2024</w:t>
            </w:r>
          </w:p>
        </w:tc>
      </w:tr>
      <w:tr>
        <w:trPr>
          <w:trHeight w:val="227"/>
        </w:trPr>
        <w:tc>
          <w:tcPr>
            <w:tcW w:w="380" w:type="dxa"/>
            <w:vAlign w:val="bottom"/>
          </w:tcPr>
          <w:p>
            <w:pPr>
              <w:spacing w:after="0"/>
              <w:rPr>
                <w:sz w:val="19"/>
                <w:szCs w:val="19"/>
                <w:color w:val="auto"/>
              </w:rPr>
            </w:pPr>
          </w:p>
        </w:tc>
        <w:tc>
          <w:tcPr>
            <w:tcW w:w="202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9"/>
                <w:szCs w:val="19"/>
                <w:color w:val="auto"/>
              </w:rPr>
            </w:pPr>
          </w:p>
        </w:tc>
      </w:tr>
      <w:tr>
        <w:trPr>
          <w:trHeight w:val="276"/>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4"/>
                <w:szCs w:val="24"/>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(113.2)</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33.7</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57.1</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14.7</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26.2</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3.4</w:t>
            </w:r>
          </w:p>
        </w:tc>
      </w:tr>
      <w:tr>
        <w:trPr>
          <w:trHeight w:val="297"/>
        </w:trPr>
        <w:tc>
          <w:tcPr>
            <w:tcW w:w="38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0.3</w:t>
            </w:r>
          </w:p>
        </w:tc>
      </w:tr>
      <w:tr>
        <w:trPr>
          <w:trHeight w:val="297"/>
        </w:trPr>
        <w:tc>
          <w:tcPr>
            <w:tcW w:w="38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2.0</w:t>
            </w:r>
          </w:p>
        </w:tc>
      </w:tr>
      <w:tr>
        <w:trPr>
          <w:trHeight w:val="297"/>
        </w:trPr>
        <w:tc>
          <w:tcPr>
            <w:tcW w:w="38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(0.7)</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0.4</w:t>
            </w:r>
          </w:p>
        </w:tc>
      </w:tr>
      <w:tr>
        <w:trPr>
          <w:trHeight w:val="36"/>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4"/>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2"/>
                <w:szCs w:val="22"/>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26.9</w:t>
            </w:r>
          </w:p>
        </w:tc>
      </w:tr>
      <w:tr>
        <w:trPr>
          <w:trHeight w:val="37"/>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4"/>
        </w:trPr>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22.8 %</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14.8 %</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15.3 %</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9.0 %</w:t>
            </w:r>
          </w:p>
        </w:tc>
      </w:tr>
    </w:tbl>
    <w:p>
      <w:pPr>
        <w:spacing w:after="0" w:line="223" w:lineRule="exact"/>
        <w:rPr>
          <w:sz w:val="20"/>
          <w:szCs w:val="20"/>
          <w:color w:val="auto"/>
        </w:rPr>
      </w:pPr>
    </w:p>
    <w:p>
      <w:pPr>
        <w:sectPr>
          <w:pgSz w:w="11900" w:h="16838" w:orient="portrait"/>
          <w:cols w:equalWidth="0" w:num="2">
            <w:col w:w="4193" w:space="160"/>
            <w:col w:w="6960"/>
          </w:cols>
          <w:pgMar w:left="247" w:top="1101" w:right="339" w:bottom="1440" w:gutter="0" w:footer="0" w:header="0"/>
          <w:type w:val="continuous"/>
        </w:sectPr>
      </w:pPr>
    </w:p>
    <w:p>
      <w:pPr>
        <w:spacing w:after="0" w:line="385" w:lineRule="exact"/>
        <w:rPr>
          <w:sz w:val="20"/>
          <w:szCs w:val="20"/>
          <w:color w:val="auto"/>
        </w:rPr>
      </w:pPr>
    </w:p>
    <w:p>
      <w:pPr>
        <w:ind w:left="333" w:right="240" w:hanging="333"/>
        <w:spacing w:after="0" w:line="231" w:lineRule="auto"/>
        <w:tabs>
          <w:tab w:leader="none" w:pos="326"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4"/>
          <w:szCs w:val="14"/>
          <w:color w:val="auto"/>
        </w:rPr>
        <w:t>Includes debt discount amortization of $7.0 million in the three months ended January 31, 2025, $6.5 million in the three months ended January 31, 2024, $27.0 million in the year ended January 31, 2025 and $11.7 million in the year ended January 31, 2024.</w:t>
      </w:r>
    </w:p>
    <w:p>
      <w:pPr>
        <w:spacing w:after="0" w:line="93"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10"/>
        </w:numPr>
        <w:rPr>
          <w:rFonts w:ascii="Arial" w:cs="Arial" w:eastAsia="Arial" w:hAnsi="Arial"/>
          <w:sz w:val="9"/>
          <w:szCs w:val="9"/>
          <w:color w:val="auto"/>
        </w:rPr>
      </w:pPr>
      <w:r>
        <w:rPr>
          <w:rFonts w:ascii="Arial" w:cs="Arial" w:eastAsia="Arial" w:hAnsi="Arial"/>
          <w:sz w:val="14"/>
          <w:szCs w:val="14"/>
          <w:color w:val="auto"/>
        </w:rPr>
        <w:t>Reflects non-rental product depreciation and capitalized software amortization.</w:t>
      </w:r>
    </w:p>
    <w:p>
      <w:pPr>
        <w:spacing w:after="0" w:line="121" w:lineRule="exact"/>
        <w:rPr>
          <w:rFonts w:ascii="Arial" w:cs="Arial" w:eastAsia="Arial" w:hAnsi="Arial"/>
          <w:sz w:val="9"/>
          <w:szCs w:val="9"/>
          <w:color w:val="auto"/>
        </w:rPr>
      </w:pPr>
    </w:p>
    <w:p>
      <w:pPr>
        <w:ind w:left="313" w:hanging="313"/>
        <w:spacing w:after="0"/>
        <w:tabs>
          <w:tab w:leader="none" w:pos="31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106" w:lineRule="exact"/>
        <w:rPr>
          <w:rFonts w:ascii="Arial" w:cs="Arial" w:eastAsia="Arial" w:hAnsi="Arial"/>
          <w:sz w:val="19"/>
          <w:szCs w:val="19"/>
          <w:color w:val="auto"/>
          <w:vertAlign w:val="superscript"/>
        </w:rPr>
      </w:pPr>
    </w:p>
    <w:p>
      <w:pPr>
        <w:ind w:left="333" w:hanging="333"/>
        <w:spacing w:after="0" w:line="257" w:lineRule="auto"/>
        <w:tabs>
          <w:tab w:leader="none" w:pos="326"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months ended January 31, 2024 includes $1.1 million of costs primarily related to debt refinancing and related fees and the option exchange. Non-recurring adjustments for the year ended January 31, 2025 includes $0.1 million of costs related to one-time professional fees. Non-recurring adjustments for the year ended January 31, 2024 includes $1.7 million of costs primarily related to debt refinancing and related fees and the option exchange.</w:t>
      </w:r>
    </w:p>
    <w:p>
      <w:pPr>
        <w:spacing w:after="0" w:line="9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0"/>
        </w:numPr>
        <w:rPr>
          <w:rFonts w:ascii="Arial" w:cs="Arial" w:eastAsia="Arial" w:hAnsi="Arial"/>
          <w:sz w:val="9"/>
          <w:szCs w:val="9"/>
          <w:color w:val="auto"/>
        </w:rPr>
      </w:pPr>
      <w:r>
        <w:rPr>
          <w:rFonts w:ascii="Arial" w:cs="Arial" w:eastAsia="Arial" w:hAnsi="Arial"/>
          <w:sz w:val="14"/>
          <w:szCs w:val="14"/>
          <w:color w:val="auto"/>
        </w:rPr>
        <w:t>Non-ordinary course legal fees for the years ended January 31, 2025 and January 31, 2024 include $0.3 million related to a class action lawsuit, respectively.</w:t>
      </w:r>
    </w:p>
    <w:p>
      <w:pPr>
        <w:spacing w:after="0" w:line="121" w:lineRule="exact"/>
        <w:rPr>
          <w:rFonts w:ascii="Arial" w:cs="Arial" w:eastAsia="Arial" w:hAnsi="Arial"/>
          <w:sz w:val="9"/>
          <w:szCs w:val="9"/>
          <w:color w:val="auto"/>
        </w:rPr>
      </w:pPr>
    </w:p>
    <w:p>
      <w:pPr>
        <w:ind w:left="313" w:hanging="313"/>
        <w:spacing w:after="0"/>
        <w:tabs>
          <w:tab w:leader="none" w:pos="31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Reflects restructuring charges primarily related to severance and related costs in connection with the January 2024 and September 2022 restructuring plans.</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Reflects the asset impairment charge related to the discontinuation of a software implementation project in connection with the January 2024 restructuring plan.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Primarily includes the monetization of tax credits and government grants for the year ended January 31, 2025.</w:t>
      </w:r>
    </w:p>
    <w:p>
      <w:pPr>
        <w:spacing w:after="0" w:line="106" w:lineRule="exact"/>
        <w:rPr>
          <w:rFonts w:ascii="Arial" w:cs="Arial" w:eastAsia="Arial" w:hAnsi="Arial"/>
          <w:sz w:val="19"/>
          <w:szCs w:val="19"/>
          <w:color w:val="auto"/>
          <w:vertAlign w:val="superscript"/>
        </w:rPr>
      </w:pPr>
    </w:p>
    <w:p>
      <w:pPr>
        <w:ind w:left="333" w:right="300" w:hanging="333"/>
        <w:spacing w:after="0" w:line="239" w:lineRule="auto"/>
        <w:tabs>
          <w:tab w:leader="none" w:pos="324"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Consolidated Financial Statements).</w:t>
      </w:r>
    </w:p>
    <w:p>
      <w:pPr>
        <w:spacing w:after="0" w:line="10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0"/>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313"/>
          </w:cols>
          <w:pgMar w:left="247" w:top="1101" w:right="339" w:bottom="1440" w:gutter="0" w:footer="0" w:header="0"/>
          <w:type w:val="continuous"/>
        </w:sectPr>
      </w:pPr>
    </w:p>
    <w:bookmarkStart w:id="15" w:name="page16"/>
    <w:bookmarkEnd w:id="15"/>
    <w:p>
      <w:pPr>
        <w:spacing w:after="0" w:line="1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Years Ended</w:t>
            </w:r>
          </w:p>
        </w:tc>
        <w:tc>
          <w:tcPr>
            <w:tcW w:w="900" w:type="dxa"/>
            <w:vAlign w:val="bottom"/>
          </w:tcPr>
          <w:p>
            <w:pPr>
              <w:spacing w:after="0"/>
              <w:rPr>
                <w:sz w:val="16"/>
                <w:szCs w:val="16"/>
                <w:color w:val="auto"/>
              </w:rPr>
            </w:pPr>
          </w:p>
        </w:tc>
      </w:tr>
      <w:tr>
        <w:trPr>
          <w:trHeight w:val="212"/>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8"/>
                <w:szCs w:val="18"/>
                <w:color w:val="auto"/>
              </w:rPr>
            </w:pPr>
          </w:p>
        </w:tc>
        <w:tc>
          <w:tcPr>
            <w:tcW w:w="1680" w:type="dxa"/>
            <w:vAlign w:val="bottom"/>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January 31,</w:t>
            </w:r>
          </w:p>
        </w:tc>
        <w:tc>
          <w:tcPr>
            <w:tcW w:w="900" w:type="dxa"/>
            <w:vAlign w:val="bottom"/>
            <w:tcBorders>
              <w:bottom w:val="single" w:sz="8" w:color="auto"/>
            </w:tcBorders>
          </w:tcPr>
          <w:p>
            <w:pPr>
              <w:spacing w:after="0"/>
              <w:rPr>
                <w:sz w:val="18"/>
                <w:szCs w:val="18"/>
                <w:color w:val="auto"/>
              </w:rPr>
            </w:pPr>
          </w:p>
        </w:tc>
      </w:tr>
      <w:tr>
        <w:trPr>
          <w:trHeight w:val="217"/>
        </w:trPr>
        <w:tc>
          <w:tcPr>
            <w:tcW w:w="4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January 31, 2025</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October 31, 2024</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r>
      <w:tr>
        <w:trPr>
          <w:trHeight w:val="228"/>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gridSpan w:val="4"/>
          </w:tcPr>
          <w:p>
            <w:pPr>
              <w:jc w:val="right"/>
              <w:ind w:right="1314"/>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560" w:type="dxa"/>
            <w:vAlign w:val="bottom"/>
            <w:gridSpan w:val="3"/>
          </w:tcPr>
          <w:p>
            <w:pPr>
              <w:jc w:val="center"/>
              <w:ind w:left="497"/>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9"/>
                <w:szCs w:val="19"/>
                <w:color w:val="auto"/>
              </w:rPr>
            </w:pPr>
          </w:p>
        </w:tc>
      </w:tr>
      <w:tr>
        <w:trPr>
          <w:trHeight w:val="276"/>
        </w:trPr>
        <w:tc>
          <w:tcPr>
            <w:tcW w:w="484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ind w:left="10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4.7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(15.7)</w:t>
            </w:r>
          </w:p>
        </w:tc>
      </w:tr>
      <w:tr>
        <w:trPr>
          <w:trHeight w:val="297"/>
        </w:trPr>
        <w:tc>
          <w:tcPr>
            <w:tcW w:w="484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20" w:type="dxa"/>
            <w:vAlign w:val="bottom"/>
          </w:tcPr>
          <w:p>
            <w:pPr>
              <w:spacing w:after="0"/>
              <w:rPr>
                <w:sz w:val="24"/>
                <w:szCs w:val="24"/>
                <w:color w:val="auto"/>
              </w:rPr>
            </w:pPr>
          </w:p>
        </w:tc>
        <w:tc>
          <w:tcPr>
            <w:tcW w:w="1560" w:type="dxa"/>
            <w:vAlign w:val="bottom"/>
          </w:tcPr>
          <w:p>
            <w:pPr>
              <w:ind w:left="10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94"/>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24"/>
                <w:szCs w:val="24"/>
                <w:color w:val="auto"/>
              </w:rPr>
            </w:pP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(77.9)</w:t>
            </w:r>
          </w:p>
        </w:tc>
      </w:tr>
      <w:tr>
        <w:trPr>
          <w:trHeight w:val="297"/>
        </w:trPr>
        <w:tc>
          <w:tcPr>
            <w:tcW w:w="484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20" w:type="dxa"/>
            <w:vAlign w:val="bottom"/>
          </w:tcPr>
          <w:p>
            <w:pPr>
              <w:spacing w:after="0"/>
              <w:rPr>
                <w:sz w:val="24"/>
                <w:szCs w:val="24"/>
                <w:color w:val="auto"/>
              </w:rPr>
            </w:pPr>
          </w:p>
        </w:tc>
        <w:tc>
          <w:tcPr>
            <w:tcW w:w="1560" w:type="dxa"/>
            <w:vAlign w:val="bottom"/>
          </w:tcPr>
          <w:p>
            <w:pPr>
              <w:ind w:left="10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4.6</w:t>
            </w:r>
          </w:p>
        </w:tc>
      </w:tr>
      <w:tr>
        <w:trPr>
          <w:trHeight w:val="297"/>
        </w:trPr>
        <w:tc>
          <w:tcPr>
            <w:tcW w:w="484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20" w:type="dxa"/>
            <w:vAlign w:val="bottom"/>
          </w:tcPr>
          <w:p>
            <w:pPr>
              <w:spacing w:after="0"/>
              <w:rPr>
                <w:sz w:val="24"/>
                <w:szCs w:val="24"/>
                <w:color w:val="auto"/>
              </w:rPr>
            </w:pPr>
          </w:p>
        </w:tc>
        <w:tc>
          <w:tcPr>
            <w:tcW w:w="1560" w:type="dxa"/>
            <w:vAlign w:val="bottom"/>
          </w:tcPr>
          <w:p>
            <w:pPr>
              <w:ind w:left="10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254"/>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4"/>
                <w:szCs w:val="24"/>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23.3</w:t>
            </w:r>
          </w:p>
        </w:tc>
      </w:tr>
      <w:tr>
        <w:trPr>
          <w:trHeight w:val="297"/>
        </w:trPr>
        <w:tc>
          <w:tcPr>
            <w:tcW w:w="484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20" w:type="dxa"/>
            <w:vAlign w:val="bottom"/>
          </w:tcPr>
          <w:p>
            <w:pPr>
              <w:spacing w:after="0"/>
              <w:rPr>
                <w:sz w:val="24"/>
                <w:szCs w:val="24"/>
                <w:color w:val="auto"/>
              </w:rPr>
            </w:pPr>
          </w:p>
        </w:tc>
        <w:tc>
          <w:tcPr>
            <w:tcW w:w="1560" w:type="dxa"/>
            <w:vAlign w:val="bottom"/>
          </w:tcPr>
          <w:p>
            <w:pPr>
              <w:ind w:left="10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194"/>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4"/>
                <w:szCs w:val="24"/>
                <w:color w:val="auto"/>
              </w:rPr>
            </w:pP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(4.6)</w:t>
            </w:r>
          </w:p>
        </w:tc>
      </w:tr>
      <w:tr>
        <w:trPr>
          <w:trHeight w:val="37"/>
        </w:trPr>
        <w:tc>
          <w:tcPr>
            <w:tcW w:w="48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86"/>
        </w:trPr>
        <w:tc>
          <w:tcPr>
            <w:tcW w:w="4840" w:type="dxa"/>
            <w:vAlign w:val="bottom"/>
          </w:tcPr>
          <w:p>
            <w:pPr>
              <w:spacing w:after="0"/>
              <w:rPr>
                <w:sz w:val="20"/>
                <w:szCs w:val="20"/>
                <w:color w:val="auto"/>
              </w:rPr>
            </w:pPr>
            <w:r>
              <w:rPr>
                <w:rFonts w:ascii="Arial" w:cs="Arial" w:eastAsia="Arial" w:hAnsi="Arial"/>
                <w:sz w:val="18"/>
                <w:szCs w:val="18"/>
                <w:color w:val="auto"/>
              </w:rPr>
              <w:t>Free Cash Flow</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(70.3)</w:t>
            </w:r>
          </w:p>
        </w:tc>
      </w:tr>
      <w:tr>
        <w:trPr>
          <w:trHeight w:val="25"/>
        </w:trPr>
        <w:tc>
          <w:tcPr>
            <w:tcW w:w="4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4"/>
        </w:trPr>
        <w:tc>
          <w:tcPr>
            <w:tcW w:w="4840" w:type="dxa"/>
            <w:vAlign w:val="bottom"/>
          </w:tcPr>
          <w:p>
            <w:pPr>
              <w:spacing w:after="0"/>
              <w:rPr>
                <w:sz w:val="20"/>
                <w:szCs w:val="20"/>
                <w:color w:val="auto"/>
              </w:rPr>
            </w:pPr>
            <w:r>
              <w:rPr>
                <w:rFonts w:ascii="Arial" w:cs="Arial" w:eastAsia="Arial" w:hAnsi="Arial"/>
                <w:sz w:val="18"/>
                <w:szCs w:val="18"/>
                <w:color w:val="auto"/>
              </w:rPr>
              <w:t>Free Cash Flow Margin</w:t>
            </w:r>
          </w:p>
        </w:tc>
        <w:tc>
          <w:tcPr>
            <w:tcW w:w="120" w:type="dxa"/>
            <w:vAlign w:val="bottom"/>
          </w:tcPr>
          <w:p>
            <w:pPr>
              <w:spacing w:after="0"/>
              <w:rPr>
                <w:sz w:val="22"/>
                <w:szCs w:val="22"/>
                <w:color w:val="auto"/>
              </w:rPr>
            </w:pPr>
          </w:p>
        </w:tc>
        <w:tc>
          <w:tcPr>
            <w:tcW w:w="1560" w:type="dxa"/>
            <w:vAlign w:val="bottom"/>
          </w:tcPr>
          <w:p>
            <w:pPr>
              <w:ind w:left="1080"/>
              <w:spacing w:after="0"/>
              <w:rPr>
                <w:sz w:val="20"/>
                <w:szCs w:val="20"/>
                <w:color w:val="auto"/>
              </w:rPr>
            </w:pPr>
            <w:r>
              <w:rPr>
                <w:rFonts w:ascii="Arial" w:cs="Arial" w:eastAsia="Arial" w:hAnsi="Arial"/>
                <w:sz w:val="18"/>
                <w:szCs w:val="18"/>
                <w:color w:val="auto"/>
                <w:w w:val="99"/>
              </w:rPr>
              <w:t>2.7 %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2025-04-15T07:13:28Z</dcterms:created>
  <dcterms:modified xsi:type="dcterms:W3CDTF">2025-04-15T07:13:28Z</dcterms:modified>
</cp:coreProperties>
</file>