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64770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17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880" w:type="dxa"/>
            <w:vAlign w:val="bottom"/>
          </w:tcPr>
          <w:p>
            <w:pPr>
              <w:spacing w:after="0"/>
              <w:rPr>
                <w:sz w:val="15"/>
                <w:szCs w:val="15"/>
                <w:color w:val="auto"/>
              </w:rPr>
            </w:pPr>
          </w:p>
        </w:tc>
        <w:tc>
          <w:tcPr>
            <w:tcW w:w="472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880" w:type="dxa"/>
            <w:vAlign w:val="bottom"/>
          </w:tcPr>
          <w:p>
            <w:pPr>
              <w:spacing w:after="0"/>
              <w:rPr>
                <w:sz w:val="16"/>
                <w:szCs w:val="16"/>
                <w:color w:val="auto"/>
              </w:rPr>
            </w:pPr>
          </w:p>
        </w:tc>
        <w:tc>
          <w:tcPr>
            <w:tcW w:w="472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20"/>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16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10 Jay Street</w:t>
            </w:r>
          </w:p>
        </w:tc>
        <w:tc>
          <w:tcPr>
            <w:tcW w:w="1660" w:type="dxa"/>
            <w:vAlign w:val="bottom"/>
          </w:tcPr>
          <w:p>
            <w:pPr>
              <w:spacing w:after="0"/>
              <w:rPr>
                <w:sz w:val="18"/>
                <w:szCs w:val="18"/>
                <w:color w:val="auto"/>
              </w:rPr>
            </w:pPr>
          </w:p>
        </w:tc>
      </w:tr>
      <w:tr>
        <w:trPr>
          <w:trHeight w:val="200"/>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166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320"/>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524-6860</w:t>
            </w:r>
          </w:p>
        </w:tc>
        <w:tc>
          <w:tcPr>
            <w:tcW w:w="1660" w:type="dxa"/>
            <w:vAlign w:val="bottom"/>
          </w:tcPr>
          <w:p>
            <w:pPr>
              <w:spacing w:after="0"/>
              <w:rPr>
                <w:sz w:val="24"/>
                <w:szCs w:val="24"/>
                <w:color w:val="auto"/>
              </w:rPr>
            </w:pPr>
          </w:p>
        </w:tc>
      </w:tr>
      <w:tr>
        <w:trPr>
          <w:trHeight w:val="81"/>
        </w:trPr>
        <w:tc>
          <w:tcPr>
            <w:tcW w:w="1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tcPr>
          <w:p>
            <w:pPr>
              <w:spacing w:after="0"/>
              <w:rPr>
                <w:sz w:val="15"/>
                <w:szCs w:val="15"/>
                <w:color w:val="auto"/>
              </w:rPr>
            </w:pPr>
          </w:p>
        </w:tc>
      </w:tr>
      <w:tr>
        <w:trPr>
          <w:trHeight w:val="204"/>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74"/>
        </w:trPr>
        <w:tc>
          <w:tcPr>
            <w:tcW w:w="37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Class A common stock, $0.001 par value per</w:t>
            </w:r>
          </w:p>
        </w:tc>
        <w:tc>
          <w:tcPr>
            <w:tcW w:w="16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RENT</w:t>
            </w:r>
          </w:p>
        </w:tc>
        <w:tc>
          <w:tcPr>
            <w:tcW w:w="14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84"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1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June 5, 2025, Rent the Runway, Inc. (the “Company”) issued a press release announcing its financial results for the quarter ended April 30, 2025. A copy of the press release is furnished as Exhibit 99.1 to this Form 8-K and is incorporated by reference.</w:t>
      </w:r>
    </w:p>
    <w:p>
      <w:pPr>
        <w:spacing w:after="0" w:line="18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w:t>
      </w:r>
    </w:p>
    <w:p>
      <w:pPr>
        <w:spacing w:after="0" w:line="1"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20" w:type="dxa"/>
            <w:vAlign w:val="bottom"/>
            <w:gridSpan w:val="3"/>
          </w:tcPr>
          <w:p>
            <w:pPr>
              <w:ind w:left="4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1"/>
                <w:szCs w:val="21"/>
                <w:color w:val="auto"/>
              </w:rPr>
            </w:pPr>
          </w:p>
        </w:tc>
        <w:tc>
          <w:tcPr>
            <w:tcW w:w="9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Press Release issued by Rent the Runway, Inc. on June 5, 2025</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2450"/>
        </w:trPr>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Times New Roman" w:cs="Times New Roman" w:eastAsia="Times New Roman" w:hAnsi="Times New Roman"/>
          <w:sz w:val="18"/>
          <w:szCs w:val="18"/>
          <w:color w:val="auto"/>
        </w:rPr>
        <w:t>Date: June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8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Siddharth Thacker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160"/>
          </w:cols>
          <w:pgMar w:left="320" w:top="765"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Rent the Runway, Inc. Announces First Quarter 2025 Results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Strongest Quarterly Customer Retention in Four Years</w:t>
      </w:r>
    </w:p>
    <w:p>
      <w:pPr>
        <w:spacing w:after="0" w:line="270" w:lineRule="exact"/>
        <w:rPr>
          <w:sz w:val="20"/>
          <w:szCs w:val="20"/>
          <w:color w:val="auto"/>
        </w:rPr>
      </w:pPr>
    </w:p>
    <w:p>
      <w:pPr>
        <w:jc w:val="center"/>
        <w:spacing w:after="0" w:line="314" w:lineRule="auto"/>
        <w:rPr>
          <w:sz w:val="20"/>
          <w:szCs w:val="20"/>
          <w:color w:val="auto"/>
        </w:rPr>
      </w:pPr>
      <w:r>
        <w:rPr>
          <w:rFonts w:ascii="Arial" w:cs="Arial" w:eastAsia="Arial" w:hAnsi="Arial"/>
          <w:sz w:val="20"/>
          <w:szCs w:val="20"/>
          <w:color w:val="auto"/>
        </w:rPr>
        <w:t>Return to Subscriber Growth with over 147,000 Active Subscribers, the Highest Quarter Ending Active Subscriber Count in Company History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New Inventory Strategy Drove Significant Improvements in Subscriber Count and Customer Retention</w:t>
      </w:r>
    </w:p>
    <w:p>
      <w:pPr>
        <w:spacing w:after="0" w:line="281" w:lineRule="exact"/>
        <w:rPr>
          <w:sz w:val="20"/>
          <w:szCs w:val="20"/>
          <w:color w:val="auto"/>
        </w:rPr>
      </w:pPr>
    </w:p>
    <w:p>
      <w:pPr>
        <w:jc w:val="both"/>
        <w:spacing w:after="0" w:line="292" w:lineRule="auto"/>
        <w:rPr>
          <w:sz w:val="20"/>
          <w:szCs w:val="20"/>
          <w:color w:val="auto"/>
        </w:rPr>
      </w:pPr>
      <w:r>
        <w:rPr>
          <w:rFonts w:ascii="Arial" w:cs="Arial" w:eastAsia="Arial" w:hAnsi="Arial"/>
          <w:sz w:val="20"/>
          <w:szCs w:val="20"/>
          <w:b w:val="1"/>
          <w:bCs w:val="1"/>
          <w:color w:val="auto"/>
        </w:rPr>
        <w:t xml:space="preserve">NEW YORK, June 5, 2025 </w:t>
      </w:r>
      <w:r>
        <w:rPr>
          <w:rFonts w:ascii="Arial" w:cs="Arial" w:eastAsia="Arial" w:hAnsi="Arial"/>
          <w:sz w:val="20"/>
          <w:szCs w:val="20"/>
          <w:color w:val="auto"/>
        </w:rPr>
        <w:t>- Rent the Runway, Inc. (“Rent the Runway” or "RTR") (NASDAQ: RENT), the company transforming</w:t>
      </w:r>
      <w:r>
        <w:rPr>
          <w:rFonts w:ascii="Arial" w:cs="Arial" w:eastAsia="Arial" w:hAnsi="Arial"/>
          <w:sz w:val="20"/>
          <w:szCs w:val="20"/>
          <w:b w:val="1"/>
          <w:bCs w:val="1"/>
          <w:color w:val="auto"/>
        </w:rPr>
        <w:t xml:space="preserve"> </w:t>
      </w:r>
      <w:r>
        <w:rPr>
          <w:rFonts w:ascii="Arial" w:cs="Arial" w:eastAsia="Arial" w:hAnsi="Arial"/>
          <w:sz w:val="20"/>
          <w:szCs w:val="20"/>
          <w:color w:val="auto"/>
        </w:rPr>
        <w:t>the way women get dressed by pioneering the world’s first Closet in the Cloud, today reported financial results for the fiscal quarter ended April 30, 2025.</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Rent the Runway is in the midst of a multi-year corporate strategy transformation, and we believe that the changes we've introduced in the first quarter of 2025 have started driving meaningful improvement. By implementing an aggressive inventory acquisition strategy, innovating to enhance the product experience, and restoring our relationship with our customers, we have seen a reignition of subscriber growth and the strongest quarterly customer retention in four years.</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"I have conviction that this quarter’s results prove that our focus on transforming our inventory and getting back to our customer-obsessed roots is working,” said Jennifer Hyman, Co-Founder, CEO and Chair of Rent the Runway. “We made a big bet on new inventory and we’ve already seen higher customer engagement and retention. I believe that Rent the Runway’s momentum and customer loyalty is back."</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Highlights</w:t>
      </w:r>
    </w:p>
    <w:p>
      <w:pPr>
        <w:spacing w:after="0" w:line="270" w:lineRule="exact"/>
        <w:rPr>
          <w:sz w:val="20"/>
          <w:szCs w:val="20"/>
          <w:color w:val="auto"/>
        </w:rPr>
      </w:pPr>
    </w:p>
    <w:p>
      <w:pPr>
        <w:jc w:val="both"/>
        <w:ind w:left="500" w:right="220" w:hanging="492"/>
        <w:spacing w:after="0" w:line="289" w:lineRule="auto"/>
        <w:tabs>
          <w:tab w:leader="none" w:pos="488" w:val="left"/>
        </w:tabs>
        <w:numPr>
          <w:ilvl w:val="0"/>
          <w:numId w:val="2"/>
        </w:numPr>
        <w:rPr>
          <w:rFonts w:ascii="Arial" w:cs="Arial" w:eastAsia="Arial" w:hAnsi="Arial"/>
          <w:sz w:val="19"/>
          <w:szCs w:val="19"/>
          <w:b w:val="1"/>
          <w:bCs w:val="1"/>
          <w:i w:val="1"/>
          <w:iCs w:val="1"/>
          <w:color w:val="auto"/>
        </w:rPr>
      </w:pPr>
      <w:r>
        <w:rPr>
          <w:rFonts w:ascii="Arial" w:cs="Arial" w:eastAsia="Arial" w:hAnsi="Arial"/>
          <w:sz w:val="19"/>
          <w:szCs w:val="19"/>
          <w:b w:val="1"/>
          <w:bCs w:val="1"/>
          <w:color w:val="auto"/>
        </w:rPr>
        <w:t xml:space="preserve">Began deploying our new inventory strategy on site: </w:t>
      </w:r>
      <w:r>
        <w:rPr>
          <w:rFonts w:ascii="Arial" w:cs="Arial" w:eastAsia="Arial" w:hAnsi="Arial"/>
          <w:sz w:val="19"/>
          <w:szCs w:val="19"/>
          <w:color w:val="auto"/>
        </w:rPr>
        <w:t>Our historic investment in inventory began reaching customers,</w:t>
      </w:r>
      <w:r>
        <w:rPr>
          <w:rFonts w:ascii="Arial" w:cs="Arial" w:eastAsia="Arial" w:hAnsi="Arial"/>
          <w:sz w:val="19"/>
          <w:szCs w:val="19"/>
          <w:b w:val="1"/>
          <w:bCs w:val="1"/>
          <w:color w:val="auto"/>
        </w:rPr>
        <w:t xml:space="preserve"> </w:t>
      </w:r>
      <w:r>
        <w:rPr>
          <w:rFonts w:ascii="Arial" w:cs="Arial" w:eastAsia="Arial" w:hAnsi="Arial"/>
          <w:sz w:val="19"/>
          <w:szCs w:val="19"/>
          <w:color w:val="auto"/>
        </w:rPr>
        <w:t>with a 24% increase in new inventory receipts in Q1 2025 versus Q1 2024. In Q1, we launched 36 new brands and over 1,000 new styles. We expect that the remainder of the year will be even more impactful, with inventory receipts expected to increase +134% YoY. We also expect to launch over 40 new brands and post over 2,700 new styles.</w:t>
      </w:r>
    </w:p>
    <w:p>
      <w:pPr>
        <w:ind w:left="500" w:right="420" w:hanging="492"/>
        <w:spacing w:after="0" w:line="274"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Expanded inventory from pillar brands: </w:t>
      </w:r>
      <w:r>
        <w:rPr>
          <w:rFonts w:ascii="Arial" w:cs="Arial" w:eastAsia="Arial" w:hAnsi="Arial"/>
          <w:sz w:val="20"/>
          <w:szCs w:val="20"/>
          <w:color w:val="auto"/>
        </w:rPr>
        <w:t>In Q1, we released four new collaborations with Sea NY, Plan C, Ganni and</w:t>
      </w:r>
      <w:r>
        <w:rPr>
          <w:rFonts w:ascii="Arial" w:cs="Arial" w:eastAsia="Arial" w:hAnsi="Arial"/>
          <w:sz w:val="20"/>
          <w:szCs w:val="20"/>
          <w:b w:val="1"/>
          <w:bCs w:val="1"/>
          <w:color w:val="auto"/>
        </w:rPr>
        <w:t xml:space="preserve"> </w:t>
      </w:r>
      <w:r>
        <w:rPr>
          <w:rFonts w:ascii="Arial" w:cs="Arial" w:eastAsia="Arial" w:hAnsi="Arial"/>
          <w:sz w:val="20"/>
          <w:szCs w:val="20"/>
          <w:color w:val="auto"/>
        </w:rPr>
        <w:t>Simon Miller, and increased the number of styles from popular brands like Staud, Ulla Johnson, Veronica Beard, and Tanya Taylor. Pillar brands are leading the way in customer engagement, with more demand, love rate, and hearts per style.</w:t>
      </w:r>
    </w:p>
    <w:p>
      <w:pPr>
        <w:spacing w:after="0" w:line="2" w:lineRule="exact"/>
        <w:rPr>
          <w:rFonts w:ascii="Arial" w:cs="Arial" w:eastAsia="Arial" w:hAnsi="Arial"/>
          <w:sz w:val="20"/>
          <w:szCs w:val="20"/>
          <w:color w:val="auto"/>
        </w:rPr>
      </w:pPr>
    </w:p>
    <w:p>
      <w:pPr>
        <w:ind w:left="500" w:right="100" w:hanging="492"/>
        <w:spacing w:after="0" w:line="274"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Continued to demonstrate that RTR is a valuable marketing channel for many brands</w:t>
      </w:r>
      <w:r>
        <w:rPr>
          <w:rFonts w:ascii="Arial" w:cs="Arial" w:eastAsia="Arial" w:hAnsi="Arial"/>
          <w:sz w:val="20"/>
          <w:szCs w:val="20"/>
          <w:color w:val="auto"/>
        </w:rPr>
        <w:t>, providing an effective way for</w:t>
      </w:r>
      <w:r>
        <w:rPr>
          <w:rFonts w:ascii="Arial" w:cs="Arial" w:eastAsia="Arial" w:hAnsi="Arial"/>
          <w:sz w:val="20"/>
          <w:szCs w:val="20"/>
          <w:b w:val="1"/>
          <w:bCs w:val="1"/>
          <w:color w:val="auto"/>
        </w:rPr>
        <w:t xml:space="preserve"> </w:t>
      </w:r>
      <w:r>
        <w:rPr>
          <w:rFonts w:ascii="Arial" w:cs="Arial" w:eastAsia="Arial" w:hAnsi="Arial"/>
          <w:sz w:val="20"/>
          <w:szCs w:val="20"/>
          <w:color w:val="auto"/>
        </w:rPr>
        <w:t>them to reach new customers outside of traditional marketing channels.</w:t>
      </w:r>
    </w:p>
    <w:p>
      <w:pPr>
        <w:spacing w:after="0" w:line="1" w:lineRule="exact"/>
        <w:rPr>
          <w:rFonts w:ascii="Arial" w:cs="Arial" w:eastAsia="Arial" w:hAnsi="Arial"/>
          <w:sz w:val="20"/>
          <w:szCs w:val="20"/>
          <w:color w:val="auto"/>
        </w:rPr>
      </w:pPr>
    </w:p>
    <w:p>
      <w:pPr>
        <w:ind w:left="500" w:right="120" w:hanging="492"/>
        <w:spacing w:after="0" w:line="283"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Improved the new member experience, providing white glove service to early term customers: </w:t>
      </w:r>
      <w:r>
        <w:rPr>
          <w:rFonts w:ascii="Arial" w:cs="Arial" w:eastAsia="Arial" w:hAnsi="Arial"/>
          <w:sz w:val="20"/>
          <w:szCs w:val="20"/>
          <w:color w:val="auto"/>
        </w:rPr>
        <w:t>In Q1, we launched</w:t>
      </w:r>
      <w:r>
        <w:rPr>
          <w:rFonts w:ascii="Arial" w:cs="Arial" w:eastAsia="Arial" w:hAnsi="Arial"/>
          <w:sz w:val="20"/>
          <w:szCs w:val="20"/>
          <w:b w:val="1"/>
          <w:bCs w:val="1"/>
          <w:color w:val="auto"/>
        </w:rPr>
        <w:t xml:space="preserve"> </w:t>
      </w:r>
      <w:r>
        <w:rPr>
          <w:rFonts w:ascii="Arial" w:cs="Arial" w:eastAsia="Arial" w:hAnsi="Arial"/>
          <w:sz w:val="20"/>
          <w:szCs w:val="20"/>
          <w:color w:val="auto"/>
        </w:rPr>
        <w:t>styling support, a 60-day customer promise where customers can get new items sent to them at no cost if they're unsatisfied with any of the items in their order, and called 50% of new members to ensure they had a smooth introduction. By the end of Q2, we anticipate 100% of our early term customers will receive a call.</w:t>
      </w:r>
    </w:p>
    <w:p>
      <w:pPr>
        <w:sectPr>
          <w:pgSz w:w="11900" w:h="16838" w:orient="portrait"/>
          <w:cols w:equalWidth="0" w:num="1">
            <w:col w:w="11240"/>
          </w:cols>
          <w:pgMar w:left="320" w:top="1101" w:right="339" w:bottom="1440" w:gutter="0" w:footer="0" w:header="0"/>
        </w:sectPr>
      </w:pPr>
    </w:p>
    <w:bookmarkStart w:id="4" w:name="page5"/>
    <w:bookmarkEnd w:id="4"/>
    <w:p>
      <w:pPr>
        <w:ind w:left="500" w:right="60" w:hanging="492"/>
        <w:spacing w:after="0" w:line="276" w:lineRule="auto"/>
        <w:tabs>
          <w:tab w:leader="none" w:pos="48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Introduced highly requested product features, including back-in-stock notifications: </w:t>
      </w:r>
      <w:r>
        <w:rPr>
          <w:rFonts w:ascii="Arial" w:cs="Arial" w:eastAsia="Arial" w:hAnsi="Arial"/>
          <w:sz w:val="20"/>
          <w:szCs w:val="20"/>
          <w:color w:val="auto"/>
        </w:rPr>
        <w:t>Historically the most requested</w:t>
      </w:r>
      <w:r>
        <w:rPr>
          <w:rFonts w:ascii="Arial" w:cs="Arial" w:eastAsia="Arial" w:hAnsi="Arial"/>
          <w:sz w:val="20"/>
          <w:szCs w:val="20"/>
          <w:b w:val="1"/>
          <w:bCs w:val="1"/>
          <w:color w:val="auto"/>
        </w:rPr>
        <w:t xml:space="preserve"> </w:t>
      </w:r>
      <w:r>
        <w:rPr>
          <w:rFonts w:ascii="Arial" w:cs="Arial" w:eastAsia="Arial" w:hAnsi="Arial"/>
          <w:sz w:val="20"/>
          <w:szCs w:val="20"/>
          <w:color w:val="auto"/>
        </w:rPr>
        <w:t>new feature, beginning in Q1, customers can request to be notified when an item is back in stock. As of June 1, 25% of all subscribers engaged with back in stock notifications and 48% of subscribers successfully added a back in stock item to their bag from a notification.</w:t>
      </w:r>
    </w:p>
    <w:p>
      <w:pPr>
        <w:spacing w:after="0" w:line="1" w:lineRule="exact"/>
        <w:rPr>
          <w:rFonts w:ascii="Arial" w:cs="Arial" w:eastAsia="Arial" w:hAnsi="Arial"/>
          <w:sz w:val="20"/>
          <w:szCs w:val="20"/>
          <w:color w:val="auto"/>
        </w:rPr>
      </w:pPr>
    </w:p>
    <w:p>
      <w:pPr>
        <w:ind w:left="500" w:right="260" w:hanging="492"/>
        <w:spacing w:after="0" w:line="289" w:lineRule="auto"/>
        <w:tabs>
          <w:tab w:leader="none" w:pos="488"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 xml:space="preserve">Reconnected with our customers: </w:t>
      </w:r>
      <w:r>
        <w:rPr>
          <w:rFonts w:ascii="Arial" w:cs="Arial" w:eastAsia="Arial" w:hAnsi="Arial"/>
          <w:sz w:val="19"/>
          <w:szCs w:val="19"/>
          <w:color w:val="auto"/>
        </w:rPr>
        <w:t>Through authentic, transparent communications and branding and unique member</w:t>
      </w:r>
      <w:r>
        <w:rPr>
          <w:rFonts w:ascii="Arial" w:cs="Arial" w:eastAsia="Arial" w:hAnsi="Arial"/>
          <w:sz w:val="19"/>
          <w:szCs w:val="19"/>
          <w:b w:val="1"/>
          <w:bCs w:val="1"/>
          <w:color w:val="auto"/>
        </w:rPr>
        <w:t xml:space="preserve"> </w:t>
      </w:r>
      <w:r>
        <w:rPr>
          <w:rFonts w:ascii="Arial" w:cs="Arial" w:eastAsia="Arial" w:hAnsi="Arial"/>
          <w:sz w:val="19"/>
          <w:szCs w:val="19"/>
          <w:color w:val="auto"/>
        </w:rPr>
        <w:t>experiences, we’ve shown our customers we heard them during Q1 and we've continued this campaign in Q2.</w:t>
      </w:r>
    </w:p>
    <w:p>
      <w:pPr>
        <w:ind w:left="500" w:hanging="492"/>
        <w:spacing w:after="0" w:line="274" w:lineRule="auto"/>
        <w:tabs>
          <w:tab w:leader="none" w:pos="48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Increased customer engagement: </w:t>
      </w:r>
      <w:r>
        <w:rPr>
          <w:rFonts w:ascii="Arial" w:cs="Arial" w:eastAsia="Arial" w:hAnsi="Arial"/>
          <w:sz w:val="20"/>
          <w:szCs w:val="20"/>
          <w:color w:val="auto"/>
        </w:rPr>
        <w:t>We’ve seen higher engagement with our Spring 2025 inventory, which has 23%</w:t>
      </w:r>
      <w:r>
        <w:rPr>
          <w:rFonts w:ascii="Arial" w:cs="Arial" w:eastAsia="Arial" w:hAnsi="Arial"/>
          <w:sz w:val="20"/>
          <w:szCs w:val="20"/>
          <w:b w:val="1"/>
          <w:bCs w:val="1"/>
          <w:color w:val="auto"/>
        </w:rPr>
        <w:t xml:space="preserve"> </w:t>
      </w:r>
      <w:r>
        <w:rPr>
          <w:rFonts w:ascii="Arial" w:cs="Arial" w:eastAsia="Arial" w:hAnsi="Arial"/>
          <w:sz w:val="20"/>
          <w:szCs w:val="20"/>
          <w:color w:val="auto"/>
        </w:rPr>
        <w:t>higher share of views, 46% more hearts, and a 14% higher love rate than our Spring 2024 buy. Customers are also adding more items to their shipments, with April add-on gross bookings +11% versus the prior year.</w:t>
      </w:r>
    </w:p>
    <w:p>
      <w:pPr>
        <w:spacing w:after="0" w:line="2" w:lineRule="exact"/>
        <w:rPr>
          <w:rFonts w:ascii="Arial" w:cs="Arial" w:eastAsia="Arial" w:hAnsi="Arial"/>
          <w:sz w:val="20"/>
          <w:szCs w:val="20"/>
          <w:color w:val="auto"/>
        </w:rPr>
      </w:pPr>
    </w:p>
    <w:p>
      <w:pPr>
        <w:ind w:left="500" w:right="120" w:hanging="492"/>
        <w:spacing w:after="0" w:line="283" w:lineRule="auto"/>
        <w:tabs>
          <w:tab w:leader="none" w:pos="488"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Launched a new organic media strategy: </w:t>
      </w:r>
      <w:r>
        <w:rPr>
          <w:rFonts w:ascii="Arial" w:cs="Arial" w:eastAsia="Arial" w:hAnsi="Arial"/>
          <w:sz w:val="20"/>
          <w:szCs w:val="20"/>
          <w:color w:val="auto"/>
        </w:rPr>
        <w:t>We engaged with our opinionated community members on Reddit and</w:t>
      </w:r>
      <w:r>
        <w:rPr>
          <w:rFonts w:ascii="Arial" w:cs="Arial" w:eastAsia="Arial" w:hAnsi="Arial"/>
          <w:sz w:val="20"/>
          <w:szCs w:val="20"/>
          <w:b w:val="1"/>
          <w:bCs w:val="1"/>
          <w:color w:val="auto"/>
        </w:rPr>
        <w:t xml:space="preserve"> </w:t>
      </w:r>
      <w:r>
        <w:rPr>
          <w:rFonts w:ascii="Arial" w:cs="Arial" w:eastAsia="Arial" w:hAnsi="Arial"/>
          <w:sz w:val="20"/>
          <w:szCs w:val="20"/>
          <w:color w:val="auto"/>
        </w:rPr>
        <w:t>introduced new content series on social media, including new spokespeople and highlights of the Rent the Runway team. The engagement rate on our social channels is up 163% since we launched our new strategy in April and May as compared to the two months prior.</w:t>
      </w:r>
    </w:p>
    <w:p>
      <w:pPr>
        <w:spacing w:after="0" w:line="213" w:lineRule="exact"/>
        <w:rPr>
          <w:sz w:val="20"/>
          <w:szCs w:val="20"/>
          <w:color w:val="auto"/>
        </w:rPr>
      </w:pPr>
    </w:p>
    <w:p>
      <w:pPr>
        <w:ind w:right="120"/>
        <w:spacing w:after="0" w:line="283" w:lineRule="auto"/>
        <w:rPr>
          <w:sz w:val="20"/>
          <w:szCs w:val="20"/>
          <w:color w:val="auto"/>
        </w:rPr>
      </w:pPr>
      <w:r>
        <w:rPr>
          <w:rFonts w:ascii="Arial" w:cs="Arial" w:eastAsia="Arial" w:hAnsi="Arial"/>
          <w:sz w:val="20"/>
          <w:szCs w:val="20"/>
          <w:color w:val="auto"/>
        </w:rPr>
        <w:t>"We’re pleased to see customers responding enthusiastically to our significant investment in inventory this fiscal year,” said Sid Thacker, Chief Financial Officer of Rent the Runway. “The energy from both our customers and employees is palpable. We are happy with the sequential growth in ending active subscribers and continue to expect double digit growth in ending active subscribers for fiscal year 2025. We have more to do, but believe we are firmly on the right track."</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2025 Key Metrics and Financial Highlights</w:t>
      </w:r>
    </w:p>
    <w:p>
      <w:pPr>
        <w:spacing w:after="0" w:line="272" w:lineRule="exact"/>
        <w:rPr>
          <w:sz w:val="20"/>
          <w:szCs w:val="20"/>
          <w:color w:val="auto"/>
        </w:rPr>
      </w:pPr>
    </w:p>
    <w:p>
      <w:pPr>
        <w:ind w:left="480" w:hanging="310"/>
        <w:spacing w:after="0"/>
        <w:tabs>
          <w:tab w:leader="none" w:pos="48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Revenue was $69.6 million, a (7.2)% decrease year-over-year from $75.0 million in the first quarter of fiscal year 2024.</w:t>
      </w:r>
    </w:p>
    <w:p>
      <w:pPr>
        <w:spacing w:after="0" w:line="41" w:lineRule="exact"/>
        <w:rPr>
          <w:rFonts w:ascii="Arial" w:cs="Arial" w:eastAsia="Arial" w:hAnsi="Arial"/>
          <w:sz w:val="20"/>
          <w:szCs w:val="20"/>
          <w:b w:val="1"/>
          <w:bCs w:val="1"/>
          <w:color w:val="auto"/>
        </w:rPr>
      </w:pPr>
    </w:p>
    <w:p>
      <w:pPr>
        <w:ind w:left="500" w:right="320" w:hanging="330"/>
        <w:spacing w:after="0" w:line="274"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147,157 ending Active Subscribers, representing an increase of 1% from 145,837 at the end of the first quarter of fiscal year 2024.</w:t>
      </w:r>
    </w:p>
    <w:p>
      <w:pPr>
        <w:ind w:left="500" w:right="260" w:hanging="330"/>
        <w:spacing w:after="0" w:line="273"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133,468 Average Active Subscribers, representing a change of (2)% from 135,896 at the end of the first quarter of fiscal year 2024.</w:t>
      </w:r>
    </w:p>
    <w:p>
      <w:pPr>
        <w:spacing w:after="0" w:line="3" w:lineRule="exact"/>
        <w:rPr>
          <w:rFonts w:ascii="Arial" w:cs="Arial" w:eastAsia="Arial" w:hAnsi="Arial"/>
          <w:sz w:val="20"/>
          <w:szCs w:val="20"/>
          <w:color w:val="auto"/>
        </w:rPr>
      </w:pPr>
    </w:p>
    <w:p>
      <w:pPr>
        <w:ind w:left="500" w:right="80" w:hanging="330"/>
        <w:spacing w:after="0" w:line="273"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182,209 ending Total Subscribers, representing a change of (2)% from 185,346 at the end of the first quarter of fiscal year 2024.</w:t>
      </w:r>
    </w:p>
    <w:p>
      <w:pPr>
        <w:spacing w:after="0" w:line="3" w:lineRule="exact"/>
        <w:rPr>
          <w:rFonts w:ascii="Arial" w:cs="Arial" w:eastAsia="Arial" w:hAnsi="Arial"/>
          <w:sz w:val="20"/>
          <w:szCs w:val="20"/>
          <w:b w:val="1"/>
          <w:bCs w:val="1"/>
          <w:color w:val="auto"/>
        </w:rPr>
      </w:pPr>
    </w:p>
    <w:p>
      <w:pPr>
        <w:ind w:left="500" w:right="120" w:hanging="330"/>
        <w:spacing w:after="0" w:line="273"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Gross Profit was $21.9 million, representing a change of (22.9)% from $28.4 million in the first quarter of fiscal year 2024. Gross Margin was 31.5%, as compared to 37.9% in the first quarter of fiscal year 2024.</w:t>
      </w:r>
    </w:p>
    <w:p>
      <w:pPr>
        <w:spacing w:after="0" w:line="3" w:lineRule="exact"/>
        <w:rPr>
          <w:rFonts w:ascii="Arial" w:cs="Arial" w:eastAsia="Arial" w:hAnsi="Arial"/>
          <w:sz w:val="20"/>
          <w:szCs w:val="20"/>
          <w:b w:val="1"/>
          <w:bCs w:val="1"/>
          <w:color w:val="auto"/>
        </w:rPr>
      </w:pPr>
    </w:p>
    <w:p>
      <w:pPr>
        <w:ind w:left="500" w:right="880" w:hanging="330"/>
        <w:spacing w:after="0" w:line="270"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Net Loss was $(26.1) million, as compared to $(22.0) million in the first quarter of fiscal year 2024. Net Loss as a percentage of revenue was (37.5)%, as compared to (29.3)% in the first quarter of fiscal year 2024.</w:t>
      </w:r>
    </w:p>
    <w:p>
      <w:pPr>
        <w:ind w:left="500" w:right="80" w:hanging="330"/>
        <w:spacing w:after="0" w:line="231"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$(1.3) million, as compared to $6.5 million in the first quarter of fiscal year 2024. Adjusted EBITDA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(1.9)%, as compared to 8.7% in the first quarter of fiscal year 2024.</w:t>
      </w:r>
    </w:p>
    <w:p>
      <w:pPr>
        <w:ind w:left="500" w:right="20" w:hanging="330"/>
        <w:spacing w:after="0" w:line="281"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cash provided by (used in) operating activities was $8.3 million, as compared to $4.6 million in the first quarter of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6" w:lineRule="exact"/>
        <w:rPr>
          <w:sz w:val="20"/>
          <w:szCs w:val="20"/>
          <w:color w:val="auto"/>
        </w:rPr>
      </w:pPr>
    </w:p>
    <w:p>
      <w:pPr>
        <w:ind w:right="60" w:firstLine="8"/>
        <w:spacing w:after="0" w:line="239" w:lineRule="auto"/>
        <w:tabs>
          <w:tab w:leader="none" w:pos="92"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Represents a non-GAAP financial measure. A full reconciliation of the Adjusted EBITDA and Adjusted EBITDA Margin is shown in the Non-GAAP Financial Measures section of this release</w:t>
      </w:r>
    </w:p>
    <w:p>
      <w:pPr>
        <w:sectPr>
          <w:pgSz w:w="11900" w:h="16838" w:orient="portrait"/>
          <w:cols w:equalWidth="0" w:num="1">
            <w:col w:w="11200"/>
          </w:cols>
          <w:pgMar w:left="320" w:top="1101" w:right="379" w:bottom="1440" w:gutter="0" w:footer="0" w:header="0"/>
        </w:sectPr>
      </w:pPr>
    </w:p>
    <w:bookmarkStart w:id="5" w:name="page6"/>
    <w:bookmarkEnd w:id="5"/>
    <w:p>
      <w:pPr>
        <w:ind w:left="500" w:hanging="330"/>
        <w:spacing w:after="0" w:line="277" w:lineRule="auto"/>
        <w:tabs>
          <w:tab w:leader="none" w:pos="488"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cash provided by (used in) operating activities as a percentage of revenue was 11.9%, as compared to 6.1% in the first quarter of fiscal year 2024.</w:t>
      </w:r>
    </w:p>
    <w:p>
      <w:pPr>
        <w:ind w:left="500" w:right="480" w:hanging="330"/>
        <w:spacing w:after="0" w:line="274" w:lineRule="auto"/>
        <w:tabs>
          <w:tab w:leader="none" w:pos="488"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cash used in investing activities was $(14.7) million, as compared to $(6.0) million in the first quarter of fiscal year 2024.</w:t>
      </w:r>
    </w:p>
    <w:p>
      <w:pPr>
        <w:spacing w:after="0" w:line="1" w:lineRule="exact"/>
        <w:rPr>
          <w:rFonts w:ascii="Arial" w:cs="Arial" w:eastAsia="Arial" w:hAnsi="Arial"/>
          <w:sz w:val="20"/>
          <w:szCs w:val="20"/>
          <w:color w:val="auto"/>
        </w:rPr>
      </w:pPr>
    </w:p>
    <w:p>
      <w:pPr>
        <w:ind w:left="500" w:right="60" w:hanging="330"/>
        <w:spacing w:after="0" w:line="309" w:lineRule="auto"/>
        <w:tabs>
          <w:tab w:leader="none" w:pos="488"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cash used in investing activities as a percentage of revenue was (21.1)%, as compared to (8.0)% in the first quarter of fiscal year 2024.</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For the fiscal second quarter of 2025, Rent the Runway expects:</w:t>
      </w:r>
    </w:p>
    <w:p>
      <w:pPr>
        <w:spacing w:after="0" w:line="31" w:lineRule="exact"/>
        <w:rPr>
          <w:sz w:val="20"/>
          <w:szCs w:val="20"/>
          <w:color w:val="auto"/>
        </w:rPr>
      </w:pPr>
    </w:p>
    <w:p>
      <w:pPr>
        <w:ind w:left="480" w:hanging="310"/>
        <w:spacing w:after="0"/>
        <w:tabs>
          <w:tab w:leader="none" w:pos="48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Revenue of between $76 million and $80 million</w:t>
      </w:r>
    </w:p>
    <w:p>
      <w:pPr>
        <w:spacing w:after="0" w:line="26" w:lineRule="exact"/>
        <w:rPr>
          <w:rFonts w:ascii="Arial" w:cs="Arial" w:eastAsia="Arial" w:hAnsi="Arial"/>
          <w:sz w:val="20"/>
          <w:szCs w:val="20"/>
          <w:color w:val="auto"/>
        </w:rPr>
      </w:pPr>
    </w:p>
    <w:p>
      <w:pPr>
        <w:ind w:left="480" w:hanging="310"/>
        <w:spacing w:after="0"/>
        <w:tabs>
          <w:tab w:leader="none" w:pos="48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Adjusted EBITDA Margin</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of between (2)% and +2%</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For fiscal year 2025, Rent the Runway continues to expect:</w:t>
      </w:r>
    </w:p>
    <w:p>
      <w:pPr>
        <w:spacing w:after="0" w:line="40" w:lineRule="exact"/>
        <w:rPr>
          <w:sz w:val="20"/>
          <w:szCs w:val="20"/>
          <w:color w:val="auto"/>
        </w:rPr>
      </w:pPr>
    </w:p>
    <w:p>
      <w:pPr>
        <w:ind w:left="480" w:hanging="310"/>
        <w:spacing w:after="0"/>
        <w:tabs>
          <w:tab w:leader="none" w:pos="480" w:val="left"/>
        </w:tabs>
        <w:numPr>
          <w:ilvl w:val="0"/>
          <w:numId w:val="8"/>
        </w:numPr>
        <w:rPr>
          <w:rFonts w:ascii="Arial" w:cs="Arial" w:eastAsia="Arial" w:hAnsi="Arial"/>
          <w:sz w:val="20"/>
          <w:szCs w:val="20"/>
          <w:color w:val="auto"/>
        </w:rPr>
      </w:pPr>
      <w:r>
        <w:rPr>
          <w:rFonts w:ascii="Arial" w:cs="Arial" w:eastAsia="Arial" w:hAnsi="Arial"/>
          <w:sz w:val="20"/>
          <w:szCs w:val="20"/>
          <w:color w:val="auto"/>
        </w:rPr>
        <w:t>Double-digit growth in ending Active Subscribers versus fiscal year 2024</w:t>
      </w:r>
    </w:p>
    <w:p>
      <w:pPr>
        <w:spacing w:after="0" w:line="31" w:lineRule="exact"/>
        <w:rPr>
          <w:rFonts w:ascii="Arial" w:cs="Arial" w:eastAsia="Arial" w:hAnsi="Arial"/>
          <w:sz w:val="20"/>
          <w:szCs w:val="20"/>
          <w:color w:val="auto"/>
        </w:rPr>
      </w:pPr>
    </w:p>
    <w:p>
      <w:pPr>
        <w:ind w:left="480" w:hanging="310"/>
        <w:spacing w:after="0"/>
        <w:tabs>
          <w:tab w:leader="none" w:pos="480" w:val="left"/>
        </w:tabs>
        <w:numPr>
          <w:ilvl w:val="0"/>
          <w:numId w:val="8"/>
        </w:numPr>
        <w:rPr>
          <w:rFonts w:ascii="Arial" w:cs="Arial" w:eastAsia="Arial" w:hAnsi="Arial"/>
          <w:sz w:val="20"/>
          <w:szCs w:val="20"/>
          <w:color w:val="auto"/>
        </w:rPr>
      </w:pPr>
      <w:r>
        <w:rPr>
          <w:rFonts w:ascii="Arial" w:cs="Arial" w:eastAsia="Arial" w:hAnsi="Arial"/>
          <w:sz w:val="20"/>
          <w:szCs w:val="20"/>
          <w:color w:val="auto"/>
        </w:rPr>
        <w:t>Free Cash Flow of between $(30) million and $(40) million</w:t>
      </w:r>
      <w:r>
        <w:rPr>
          <w:rFonts w:ascii="Arial" w:cs="Arial" w:eastAsia="Arial" w:hAnsi="Arial"/>
          <w:sz w:val="25"/>
          <w:szCs w:val="25"/>
          <w:color w:val="auto"/>
          <w:vertAlign w:val="superscript"/>
        </w:rPr>
        <w:t>3</w:t>
      </w:r>
    </w:p>
    <w:p>
      <w:pPr>
        <w:spacing w:after="0" w:line="221" w:lineRule="exact"/>
        <w:rPr>
          <w:sz w:val="20"/>
          <w:szCs w:val="20"/>
          <w:color w:val="auto"/>
        </w:rPr>
      </w:pPr>
    </w:p>
    <w:p>
      <w:pPr>
        <w:ind w:right="340"/>
        <w:spacing w:after="0" w:line="300" w:lineRule="auto"/>
        <w:rPr>
          <w:sz w:val="20"/>
          <w:szCs w:val="20"/>
          <w:color w:val="auto"/>
        </w:rPr>
      </w:pPr>
      <w:r>
        <w:rPr>
          <w:rFonts w:ascii="Arial" w:cs="Arial" w:eastAsia="Arial" w:hAnsi="Arial"/>
          <w:sz w:val="20"/>
          <w:szCs w:val="20"/>
          <w:color w:val="auto"/>
        </w:rPr>
        <w:t>There are unknowns around the economy and tariffs as well as timing of potential customer retention improvements that can further affect actual results for fiscal year 2025 versus expectations.</w:t>
      </w:r>
    </w:p>
    <w:p>
      <w:pPr>
        <w:spacing w:after="0" w:line="195" w:lineRule="exact"/>
        <w:rPr>
          <w:sz w:val="20"/>
          <w:szCs w:val="20"/>
          <w:color w:val="auto"/>
        </w:rPr>
      </w:pPr>
    </w:p>
    <w:p>
      <w:pPr>
        <w:ind w:right="660"/>
        <w:spacing w:after="0" w:line="300" w:lineRule="auto"/>
        <w:rPr>
          <w:sz w:val="20"/>
          <w:szCs w:val="20"/>
          <w:color w:val="auto"/>
        </w:rPr>
      </w:pPr>
      <w:r>
        <w:rPr>
          <w:rFonts w:ascii="Arial" w:cs="Arial" w:eastAsia="Arial" w:hAnsi="Arial"/>
          <w:sz w:val="20"/>
          <w:szCs w:val="20"/>
          <w:color w:val="auto"/>
        </w:rPr>
        <w:t>Please see our first quarter 2025 earnings presentation at https://investors.renttherunway.com/ under the “Presentations” section for supplemental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714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7" w:lineRule="exact"/>
        <w:rPr>
          <w:sz w:val="20"/>
          <w:szCs w:val="20"/>
          <w:color w:val="auto"/>
        </w:rPr>
      </w:pPr>
    </w:p>
    <w:p>
      <w:pPr>
        <w:ind w:right="100" w:firstLine="8"/>
        <w:spacing w:after="0" w:line="239" w:lineRule="auto"/>
        <w:tabs>
          <w:tab w:leader="none" w:pos="92"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Represents a non-GAAP financial measure. As more fully described in the Non-GAAP Financial Measures section of this release, a reconciliation of Adjusted EBITDA Margin for the second quarter of fiscal year 2025 is not available without unreasonable efforts.</w:t>
      </w:r>
    </w:p>
    <w:p>
      <w:pPr>
        <w:spacing w:after="0" w:line="1" w:lineRule="exact"/>
        <w:rPr>
          <w:rFonts w:ascii="Arial" w:cs="Arial" w:eastAsia="Arial" w:hAnsi="Arial"/>
          <w:sz w:val="19"/>
          <w:szCs w:val="19"/>
          <w:color w:val="auto"/>
          <w:vertAlign w:val="superscript"/>
        </w:rPr>
      </w:pPr>
    </w:p>
    <w:p>
      <w:pPr>
        <w:ind w:right="100"/>
        <w:spacing w:after="0" w:line="25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Represents a non-GAAP financial measure. As more fully described in the Non-GAAP Financial Measures section of this release, a reconciliation of Free Cash Flow for fiscal year 2025 is not available without unreasonable efforts.</w:t>
      </w:r>
    </w:p>
    <w:p>
      <w:pPr>
        <w:sectPr>
          <w:pgSz w:w="11900" w:h="16838" w:orient="portrait"/>
          <w:cols w:equalWidth="0" w:num="1">
            <w:col w:w="11220"/>
          </w:cols>
          <w:pgMar w:left="320" w:top="1103" w:right="35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Earnings Presentation, Conference Call and Webcast</w:t>
      </w:r>
    </w:p>
    <w:p>
      <w:pPr>
        <w:spacing w:after="0" w:line="272"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The first quarter 2025 Earnings Presentation is now accessible through the Investor Relations section of Rent the Runway’s website at https://investors.renttherunway.com/ under the “Presentations” section.</w:t>
      </w:r>
    </w:p>
    <w:p>
      <w:pPr>
        <w:spacing w:after="0" w:line="183" w:lineRule="exact"/>
        <w:rPr>
          <w:sz w:val="20"/>
          <w:szCs w:val="20"/>
          <w:color w:val="auto"/>
        </w:rPr>
      </w:pPr>
    </w:p>
    <w:p>
      <w:pPr>
        <w:ind w:right="820"/>
        <w:spacing w:after="0" w:line="300" w:lineRule="auto"/>
        <w:rPr>
          <w:sz w:val="20"/>
          <w:szCs w:val="20"/>
          <w:color w:val="auto"/>
        </w:rPr>
      </w:pPr>
      <w:r>
        <w:rPr>
          <w:rFonts w:ascii="Arial" w:cs="Arial" w:eastAsia="Arial" w:hAnsi="Arial"/>
          <w:sz w:val="20"/>
          <w:szCs w:val="20"/>
          <w:color w:val="auto"/>
        </w:rPr>
        <w:t>Rent the Runway will host a conference call and webcast to discuss its first quarter 2025 financial results and provide a business update today, June 5, 2025, at 4:30 pm ET.</w:t>
      </w:r>
    </w:p>
    <w:p>
      <w:pPr>
        <w:spacing w:after="0" w:line="195" w:lineRule="exact"/>
        <w:rPr>
          <w:sz w:val="20"/>
          <w:szCs w:val="20"/>
          <w:color w:val="auto"/>
        </w:rPr>
      </w:pPr>
    </w:p>
    <w:p>
      <w:pPr>
        <w:ind w:right="120"/>
        <w:spacing w:after="0" w:line="290" w:lineRule="auto"/>
        <w:rPr>
          <w:sz w:val="20"/>
          <w:szCs w:val="20"/>
          <w:color w:val="auto"/>
        </w:rPr>
      </w:pPr>
      <w:r>
        <w:rPr>
          <w:rFonts w:ascii="Arial" w:cs="Arial" w:eastAsia="Arial" w:hAnsi="Arial"/>
          <w:sz w:val="20"/>
          <w:szCs w:val="20"/>
          <w:color w:val="auto"/>
        </w:rPr>
        <w:t>The financial results and live webcast will be accessible through the Investor Relations section of Rent the Runway’s website at https://investors.renttherunway.com/ under the “Events” section. To access the call through a conference line, dial 1-877-407-3982 (in the U.S.) or 1-201-493-6780 (international callers).</w:t>
      </w:r>
    </w:p>
    <w:p>
      <w:pPr>
        <w:spacing w:after="0" w:line="179" w:lineRule="exact"/>
        <w:rPr>
          <w:sz w:val="20"/>
          <w:szCs w:val="20"/>
          <w:color w:val="auto"/>
        </w:rPr>
      </w:pPr>
    </w:p>
    <w:p>
      <w:pPr>
        <w:jc w:val="both"/>
        <w:ind w:right="120"/>
        <w:spacing w:after="0" w:line="298" w:lineRule="auto"/>
        <w:rPr>
          <w:sz w:val="20"/>
          <w:szCs w:val="20"/>
          <w:color w:val="auto"/>
        </w:rPr>
      </w:pPr>
      <w:r>
        <w:rPr>
          <w:rFonts w:ascii="Arial" w:cs="Arial" w:eastAsia="Arial" w:hAnsi="Arial"/>
          <w:sz w:val="19"/>
          <w:szCs w:val="19"/>
          <w:color w:val="auto"/>
        </w:rPr>
        <w:t>A replay of the conference call will be posted shortly after the call and will be available for at least fourteen days. To access the replay, dial 1-844-512-2921 (in the U.S.) or 1-412-317-6671 (international callers). The access code for the replay is 13753946.</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Rent the Runway, Inc.</w:t>
      </w: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Founded in 2009, Rent the Runway is disrupting the trillion-dollar fashion industry and changing the way women get dressed through the Closet in the Cloud. RTR’s mission has remained the same since its founding: powering women to feel their best every day. Through RTR, customers can subscribe, rent items a-la-carte and shop resale from hundreds of designer brands. The Closet in the Cloud offers a wide assortment of millions of items for every occasion, from evening wear and accessories to ready-to-wear, workwear, denim, casual, maternity, outerwear, blouses, knitwear, loungewear, jewelry, handbags, activewear and ski wear. RTR has built a two-sided discovery engine, which connects deeply engaged customers and differentiated brand partners on a powerful platform built around its brand, data, logistics and technology. Under CEO and Co-Founder Jennifer Hyman’s leadership, RTR has been named to CNBC’s “Disruptor 50” five times in ten years, and has been placed on Fast Company’s Most Innovative Companies list four times, while Hyman herself has been named to the “TIME 100: Most Influential People in the World" and as one of People Magazine’s “Women Changing the World."</w:t>
      </w:r>
    </w:p>
    <w:p>
      <w:pPr>
        <w:sectPr>
          <w:pgSz w:w="11900" w:h="16838" w:orient="portrait"/>
          <w:cols w:equalWidth="0" w:num="1">
            <w:col w:w="11240"/>
          </w:cols>
          <w:pgMar w:left="320" w:top="1101" w:right="339" w:bottom="1440" w:gutter="0" w:footer="0" w:header="0"/>
        </w:sectPr>
      </w:pPr>
    </w:p>
    <w:bookmarkStart w:id="7" w:name="page8"/>
    <w:bookmarkEnd w:id="7"/>
    <w:p>
      <w:pPr>
        <w:jc w:val="both"/>
        <w:spacing w:after="0" w:line="275" w:lineRule="auto"/>
        <w:rPr>
          <w:sz w:val="20"/>
          <w:szCs w:val="20"/>
          <w:color w:val="auto"/>
        </w:rPr>
      </w:pPr>
      <w:r>
        <w:rPr>
          <w:rFonts w:ascii="Arial" w:cs="Arial" w:eastAsia="Arial" w:hAnsi="Arial"/>
          <w:sz w:val="20"/>
          <w:szCs w:val="20"/>
          <w:b w:val="1"/>
          <w:bCs w:val="1"/>
          <w:color w:val="auto"/>
        </w:rPr>
        <w:t xml:space="preserve">Forward-Looking Statements: </w:t>
      </w:r>
      <w:r>
        <w:rPr>
          <w:rFonts w:ascii="Arial" w:cs="Arial" w:eastAsia="Arial" w:hAnsi="Arial"/>
          <w:sz w:val="20"/>
          <w:szCs w:val="20"/>
          <w:color w:val="auto"/>
        </w:rPr>
        <w:t>This press release contains forward-looking statements within the meaning of the Private</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Litigation Reform Act of 1995. All statements contained in this press release that do not relate to matters of historical fact should be considered forward-looking statements. These statements include, but are not limited to, guidance and underlying assumptions for the second fiscal quarter of 2025 and the fiscal year 2025, and statements regarding the impact of our multi-year transformational plan, the impact and volume of our new inventory, and our planned improvements to the new member experience.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press release may not occur and actual results could differ materially from those anticipated or implied in the forward-looking statements. These risks and uncertainties include our ability to drive future growth or manage our growth effectively; the highly competitive and rapidly changing nature of the global fashion industry; risks related to the macroeconomic environment; changes in global trade policies, tariffs, and other measures that could restrict international trade; our ability to cost-effectively grow our customer base; any failure to attract or retain customers; our ability to accurately forecast customer demand, acquire and manage our offerings effectively and plan for future expenses; risks arising from the restructuring of our operations; our reliance on the effective operation of proprietary technology systems and software as well as those of third-party vendors and service providers; risks related to shipping, logistics and our supply chain; our ability to remediate our material weaknesses in our internal control over financial reporting; laws and regulations applicable to our business; our reliance on the experience and expertise of our senior management and other key personnel; our ability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to provide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risks related to the Company's debt, including the Company's ability to comply with covenants in the Company's credit facility; risks related to our Class A capital stock and ownership structure; and risks related to future pandemics or public health crises.</w:t>
      </w:r>
    </w:p>
    <w:p>
      <w:pPr>
        <w:sectPr>
          <w:pgSz w:w="11900" w:h="16838" w:orient="portrait"/>
          <w:cols w:equalWidth="0" w:num="1">
            <w:col w:w="11240"/>
          </w:cols>
          <w:pgMar w:left="320" w:top="1101" w:right="339" w:bottom="1440" w:gutter="0" w:footer="0" w:header="0"/>
        </w:sectPr>
      </w:pPr>
    </w:p>
    <w:bookmarkStart w:id="8" w:name="page9"/>
    <w:bookmarkEnd w:id="8"/>
    <w:p>
      <w:pPr>
        <w:jc w:val="both"/>
        <w:spacing w:after="0" w:line="282" w:lineRule="auto"/>
        <w:rPr>
          <w:sz w:val="20"/>
          <w:szCs w:val="20"/>
          <w:color w:val="auto"/>
        </w:rPr>
      </w:pPr>
      <w:r>
        <w:rPr>
          <w:rFonts w:ascii="Arial" w:cs="Arial" w:eastAsia="Arial" w:hAnsi="Arial"/>
          <w:sz w:val="20"/>
          <w:szCs w:val="20"/>
          <w:color w:val="auto"/>
        </w:rPr>
        <w:t>Additional information regarding these and other risks and uncertainties that could cause actual results to differ materially from the Company’s expectations is included in our Annual Report on Form 10-K for the year ended January 31, 2025, as will be updated in our Quarterly Report on Form 10-Q for the quarter ended April 30, 2025. Except as required by law, we do not undertake any obligation to publicly update or revise any forward-looking statement, whether as a result of new information, future developments, or otherwise.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Business and Financial Metrics</w:t>
      </w:r>
    </w:p>
    <w:p>
      <w:pPr>
        <w:spacing w:after="0" w:line="258" w:lineRule="exact"/>
        <w:rPr>
          <w:sz w:val="20"/>
          <w:szCs w:val="20"/>
          <w:color w:val="auto"/>
        </w:rPr>
      </w:pPr>
    </w:p>
    <w:p>
      <w:pPr>
        <w:ind w:right="20"/>
        <w:spacing w:after="0"/>
        <w:rPr>
          <w:sz w:val="20"/>
          <w:szCs w:val="20"/>
          <w:color w:val="auto"/>
        </w:rPr>
      </w:pPr>
      <w:r>
        <w:rPr>
          <w:rFonts w:ascii="Arial" w:cs="Arial" w:eastAsia="Arial" w:hAnsi="Arial"/>
          <w:sz w:val="20"/>
          <w:szCs w:val="20"/>
          <w:color w:val="auto"/>
        </w:rPr>
        <w:t>Active Subscribers is defined as the number of subscribers with an active membership as of the last day of any given period and excludes paused subscribers.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228" w:lineRule="exact"/>
        <w:rPr>
          <w:sz w:val="20"/>
          <w:szCs w:val="20"/>
          <w:color w:val="auto"/>
        </w:rPr>
      </w:pPr>
    </w:p>
    <w:p>
      <w:pPr>
        <w:jc w:val="both"/>
        <w:ind w:right="580"/>
        <w:spacing w:after="0" w:line="290" w:lineRule="auto"/>
        <w:rPr>
          <w:sz w:val="20"/>
          <w:szCs w:val="20"/>
          <w:color w:val="auto"/>
        </w:rPr>
      </w:pPr>
      <w:r>
        <w:rPr>
          <w:rFonts w:ascii="Arial" w:cs="Arial" w:eastAsia="Arial" w:hAnsi="Arial"/>
          <w:sz w:val="20"/>
          <w:szCs w:val="20"/>
          <w:color w:val="auto"/>
        </w:rPr>
        <w:t>Average Active Subscribers is defined as the mean of the beginning of quarter and end of quarter Active Subscribers for a quarterly period; and for other periods, represents the mean of the Average Active Subscribers of every quarter within that period.</w:t>
      </w:r>
    </w:p>
    <w:p>
      <w:pPr>
        <w:spacing w:after="0" w:line="192"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auto"/>
        </w:rPr>
        <w:t>Gross Profit is defined as total revenue less costs related to activities to fulfill customer orders and rental product acquisition costs, presented as fulfillment and rental product depreciation and revenue share, respectively, on the consolidated statement of operations. We depreciate owned apparel assets over three years and owned accessory assets over two years, net of 20% and 30% salvage values, respectively, and recognize the depreciation on a straight-line basis and remaining cost of items when sold or retired on our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This press release and the accompanying tables contain the non-GAAP financial measures of Adjusted EBITDA, Adjusted EBITDA margin, free cash flow, and free cash flow margin. In addition to our results determined in accordance with GAAP, we believe that Adjusted EBITDA and Adjusted EBITDA margin are useful in evaluating our performance and free cash flow and free cash flow margin are useful in evaluating our performance and liquidity. Adjusted EBITDA is a key performance measure used by management to assess our operating performance and the operating leverage of our business prior to capital expenditures.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press release.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ectPr>
          <w:pgSz w:w="11900" w:h="16838" w:orient="portrait"/>
          <w:cols w:equalWidth="0" w:num="1">
            <w:col w:w="11240"/>
          </w:cols>
          <w:pgMar w:left="320" w:top="1103" w:right="339" w:bottom="1440" w:gutter="0" w:footer="0" w:header="0"/>
        </w:sectPr>
      </w:pPr>
    </w:p>
    <w:bookmarkStart w:id="9" w:name="page10"/>
    <w:bookmarkEnd w:id="9"/>
    <w:p>
      <w:pPr>
        <w:jc w:val="both"/>
        <w:ind w:right="260"/>
        <w:spacing w:after="0" w:line="291" w:lineRule="auto"/>
        <w:rPr>
          <w:sz w:val="20"/>
          <w:szCs w:val="20"/>
          <w:color w:val="auto"/>
        </w:rPr>
      </w:pPr>
      <w:r>
        <w:rPr>
          <w:rFonts w:ascii="Arial" w:cs="Arial" w:eastAsia="Arial" w:hAnsi="Arial"/>
          <w:sz w:val="19"/>
          <w:szCs w:val="19"/>
          <w:color w:val="auto"/>
        </w:rPr>
        <w:t>We define Adjusted EBITDA as net loss, adjusted to exclude interest expense, rental product depreciation, other depreciation and amortization, share-based compensation expense, write-off of liquidated assets, non-recurring adjustments, non-ordinary course legal fees, restructuring charges, income tax (benefit) expense, other income and expense, and other gains / losses.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Adjusted EBITDA margin is defined as Adjusted EBITDA calculated as a percentage of total revenue, net for a period.</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We define free cash flow as net cash used in operating activities and net cash used in investing activities on a combined basis.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Free cash flow margin is defined as free cash flow as a percentage of revenue.</w:t>
      </w:r>
    </w:p>
    <w:p>
      <w:pPr>
        <w:spacing w:after="0" w:line="270"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The reconciliation of presented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 Reconciliations of free cash flow and Adjusted EBITDA margin expectations for fiscal year 2025 and Q2 2025, respectively, to the most directly comparable GAAP measures are not available without unreasonable efforts on a forward-looking basis due to the high variability, complexity, and low visibility with respect to the charges excluded from these non-GAAP measures, in particular, share-based compensation expense, and non-recurring expenses, which can have unpredictable fluctuations based on unforeseen activity that is out of our control and/or cannot reasonably be predicted.</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investors@renttherunway.com</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Press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press@renttherunway.com</w:t>
      </w:r>
    </w:p>
    <w:p>
      <w:pPr>
        <w:sectPr>
          <w:pgSz w:w="11900" w:h="16838" w:orient="portrait"/>
          <w:cols w:equalWidth="0" w:num="1">
            <w:col w:w="11220"/>
          </w:cols>
          <w:pgMar w:left="320" w:top="1103" w:right="359" w:bottom="1440" w:gutter="0" w:footer="0" w:header="0"/>
        </w:sectPr>
      </w:pPr>
    </w:p>
    <w:bookmarkStart w:id="10" w:name="page11"/>
    <w:bookmarkEnd w:id="10"/>
    <w:p>
      <w:pPr>
        <w:ind w:left="4200"/>
        <w:spacing w:after="0"/>
        <w:rPr>
          <w:sz w:val="20"/>
          <w:szCs w:val="20"/>
          <w:color w:val="auto"/>
        </w:rPr>
      </w:pPr>
      <w:r>
        <w:rPr>
          <w:rFonts w:ascii="Arial" w:cs="Arial" w:eastAsia="Arial" w:hAnsi="Arial"/>
          <w:sz w:val="20"/>
          <w:szCs w:val="20"/>
          <w:b w:val="1"/>
          <w:bCs w:val="1"/>
          <w:color w:val="auto"/>
        </w:rPr>
        <w:t>Rent the Runway, Inc.</w:t>
      </w:r>
    </w:p>
    <w:p>
      <w:pPr>
        <w:ind w:left="3280"/>
        <w:spacing w:after="0" w:line="197" w:lineRule="auto"/>
        <w:rPr>
          <w:sz w:val="20"/>
          <w:szCs w:val="20"/>
          <w:color w:val="auto"/>
        </w:rPr>
      </w:pPr>
      <w:r>
        <w:rPr>
          <w:rFonts w:ascii="Arial" w:cs="Arial" w:eastAsia="Arial" w:hAnsi="Arial"/>
          <w:sz w:val="20"/>
          <w:szCs w:val="20"/>
          <w:b w:val="1"/>
          <w:bCs w:val="1"/>
          <w:color w:val="auto"/>
        </w:rPr>
        <w:t>Condensed Consolidated Balance Sheets</w:t>
      </w:r>
    </w:p>
    <w:p>
      <w:pPr>
        <w:ind w:left="4660"/>
        <w:spacing w:after="0"/>
        <w:rPr>
          <w:sz w:val="20"/>
          <w:szCs w:val="20"/>
          <w:color w:val="auto"/>
        </w:rPr>
      </w:pPr>
      <w:r>
        <w:rPr>
          <w:rFonts w:ascii="Arial" w:cs="Arial" w:eastAsia="Arial" w:hAnsi="Arial"/>
          <w:sz w:val="20"/>
          <w:szCs w:val="20"/>
          <w:b w:val="1"/>
          <w:bCs w:val="1"/>
          <w:color w:val="auto"/>
        </w:rPr>
        <w:t>(in millions)</w:t>
      </w:r>
    </w:p>
    <w:p>
      <w:pPr>
        <w:ind w:left="472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7"/>
                <w:szCs w:val="17"/>
                <w:color w:val="auto"/>
              </w:rPr>
            </w:pPr>
          </w:p>
        </w:tc>
        <w:tc>
          <w:tcPr>
            <w:tcW w:w="1260" w:type="dxa"/>
            <w:vAlign w:val="bottom"/>
          </w:tcPr>
          <w:p>
            <w:pPr>
              <w:jc w:val="right"/>
              <w:ind w:right="276"/>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36"/>
        </w:trPr>
        <w:tc>
          <w:tcPr>
            <w:tcW w:w="74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6"/>
        </w:trPr>
        <w:tc>
          <w:tcPr>
            <w:tcW w:w="742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420" w:type="dxa"/>
            <w:vAlign w:val="bottom"/>
          </w:tcPr>
          <w:p>
            <w:pPr>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7420" w:type="dxa"/>
            <w:vAlign w:val="bottom"/>
          </w:tcPr>
          <w:p>
            <w:pPr>
              <w:ind w:left="3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96"/>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23"/>
                <w:szCs w:val="23"/>
                <w:color w:val="auto"/>
              </w:rPr>
            </w:pPr>
          </w:p>
        </w:tc>
        <w:tc>
          <w:tcPr>
            <w:tcW w:w="220" w:type="dxa"/>
            <w:vAlign w:val="bottom"/>
          </w:tcPr>
          <w:p>
            <w:pPr>
              <w:jc w:val="right"/>
              <w:ind w:right="36"/>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57"/>
        </w:trPr>
        <w:tc>
          <w:tcPr>
            <w:tcW w:w="7420" w:type="dxa"/>
            <w:vAlign w:val="bottom"/>
          </w:tcPr>
          <w:p>
            <w:pPr>
              <w:ind w:left="320"/>
              <w:spacing w:after="0"/>
              <w:rPr>
                <w:sz w:val="20"/>
                <w:szCs w:val="20"/>
                <w:color w:val="auto"/>
              </w:rPr>
            </w:pPr>
            <w:r>
              <w:rPr>
                <w:rFonts w:ascii="Arial" w:cs="Arial" w:eastAsia="Arial" w:hAnsi="Arial"/>
                <w:sz w:val="17"/>
                <w:szCs w:val="17"/>
                <w:color w:val="auto"/>
              </w:rPr>
              <w:t>Restricted cash, current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66"/>
        </w:trPr>
        <w:tc>
          <w:tcPr>
            <w:tcW w:w="742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54"/>
        </w:trPr>
        <w:tc>
          <w:tcPr>
            <w:tcW w:w="7420" w:type="dxa"/>
            <w:vAlign w:val="bottom"/>
          </w:tcPr>
          <w:p>
            <w:pPr>
              <w:ind w:left="640"/>
              <w:spacing w:after="0"/>
              <w:rPr>
                <w:sz w:val="20"/>
                <w:szCs w:val="20"/>
                <w:color w:val="auto"/>
              </w:rPr>
            </w:pPr>
            <w:r>
              <w:rPr>
                <w:rFonts w:ascii="Arial" w:cs="Arial" w:eastAsia="Arial" w:hAnsi="Arial"/>
                <w:sz w:val="17"/>
                <w:szCs w:val="17"/>
                <w:color w:val="auto"/>
              </w:rPr>
              <w:t>Total current assets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59"/>
        </w:trPr>
        <w:tc>
          <w:tcPr>
            <w:tcW w:w="7420" w:type="dxa"/>
            <w:vAlign w:val="bottom"/>
          </w:tcPr>
          <w:p>
            <w:pPr>
              <w:spacing w:after="0"/>
              <w:rPr>
                <w:sz w:val="20"/>
                <w:szCs w:val="20"/>
                <w:color w:val="auto"/>
              </w:rPr>
            </w:pPr>
            <w:r>
              <w:rPr>
                <w:rFonts w:ascii="Arial" w:cs="Arial" w:eastAsia="Arial" w:hAnsi="Arial"/>
                <w:sz w:val="17"/>
                <w:szCs w:val="17"/>
                <w:color w:val="auto"/>
              </w:rPr>
              <w:t>Restricted cash</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Rental product,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87.3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Fixed assets,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Intangible assets,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84"/>
        </w:trPr>
        <w:tc>
          <w:tcPr>
            <w:tcW w:w="742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317"/>
        </w:trPr>
        <w:tc>
          <w:tcPr>
            <w:tcW w:w="7420" w:type="dxa"/>
            <w:vAlign w:val="bottom"/>
          </w:tcPr>
          <w:p>
            <w:pPr>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57"/>
        </w:trPr>
        <w:tc>
          <w:tcPr>
            <w:tcW w:w="7420" w:type="dxa"/>
            <w:vAlign w:val="bottom"/>
          </w:tcPr>
          <w:p>
            <w:pPr>
              <w:ind w:left="64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240.0</w:t>
            </w:r>
          </w:p>
        </w:tc>
        <w:tc>
          <w:tcPr>
            <w:tcW w:w="0" w:type="dxa"/>
            <w:vAlign w:val="bottom"/>
          </w:tcPr>
          <w:p>
            <w:pPr>
              <w:spacing w:after="0"/>
              <w:rPr>
                <w:sz w:val="1"/>
                <w:szCs w:val="1"/>
                <w:color w:val="auto"/>
              </w:rPr>
            </w:pPr>
          </w:p>
        </w:tc>
      </w:tr>
      <w:tr>
        <w:trPr>
          <w:trHeight w:val="21"/>
        </w:trPr>
        <w:tc>
          <w:tcPr>
            <w:tcW w:w="74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7"/>
                <w:szCs w:val="17"/>
                <w:color w:val="auto"/>
              </w:rPr>
              <w:t>Current liabilities: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22"/>
                <w:szCs w:val="22"/>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Accrued expenses and other current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Customer credit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Operating lease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64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57"/>
        </w:trPr>
        <w:tc>
          <w:tcPr>
            <w:tcW w:w="7420" w:type="dxa"/>
            <w:vAlign w:val="bottom"/>
          </w:tcPr>
          <w:p>
            <w:pPr>
              <w:spacing w:after="0"/>
              <w:rPr>
                <w:sz w:val="20"/>
                <w:szCs w:val="20"/>
                <w:color w:val="auto"/>
              </w:rPr>
            </w:pPr>
            <w:r>
              <w:rPr>
                <w:rFonts w:ascii="Arial" w:cs="Arial" w:eastAsia="Arial" w:hAnsi="Arial"/>
                <w:sz w:val="17"/>
                <w:szCs w:val="17"/>
                <w:color w:val="auto"/>
              </w:rPr>
              <w:t>Long-term debt, net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340.6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333.7</w:t>
            </w:r>
          </w:p>
        </w:tc>
        <w:tc>
          <w:tcPr>
            <w:tcW w:w="0" w:type="dxa"/>
            <w:vAlign w:val="bottom"/>
          </w:tcPr>
          <w:p>
            <w:pPr>
              <w:spacing w:after="0"/>
              <w:rPr>
                <w:sz w:val="1"/>
                <w:szCs w:val="1"/>
                <w:color w:val="auto"/>
              </w:rPr>
            </w:pPr>
          </w:p>
        </w:tc>
      </w:tr>
      <w:tr>
        <w:trPr>
          <w:trHeight w:val="256"/>
        </w:trPr>
        <w:tc>
          <w:tcPr>
            <w:tcW w:w="742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57"/>
        </w:trPr>
        <w:tc>
          <w:tcPr>
            <w:tcW w:w="7420" w:type="dxa"/>
            <w:vAlign w:val="bottom"/>
          </w:tcPr>
          <w:p>
            <w:pPr>
              <w:spacing w:after="0"/>
              <w:rPr>
                <w:sz w:val="20"/>
                <w:szCs w:val="20"/>
                <w:color w:val="auto"/>
              </w:rPr>
            </w:pPr>
            <w:r>
              <w:rPr>
                <w:rFonts w:ascii="Arial" w:cs="Arial" w:eastAsia="Arial" w:hAnsi="Arial"/>
                <w:sz w:val="17"/>
                <w:szCs w:val="17"/>
                <w:color w:val="auto"/>
              </w:rPr>
              <w:t>Other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64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422.5</w:t>
            </w:r>
          </w:p>
        </w:tc>
        <w:tc>
          <w:tcPr>
            <w:tcW w:w="0" w:type="dxa"/>
            <w:vAlign w:val="bottom"/>
          </w:tcPr>
          <w:p>
            <w:pPr>
              <w:spacing w:after="0"/>
              <w:rPr>
                <w:sz w:val="1"/>
                <w:szCs w:val="1"/>
                <w:color w:val="auto"/>
              </w:rPr>
            </w:pPr>
          </w:p>
        </w:tc>
      </w:tr>
      <w:tr>
        <w:trPr>
          <w:trHeight w:val="27"/>
        </w:trPr>
        <w:tc>
          <w:tcPr>
            <w:tcW w:w="7420" w:type="dxa"/>
            <w:vAlign w:val="bottom"/>
            <w:vMerge w:val="restart"/>
          </w:tcPr>
          <w:p>
            <w:pPr>
              <w:spacing w:after="0"/>
              <w:rPr>
                <w:sz w:val="20"/>
                <w:szCs w:val="20"/>
                <w:color w:val="auto"/>
              </w:rPr>
            </w:pPr>
            <w:r>
              <w:rPr>
                <w:rFonts w:ascii="Arial" w:cs="Arial" w:eastAsia="Arial" w:hAnsi="Arial"/>
                <w:sz w:val="17"/>
                <w:szCs w:val="17"/>
                <w:color w:val="auto"/>
              </w:rPr>
              <w:t>Stockholders’ equity (deficit)</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7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320"/>
              <w:spacing w:after="0"/>
              <w:rPr>
                <w:sz w:val="20"/>
                <w:szCs w:val="20"/>
                <w:color w:val="auto"/>
              </w:rPr>
            </w:pPr>
            <w:r>
              <w:rPr>
                <w:rFonts w:ascii="Arial" w:cs="Arial" w:eastAsia="Arial" w:hAnsi="Arial"/>
                <w:sz w:val="17"/>
                <w:szCs w:val="17"/>
                <w:color w:val="auto"/>
              </w:rPr>
              <w:t>Class A common stock</w:t>
            </w:r>
          </w:p>
        </w:tc>
        <w:tc>
          <w:tcPr>
            <w:tcW w:w="28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Class B common stock</w:t>
            </w:r>
          </w:p>
        </w:tc>
        <w:tc>
          <w:tcPr>
            <w:tcW w:w="28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Preferred stock</w:t>
            </w:r>
          </w:p>
        </w:tc>
        <w:tc>
          <w:tcPr>
            <w:tcW w:w="28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4"/>
        </w:trPr>
        <w:tc>
          <w:tcPr>
            <w:tcW w:w="742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942.0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940.5</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(1,149.1)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(1,123.0)</w:t>
            </w:r>
          </w:p>
        </w:tc>
        <w:tc>
          <w:tcPr>
            <w:tcW w:w="0" w:type="dxa"/>
            <w:vAlign w:val="bottom"/>
          </w:tcPr>
          <w:p>
            <w:pPr>
              <w:spacing w:after="0"/>
              <w:rPr>
                <w:sz w:val="1"/>
                <w:szCs w:val="1"/>
                <w:color w:val="auto"/>
              </w:rPr>
            </w:pPr>
          </w:p>
        </w:tc>
      </w:tr>
      <w:tr>
        <w:trPr>
          <w:trHeight w:val="40"/>
        </w:trPr>
        <w:tc>
          <w:tcPr>
            <w:tcW w:w="7420" w:type="dxa"/>
            <w:vAlign w:val="bottom"/>
            <w:vMerge w:val="restart"/>
          </w:tcPr>
          <w:p>
            <w:pPr>
              <w:spacing w:after="0"/>
              <w:rPr>
                <w:sz w:val="20"/>
                <w:szCs w:val="20"/>
                <w:color w:val="auto"/>
              </w:rPr>
            </w:pPr>
            <w:r>
              <w:rPr>
                <w:rFonts w:ascii="Arial" w:cs="Arial" w:eastAsia="Arial" w:hAnsi="Arial"/>
                <w:sz w:val="17"/>
                <w:szCs w:val="17"/>
                <w:color w:val="auto"/>
              </w:rPr>
              <w:t>Total stockholders’ equity (deficit)</w:t>
            </w: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(182.5)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20" w:type="dxa"/>
            <w:vAlign w:val="bottom"/>
          </w:tcPr>
          <w:p>
            <w:pPr>
              <w:spacing w:after="0"/>
              <w:rPr>
                <w:sz w:val="20"/>
                <w:szCs w:val="20"/>
                <w:color w:val="auto"/>
              </w:rPr>
            </w:pPr>
            <w:r>
              <w:rPr>
                <w:rFonts w:ascii="Arial" w:cs="Arial" w:eastAsia="Arial" w:hAnsi="Arial"/>
                <w:sz w:val="17"/>
                <w:szCs w:val="17"/>
                <w:color w:val="auto"/>
              </w:rPr>
              <w:t>Total liabilities and stockholders’ equity (deficit)</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240.0</w:t>
            </w:r>
          </w:p>
        </w:tc>
        <w:tc>
          <w:tcPr>
            <w:tcW w:w="0" w:type="dxa"/>
            <w:vAlign w:val="bottom"/>
          </w:tcPr>
          <w:p>
            <w:pPr>
              <w:spacing w:after="0"/>
              <w:rPr>
                <w:sz w:val="1"/>
                <w:szCs w:val="1"/>
                <w:color w:val="auto"/>
              </w:rPr>
            </w:pPr>
          </w:p>
        </w:tc>
      </w:tr>
      <w:tr>
        <w:trPr>
          <w:trHeight w:val="21"/>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720" w:top="1067" w:right="69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20"/>
          <w:szCs w:val="20"/>
          <w:b w:val="1"/>
          <w:bCs w:val="1"/>
          <w:color w:val="auto"/>
        </w:rPr>
        <w:t>Rent the Runway, Inc.</w:t>
      </w:r>
    </w:p>
    <w:p>
      <w:pPr>
        <w:jc w:val="center"/>
        <w:ind w:right="20"/>
        <w:spacing w:after="0" w:line="231" w:lineRule="auto"/>
        <w:rPr>
          <w:sz w:val="20"/>
          <w:szCs w:val="20"/>
          <w:color w:val="auto"/>
        </w:rPr>
      </w:pPr>
      <w:r>
        <w:rPr>
          <w:rFonts w:ascii="Arial" w:cs="Arial" w:eastAsia="Arial" w:hAnsi="Arial"/>
          <w:sz w:val="20"/>
          <w:szCs w:val="20"/>
          <w:b w:val="1"/>
          <w:bCs w:val="1"/>
          <w:color w:val="auto"/>
        </w:rPr>
        <w:t>Condensed Consolidated Statements of Operations</w:t>
      </w:r>
    </w:p>
    <w:p>
      <w:pPr>
        <w:jc w:val="center"/>
        <w:ind w:right="20"/>
        <w:spacing w:after="0"/>
        <w:rPr>
          <w:sz w:val="20"/>
          <w:szCs w:val="20"/>
          <w:color w:val="auto"/>
        </w:rPr>
      </w:pPr>
      <w:r>
        <w:rPr>
          <w:rFonts w:ascii="Arial" w:cs="Arial" w:eastAsia="Arial" w:hAnsi="Arial"/>
          <w:sz w:val="20"/>
          <w:szCs w:val="20"/>
          <w:b w:val="1"/>
          <w:bCs w:val="1"/>
          <w:color w:val="auto"/>
        </w:rPr>
        <w:t>(in millions, except share and per share amounts)</w:t>
      </w:r>
    </w:p>
    <w:p>
      <w:pPr>
        <w:jc w:val="center"/>
        <w:ind w:right="2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7340"/>
        <w:spacing w:after="0"/>
        <w:rPr>
          <w:sz w:val="20"/>
          <w:szCs w:val="20"/>
          <w:color w:val="auto"/>
        </w:rPr>
      </w:pPr>
      <w:r>
        <w:rPr>
          <w:rFonts w:ascii="Arial" w:cs="Arial" w:eastAsia="Arial" w:hAnsi="Arial"/>
          <w:sz w:val="14"/>
          <w:szCs w:val="14"/>
          <w:b w:val="1"/>
          <w:bCs w:val="1"/>
          <w:color w:val="auto"/>
        </w:rPr>
        <w:t>Three Months Ended</w:t>
      </w:r>
    </w:p>
    <w:p>
      <w:pPr>
        <w:spacing w:after="0" w:line="35" w:lineRule="exact"/>
        <w:rPr>
          <w:sz w:val="20"/>
          <w:szCs w:val="20"/>
          <w:color w:val="auto"/>
        </w:rPr>
      </w:pPr>
    </w:p>
    <w:p>
      <w:pPr>
        <w:jc w:val="center"/>
        <w:ind w:left="7340"/>
        <w:spacing w:after="0"/>
        <w:rPr>
          <w:sz w:val="20"/>
          <w:szCs w:val="20"/>
          <w:color w:val="auto"/>
        </w:rPr>
      </w:pPr>
      <w:r>
        <w:rPr>
          <w:rFonts w:ascii="Arial" w:cs="Arial" w:eastAsia="Arial" w:hAnsi="Arial"/>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4658360</wp:posOffset>
            </wp:positionH>
            <wp:positionV relativeFrom="paragraph">
              <wp:posOffset>27940</wp:posOffset>
            </wp:positionV>
            <wp:extent cx="20656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r>
              <w:rPr>
                <w:rFonts w:ascii="Arial" w:cs="Arial" w:eastAsia="Arial" w:hAnsi="Arial"/>
                <w:sz w:val="18"/>
                <w:szCs w:val="18"/>
                <w:color w:val="auto"/>
              </w:rPr>
              <w:t>Revenue:</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20"/>
                <w:szCs w:val="20"/>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97"/>
        </w:trPr>
        <w:tc>
          <w:tcPr>
            <w:tcW w:w="7340" w:type="dxa"/>
            <w:vAlign w:val="bottom"/>
          </w:tcPr>
          <w:p>
            <w:pPr>
              <w:ind w:left="320"/>
              <w:spacing w:after="0"/>
              <w:rPr>
                <w:sz w:val="20"/>
                <w:szCs w:val="20"/>
                <w:color w:val="auto"/>
              </w:rPr>
            </w:pPr>
            <w:r>
              <w:rPr>
                <w:rFonts w:ascii="Arial" w:cs="Arial" w:eastAsia="Arial" w:hAnsi="Arial"/>
                <w:sz w:val="18"/>
                <w:szCs w:val="18"/>
                <w:color w:val="auto"/>
              </w:rPr>
              <w:t>Subscription and Reserve rental revenue</w:t>
            </w:r>
          </w:p>
        </w:tc>
        <w:tc>
          <w:tcPr>
            <w:tcW w:w="36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40" w:type="dxa"/>
            <w:vAlign w:val="bottom"/>
          </w:tcPr>
          <w:p>
            <w:pPr>
              <w:ind w:left="320"/>
              <w:spacing w:after="0"/>
              <w:rPr>
                <w:sz w:val="20"/>
                <w:szCs w:val="20"/>
                <w:color w:val="auto"/>
              </w:rPr>
            </w:pPr>
            <w:r>
              <w:rPr>
                <w:rFonts w:ascii="Arial" w:cs="Arial" w:eastAsia="Arial" w:hAnsi="Arial"/>
                <w:sz w:val="18"/>
                <w:szCs w:val="18"/>
                <w:color w:val="auto"/>
              </w:rPr>
              <w:t>Other revenue</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340" w:type="dxa"/>
            <w:vAlign w:val="bottom"/>
          </w:tcPr>
          <w:p>
            <w:pPr>
              <w:ind w:left="640"/>
              <w:spacing w:after="0"/>
              <w:rPr>
                <w:sz w:val="20"/>
                <w:szCs w:val="20"/>
                <w:color w:val="auto"/>
              </w:rPr>
            </w:pPr>
            <w:r>
              <w:rPr>
                <w:rFonts w:ascii="Arial" w:cs="Arial" w:eastAsia="Arial" w:hAnsi="Arial"/>
                <w:sz w:val="18"/>
                <w:szCs w:val="18"/>
                <w:color w:val="auto"/>
              </w:rPr>
              <w:t>Total revenue, net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
        </w:trPr>
        <w:tc>
          <w:tcPr>
            <w:tcW w:w="7340" w:type="dxa"/>
            <w:vAlign w:val="bottom"/>
            <w:vMerge w:val="restart"/>
          </w:tcPr>
          <w:p>
            <w:pPr>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3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40" w:type="dxa"/>
            <w:vAlign w:val="bottom"/>
          </w:tcPr>
          <w:p>
            <w:pPr>
              <w:ind w:left="320"/>
              <w:spacing w:after="0"/>
              <w:rPr>
                <w:sz w:val="20"/>
                <w:szCs w:val="20"/>
                <w:color w:val="auto"/>
              </w:rPr>
            </w:pPr>
            <w:r>
              <w:rPr>
                <w:rFonts w:ascii="Arial" w:cs="Arial" w:eastAsia="Arial" w:hAnsi="Arial"/>
                <w:sz w:val="18"/>
                <w:szCs w:val="18"/>
                <w:color w:val="auto"/>
              </w:rPr>
              <w:t>Fulfillment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0"/>
        </w:trPr>
        <w:tc>
          <w:tcPr>
            <w:tcW w:w="7340" w:type="dxa"/>
            <w:vAlign w:val="bottom"/>
          </w:tcPr>
          <w:p>
            <w:pPr>
              <w:ind w:left="320"/>
              <w:spacing w:after="0"/>
              <w:rPr>
                <w:sz w:val="20"/>
                <w:szCs w:val="20"/>
                <w:color w:val="auto"/>
              </w:rPr>
            </w:pPr>
            <w:r>
              <w:rPr>
                <w:rFonts w:ascii="Arial" w:cs="Arial" w:eastAsia="Arial" w:hAnsi="Arial"/>
                <w:sz w:val="18"/>
                <w:szCs w:val="18"/>
                <w:color w:val="auto"/>
              </w:rPr>
              <w:t>Technology</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0"/>
        </w:trPr>
        <w:tc>
          <w:tcPr>
            <w:tcW w:w="7340" w:type="dxa"/>
            <w:vAlign w:val="bottom"/>
          </w:tcPr>
          <w:p>
            <w:pPr>
              <w:ind w:left="320"/>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0"/>
        </w:trPr>
        <w:tc>
          <w:tcPr>
            <w:tcW w:w="7340" w:type="dxa"/>
            <w:vAlign w:val="bottom"/>
          </w:tcPr>
          <w:p>
            <w:pPr>
              <w:ind w:left="3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0"/>
        </w:trPr>
        <w:tc>
          <w:tcPr>
            <w:tcW w:w="7340" w:type="dxa"/>
            <w:vAlign w:val="bottom"/>
          </w:tcPr>
          <w:p>
            <w:pPr>
              <w:ind w:left="320"/>
              <w:spacing w:after="0"/>
              <w:rPr>
                <w:sz w:val="20"/>
                <w:szCs w:val="20"/>
                <w:color w:val="auto"/>
              </w:rPr>
            </w:pPr>
            <w:r>
              <w:rPr>
                <w:rFonts w:ascii="Arial" w:cs="Arial" w:eastAsia="Arial" w:hAnsi="Arial"/>
                <w:sz w:val="18"/>
                <w:szCs w:val="18"/>
                <w:color w:val="auto"/>
              </w:rPr>
              <w:t>Rental product depreciation and revenue share</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0"/>
        </w:trPr>
        <w:tc>
          <w:tcPr>
            <w:tcW w:w="7340" w:type="dxa"/>
            <w:vAlign w:val="bottom"/>
          </w:tcPr>
          <w:p>
            <w:pPr>
              <w:ind w:left="320"/>
              <w:spacing w:after="0"/>
              <w:rPr>
                <w:sz w:val="20"/>
                <w:szCs w:val="20"/>
                <w:color w:val="auto"/>
              </w:rPr>
            </w:pPr>
            <w:r>
              <w:rPr>
                <w:rFonts w:ascii="Arial" w:cs="Arial" w:eastAsia="Arial" w:hAnsi="Arial"/>
                <w:sz w:val="18"/>
                <w:szCs w:val="18"/>
                <w:color w:val="auto"/>
              </w:rPr>
              <w:t>Other depreciation and amortization</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97"/>
        </w:trPr>
        <w:tc>
          <w:tcPr>
            <w:tcW w:w="7340" w:type="dxa"/>
            <w:vAlign w:val="bottom"/>
          </w:tcPr>
          <w:p>
            <w:pPr>
              <w:ind w:left="320"/>
              <w:spacing w:after="0"/>
              <w:rPr>
                <w:sz w:val="20"/>
                <w:szCs w:val="20"/>
                <w:color w:val="auto"/>
              </w:rPr>
            </w:pPr>
            <w:r>
              <w:rPr>
                <w:rFonts w:ascii="Arial" w:cs="Arial" w:eastAsia="Arial" w:hAnsi="Arial"/>
                <w:sz w:val="18"/>
                <w:szCs w:val="18"/>
                <w:color w:val="auto"/>
              </w:rPr>
              <w:t>Restructuring charges</w:t>
            </w:r>
          </w:p>
        </w:tc>
        <w:tc>
          <w:tcPr>
            <w:tcW w:w="3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340" w:type="dxa"/>
            <w:vAlign w:val="bottom"/>
          </w:tcPr>
          <w:p>
            <w:pPr>
              <w:ind w:left="640"/>
              <w:spacing w:after="0"/>
              <w:rPr>
                <w:sz w:val="20"/>
                <w:szCs w:val="20"/>
                <w:color w:val="auto"/>
              </w:rPr>
            </w:pPr>
            <w:r>
              <w:rPr>
                <w:rFonts w:ascii="Arial" w:cs="Arial" w:eastAsia="Arial" w:hAnsi="Arial"/>
                <w:sz w:val="18"/>
                <w:szCs w:val="18"/>
                <w:color w:val="auto"/>
              </w:rPr>
              <w:t>Total costs and expenses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340" w:type="dxa"/>
            <w:vAlign w:val="bottom"/>
          </w:tcPr>
          <w:p>
            <w:pPr>
              <w:ind w:left="960"/>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Interest income / (expense), net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Other income / (expense), net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340" w:type="dxa"/>
            <w:vAlign w:val="bottom"/>
          </w:tcPr>
          <w:p>
            <w:pPr>
              <w:ind w:left="860"/>
              <w:spacing w:after="0"/>
              <w:rPr>
                <w:sz w:val="20"/>
                <w:szCs w:val="20"/>
                <w:color w:val="auto"/>
              </w:rPr>
            </w:pPr>
            <w:r>
              <w:rPr>
                <w:rFonts w:ascii="Arial" w:cs="Arial" w:eastAsia="Arial" w:hAnsi="Arial"/>
                <w:sz w:val="18"/>
                <w:szCs w:val="18"/>
                <w:color w:val="auto"/>
              </w:rPr>
              <w:t>Net loss before income tax benefit / (expense)</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Income tax benefit / (expense)</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7340" w:type="dxa"/>
            <w:vAlign w:val="bottom"/>
          </w:tcPr>
          <w:p>
            <w:pPr>
              <w:ind w:left="96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34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per share attributable to common</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73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3,967,101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3,646,202</w:t>
            </w:r>
          </w:p>
        </w:tc>
        <w:tc>
          <w:tcPr>
            <w:tcW w:w="0" w:type="dxa"/>
            <w:vAlign w:val="bottom"/>
          </w:tcPr>
          <w:p>
            <w:pPr>
              <w:spacing w:after="0"/>
              <w:rPr>
                <w:sz w:val="1"/>
                <w:szCs w:val="1"/>
                <w:color w:val="auto"/>
              </w:rPr>
            </w:pPr>
          </w:p>
        </w:tc>
      </w:tr>
      <w:tr>
        <w:trPr>
          <w:trHeight w:val="235"/>
        </w:trPr>
        <w:tc>
          <w:tcPr>
            <w:tcW w:w="734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660" w:top="1101" w:right="659" w:bottom="1440" w:gutter="0" w:footer="0" w:header="0"/>
        </w:sectPr>
      </w:pPr>
    </w:p>
    <w:bookmarkStart w:id="12" w:name="page13"/>
    <w:bookmarkEnd w:id="12"/>
    <w:p>
      <w:pPr>
        <w:ind w:left="4540"/>
        <w:spacing w:after="0"/>
        <w:rPr>
          <w:sz w:val="20"/>
          <w:szCs w:val="20"/>
          <w:color w:val="auto"/>
        </w:rPr>
      </w:pPr>
      <w:r>
        <w:rPr>
          <w:rFonts w:ascii="Arial" w:cs="Arial" w:eastAsia="Arial" w:hAnsi="Arial"/>
          <w:sz w:val="20"/>
          <w:szCs w:val="20"/>
          <w:b w:val="1"/>
          <w:bCs w:val="1"/>
          <w:color w:val="auto"/>
        </w:rPr>
        <w:t>Rent the Runway, Inc.</w:t>
      </w:r>
    </w:p>
    <w:p>
      <w:pPr>
        <w:ind w:left="3160"/>
        <w:spacing w:after="0" w:line="231" w:lineRule="auto"/>
        <w:rPr>
          <w:sz w:val="20"/>
          <w:szCs w:val="20"/>
          <w:color w:val="auto"/>
        </w:rPr>
      </w:pPr>
      <w:r>
        <w:rPr>
          <w:rFonts w:ascii="Arial" w:cs="Arial" w:eastAsia="Arial" w:hAnsi="Arial"/>
          <w:sz w:val="20"/>
          <w:szCs w:val="20"/>
          <w:b w:val="1"/>
          <w:bCs w:val="1"/>
          <w:color w:val="auto"/>
        </w:rPr>
        <w:t>Condensed Consolidated Statements of Cash Flow</w:t>
      </w:r>
    </w:p>
    <w:p>
      <w:pPr>
        <w:ind w:left="5000"/>
        <w:spacing w:after="0"/>
        <w:rPr>
          <w:sz w:val="20"/>
          <w:szCs w:val="20"/>
          <w:color w:val="auto"/>
        </w:rPr>
      </w:pPr>
      <w:r>
        <w:rPr>
          <w:rFonts w:ascii="Arial" w:cs="Arial" w:eastAsia="Arial" w:hAnsi="Arial"/>
          <w:sz w:val="20"/>
          <w:szCs w:val="20"/>
          <w:b w:val="1"/>
          <w:bCs w:val="1"/>
          <w:color w:val="auto"/>
        </w:rPr>
        <w:t>(in millions)</w:t>
      </w:r>
    </w:p>
    <w:p>
      <w:pPr>
        <w:ind w:left="506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47"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Three Months Ended</w:t>
      </w:r>
    </w:p>
    <w:p>
      <w:pPr>
        <w:spacing w:after="0" w:line="29"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4990465</wp:posOffset>
            </wp:positionH>
            <wp:positionV relativeFrom="paragraph">
              <wp:posOffset>23495</wp:posOffset>
            </wp:positionV>
            <wp:extent cx="20491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60" w:type="dxa"/>
            <w:vAlign w:val="bottom"/>
          </w:tcPr>
          <w:p>
            <w:pPr>
              <w:spacing w:after="0"/>
              <w:rPr>
                <w:sz w:val="17"/>
                <w:szCs w:val="17"/>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4"/>
        </w:trPr>
        <w:tc>
          <w:tcPr>
            <w:tcW w:w="7860" w:type="dxa"/>
            <w:vAlign w:val="bottom"/>
          </w:tcPr>
          <w:p>
            <w:pPr>
              <w:ind w:left="60"/>
              <w:spacing w:after="0"/>
              <w:rPr>
                <w:sz w:val="20"/>
                <w:szCs w:val="20"/>
                <w:color w:val="auto"/>
              </w:rPr>
            </w:pPr>
            <w:r>
              <w:rPr>
                <w:rFonts w:ascii="Arial" w:cs="Arial" w:eastAsia="Arial" w:hAnsi="Arial"/>
                <w:sz w:val="15"/>
                <w:szCs w:val="15"/>
                <w:b w:val="1"/>
                <w:bCs w:val="1"/>
                <w:color w:val="auto"/>
              </w:rPr>
              <w:t>OPERATING ACTIVITIES</w:t>
            </w:r>
          </w:p>
        </w:tc>
        <w:tc>
          <w:tcPr>
            <w:tcW w:w="1020" w:type="dxa"/>
            <w:vAlign w:val="bottom"/>
            <w:vMerge w:val="restart"/>
          </w:tcPr>
          <w:p>
            <w:pPr>
              <w:jc w:val="right"/>
              <w:ind w:right="845"/>
              <w:spacing w:after="0"/>
              <w:rPr>
                <w:sz w:val="20"/>
                <w:szCs w:val="20"/>
                <w:color w:val="auto"/>
              </w:rPr>
            </w:pPr>
            <w:r>
              <w:rPr>
                <w:rFonts w:ascii="Arial" w:cs="Arial" w:eastAsia="Arial" w:hAnsi="Arial"/>
                <w:sz w:val="15"/>
                <w:szCs w:val="15"/>
                <w:color w:val="auto"/>
                <w:w w:val="95"/>
              </w:rPr>
              <w:t>$</w:t>
            </w: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(26.1)</w:t>
            </w:r>
          </w:p>
        </w:tc>
        <w:tc>
          <w:tcPr>
            <w:tcW w:w="100" w:type="dxa"/>
            <w:vAlign w:val="bottom"/>
          </w:tcPr>
          <w:p>
            <w:pPr>
              <w:spacing w:after="0"/>
              <w:rPr>
                <w:sz w:val="17"/>
                <w:szCs w:val="17"/>
                <w:color w:val="auto"/>
              </w:rPr>
            </w:pPr>
          </w:p>
        </w:tc>
        <w:tc>
          <w:tcPr>
            <w:tcW w:w="360" w:type="dxa"/>
            <w:vAlign w:val="bottom"/>
            <w:vMerge w:val="restart"/>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253"/>
        </w:trPr>
        <w:tc>
          <w:tcPr>
            <w:tcW w:w="7860" w:type="dxa"/>
            <w:vAlign w:val="bottom"/>
          </w:tcPr>
          <w:p>
            <w:pPr>
              <w:ind w:left="60"/>
              <w:spacing w:after="0"/>
              <w:rPr>
                <w:sz w:val="20"/>
                <w:szCs w:val="20"/>
                <w:color w:val="auto"/>
              </w:rPr>
            </w:pPr>
            <w:r>
              <w:rPr>
                <w:rFonts w:ascii="Arial" w:cs="Arial" w:eastAsia="Arial" w:hAnsi="Arial"/>
                <w:sz w:val="16"/>
                <w:szCs w:val="16"/>
                <w:color w:val="auto"/>
              </w:rPr>
              <w:t>Net loss</w:t>
            </w:r>
          </w:p>
        </w:tc>
        <w:tc>
          <w:tcPr>
            <w:tcW w:w="1020" w:type="dxa"/>
            <w:vAlign w:val="bottom"/>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6"/>
                <w:szCs w:val="16"/>
                <w:color w:val="auto"/>
              </w:rPr>
              <w:t>Rental product depreciation and write-offs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6"/>
                <w:szCs w:val="16"/>
                <w:color w:val="auto"/>
              </w:rPr>
              <w:t>Write-off of rental product sold</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6"/>
                <w:szCs w:val="16"/>
                <w:color w:val="auto"/>
              </w:rPr>
              <w:t>Other depreciation and amortization</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6"/>
                <w:szCs w:val="16"/>
                <w:color w:val="auto"/>
              </w:rPr>
              <w:t>Proceeds from rental product sold</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6"/>
                <w:szCs w:val="16"/>
                <w:color w:val="auto"/>
              </w:rPr>
              <w:t>(Gain) / loss from liquidation of rental product</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6"/>
                <w:szCs w:val="16"/>
                <w:color w:val="auto"/>
              </w:rPr>
              <w:t>Amortization of debt discount</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6"/>
                <w:szCs w:val="16"/>
                <w:color w:val="auto"/>
              </w:rPr>
              <w:t>Share-based compensation expense</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70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43"/>
        </w:trPr>
        <w:tc>
          <w:tcPr>
            <w:tcW w:w="7860" w:type="dxa"/>
            <w:vAlign w:val="bottom"/>
          </w:tcPr>
          <w:p>
            <w:pPr>
              <w:ind w:left="700"/>
              <w:spacing w:after="0"/>
              <w:rPr>
                <w:sz w:val="20"/>
                <w:szCs w:val="20"/>
                <w:color w:val="auto"/>
              </w:rPr>
            </w:pPr>
            <w:r>
              <w:rPr>
                <w:rFonts w:ascii="Arial" w:cs="Arial" w:eastAsia="Arial" w:hAnsi="Arial"/>
                <w:sz w:val="16"/>
                <w:szCs w:val="16"/>
                <w:color w:val="auto"/>
              </w:rPr>
              <w:t>Operating lease right-of-use assets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43"/>
        </w:trPr>
        <w:tc>
          <w:tcPr>
            <w:tcW w:w="7860" w:type="dxa"/>
            <w:vAlign w:val="bottom"/>
          </w:tcPr>
          <w:p>
            <w:pPr>
              <w:ind w:left="700"/>
              <w:spacing w:after="0"/>
              <w:rPr>
                <w:sz w:val="20"/>
                <w:szCs w:val="20"/>
                <w:color w:val="auto"/>
              </w:rPr>
            </w:pPr>
            <w:r>
              <w:rPr>
                <w:rFonts w:ascii="Arial" w:cs="Arial" w:eastAsia="Arial" w:hAnsi="Arial"/>
                <w:sz w:val="16"/>
                <w:szCs w:val="16"/>
                <w:color w:val="auto"/>
              </w:rPr>
              <w:t>Other assets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3"/>
        </w:trPr>
        <w:tc>
          <w:tcPr>
            <w:tcW w:w="7860" w:type="dxa"/>
            <w:vAlign w:val="bottom"/>
          </w:tcPr>
          <w:p>
            <w:pPr>
              <w:ind w:left="700"/>
              <w:spacing w:after="0"/>
              <w:rPr>
                <w:sz w:val="20"/>
                <w:szCs w:val="20"/>
                <w:color w:val="auto"/>
              </w:rPr>
            </w:pPr>
            <w:r>
              <w:rPr>
                <w:rFonts w:ascii="Arial" w:cs="Arial" w:eastAsia="Arial" w:hAnsi="Arial"/>
                <w:sz w:val="16"/>
                <w:szCs w:val="16"/>
                <w:color w:val="auto"/>
              </w:rPr>
              <w:t>Accounts payable, accrued expenses and other current liabilities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43"/>
        </w:trPr>
        <w:tc>
          <w:tcPr>
            <w:tcW w:w="7860" w:type="dxa"/>
            <w:vAlign w:val="bottom"/>
          </w:tcPr>
          <w:p>
            <w:pPr>
              <w:ind w:left="700"/>
              <w:spacing w:after="0"/>
              <w:rPr>
                <w:sz w:val="20"/>
                <w:szCs w:val="20"/>
                <w:color w:val="auto"/>
              </w:rPr>
            </w:pPr>
            <w:r>
              <w:rPr>
                <w:rFonts w:ascii="Arial" w:cs="Arial" w:eastAsia="Arial" w:hAnsi="Arial"/>
                <w:sz w:val="16"/>
                <w:szCs w:val="16"/>
                <w:color w:val="auto"/>
              </w:rPr>
              <w:t>Deferred revenue and customer credit liabilities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3"/>
        </w:trPr>
        <w:tc>
          <w:tcPr>
            <w:tcW w:w="7860" w:type="dxa"/>
            <w:vAlign w:val="bottom"/>
          </w:tcPr>
          <w:p>
            <w:pPr>
              <w:ind w:left="700"/>
              <w:spacing w:after="0"/>
              <w:rPr>
                <w:sz w:val="20"/>
                <w:szCs w:val="20"/>
                <w:color w:val="auto"/>
              </w:rPr>
            </w:pPr>
            <w:r>
              <w:rPr>
                <w:rFonts w:ascii="Arial" w:cs="Arial" w:eastAsia="Arial" w:hAnsi="Arial"/>
                <w:sz w:val="16"/>
                <w:szCs w:val="16"/>
                <w:color w:val="auto"/>
              </w:rPr>
              <w:t>Operating lease liabilities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52"/>
        </w:trPr>
        <w:tc>
          <w:tcPr>
            <w:tcW w:w="7860" w:type="dxa"/>
            <w:vAlign w:val="bottom"/>
          </w:tcPr>
          <w:p>
            <w:pPr>
              <w:ind w:left="700"/>
              <w:spacing w:after="0"/>
              <w:rPr>
                <w:sz w:val="20"/>
                <w:szCs w:val="20"/>
                <w:color w:val="auto"/>
              </w:rPr>
            </w:pPr>
            <w:r>
              <w:rPr>
                <w:rFonts w:ascii="Arial" w:cs="Arial" w:eastAsia="Arial" w:hAnsi="Arial"/>
                <w:sz w:val="16"/>
                <w:szCs w:val="16"/>
                <w:color w:val="auto"/>
              </w:rPr>
              <w:t>Other liabilities</w:t>
            </w: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7860" w:type="dxa"/>
            <w:vAlign w:val="bottom"/>
          </w:tcPr>
          <w:p>
            <w:pPr>
              <w:ind w:left="980"/>
              <w:spacing w:after="0"/>
              <w:rPr>
                <w:sz w:val="20"/>
                <w:szCs w:val="20"/>
                <w:color w:val="auto"/>
              </w:rPr>
            </w:pPr>
            <w:r>
              <w:rPr>
                <w:rFonts w:ascii="Arial" w:cs="Arial" w:eastAsia="Arial" w:hAnsi="Arial"/>
                <w:sz w:val="16"/>
                <w:szCs w:val="16"/>
                <w:color w:val="auto"/>
              </w:rPr>
              <w:t>Net cash (used in) provided by operating activities</w:t>
            </w:r>
          </w:p>
        </w:tc>
        <w:tc>
          <w:tcPr>
            <w:tcW w:w="10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5"/>
        </w:trPr>
        <w:tc>
          <w:tcPr>
            <w:tcW w:w="7860" w:type="dxa"/>
            <w:vAlign w:val="bottom"/>
          </w:tcPr>
          <w:p>
            <w:pPr>
              <w:ind w:left="60"/>
              <w:spacing w:after="0"/>
              <w:rPr>
                <w:sz w:val="20"/>
                <w:szCs w:val="20"/>
                <w:color w:val="auto"/>
              </w:rPr>
            </w:pPr>
            <w:r>
              <w:rPr>
                <w:rFonts w:ascii="Arial" w:cs="Arial" w:eastAsia="Arial" w:hAnsi="Arial"/>
                <w:sz w:val="15"/>
                <w:szCs w:val="15"/>
                <w:b w:val="1"/>
                <w:bCs w:val="1"/>
                <w:color w:val="auto"/>
              </w:rPr>
              <w:t>INVESTING ACTIVITIES</w:t>
            </w: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7860" w:type="dxa"/>
            <w:vAlign w:val="bottom"/>
          </w:tcPr>
          <w:p>
            <w:pPr>
              <w:ind w:left="60"/>
              <w:spacing w:after="0"/>
              <w:rPr>
                <w:sz w:val="20"/>
                <w:szCs w:val="20"/>
                <w:color w:val="auto"/>
              </w:rPr>
            </w:pPr>
            <w:r>
              <w:rPr>
                <w:rFonts w:ascii="Arial" w:cs="Arial" w:eastAsia="Arial" w:hAnsi="Arial"/>
                <w:sz w:val="16"/>
                <w:szCs w:val="16"/>
                <w:color w:val="auto"/>
              </w:rPr>
              <w:t>Purchases of rental product</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43"/>
        </w:trPr>
        <w:tc>
          <w:tcPr>
            <w:tcW w:w="7860" w:type="dxa"/>
            <w:vAlign w:val="bottom"/>
          </w:tcPr>
          <w:p>
            <w:pPr>
              <w:ind w:left="60"/>
              <w:spacing w:after="0"/>
              <w:rPr>
                <w:sz w:val="20"/>
                <w:szCs w:val="20"/>
                <w:color w:val="auto"/>
              </w:rPr>
            </w:pPr>
            <w:r>
              <w:rPr>
                <w:rFonts w:ascii="Arial" w:cs="Arial" w:eastAsia="Arial" w:hAnsi="Arial"/>
                <w:sz w:val="16"/>
                <w:szCs w:val="16"/>
                <w:color w:val="auto"/>
              </w:rPr>
              <w:t>Proceeds from liquidation of rental product</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3"/>
        </w:trPr>
        <w:tc>
          <w:tcPr>
            <w:tcW w:w="7860" w:type="dxa"/>
            <w:vAlign w:val="bottom"/>
          </w:tcPr>
          <w:p>
            <w:pPr>
              <w:ind w:left="60"/>
              <w:spacing w:after="0"/>
              <w:rPr>
                <w:sz w:val="20"/>
                <w:szCs w:val="20"/>
                <w:color w:val="auto"/>
              </w:rPr>
            </w:pPr>
            <w:r>
              <w:rPr>
                <w:rFonts w:ascii="Arial" w:cs="Arial" w:eastAsia="Arial" w:hAnsi="Arial"/>
                <w:sz w:val="16"/>
                <w:szCs w:val="16"/>
                <w:color w:val="auto"/>
              </w:rPr>
              <w:t>Proceeds from sale of rental product</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52"/>
        </w:trPr>
        <w:tc>
          <w:tcPr>
            <w:tcW w:w="7860" w:type="dxa"/>
            <w:vAlign w:val="bottom"/>
          </w:tcPr>
          <w:p>
            <w:pPr>
              <w:ind w:left="60"/>
              <w:spacing w:after="0"/>
              <w:rPr>
                <w:sz w:val="20"/>
                <w:szCs w:val="20"/>
                <w:color w:val="auto"/>
              </w:rPr>
            </w:pPr>
            <w:r>
              <w:rPr>
                <w:rFonts w:ascii="Arial" w:cs="Arial" w:eastAsia="Arial" w:hAnsi="Arial"/>
                <w:sz w:val="16"/>
                <w:szCs w:val="16"/>
                <w:color w:val="auto"/>
              </w:rPr>
              <w:t>Purchases of fixed and intangible assets</w:t>
            </w: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250"/>
        </w:trPr>
        <w:tc>
          <w:tcPr>
            <w:tcW w:w="7860" w:type="dxa"/>
            <w:vAlign w:val="bottom"/>
          </w:tcPr>
          <w:p>
            <w:pPr>
              <w:ind w:left="1040"/>
              <w:spacing w:after="0"/>
              <w:rPr>
                <w:sz w:val="20"/>
                <w:szCs w:val="20"/>
                <w:color w:val="auto"/>
              </w:rPr>
            </w:pPr>
            <w:r>
              <w:rPr>
                <w:rFonts w:ascii="Arial" w:cs="Arial" w:eastAsia="Arial" w:hAnsi="Arial"/>
                <w:sz w:val="16"/>
                <w:szCs w:val="16"/>
                <w:color w:val="auto"/>
              </w:rPr>
              <w:t>Net cash (used in) provided by investing activities</w:t>
            </w: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18"/>
        </w:trPr>
        <w:tc>
          <w:tcPr>
            <w:tcW w:w="7860" w:type="dxa"/>
            <w:vAlign w:val="bottom"/>
          </w:tcPr>
          <w:p>
            <w:pPr>
              <w:ind w:left="60"/>
              <w:spacing w:after="0"/>
              <w:rPr>
                <w:sz w:val="20"/>
                <w:szCs w:val="20"/>
                <w:color w:val="auto"/>
              </w:rPr>
            </w:pPr>
            <w:r>
              <w:rPr>
                <w:rFonts w:ascii="Arial" w:cs="Arial" w:eastAsia="Arial" w:hAnsi="Arial"/>
                <w:sz w:val="15"/>
                <w:szCs w:val="15"/>
                <w:b w:val="1"/>
                <w:bCs w:val="1"/>
                <w:color w:val="auto"/>
              </w:rPr>
              <w:t>FINANCING ACTIVITIES</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7860" w:type="dxa"/>
            <w:vAlign w:val="bottom"/>
          </w:tcPr>
          <w:p>
            <w:pPr>
              <w:ind w:left="60"/>
              <w:spacing w:after="0"/>
              <w:rPr>
                <w:sz w:val="20"/>
                <w:szCs w:val="20"/>
                <w:color w:val="auto"/>
              </w:rPr>
            </w:pPr>
            <w:r>
              <w:rPr>
                <w:rFonts w:ascii="Arial" w:cs="Arial" w:eastAsia="Arial" w:hAnsi="Arial"/>
                <w:sz w:val="16"/>
                <w:szCs w:val="16"/>
                <w:color w:val="auto"/>
              </w:rPr>
              <w:t>Other financing payments</w:t>
            </w:r>
          </w:p>
        </w:tc>
        <w:tc>
          <w:tcPr>
            <w:tcW w:w="10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33"/>
        </w:trPr>
        <w:tc>
          <w:tcPr>
            <w:tcW w:w="7860" w:type="dxa"/>
            <w:vAlign w:val="bottom"/>
            <w:vMerge w:val="restart"/>
          </w:tcPr>
          <w:p>
            <w:pPr>
              <w:ind w:left="1040"/>
              <w:spacing w:after="0"/>
              <w:rPr>
                <w:sz w:val="20"/>
                <w:szCs w:val="20"/>
                <w:color w:val="auto"/>
              </w:rPr>
            </w:pPr>
            <w:r>
              <w:rPr>
                <w:rFonts w:ascii="Arial" w:cs="Arial" w:eastAsia="Arial" w:hAnsi="Arial"/>
                <w:sz w:val="16"/>
                <w:szCs w:val="16"/>
                <w:color w:val="auto"/>
              </w:rPr>
              <w:t>Net cash (used in) provided by financing activities</w:t>
            </w: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33"/>
        </w:trPr>
        <w:tc>
          <w:tcPr>
            <w:tcW w:w="7860" w:type="dxa"/>
            <w:vAlign w:val="bottom"/>
            <w:vMerge w:val="restart"/>
          </w:tcPr>
          <w:p>
            <w:pPr>
              <w:ind w:left="60"/>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70"/>
        </w:trPr>
        <w:tc>
          <w:tcPr>
            <w:tcW w:w="7860" w:type="dxa"/>
            <w:vAlign w:val="bottom"/>
          </w:tcPr>
          <w:p>
            <w:pPr>
              <w:ind w:left="6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10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86.5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94.0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60"/>
              <w:spacing w:after="0"/>
              <w:rPr>
                <w:sz w:val="20"/>
                <w:szCs w:val="20"/>
                <w:color w:val="auto"/>
              </w:rPr>
            </w:pPr>
            <w:r>
              <w:rPr>
                <w:rFonts w:ascii="Arial" w:cs="Arial" w:eastAsia="Arial" w:hAnsi="Arial"/>
                <w:sz w:val="16"/>
                <w:szCs w:val="16"/>
                <w:color w:val="auto"/>
              </w:rPr>
              <w:t>Cash and cash equivalents and restricted cash at end of period</w:t>
            </w:r>
          </w:p>
        </w:tc>
        <w:tc>
          <w:tcPr>
            <w:tcW w:w="1020" w:type="dxa"/>
            <w:vAlign w:val="bottom"/>
            <w:tcBorders>
              <w:bottom w:val="single" w:sz="8" w:color="auto"/>
            </w:tcBorders>
          </w:tcPr>
          <w:p>
            <w:pPr>
              <w:jc w:val="right"/>
              <w:ind w:right="845"/>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92.0</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80" w:top="1101" w:right="439" w:bottom="1440" w:gutter="0" w:footer="0" w:header="0"/>
        </w:sectPr>
      </w:pPr>
    </w:p>
    <w:bookmarkStart w:id="13" w:name="page14"/>
    <w:bookmarkEnd w:id="13"/>
    <w:p>
      <w:pPr>
        <w:ind w:left="4280"/>
        <w:spacing w:after="0"/>
        <w:rPr>
          <w:sz w:val="20"/>
          <w:szCs w:val="20"/>
          <w:color w:val="auto"/>
        </w:rPr>
      </w:pPr>
      <w:r>
        <w:rPr>
          <w:rFonts w:ascii="Arial" w:cs="Arial" w:eastAsia="Arial" w:hAnsi="Arial"/>
          <w:sz w:val="20"/>
          <w:szCs w:val="20"/>
          <w:b w:val="1"/>
          <w:bCs w:val="1"/>
          <w:color w:val="auto"/>
        </w:rPr>
        <w:t>Rent the Runway, Inc.</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19"/>
          <w:szCs w:val="19"/>
          <w:b w:val="1"/>
          <w:bCs w:val="1"/>
          <w:color w:val="auto"/>
        </w:rPr>
        <w:t>Condensed Consolidated Statements of Cash Flow</w:t>
      </w:r>
    </w:p>
    <w:p>
      <w:pPr>
        <w:ind w:left="4740"/>
        <w:spacing w:after="0"/>
        <w:rPr>
          <w:sz w:val="20"/>
          <w:szCs w:val="20"/>
          <w:color w:val="auto"/>
        </w:rPr>
      </w:pPr>
      <w:r>
        <w:rPr>
          <w:rFonts w:ascii="Arial" w:cs="Arial" w:eastAsia="Arial" w:hAnsi="Arial"/>
          <w:sz w:val="20"/>
          <w:szCs w:val="20"/>
          <w:b w:val="1"/>
          <w:bCs w:val="1"/>
          <w:color w:val="auto"/>
        </w:rPr>
        <w:t>(in millions)</w:t>
      </w:r>
    </w:p>
    <w:p>
      <w:pPr>
        <w:ind w:left="4800"/>
        <w:spacing w:after="0"/>
        <w:rPr>
          <w:sz w:val="20"/>
          <w:szCs w:val="20"/>
          <w:color w:val="auto"/>
        </w:rPr>
      </w:pPr>
      <w:r>
        <w:rPr>
          <w:rFonts w:ascii="Arial" w:cs="Arial" w:eastAsia="Arial" w:hAnsi="Arial"/>
          <w:sz w:val="20"/>
          <w:szCs w:val="20"/>
          <w:color w:val="auto"/>
        </w:rPr>
        <w:t>(unaudited)</w:t>
      </w:r>
    </w:p>
    <w:p>
      <w:pPr>
        <w:sectPr>
          <w:pgSz w:w="11900" w:h="16838" w:orient="portrait"/>
          <w:cols w:equalWidth="0" w:num="1">
            <w:col w:w="10620"/>
          </w:cols>
          <w:pgMar w:left="640" w:top="110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 w:hanging="161"/>
        <w:spacing w:after="0" w:line="301" w:lineRule="auto"/>
        <w:rPr>
          <w:sz w:val="20"/>
          <w:szCs w:val="20"/>
          <w:color w:val="auto"/>
        </w:rPr>
      </w:pPr>
      <w:r>
        <w:rPr>
          <w:rFonts w:ascii="Arial" w:cs="Arial" w:eastAsia="Arial" w:hAnsi="Arial"/>
          <w:sz w:val="14"/>
          <w:szCs w:val="14"/>
          <w:b w:val="1"/>
          <w:bCs w:val="1"/>
          <w:color w:val="auto"/>
        </w:rPr>
        <w:t>RECONCILIATION OF CASH AND CASH EQUIVALENTS AND RESTRICTED CASH TO THE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current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noncurrent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Total cash and cash equivalents and restricted cash</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Cash Flow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Cash payments (receipts) for:</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Fixed operating lease payments, net</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Fixed assets and intangibles received in the prior period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Rental product received in the prior period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Non-cash financing and investing activities: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Financing lease right-of-use asset amortization</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of fixed assets and intangibles not yet settled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of rental product not yet settled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19119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1198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r>
      <w:tr>
        <w:trPr>
          <w:trHeight w:val="599"/>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70.4</w:t>
            </w:r>
          </w:p>
        </w:tc>
        <w:tc>
          <w:tcPr>
            <w:tcW w:w="8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82.0</w:t>
            </w:r>
          </w:p>
        </w:tc>
      </w:tr>
      <w:tr>
        <w:trPr>
          <w:trHeight w:val="229"/>
        </w:trPr>
        <w:tc>
          <w:tcPr>
            <w:tcW w:w="320" w:type="dxa"/>
            <w:vAlign w:val="bottom"/>
          </w:tcPr>
          <w:p>
            <w:pPr>
              <w:spacing w:after="0"/>
              <w:rPr>
                <w:sz w:val="19"/>
                <w:szCs w:val="19"/>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43"/>
        </w:trPr>
        <w:tc>
          <w:tcPr>
            <w:tcW w:w="320" w:type="dxa"/>
            <w:vAlign w:val="bottom"/>
          </w:tcPr>
          <w:p>
            <w:pPr>
              <w:spacing w:after="0"/>
              <w:rPr>
                <w:sz w:val="21"/>
                <w:szCs w:val="21"/>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5"/>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79.4</w:t>
            </w:r>
          </w:p>
        </w:tc>
        <w:tc>
          <w:tcPr>
            <w:tcW w:w="8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92.0</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1160" w:val="left"/>
          <w:tab w:leader="none" w:pos="1540" w:val="left"/>
          <w:tab w:leader="none" w:pos="27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2.8</w:t>
        <w:tab/>
        <w:t>$</w:t>
      </w:r>
      <w:r>
        <w:rPr>
          <w:sz w:val="20"/>
          <w:szCs w:val="20"/>
          <w:color w:val="auto"/>
        </w:rPr>
        <w:tab/>
      </w:r>
      <w:r>
        <w:rPr>
          <w:rFonts w:ascii="Arial" w:cs="Arial" w:eastAsia="Arial" w:hAnsi="Arial"/>
          <w:sz w:val="14"/>
          <w:szCs w:val="14"/>
          <w:color w:val="auto"/>
        </w:rPr>
        <w:t>2.7</w:t>
      </w:r>
    </w:p>
    <w:p>
      <w:pPr>
        <w:spacing w:after="0" w:line="8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—0.3</w:t>
      </w:r>
    </w:p>
    <w:p>
      <w:pPr>
        <w:spacing w:after="0" w:line="82" w:lineRule="exact"/>
        <w:rPr>
          <w:sz w:val="20"/>
          <w:szCs w:val="20"/>
          <w:color w:val="auto"/>
        </w:rPr>
      </w:pPr>
    </w:p>
    <w:p>
      <w:pPr>
        <w:ind w:left="1180"/>
        <w:spacing w:after="0"/>
        <w:tabs>
          <w:tab w:leader="none" w:pos="272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4"/>
          <w:szCs w:val="14"/>
          <w:color w:val="auto"/>
        </w:rPr>
        <w:t>3.3</w:t>
      </w:r>
    </w:p>
    <w:p>
      <w:pPr>
        <w:spacing w:after="0" w:line="312" w:lineRule="exact"/>
        <w:rPr>
          <w:sz w:val="20"/>
          <w:szCs w:val="20"/>
          <w:color w:val="auto"/>
        </w:rPr>
      </w:pPr>
    </w:p>
    <w:p>
      <w:pPr>
        <w:ind w:left="20"/>
        <w:spacing w:after="0"/>
        <w:tabs>
          <w:tab w:leader="none" w:pos="1160" w:val="left"/>
          <w:tab w:leader="none" w:pos="1540" w:val="left"/>
          <w:tab w:leader="none" w:pos="27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0.1</w:t>
        <w:tab/>
        <w:t>$</w:t>
      </w:r>
      <w:r>
        <w:rPr>
          <w:sz w:val="20"/>
          <w:szCs w:val="20"/>
          <w:color w:val="auto"/>
        </w:rPr>
        <w:tab/>
      </w:r>
      <w:r>
        <w:rPr>
          <w:rFonts w:ascii="Arial" w:cs="Arial" w:eastAsia="Arial" w:hAnsi="Arial"/>
          <w:sz w:val="14"/>
          <w:szCs w:val="14"/>
          <w:color w:val="auto"/>
        </w:rPr>
        <w:t>0.1</w:t>
      </w:r>
    </w:p>
    <w:p>
      <w:pPr>
        <w:spacing w:after="0" w:line="82"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—0.2</w:t>
      </w:r>
    </w:p>
    <w:p>
      <w:pPr>
        <w:spacing w:after="0" w:line="82" w:lineRule="exact"/>
        <w:rPr>
          <w:sz w:val="20"/>
          <w:szCs w:val="20"/>
          <w:color w:val="auto"/>
        </w:rPr>
      </w:pPr>
    </w:p>
    <w:p>
      <w:pPr>
        <w:ind w:left="1120"/>
        <w:spacing w:after="0"/>
        <w:tabs>
          <w:tab w:leader="none" w:pos="264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4"/>
          <w:szCs w:val="14"/>
          <w:color w:val="auto"/>
        </w:rPr>
        <w:t>12.3</w:t>
      </w:r>
    </w:p>
    <w:p>
      <w:pPr>
        <w:sectPr>
          <w:pgSz w:w="11900" w:h="16838" w:orient="portrait"/>
          <w:cols w:equalWidth="0" w:num="2">
            <w:col w:w="7280" w:space="340"/>
            <w:col w:w="3000"/>
          </w:cols>
          <w:pgMar w:left="640" w:top="1101" w:right="639" w:bottom="1440" w:gutter="0" w:footer="0" w:header="0"/>
          <w:type w:val="continuous"/>
        </w:sectPr>
      </w:pPr>
    </w:p>
    <w:bookmarkStart w:id="14" w:name="page15"/>
    <w:bookmarkEnd w:id="14"/>
    <w:p>
      <w:pPr>
        <w:ind w:left="4673"/>
        <w:spacing w:after="0"/>
        <w:rPr>
          <w:sz w:val="20"/>
          <w:szCs w:val="20"/>
          <w:color w:val="auto"/>
        </w:rPr>
      </w:pPr>
      <w:r>
        <w:rPr>
          <w:rFonts w:ascii="Arial" w:cs="Arial" w:eastAsia="Arial" w:hAnsi="Arial"/>
          <w:sz w:val="20"/>
          <w:szCs w:val="20"/>
          <w:b w:val="1"/>
          <w:bCs w:val="1"/>
          <w:color w:val="auto"/>
        </w:rPr>
        <w:t>Rent the Runway, Inc.</w:t>
      </w:r>
    </w:p>
    <w:p>
      <w:pPr>
        <w:ind w:left="2993"/>
        <w:spacing w:after="0" w:line="231" w:lineRule="auto"/>
        <w:rPr>
          <w:sz w:val="20"/>
          <w:szCs w:val="20"/>
          <w:color w:val="auto"/>
        </w:rPr>
      </w:pPr>
      <w:r>
        <w:rPr>
          <w:rFonts w:ascii="Arial" w:cs="Arial" w:eastAsia="Arial" w:hAnsi="Arial"/>
          <w:sz w:val="20"/>
          <w:szCs w:val="20"/>
          <w:b w:val="1"/>
          <w:bCs w:val="1"/>
          <w:color w:val="auto"/>
        </w:rPr>
        <w:t>Reconciliation of GAAP to Non-GAAP Financial Measures</w:t>
      </w:r>
    </w:p>
    <w:p>
      <w:pPr>
        <w:ind w:left="5133"/>
        <w:spacing w:after="0"/>
        <w:rPr>
          <w:sz w:val="20"/>
          <w:szCs w:val="20"/>
          <w:color w:val="auto"/>
        </w:rPr>
      </w:pPr>
      <w:r>
        <w:rPr>
          <w:rFonts w:ascii="Arial" w:cs="Arial" w:eastAsia="Arial" w:hAnsi="Arial"/>
          <w:sz w:val="20"/>
          <w:szCs w:val="20"/>
          <w:b w:val="1"/>
          <w:bCs w:val="1"/>
          <w:color w:val="auto"/>
        </w:rPr>
        <w:t>(in millions)</w:t>
      </w:r>
    </w:p>
    <w:p>
      <w:pPr>
        <w:ind w:left="5193"/>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68" w:lineRule="exact"/>
        <w:rPr>
          <w:sz w:val="20"/>
          <w:szCs w:val="20"/>
          <w:color w:val="auto"/>
        </w:rPr>
      </w:pPr>
    </w:p>
    <w:p>
      <w:pPr>
        <w:ind w:left="73" w:right="220"/>
        <w:spacing w:after="0" w:line="243" w:lineRule="auto"/>
        <w:rPr>
          <w:sz w:val="20"/>
          <w:szCs w:val="20"/>
          <w:color w:val="auto"/>
        </w:rPr>
      </w:pPr>
      <w:r>
        <w:rPr>
          <w:rFonts w:ascii="Arial" w:cs="Arial" w:eastAsia="Arial" w:hAnsi="Arial"/>
          <w:sz w:val="20"/>
          <w:szCs w:val="20"/>
          <w:color w:val="auto"/>
        </w:rPr>
        <w:t>The following table presents a reconciliation of net loss and net loss as a percentage of revenue, the most comparable GAAP financial measures, to Adjusted EBITDA and Adjusted EBITDA Margin, respectively, for the periods presented:</w:t>
      </w:r>
    </w:p>
    <w:p>
      <w:pPr>
        <w:spacing w:after="0" w:line="276"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Three Months Ended</w:t>
      </w:r>
    </w:p>
    <w:p>
      <w:pPr>
        <w:spacing w:after="0" w:line="35"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4886325</wp:posOffset>
            </wp:positionH>
            <wp:positionV relativeFrom="paragraph">
              <wp:posOffset>27940</wp:posOffset>
            </wp:positionV>
            <wp:extent cx="22542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68" w:lineRule="exact"/>
        <w:rPr>
          <w:sz w:val="20"/>
          <w:szCs w:val="20"/>
          <w:color w:val="auto"/>
        </w:rPr>
      </w:pPr>
    </w:p>
    <w:tbl>
      <w:tblPr>
        <w:tblLayout w:type="fixed"/>
        <w:tblInd w:w="93" w:type="dxa"/>
        <w:tblCellMar>
          <w:top w:w="0" w:type="dxa"/>
          <w:left w:w="0" w:type="dxa"/>
          <w:bottom w:w="0" w:type="dxa"/>
          <w:right w:w="0" w:type="dxa"/>
        </w:tblCellMar>
      </w:tblPr>
      <w:tr>
        <w:trPr>
          <w:trHeight w:val="205"/>
        </w:trPr>
        <w:tc>
          <w:tcPr>
            <w:tcW w:w="76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7"/>
        </w:trPr>
        <w:tc>
          <w:tcPr>
            <w:tcW w:w="7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760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91"/>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355"/>
        </w:trPr>
        <w:tc>
          <w:tcPr>
            <w:tcW w:w="7600" w:type="dxa"/>
            <w:vAlign w:val="bottom"/>
          </w:tcPr>
          <w:p>
            <w:pPr>
              <w:spacing w:after="0"/>
              <w:rPr>
                <w:sz w:val="20"/>
                <w:szCs w:val="20"/>
                <w:color w:val="auto"/>
              </w:rPr>
            </w:pPr>
            <w:r>
              <w:rPr>
                <w:rFonts w:ascii="Arial" w:cs="Arial" w:eastAsia="Arial" w:hAnsi="Arial"/>
                <w:sz w:val="18"/>
                <w:szCs w:val="18"/>
                <w:color w:val="auto"/>
              </w:rPr>
              <w:t xml:space="preserve">Interest (income) / expense, net </w:t>
            </w:r>
            <w:r>
              <w:rPr>
                <w:rFonts w:ascii="Arial" w:cs="Arial" w:eastAsia="Arial" w:hAnsi="Arial"/>
                <w:sz w:val="23"/>
                <w:szCs w:val="23"/>
                <w:color w:val="auto"/>
                <w:vertAlign w:val="superscript"/>
              </w:rPr>
              <w:t>(1)</w:t>
            </w:r>
          </w:p>
        </w:tc>
        <w:tc>
          <w:tcPr>
            <w:tcW w:w="1020" w:type="dxa"/>
            <w:vAlign w:val="bottom"/>
          </w:tcPr>
          <w:p>
            <w:pPr>
              <w:spacing w:after="0"/>
              <w:rPr>
                <w:sz w:val="24"/>
                <w:szCs w:val="24"/>
                <w:color w:val="auto"/>
              </w:rPr>
            </w:pP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9"/>
        </w:trPr>
        <w:tc>
          <w:tcPr>
            <w:tcW w:w="7600" w:type="dxa"/>
            <w:vAlign w:val="bottom"/>
          </w:tcPr>
          <w:p>
            <w:pPr>
              <w:spacing w:after="0"/>
              <w:rPr>
                <w:sz w:val="20"/>
                <w:szCs w:val="20"/>
                <w:color w:val="auto"/>
              </w:rPr>
            </w:pPr>
            <w:r>
              <w:rPr>
                <w:rFonts w:ascii="Arial" w:cs="Arial" w:eastAsia="Arial" w:hAnsi="Arial"/>
                <w:sz w:val="18"/>
                <w:szCs w:val="18"/>
                <w:color w:val="auto"/>
              </w:rPr>
              <w:t>Rental product depreciation</w:t>
            </w:r>
          </w:p>
        </w:tc>
        <w:tc>
          <w:tcPr>
            <w:tcW w:w="1020" w:type="dxa"/>
            <w:vAlign w:val="bottom"/>
          </w:tcPr>
          <w:p>
            <w:pPr>
              <w:spacing w:after="0"/>
              <w:rPr>
                <w:sz w:val="20"/>
                <w:szCs w:val="20"/>
                <w:color w:val="auto"/>
              </w:rPr>
            </w:pP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353"/>
        </w:trPr>
        <w:tc>
          <w:tcPr>
            <w:tcW w:w="7600" w:type="dxa"/>
            <w:vAlign w:val="bottom"/>
          </w:tcPr>
          <w:p>
            <w:pPr>
              <w:spacing w:after="0"/>
              <w:rPr>
                <w:sz w:val="20"/>
                <w:szCs w:val="20"/>
                <w:color w:val="auto"/>
              </w:rPr>
            </w:pPr>
            <w:r>
              <w:rPr>
                <w:rFonts w:ascii="Arial" w:cs="Arial" w:eastAsia="Arial" w:hAnsi="Arial"/>
                <w:sz w:val="18"/>
                <w:szCs w:val="18"/>
                <w:color w:val="auto"/>
              </w:rPr>
              <w:t xml:space="preserve">Other depreciation and amortization </w:t>
            </w:r>
            <w:r>
              <w:rPr>
                <w:rFonts w:ascii="Arial" w:cs="Arial" w:eastAsia="Arial" w:hAnsi="Arial"/>
                <w:sz w:val="23"/>
                <w:szCs w:val="23"/>
                <w:color w:val="auto"/>
                <w:vertAlign w:val="superscript"/>
              </w:rPr>
              <w:t>(2)</w:t>
            </w:r>
          </w:p>
        </w:tc>
        <w:tc>
          <w:tcPr>
            <w:tcW w:w="1020" w:type="dxa"/>
            <w:vAlign w:val="bottom"/>
          </w:tcPr>
          <w:p>
            <w:pPr>
              <w:spacing w:after="0"/>
              <w:rPr>
                <w:sz w:val="24"/>
                <w:szCs w:val="24"/>
                <w:color w:val="auto"/>
              </w:rPr>
            </w:pP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97"/>
        </w:trPr>
        <w:tc>
          <w:tcPr>
            <w:tcW w:w="7600" w:type="dxa"/>
            <w:vAlign w:val="bottom"/>
          </w:tcPr>
          <w:p>
            <w:pPr>
              <w:spacing w:after="0"/>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(3)</w:t>
            </w:r>
          </w:p>
        </w:tc>
        <w:tc>
          <w:tcPr>
            <w:tcW w:w="1020" w:type="dxa"/>
            <w:vAlign w:val="bottom"/>
          </w:tcPr>
          <w:p>
            <w:pPr>
              <w:spacing w:after="0"/>
              <w:rPr>
                <w:sz w:val="24"/>
                <w:szCs w:val="24"/>
                <w:color w:val="auto"/>
              </w:rPr>
            </w:pP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97"/>
        </w:trPr>
        <w:tc>
          <w:tcPr>
            <w:tcW w:w="7600" w:type="dxa"/>
            <w:vAlign w:val="bottom"/>
          </w:tcPr>
          <w:p>
            <w:pPr>
              <w:spacing w:after="0"/>
              <w:rPr>
                <w:sz w:val="20"/>
                <w:szCs w:val="20"/>
                <w:color w:val="auto"/>
              </w:rPr>
            </w:pPr>
            <w:r>
              <w:rPr>
                <w:rFonts w:ascii="Arial" w:cs="Arial" w:eastAsia="Arial" w:hAnsi="Arial"/>
                <w:sz w:val="18"/>
                <w:szCs w:val="18"/>
                <w:color w:val="auto"/>
              </w:rPr>
              <w:t xml:space="preserve">Write-off of liquidated assets </w:t>
            </w:r>
            <w:r>
              <w:rPr>
                <w:rFonts w:ascii="Arial" w:cs="Arial" w:eastAsia="Arial" w:hAnsi="Arial"/>
                <w:sz w:val="23"/>
                <w:szCs w:val="23"/>
                <w:color w:val="auto"/>
                <w:vertAlign w:val="superscript"/>
              </w:rPr>
              <w:t>(4)</w:t>
            </w:r>
          </w:p>
        </w:tc>
        <w:tc>
          <w:tcPr>
            <w:tcW w:w="1020" w:type="dxa"/>
            <w:vAlign w:val="bottom"/>
          </w:tcPr>
          <w:p>
            <w:pPr>
              <w:spacing w:after="0"/>
              <w:rPr>
                <w:sz w:val="24"/>
                <w:szCs w:val="24"/>
                <w:color w:val="auto"/>
              </w:rPr>
            </w:pP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7"/>
        </w:trPr>
        <w:tc>
          <w:tcPr>
            <w:tcW w:w="7600" w:type="dxa"/>
            <w:vAlign w:val="bottom"/>
          </w:tcPr>
          <w:p>
            <w:pPr>
              <w:spacing w:after="0"/>
              <w:rPr>
                <w:sz w:val="20"/>
                <w:szCs w:val="20"/>
                <w:color w:val="auto"/>
              </w:rPr>
            </w:pPr>
            <w:r>
              <w:rPr>
                <w:rFonts w:ascii="Arial" w:cs="Arial" w:eastAsia="Arial" w:hAnsi="Arial"/>
                <w:sz w:val="18"/>
                <w:szCs w:val="18"/>
                <w:color w:val="auto"/>
              </w:rPr>
              <w:t xml:space="preserve">Non-ordinary course legal fees </w:t>
            </w:r>
            <w:r>
              <w:rPr>
                <w:rFonts w:ascii="Arial" w:cs="Arial" w:eastAsia="Arial" w:hAnsi="Arial"/>
                <w:sz w:val="23"/>
                <w:szCs w:val="23"/>
                <w:color w:val="auto"/>
                <w:vertAlign w:val="superscript"/>
              </w:rPr>
              <w:t>(5)</w:t>
            </w:r>
          </w:p>
        </w:tc>
        <w:tc>
          <w:tcPr>
            <w:tcW w:w="1020" w:type="dxa"/>
            <w:vAlign w:val="bottom"/>
          </w:tcPr>
          <w:p>
            <w:pPr>
              <w:spacing w:after="0"/>
              <w:rPr>
                <w:sz w:val="24"/>
                <w:szCs w:val="24"/>
                <w:color w:val="auto"/>
              </w:rPr>
            </w:pP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9"/>
        </w:trPr>
        <w:tc>
          <w:tcPr>
            <w:tcW w:w="7600" w:type="dxa"/>
            <w:vAlign w:val="bottom"/>
          </w:tcPr>
          <w:p>
            <w:pPr>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(6)</w:t>
            </w:r>
          </w:p>
        </w:tc>
        <w:tc>
          <w:tcPr>
            <w:tcW w:w="1020" w:type="dxa"/>
            <w:vAlign w:val="bottom"/>
          </w:tcPr>
          <w:p>
            <w:pPr>
              <w:spacing w:after="0"/>
              <w:rPr>
                <w:sz w:val="24"/>
                <w:szCs w:val="2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9"/>
        </w:trPr>
        <w:tc>
          <w:tcPr>
            <w:tcW w:w="7600" w:type="dxa"/>
            <w:vAlign w:val="bottom"/>
          </w:tcPr>
          <w:p>
            <w:pPr>
              <w:spacing w:after="0"/>
              <w:rPr>
                <w:sz w:val="20"/>
                <w:szCs w:val="20"/>
                <w:color w:val="auto"/>
              </w:rPr>
            </w:pPr>
            <w:r>
              <w:rPr>
                <w:rFonts w:ascii="Arial" w:cs="Arial" w:eastAsia="Arial" w:hAnsi="Arial"/>
                <w:sz w:val="18"/>
                <w:szCs w:val="18"/>
                <w:color w:val="auto"/>
              </w:rPr>
              <w:t>Income tax (benefit) / expense</w:t>
            </w:r>
          </w:p>
        </w:tc>
        <w:tc>
          <w:tcPr>
            <w:tcW w:w="1020" w:type="dxa"/>
            <w:vAlign w:val="bottom"/>
          </w:tcPr>
          <w:p>
            <w:pPr>
              <w:spacing w:after="0"/>
              <w:rPr>
                <w:sz w:val="20"/>
                <w:szCs w:val="20"/>
                <w:color w:val="auto"/>
              </w:rPr>
            </w:pPr>
          </w:p>
        </w:tc>
        <w:tc>
          <w:tcPr>
            <w:tcW w:w="680" w:type="dxa"/>
            <w:vAlign w:val="bottom"/>
          </w:tcPr>
          <w:p>
            <w:pPr>
              <w:jc w:val="right"/>
              <w:ind w:right="151"/>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3"/>
        </w:trPr>
        <w:tc>
          <w:tcPr>
            <w:tcW w:w="7600" w:type="dxa"/>
            <w:vAlign w:val="bottom"/>
          </w:tcPr>
          <w:p>
            <w:pPr>
              <w:spacing w:after="0"/>
              <w:rPr>
                <w:sz w:val="20"/>
                <w:szCs w:val="20"/>
                <w:color w:val="auto"/>
              </w:rPr>
            </w:pPr>
            <w:r>
              <w:rPr>
                <w:rFonts w:ascii="Arial" w:cs="Arial" w:eastAsia="Arial" w:hAnsi="Arial"/>
                <w:sz w:val="18"/>
                <w:szCs w:val="18"/>
                <w:color w:val="auto"/>
              </w:rPr>
              <w:t xml:space="preserve">Other (income) / expense, net </w:t>
            </w:r>
            <w:r>
              <w:rPr>
                <w:rFonts w:ascii="Arial" w:cs="Arial" w:eastAsia="Arial" w:hAnsi="Arial"/>
                <w:sz w:val="23"/>
                <w:szCs w:val="23"/>
                <w:color w:val="auto"/>
                <w:vertAlign w:val="superscript"/>
              </w:rPr>
              <w:t>(7)</w:t>
            </w:r>
          </w:p>
        </w:tc>
        <w:tc>
          <w:tcPr>
            <w:tcW w:w="1020" w:type="dxa"/>
            <w:vAlign w:val="bottom"/>
          </w:tcPr>
          <w:p>
            <w:pPr>
              <w:spacing w:after="0"/>
              <w:rPr>
                <w:sz w:val="24"/>
                <w:szCs w:val="24"/>
                <w:color w:val="auto"/>
              </w:rPr>
            </w:pPr>
          </w:p>
        </w:tc>
        <w:tc>
          <w:tcPr>
            <w:tcW w:w="680" w:type="dxa"/>
            <w:vAlign w:val="bottom"/>
          </w:tcPr>
          <w:p>
            <w:pPr>
              <w:jc w:val="right"/>
              <w:ind w:right="91"/>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8"/>
        </w:trPr>
        <w:tc>
          <w:tcPr>
            <w:tcW w:w="7600" w:type="dxa"/>
            <w:vAlign w:val="bottom"/>
          </w:tcPr>
          <w:p>
            <w:pPr>
              <w:spacing w:after="0"/>
              <w:rPr>
                <w:sz w:val="20"/>
                <w:szCs w:val="20"/>
                <w:color w:val="auto"/>
              </w:rPr>
            </w:pPr>
            <w:r>
              <w:rPr>
                <w:rFonts w:ascii="Arial" w:cs="Arial" w:eastAsia="Arial" w:hAnsi="Arial"/>
                <w:sz w:val="18"/>
                <w:szCs w:val="18"/>
                <w:color w:val="auto"/>
              </w:rPr>
              <w:t xml:space="preserve">Other (gains) / losses </w:t>
            </w:r>
            <w:r>
              <w:rPr>
                <w:rFonts w:ascii="Arial" w:cs="Arial" w:eastAsia="Arial" w:hAnsi="Arial"/>
                <w:sz w:val="23"/>
                <w:szCs w:val="23"/>
                <w:color w:val="auto"/>
                <w:vertAlign w:val="superscript"/>
              </w:rPr>
              <w:t>(8)</w:t>
            </w:r>
          </w:p>
        </w:tc>
        <w:tc>
          <w:tcPr>
            <w:tcW w:w="1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6"/>
        </w:trPr>
        <w:tc>
          <w:tcPr>
            <w:tcW w:w="7600" w:type="dxa"/>
            <w:vAlign w:val="bottom"/>
          </w:tcPr>
          <w:p>
            <w:pPr>
              <w:spacing w:after="0"/>
              <w:rPr>
                <w:sz w:val="20"/>
                <w:szCs w:val="20"/>
                <w:color w:val="auto"/>
              </w:rPr>
            </w:pPr>
            <w:r>
              <w:rPr>
                <w:rFonts w:ascii="Arial" w:cs="Arial" w:eastAsia="Arial" w:hAnsi="Arial"/>
                <w:sz w:val="18"/>
                <w:szCs w:val="18"/>
                <w:color w:val="auto"/>
              </w:rPr>
              <w:t>Adjusted EBITDA</w:t>
            </w: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
        </w:trPr>
        <w:tc>
          <w:tcPr>
            <w:tcW w:w="76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7600" w:type="dxa"/>
            <w:vAlign w:val="bottom"/>
          </w:tcPr>
          <w:p>
            <w:pPr>
              <w:spacing w:after="0"/>
              <w:rPr>
                <w:sz w:val="20"/>
                <w:szCs w:val="20"/>
                <w:color w:val="auto"/>
              </w:rPr>
            </w:pPr>
            <w:r>
              <w:rPr>
                <w:rFonts w:ascii="Arial" w:cs="Arial" w:eastAsia="Arial" w:hAnsi="Arial"/>
                <w:sz w:val="18"/>
                <w:szCs w:val="18"/>
                <w:color w:val="auto"/>
              </w:rPr>
              <w:t>Net Loss as a percentage of revenue</w:t>
            </w:r>
          </w:p>
        </w:tc>
        <w:tc>
          <w:tcPr>
            <w:tcW w:w="1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7600" w:type="dxa"/>
            <w:vAlign w:val="bottom"/>
            <w:vMerge w:val="restart"/>
          </w:tcPr>
          <w:p>
            <w:pPr>
              <w:spacing w:after="0"/>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(9)</w:t>
            </w: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3"/>
        </w:trPr>
        <w:tc>
          <w:tcPr>
            <w:tcW w:w="76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313" w:hanging="313"/>
        <w:spacing w:after="0"/>
        <w:tabs>
          <w:tab w:leader="none" w:pos="313" w:val="left"/>
        </w:tabs>
        <w:numPr>
          <w:ilvl w:val="0"/>
          <w:numId w:val="12"/>
        </w:numPr>
        <w:rPr>
          <w:rFonts w:ascii="Arial" w:cs="Arial" w:eastAsia="Arial" w:hAnsi="Arial"/>
          <w:sz w:val="9"/>
          <w:szCs w:val="9"/>
          <w:i w:val="1"/>
          <w:iCs w:val="1"/>
          <w:color w:val="auto"/>
        </w:rPr>
      </w:pPr>
      <w:r>
        <w:rPr>
          <w:rFonts w:ascii="Arial" w:cs="Arial" w:eastAsia="Arial" w:hAnsi="Arial"/>
          <w:sz w:val="14"/>
          <w:szCs w:val="14"/>
          <w:color w:val="auto"/>
        </w:rPr>
        <w:t>Includes debt discount amortization of $6.9 million in the three months ended April 30, 2025 and $6.4 million in the three months ended April 30, 2024.</w:t>
      </w:r>
    </w:p>
    <w:p>
      <w:pPr>
        <w:spacing w:after="0" w:line="107" w:lineRule="exact"/>
        <w:rPr>
          <w:rFonts w:ascii="Arial" w:cs="Arial" w:eastAsia="Arial" w:hAnsi="Arial"/>
          <w:sz w:val="9"/>
          <w:szCs w:val="9"/>
          <w:i w:val="1"/>
          <w:iCs w:val="1"/>
          <w:color w:val="auto"/>
        </w:rPr>
      </w:pPr>
    </w:p>
    <w:p>
      <w:pPr>
        <w:ind w:left="313" w:hanging="313"/>
        <w:spacing w:after="0"/>
        <w:tabs>
          <w:tab w:leader="none" w:pos="313"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Reflects non-rental product depreciation and capitalized software amortization.</w:t>
      </w:r>
    </w:p>
    <w:p>
      <w:pPr>
        <w:spacing w:after="0" w:line="106"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12"/>
        </w:numPr>
        <w:rPr>
          <w:rFonts w:ascii="Arial" w:cs="Arial" w:eastAsia="Arial" w:hAnsi="Arial"/>
          <w:sz w:val="9"/>
          <w:szCs w:val="9"/>
          <w:color w:val="auto"/>
        </w:rPr>
      </w:pPr>
      <w:r>
        <w:rPr>
          <w:rFonts w:ascii="Arial" w:cs="Arial" w:eastAsia="Arial" w:hAnsi="Arial"/>
          <w:sz w:val="14"/>
          <w:szCs w:val="14"/>
          <w:color w:val="auto"/>
        </w:rPr>
        <w:t>Reflects the non-cash expense for share-based compensation.</w:t>
      </w:r>
    </w:p>
    <w:p>
      <w:pPr>
        <w:spacing w:after="0" w:line="136" w:lineRule="exact"/>
        <w:rPr>
          <w:rFonts w:ascii="Arial" w:cs="Arial" w:eastAsia="Arial" w:hAnsi="Arial"/>
          <w:sz w:val="9"/>
          <w:szCs w:val="9"/>
          <w:color w:val="auto"/>
        </w:rPr>
      </w:pPr>
    </w:p>
    <w:p>
      <w:pPr>
        <w:ind w:left="313" w:hanging="313"/>
        <w:spacing w:after="0"/>
        <w:tabs>
          <w:tab w:leader="none" w:pos="313" w:val="left"/>
        </w:tabs>
        <w:numPr>
          <w:ilvl w:val="0"/>
          <w:numId w:val="12"/>
        </w:numPr>
        <w:rPr>
          <w:rFonts w:ascii="Arial" w:cs="Arial" w:eastAsia="Arial" w:hAnsi="Arial"/>
          <w:sz w:val="9"/>
          <w:szCs w:val="9"/>
          <w:color w:val="auto"/>
        </w:rPr>
      </w:pPr>
      <w:r>
        <w:rPr>
          <w:rFonts w:ascii="Arial" w:cs="Arial" w:eastAsia="Arial" w:hAnsi="Arial"/>
          <w:sz w:val="14"/>
          <w:szCs w:val="14"/>
          <w:color w:val="auto"/>
        </w:rPr>
        <w:t>Reflects the write-off of the remaining book value of liquidated rental product that had previously been held for sale.</w:t>
      </w:r>
    </w:p>
    <w:p>
      <w:pPr>
        <w:spacing w:after="0" w:line="107" w:lineRule="exact"/>
        <w:rPr>
          <w:rFonts w:ascii="Arial" w:cs="Arial" w:eastAsia="Arial" w:hAnsi="Arial"/>
          <w:sz w:val="9"/>
          <w:szCs w:val="9"/>
          <w:color w:val="auto"/>
        </w:rPr>
      </w:pPr>
    </w:p>
    <w:p>
      <w:pPr>
        <w:ind w:left="313" w:hanging="313"/>
        <w:spacing w:after="0"/>
        <w:tabs>
          <w:tab w:leader="none" w:pos="313"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Non-ordinary course legal fees for the three months ended April 30, 2025 includes $0.6 million of costs related to securities lawsuits and non-recurring legal fees.</w:t>
      </w:r>
    </w:p>
    <w:p>
      <w:pPr>
        <w:spacing w:after="0" w:line="93"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12"/>
        </w:numPr>
        <w:rPr>
          <w:rFonts w:ascii="Arial" w:cs="Arial" w:eastAsia="Arial" w:hAnsi="Arial"/>
          <w:sz w:val="9"/>
          <w:szCs w:val="9"/>
          <w:color w:val="auto"/>
        </w:rPr>
      </w:pPr>
      <w:r>
        <w:rPr>
          <w:rFonts w:ascii="Arial" w:cs="Arial" w:eastAsia="Arial" w:hAnsi="Arial"/>
          <w:sz w:val="14"/>
          <w:szCs w:val="14"/>
          <w:color w:val="auto"/>
        </w:rPr>
        <w:t>Reflects restructuring charges primarily related to severance and related costs in connection with the January 2024 restructuring plan.</w:t>
      </w:r>
    </w:p>
    <w:p>
      <w:pPr>
        <w:spacing w:after="0" w:line="121" w:lineRule="exact"/>
        <w:rPr>
          <w:rFonts w:ascii="Arial" w:cs="Arial" w:eastAsia="Arial" w:hAnsi="Arial"/>
          <w:sz w:val="9"/>
          <w:szCs w:val="9"/>
          <w:color w:val="auto"/>
        </w:rPr>
      </w:pPr>
    </w:p>
    <w:p>
      <w:pPr>
        <w:ind w:left="313" w:hanging="313"/>
        <w:spacing w:after="0"/>
        <w:tabs>
          <w:tab w:leader="none" w:pos="313"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Includes other (income) / expense recognized in the period.</w:t>
      </w:r>
    </w:p>
    <w:p>
      <w:pPr>
        <w:spacing w:after="0" w:line="106" w:lineRule="exact"/>
        <w:rPr>
          <w:rFonts w:ascii="Arial" w:cs="Arial" w:eastAsia="Arial" w:hAnsi="Arial"/>
          <w:sz w:val="19"/>
          <w:szCs w:val="19"/>
          <w:color w:val="auto"/>
          <w:vertAlign w:val="superscript"/>
        </w:rPr>
      </w:pPr>
    </w:p>
    <w:p>
      <w:pPr>
        <w:ind w:left="333" w:right="220" w:hanging="333"/>
        <w:spacing w:after="0" w:line="239" w:lineRule="auto"/>
        <w:tabs>
          <w:tab w:leader="none" w:pos="326"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Includes gains / losses recognized in relation to foreign exchange, operating lease terminations and the related surrender of fixed assets (see “Note 5 - Leases – Lessee Accounting” in the Notes to the Condensed Consolidated Financial Statements).</w:t>
      </w:r>
    </w:p>
    <w:p>
      <w:pPr>
        <w:spacing w:after="0" w:line="79"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Adjusted EBITDA Margin calculated as Adjusted EBITDA as a percentage of revenue.</w:t>
      </w:r>
    </w:p>
    <w:p>
      <w:pPr>
        <w:sectPr>
          <w:pgSz w:w="11900" w:h="16838" w:orient="portrait"/>
          <w:cols w:equalWidth="0" w:num="1">
            <w:col w:w="11253"/>
          </w:cols>
          <w:pgMar w:left="247" w:top="1101" w:right="39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Rent the Runway, Inc.</w:t>
      </w:r>
    </w:p>
    <w:p>
      <w:pPr>
        <w:ind w:left="2920"/>
        <w:spacing w:after="0" w:line="231" w:lineRule="auto"/>
        <w:rPr>
          <w:sz w:val="20"/>
          <w:szCs w:val="20"/>
          <w:color w:val="auto"/>
        </w:rPr>
      </w:pPr>
      <w:r>
        <w:rPr>
          <w:rFonts w:ascii="Arial" w:cs="Arial" w:eastAsia="Arial" w:hAnsi="Arial"/>
          <w:sz w:val="20"/>
          <w:szCs w:val="20"/>
          <w:b w:val="1"/>
          <w:bCs w:val="1"/>
          <w:color w:val="auto"/>
        </w:rPr>
        <w:t>Reconciliation of GAAP to Non-GAAP Financial Measures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millions)</w:t>
      </w:r>
    </w:p>
    <w:p>
      <w:pPr>
        <w:spacing w:after="0" w:line="319"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auto"/>
        </w:rPr>
        <w:t>The following table presents a reconciliation of net cash (used in) provided by operating activities, the most comparable GAAP financial measure, to Free Cash Flow and Free Cash Flow Margin for the periods presented:</w:t>
      </w:r>
    </w:p>
    <w:p>
      <w:pPr>
        <w:spacing w:after="0" w:line="276"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Three Months Ended</w:t>
      </w:r>
    </w:p>
    <w:p>
      <w:pPr>
        <w:spacing w:after="0" w:line="35"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27940</wp:posOffset>
            </wp:positionV>
            <wp:extent cx="18084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r>
      <w:tr>
        <w:trPr>
          <w:trHeight w:val="227"/>
        </w:trPr>
        <w:tc>
          <w:tcPr>
            <w:tcW w:w="8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9"/>
                <w:szCs w:val="19"/>
                <w:color w:val="auto"/>
              </w:rPr>
            </w:pPr>
          </w:p>
        </w:tc>
      </w:tr>
      <w:tr>
        <w:trPr>
          <w:trHeight w:val="276"/>
        </w:trPr>
        <w:tc>
          <w:tcPr>
            <w:tcW w:w="828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4.6</w:t>
            </w:r>
          </w:p>
        </w:tc>
      </w:tr>
      <w:tr>
        <w:trPr>
          <w:trHeight w:val="297"/>
        </w:trPr>
        <w:tc>
          <w:tcPr>
            <w:tcW w:w="8280" w:type="dxa"/>
            <w:vAlign w:val="bottom"/>
          </w:tcPr>
          <w:p>
            <w:pPr>
              <w:ind w:left="440"/>
              <w:spacing w:after="0"/>
              <w:rPr>
                <w:sz w:val="20"/>
                <w:szCs w:val="20"/>
                <w:color w:val="auto"/>
              </w:rPr>
            </w:pPr>
            <w:r>
              <w:rPr>
                <w:rFonts w:ascii="Arial" w:cs="Arial" w:eastAsia="Arial" w:hAnsi="Arial"/>
                <w:sz w:val="18"/>
                <w:szCs w:val="18"/>
                <w:color w:val="auto"/>
              </w:rPr>
              <w:t>Purchases of rental product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(13.1)</w:t>
            </w:r>
          </w:p>
        </w:tc>
      </w:tr>
      <w:tr>
        <w:trPr>
          <w:trHeight w:val="297"/>
        </w:trPr>
        <w:tc>
          <w:tcPr>
            <w:tcW w:w="8280" w:type="dxa"/>
            <w:vAlign w:val="bottom"/>
          </w:tcPr>
          <w:p>
            <w:pPr>
              <w:ind w:left="440"/>
              <w:spacing w:after="0"/>
              <w:rPr>
                <w:sz w:val="20"/>
                <w:szCs w:val="20"/>
                <w:color w:val="auto"/>
              </w:rPr>
            </w:pPr>
            <w:r>
              <w:rPr>
                <w:rFonts w:ascii="Arial" w:cs="Arial" w:eastAsia="Arial" w:hAnsi="Arial"/>
                <w:sz w:val="18"/>
                <w:szCs w:val="18"/>
                <w:color w:val="auto"/>
              </w:rPr>
              <w:t>Proceeds from liquidation of rental product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1.1</w:t>
            </w:r>
          </w:p>
        </w:tc>
      </w:tr>
      <w:tr>
        <w:trPr>
          <w:trHeight w:val="297"/>
        </w:trPr>
        <w:tc>
          <w:tcPr>
            <w:tcW w:w="8280" w:type="dxa"/>
            <w:vAlign w:val="bottom"/>
          </w:tcPr>
          <w:p>
            <w:pPr>
              <w:ind w:left="440"/>
              <w:spacing w:after="0"/>
              <w:rPr>
                <w:sz w:val="20"/>
                <w:szCs w:val="20"/>
                <w:color w:val="auto"/>
              </w:rPr>
            </w:pPr>
            <w:r>
              <w:rPr>
                <w:rFonts w:ascii="Arial" w:cs="Arial" w:eastAsia="Arial" w:hAnsi="Arial"/>
                <w:sz w:val="18"/>
                <w:szCs w:val="18"/>
                <w:color w:val="auto"/>
              </w:rPr>
              <w:t>Proceeds from sale of rental product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6.8</w:t>
            </w:r>
          </w:p>
        </w:tc>
      </w:tr>
      <w:tr>
        <w:trPr>
          <w:trHeight w:val="297"/>
        </w:trPr>
        <w:tc>
          <w:tcPr>
            <w:tcW w:w="8280" w:type="dxa"/>
            <w:vAlign w:val="bottom"/>
          </w:tcPr>
          <w:p>
            <w:pPr>
              <w:ind w:left="440"/>
              <w:spacing w:after="0"/>
              <w:rPr>
                <w:sz w:val="20"/>
                <w:szCs w:val="20"/>
                <w:color w:val="auto"/>
              </w:rPr>
            </w:pPr>
            <w:r>
              <w:rPr>
                <w:rFonts w:ascii="Arial" w:cs="Arial" w:eastAsia="Arial" w:hAnsi="Arial"/>
                <w:sz w:val="18"/>
                <w:szCs w:val="18"/>
                <w:color w:val="auto"/>
              </w:rPr>
              <w:t>Purchases of fixed and intangible assets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(0.8)</w:t>
            </w:r>
          </w:p>
        </w:tc>
      </w:tr>
      <w:tr>
        <w:trPr>
          <w:trHeight w:val="36"/>
        </w:trPr>
        <w:tc>
          <w:tcPr>
            <w:tcW w:w="82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86"/>
        </w:trPr>
        <w:tc>
          <w:tcPr>
            <w:tcW w:w="8280" w:type="dxa"/>
            <w:vAlign w:val="bottom"/>
          </w:tcPr>
          <w:p>
            <w:pPr>
              <w:spacing w:after="0"/>
              <w:rPr>
                <w:sz w:val="20"/>
                <w:szCs w:val="20"/>
                <w:color w:val="auto"/>
              </w:rPr>
            </w:pPr>
            <w:r>
              <w:rPr>
                <w:rFonts w:ascii="Arial" w:cs="Arial" w:eastAsia="Arial" w:hAnsi="Arial"/>
                <w:sz w:val="18"/>
                <w:szCs w:val="18"/>
                <w:color w:val="auto"/>
              </w:rPr>
              <w:t>Free Cash Flow</w:t>
            </w:r>
          </w:p>
        </w:tc>
        <w:tc>
          <w:tcPr>
            <w:tcW w:w="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w:t>
            </w:r>
          </w:p>
        </w:tc>
      </w:tr>
      <w:tr>
        <w:trPr>
          <w:trHeight w:val="25"/>
        </w:trPr>
        <w:tc>
          <w:tcPr>
            <w:tcW w:w="8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4"/>
        </w:trPr>
        <w:tc>
          <w:tcPr>
            <w:tcW w:w="8280" w:type="dxa"/>
            <w:vAlign w:val="bottom"/>
          </w:tcPr>
          <w:p>
            <w:pPr>
              <w:spacing w:after="0"/>
              <w:rPr>
                <w:sz w:val="20"/>
                <w:szCs w:val="20"/>
                <w:color w:val="auto"/>
              </w:rPr>
            </w:pPr>
            <w:r>
              <w:rPr>
                <w:rFonts w:ascii="Arial" w:cs="Arial" w:eastAsia="Arial" w:hAnsi="Arial"/>
                <w:sz w:val="18"/>
                <w:szCs w:val="18"/>
                <w:color w:val="auto"/>
              </w:rPr>
              <w:t>Free Cash Flow Margin</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2"/>
      <w:numFmt w:val="bullet"/>
      <w:start w:val="1"/>
    </w:lvl>
  </w:abstractNum>
  <w:abstractNum w:abstractNumId="9">
    <w:nsid w:val="1F16E9E8"/>
    <w:multiLevelType w:val="hybridMultilevel"/>
    <w:lvl w:ilvl="0">
      <w:lvlJc w:val="left"/>
      <w:lvlText w:val="\emdash "/>
      <w:numFmt w:val="bullet"/>
      <w:start w:val="1"/>
    </w:lvl>
  </w:abstractNum>
  <w:abstractNum w:abstractNumId="10">
    <w:nsid w:val="1190CDE7"/>
    <w:multiLevelType w:val="hybridMultilevel"/>
    <w:lvl w:ilvl="0">
      <w:lvlJc w:val="left"/>
      <w:lvlText w:val="\emdash "/>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2025-06-05T15:26:40Z</dcterms:created>
  <dcterms:modified xsi:type="dcterms:W3CDTF">2025-06-05T15:26:40Z</dcterms:modified>
</cp:coreProperties>
</file>