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0001961707</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14504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30748.48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5000</w:t>
      </w:r>
      <w:r>
        <w:rPr>
          <w:sz w:val="20"/>
          <w:szCs w:val="20"/>
          <w:color w:val="auto"/>
        </w:rPr>
        <w:tab/>
      </w:r>
      <w:r>
        <w:rPr>
          <w:rFonts w:ascii="Arial" w:cs="Arial" w:eastAsia="Arial" w:hAnsi="Arial"/>
          <w:sz w:val="19"/>
          <w:szCs w:val="19"/>
          <w:color w:val="auto"/>
        </w:rPr>
        <w:t>09/12/2022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28125</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861"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03/16/2023 1204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3356.75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03/17/2023 1070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2748.83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03/20/2023 893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2283.76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03/21/2023 1199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3138.26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05/02/2023 102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232.05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05/03/2023 184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430.58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06/02/2023 2131</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4440.15</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61" w:orient="portrait"/>
          <w:cols w:equalWidth="0" w:num="1">
            <w:col w:w="1124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Suite 900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Shares to be sold to cover withholding taxes upon vesting of restricted stock unit awards. The date of the Rule 10b5-1 sell to cover instruction for the shares paid for on 9/15/2022 (2,192 of the shares sold) was 10/10/2022. The remaining shares were not sold pursuant to a Rule 10b5-1 plan.</w:t>
      </w:r>
    </w:p>
    <w:p>
      <w:pPr>
        <w:spacing w:after="0" w:line="14" w:lineRule="exact"/>
        <w:rPr>
          <w:sz w:val="20"/>
          <w:szCs w:val="20"/>
          <w:color w:val="auto"/>
        </w:rPr>
      </w:pPr>
    </w:p>
    <w:p>
      <w:pPr>
        <w:sectPr>
          <w:pgSz w:w="11900" w:h="16838" w:orient="portrait"/>
          <w:cols w:equalWidth="0" w:num="2">
            <w:col w:w="820" w:space="420"/>
            <w:col w:w="9960"/>
          </w:cols>
          <w:pgMar w:left="320" w:top="118" w:right="379" w:bottom="144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Date of</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06/15/2023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Rau</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2023-06-15T08:43:02Z</dcterms:created>
  <dcterms:modified xsi:type="dcterms:W3CDTF">2023-06-15T08:43:02Z</dcterms:modified>
</cp:coreProperties>
</file>