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07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Phillips Zachary Benjamin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Rent the Runway,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RENT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214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94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94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160" w:type="dxa"/>
            <w:vAlign w:val="bottom"/>
          </w:tcPr>
          <w:p>
            <w:pPr>
              <w:ind w:left="2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08/05/2024</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vMerge w:val="restart"/>
          </w:tcPr>
          <w:p>
            <w:pPr>
              <w:ind w:left="1000"/>
              <w:spacing w:after="0"/>
              <w:rPr>
                <w:sz w:val="20"/>
                <w:szCs w:val="20"/>
                <w:color w:val="auto"/>
              </w:rPr>
            </w:pPr>
            <w:r>
              <w:rPr>
                <w:rFonts w:ascii="Times New Roman" w:cs="Times New Roman" w:eastAsia="Times New Roman" w:hAnsi="Times New Roman"/>
                <w:sz w:val="17"/>
                <w:szCs w:val="17"/>
                <w:color w:val="0000FF"/>
                <w:w w:val="99"/>
              </w:rPr>
              <w:t>SVP, Product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9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07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08/05/2024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822</w:t>
            </w:r>
            <w:r>
              <w:rPr>
                <w:rFonts w:ascii="Times New Roman" w:cs="Times New Roman" w:eastAsia="Times New Roman" w:hAnsi="Times New Roman"/>
                <w:sz w:val="22"/>
                <w:szCs w:val="22"/>
                <w:color w:val="008000"/>
                <w:w w:val="93"/>
                <w:vertAlign w:val="superscript"/>
              </w:rPr>
              <w:t>(2)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11.84</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18,146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08/05/2024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148</w:t>
            </w:r>
            <w:r>
              <w:rPr>
                <w:rFonts w:ascii="Times New Roman" w:cs="Times New Roman" w:eastAsia="Times New Roman" w:hAnsi="Times New Roman"/>
                <w:sz w:val="22"/>
                <w:szCs w:val="22"/>
                <w:color w:val="008000"/>
                <w:w w:val="93"/>
                <w:vertAlign w:val="superscript"/>
              </w:rPr>
              <w:t>(2)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12.56</w:t>
            </w:r>
            <w:r>
              <w:rPr>
                <w:rFonts w:ascii="Times New Roman" w:cs="Times New Roman" w:eastAsia="Times New Roman" w:hAnsi="Times New Roman"/>
                <w:sz w:val="22"/>
                <w:szCs w:val="22"/>
                <w:color w:val="008000"/>
                <w:vertAlign w:val="superscript"/>
              </w:rPr>
              <w:t>(4)</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17,998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08/05/2024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90"/>
                <w:vertAlign w:val="subscript"/>
              </w:rPr>
              <w:t>4</w:t>
            </w:r>
            <w:r>
              <w:rPr>
                <w:rFonts w:ascii="Times New Roman" w:cs="Times New Roman" w:eastAsia="Times New Roman" w:hAnsi="Times New Roman"/>
                <w:sz w:val="11"/>
                <w:szCs w:val="11"/>
                <w:color w:val="008000"/>
                <w:w w:val="90"/>
              </w:rPr>
              <w:t>(2)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13.34</w:t>
            </w:r>
            <w:r>
              <w:rPr>
                <w:rFonts w:ascii="Times New Roman" w:cs="Times New Roman" w:eastAsia="Times New Roman" w:hAnsi="Times New Roman"/>
                <w:sz w:val="22"/>
                <w:szCs w:val="22"/>
                <w:color w:val="008000"/>
                <w:vertAlign w:val="superscript"/>
              </w:rPr>
              <w:t>(5)</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17,994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and settlement of restricted stock units pursuant to a standing Rule 10b5-1 instruction dated April 16, 2024.</w:t>
      </w:r>
    </w:p>
    <w:p>
      <w:pPr>
        <w:spacing w:after="0" w:line="50"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and settlement of restricted stock units for certain employees of the Issuer.</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and settlement of restricted stock units for</w:t>
      </w:r>
    </w:p>
    <w:p>
      <w:pPr>
        <w:spacing w:after="0" w:line="11" w:lineRule="exact"/>
        <w:rPr>
          <w:rFonts w:ascii="Times New Roman" w:cs="Times New Roman" w:eastAsia="Times New Roman" w:hAnsi="Times New Roman"/>
          <w:sz w:val="13"/>
          <w:szCs w:val="13"/>
          <w:color w:val="008000"/>
        </w:rPr>
      </w:pPr>
    </w:p>
    <w:p>
      <w:pPr>
        <w:ind w:left="40" w:right="280"/>
        <w:spacing w:after="0" w:line="242"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employees of the Issuer. These shares were sold in multiple transactions at prices ranging from $11.21 to $12.20,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280" w:firstLine="7"/>
        <w:spacing w:after="0" w:line="248"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and settlement of restricted stock units for certain employees of the Issuer. These shares were sold in multiple transactions at prices ranging from $12.21 to $13.08,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76" w:lineRule="exact"/>
        <w:rPr>
          <w:rFonts w:ascii="Times New Roman" w:cs="Times New Roman" w:eastAsia="Times New Roman" w:hAnsi="Times New Roman"/>
          <w:sz w:val="13"/>
          <w:szCs w:val="13"/>
          <w:color w:val="008000"/>
        </w:rPr>
      </w:pPr>
    </w:p>
    <w:p>
      <w:pPr>
        <w:ind w:left="40" w:right="280" w:firstLine="7"/>
        <w:spacing w:after="0" w:line="248"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and settlement of restricted stock units for certain employees of the Issuer. These shares were sold in multiple transactions at prices ranging from $13.34 to $13.35,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073" w:gutter="0" w:footer="0" w:header="0"/>
          <w:type w:val="continuous"/>
        </w:sectPr>
      </w:pPr>
    </w:p>
    <w:p>
      <w:pPr>
        <w:spacing w:after="0" w:line="17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Cara Schembri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Zachary B. Phillips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3227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073"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2008023"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2024-08-07T17:13:30Z</dcterms:created>
  <dcterms:modified xsi:type="dcterms:W3CDTF">2024-08-07T17:13:30Z</dcterms:modified>
</cp:coreProperties>
</file>